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Módulo 2: Estado Atual, Tendências e Barreiras ao Acesso à Energia.  </w:t>
      </w:r>
    </w:p>
    <w:p>
      <w:r>
        <w:t xml:space="preserve">Hoje, exploraremos o estado atual do acesso à energia, as tendências que irão definir o futuro do acesso à energia e os principais desafios que dificultam o acesso universal.  </w:t>
      </w:r>
    </w:p>
    <w:p>
      <w:r>
        <w:t xml:space="preserve">O capítulo começa mapeando a geografia das lacunas no acesso à energia — através de regiões, divisões rurais e urbanas, ambientes frágeis e assentamentos informais — e aprofunda-se nas realidades em camadas que moldam a pobreza energética, desde infraestrutura inadequada até exclusão socioeconômica.  </w:t>
      </w:r>
    </w:p>
    <w:p>
      <w:r>
        <w:t xml:space="preserve">O capítulo também vai além da eletricidade, destacando a necessidade urgente de cozinhar, aquecer e resfriar de forma limpa. Por exemplo, apenas 74% da população mundial tinha acesso a cozinhar de forma limpa em 2023.  </w:t>
      </w:r>
    </w:p>
    <w:p>
      <w:r>
        <w:t xml:space="preserve">Discutiremos também algumas das principais barreiras ao progresso, incluindo infraestrutura inadequada, interrupções na cadeia de suprimentos, distribuição desigual de investimentos e falhas na política ou na governança.  </w:t>
      </w:r>
    </w:p>
    <w:p>
      <w:r>
        <w:t xml:space="preserve">Enfrentar esses desafios requer abordagens personalizadas — fortalecendo a infraestrutura, incentivando investimentos em áreas específicas e elaborando políticas que priorizem inclusão e acessibilidade. Somente por meio de estratégias abrangentes e específicas ao contexto podemos nos aproximar da meta de acesso universal e sustentável à energia até 2030.  </w:t>
      </w:r>
    </w:p>
    <w:p>
      <w:r>
        <w:t>Este capítulo prepara o terreno para entender onde o mundo está hoje — e as oportunidades de desenvolvimento que estão por vir para fechar a lacuna energética.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