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Dois: Garantindo uma Transição Justa para Trabalhadores e Comunidades.  </w:t>
      </w:r>
    </w:p>
    <w:p>
      <w:r>
        <w:t xml:space="preserve">A transição energética trata de mais do que infraestrutura — ela afeta direitos, meios de subsistência e bem-estar social. Pesquisas documentaram desafios recorrentes, incluindo uso de terras contestado, deslocamento de comunidades e violações trabalhistas nas cadeias de suprimento de minerais. Abordar essas questões requer salvaguardas legais, fiscalização eficaz e participação ativa daqueles mais afetados.  </w:t>
      </w:r>
    </w:p>
    <w:p>
      <w:r>
        <w:t xml:space="preserve">A participação sustenta a legitimidade. O Consentimento Livre, Prévio e Informado garante que povos indígenas e comunidades locais possam moldar os projetos desde o início. Na Colômbia, o povo Wayúu participa por meio de plataformas interculturais que respeitam a governança tradicional e integram perspectivas de gênero — reduzindo conflitos e permitindo que projetos de energia renovável avancem em termos compartilhados.  </w:t>
      </w:r>
    </w:p>
    <w:p>
      <w:r>
        <w:t xml:space="preserve">Estruturas internacionais também importam. O Acordo de Escazú de 2018, o primeiro tratado regional na América Latina e no Caribe, estabelece compromissos vinculantes sobre acesso à informação, participação pública e proteção de defensores ambientais. Ele conecta a gestão ambiental aos direitos civis e políticos, oferecendo um modelo para equilibrar metas climáticas com equidade.  </w:t>
      </w:r>
    </w:p>
    <w:p>
      <w:r>
        <w:t xml:space="preserve">O emprego é outro pilar fundamental. A IRENA projeta que a energia renovável pode gerar mais de 30 milhões de empregos até 2030, mas a maior parte do crescimento está concentrada em economias avançadas, deixando regiões de combustíveis fósseis para trás. Políticas de requalificação, empreendedorismo e investimentos direcionados são necessárias para fechar essa lacuna.  </w:t>
      </w:r>
    </w:p>
    <w:p>
      <w:r>
        <w:t xml:space="preserve">A igualdade de gênero continua sendo crucial. Em 2024, as mulheres representam menos de um terço da força de trabalho em energias renováveis e estão sub-representadas em cargos de liderança. Medidas como bolsas de estudo, mentorias e políticas sensíveis ao cuidado no local de trabalho melhoram a participação e fortalecem o desempenho organizacional.  </w:t>
      </w:r>
    </w:p>
    <w:p>
      <w:r>
        <w:t xml:space="preserve">Por fim, a proteção social garante que famílias vulneráveis não fiquem para trás. Subsídios e transferências de renda, elaborados com a participação da comunidade e dados precisos, podem prevenir a pobreza energética e manter a estabilidade durante a transição.  </w:t>
      </w:r>
    </w:p>
    <w:p>
      <w:r>
        <w:t>Este capítulo explora essas dimensões e destaca abordagens práticas para proteger direitos, ampliar oportunidades e compartilhar de forma justa os benefícios da energia limpa.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