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3: Um JATO que Preserva a Natureza e Catalisa o Crescimento Econômico.  </w:t>
      </w:r>
    </w:p>
    <w:p>
      <w:r>
        <w:t xml:space="preserve">Uma transição justa para a energia renovável pode fazer mais do que reduzir as emissões — ela pode impulsionar o desenvolvimento sustentável e o crescimento econômico, especialmente em nações ricas em recursos.  </w:t>
      </w:r>
    </w:p>
    <w:p>
      <w:r>
        <w:t xml:space="preserve">A demanda por minerais críticos como lítio, cobalto e elementos de terras raras está crescendo rapidamente. O investimento global em seu desenvolvimento aumentou 30% em 2022 e 10% em 2023, impulsionado por tecnologias renováveis como baterias, turbinas eólicas e painéis solares. Para países ricos em recursos, isso oferece grandes oportunidades econômicas — mas também riscos. A extração está altamente concentrada em certas regiões, com mais da metade em terras indígenas, levantando preocupações sobre danos ambientais e impactos sociais. Padrões rigorosos, responsabilidade e cooperação internacional são essenciais.  </w:t>
      </w:r>
    </w:p>
    <w:p>
      <w:r>
        <w:t xml:space="preserve">A colaboração regional também pode ajudar. Ao reunir recursos e desenvolver indústrias locais, os países podem avançar além das exportações, rumo a setores de valor agregado, como processamento e fabricação de baterias. Marrocos e Egito, por exemplo, estão se posicionando como centros de fabricação de renováveis.  </w:t>
      </w:r>
    </w:p>
    <w:p>
      <w:r>
        <w:t xml:space="preserve">Ao mesmo tempo, as energias renováveis trazem desafios ambientais. A energia eólica e solar emitem até 90% menos gases de efeito estufa do que os combustíveis fósseis ao longo de seu ciclo de vida, mas parques eólicos podem perturbar a migração de aves, a produção de painéis solares utiliza materiais perigosos, e a reciclagem ainda é limitada. Grandes projetos hidrelétricos, embora com baixas emissões, podem prejudicar ecossistemas fluviais se não forem gerenciados com cuidado.  </w:t>
      </w:r>
    </w:p>
    <w:p>
      <w:r>
        <w:t>Uma abordagem abrangente é necessária — que maximize os benefícios climáticos das renováveis enquanto minimiza os danos ecológicos não intencionais. Ao avançar na cadeia de valor e investir em indústrias a jusante, os países em desenvolvimento podem criar empregos, reduzir custos e construir economias mais resilientes.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