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Bem-vindo ao módulo 4: Financiando a Transição Justa para a Energia  </w:t>
      </w:r>
    </w:p>
    <w:p>
      <w:r>
        <w:t xml:space="preserve">O investimento global em energia de baixo carbono está crescendo rapidamente—mais de dois trilhões de dólares americanos em 2024 alone—ainda assim, muito abaixo do necessário para atingir as metas climáticas internacionais. Mais da metade das pessoas no mundo vivem em mercados emergentes e economias em desenvolvimento, mas essas regiões atraem apenas uma fração do investimento em energia limpa. Fechar essa lacuna é essencial para evitar o aprisionamento em combustíveis fósseis, reduzir a desigualdade e alcançar uma transição energética justa.  </w:t>
      </w:r>
    </w:p>
    <w:p>
      <w:r>
        <w:t xml:space="preserve">Este módulo fornece a você o conhecimento e as ferramentas para entender e moldar o cenário financeiro por trás dessa transição. Você explorará como os fluxos de investimento global, as dinâmicas de mercado e as tendências tecnológicas estão remodelando o financiamento de energia sustentável—e por que a bancabilidade, a certeza regulatória e cadeias de suprimento diversificadas são essenciais para o sucesso. Você examinará como a ação do setor público estabelece a base por meio de investimentos estratégicos, reforma de subsídios, gestão de riscos e políticas facilitadoras que atraem capital privado e protegem grupos vulneráveis.  </w:t>
      </w:r>
    </w:p>
    <w:p>
      <w:r>
        <w:t xml:space="preserve">Você também analisará como a mitigação de riscos, o financiamento combinado e as reformas regulatórias podem desbloquear trilhões em capital privado necessário, especialmente em mercados de alto potencial, mas subatendidos. Em seguida, mergulharemos em instrumentos financeiros inovadores—títulos verdes e de sustentabilidade, trocas de dívida por energia, precificação de carbono e ferramentas digitais emergentes—que estão transformando a forma como projetos de energia renovável são financiados e monitorados. Por fim, destacamos prioridades transversais: construir parcerias eficazes entre governos, investidores e instituições internacionais, e incorporar a inclusão—particularmente a equidade de gênero—em todas as etapas do investimento para que a transição beneficie a todos.  </w:t>
      </w:r>
    </w:p>
    <w:p>
      <w:r>
        <w:t xml:space="preserve">Juntos, esses elementos oferecem uma visão holística de como políticas, finanças públicas, investimento privado e inovação interagem para impulsionar soluções de energia sustentável em larga escala. Ao final, você será capaz de analisar tendências globais, avaliar mecanismos de financiamento e desenhar estratégias que mobilizem recursos para um futuro energético de baixo carbono e justo.  </w:t>
      </w:r>
    </w:p>
    <w:p>
      <w:r>
        <w:t>Vamos começar a jornada!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