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Bem-vindo ao Capítulo 1: Introdução ao Financiamento de Energia Sustentável e Dinâmicas de Mercado.  </w:t>
      </w:r>
    </w:p>
    <w:p>
      <w:r>
        <w:t xml:space="preserve">Em 2024, o investimento global na transição para uma energia de baixo carbono cresceu 11 por cento, atingindo um recorde de USD 2,1 trilhões. Isso marca uma aceleração notável—mas ainda fica aquém dos níveis necessários para cumprir as metas climáticas internacionais. Mercados emergentes e economias em desenvolvimento fora da China representam apenas cerca de 15 por cento do investimento global em energia limpa, mesmo abrigando mais da metade da população mundial. A África Subsaariana, por exemplo, recebeu apenas 2 por cento do investimento global em energia limpa entre 2000 e 2024.  </w:t>
      </w:r>
    </w:p>
    <w:p>
      <w:r>
        <w:t xml:space="preserve">Esse desequilíbrio corre o risco de prender regiões de alto potencial em uma dependência contínua de combustíveis fósseis, agravando desigualdades sociais e minando as metas climáticas. Muitos países enfrentam uma “tripla penalidade”: custos de financiamento e preços de eletricidade mais altos, forte dependência de combustíveis fósseis importados e acesso limitado à tecnologia e à mão de obra qualificada—tudo isso complicando sua transição energética.  </w:t>
      </w:r>
    </w:p>
    <w:p>
      <w:r>
        <w:t xml:space="preserve">Ao mesmo tempo, os mercados de energia renovável estão se transformando rapidamente. Até 2030, quase metade da matriz energética global deve vir de fontes renováveis, impulsionada pela redução dos custos tecnológicos, políticas inteligentes e modelos de negócios inovadores. No entanto, vulnerabilidades na cadeia de suprimentos—especialmente a dependência de alguns países por minerais críticos—e riscos geopolíticos exigem diversificação de fontes e gestão responsável dos recursos.  </w:t>
      </w:r>
    </w:p>
    <w:p>
      <w:r>
        <w:t xml:space="preserve">Avanços tecnológicos como armazenamento de energia, redes inteligentes e digitalização estão melhorando a eficiência, confiabilidade e participação do consumidor, remodelando as dinâmicas de mercado para produtores, distribuidoras, reguladores e investidores.  </w:t>
      </w:r>
    </w:p>
    <w:p>
      <w:r>
        <w:t xml:space="preserve">Para atrair financiamentos essenciais, os projetos precisam ser realmente viáveis—mostrando fluxos de caixa previsíveis, estruturas financeiras robustas e conformidade com padrões técnicos, legais e sociais. Superar altos custos de capital, incertezas regulatórias e lacunas na infraestrutura é fundamental, especialmente em economias emergentes.  </w:t>
      </w:r>
    </w:p>
    <w:p>
      <w:r>
        <w:t>Vamos começar.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