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3: Aumentando os Investimentos do Setor Privado em Energia Sustentável.  </w:t>
      </w:r>
    </w:p>
    <w:p>
      <w:r>
        <w:t xml:space="preserve">Neste capítulo, estamos focando em como mobilizar o capital crítico necessário para acelerar a transição energética global. Até 2030, estima-se que mais de quatro trilhões de dólares por ano serão necessários para atingir as metas globais de energia limpa. O financiamento público sozinho não pode preencher essa enorme lacuna de recursos. Em vez disso, o investimento do setor privado deve ser ampliado significativamente para desbloquear as inovações, a implantação e as reduções de custos essenciais para um futuro energético sustentável.  </w:t>
      </w:r>
    </w:p>
    <w:p>
      <w:r>
        <w:t xml:space="preserve">Apesar da necessidade clara, o investimento privado em energia renovável permanece desigual entre as regiões. Enquanto os investimentos globais estão aumentando, os países em desenvolvimento — apesar de seu alto potencial de renováveis e de necessidades urgentes de acesso à energia — atraem menos de 15% do total de investimentos em energia limpa até 2023. Essa disparidade destaca as barreiras enfrentadas por essas regiões: altos riscos financeiros, mercados subdesenvolvidos, incertezas regulatórias e lacunas na infraestrutura contribuem para a participação limitada do setor privado.  </w:t>
      </w:r>
    </w:p>
    <w:p>
      <w:r>
        <w:t xml:space="preserve">Para enfrentar esses desafios, soluções direcionadas são essenciais. Estratégias de mitigação de riscos — como garantias, seguros e securitização — podem reduzir os riscos percebidos de investimento. Por exemplo, no Cazaquistão, reformas políticas e a desriscarização financeira desbloquearam capital privado para projetos de renováveis, demonstrando como intervenções eficazes podem criar um ambiente de investimento mais atrativo.  </w:t>
      </w:r>
    </w:p>
    <w:p>
      <w:r>
        <w:t xml:space="preserve">Outra abordagem importante é a finança combinada, que une fundos públicos concessionais com capital privado. Ao aproveitar recursos públicos para reduzir riscos de projetos, a finança combinada torna projetos de energia limpa de alto impacto mais atraentes para investidores privados. No Quênia, a finança combinada mobilizou com sucesso fundos privados para iniciativas de solar e eólica, ilustrando seu potencial em mercados em desenvolvimento.  </w:t>
      </w:r>
    </w:p>
    <w:p>
      <w:r>
        <w:t xml:space="preserve">Em resumo, para atingir a meta global de investimento em energia limpa de mais de quatro trilhões de dólares por ano até 2030, a mobilização de capital privado é indispensável. Enfrentar as barreiras por meio de estratégias de mitigação de riscos, estratégias inovadoras de financiamento e reformas políticas será fundamental para desbloquear os investimentos necessários para um futuro energético sustentável.  </w:t>
      </w:r>
    </w:p>
    <w:p>
      <w:r>
        <w:t>Agora, vamos explorar essas estratégias com mais detalhes nas próximas lições.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