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4: Instrumentos Financeiros Inovadores para Energia Renovável  </w:t>
      </w:r>
    </w:p>
    <w:p>
      <w:r>
        <w:t xml:space="preserve">Financiar a transição energética exige mecanismos capazes de mobilizar centenas de bilhões anualmente. Instrumentos inovadores estão remodelando a forma como o capital flui para energia sustentável.  </w:t>
      </w:r>
    </w:p>
    <w:p>
      <w:r>
        <w:t xml:space="preserve">Títulos temáticos—verdes, sociais e de sustentabilidade—dirigem fundos para projetos com resultados mensuráveis. A emissão global de títulos verdes ultrapassou USD 500 bilhões em 2022, com estruturas como os Princípios dos Títulos Verdes garantindo transparência e confiança dos investidores.  </w:t>
      </w:r>
    </w:p>
    <w:p>
      <w:r>
        <w:t xml:space="preserve">Mecanismos de precificação de carbono—sistemas de comércio de emissões e impostos sobre carbono—criam incentivos para reduzir as emissões. Seu sucesso depende de um design eficaz, verificação rigorosa e salvaguardas contra o greenwashing.  </w:t>
      </w:r>
    </w:p>
    <w:p>
      <w:r>
        <w:t xml:space="preserve">Tecnologias digitais acrescentam novo impulso. Blockchain aumenta a transparência e permite a negociação peer-to-peer de energia, enquanto análises impulsionadas por IA melhoram a avaliação de riscos e expandem o acesso a investimentos verdes.  </w:t>
      </w:r>
    </w:p>
    <w:p>
      <w:r>
        <w:t xml:space="preserve">Trocas de dívida por energia têm o potencial de reduzir cargas de dívida enquanto financiam renováveis. Esses arranjos requerem governança forte e apoio multilateral para superar obstáculos regulatórios e de transação.  </w:t>
      </w:r>
    </w:p>
    <w:p>
      <w:r>
        <w:t>Juntos, essas ferramentas podem mobilizar trilhões, fortalecer a confiança e acelerar a transição para uma economia de baixo carbono. Este capítulo examina seu potencial, desafios e estratégias para maximizar o impacto.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