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Módulo 6: Explorando a Conexão Energia–Clima  </w:t>
      </w:r>
    </w:p>
    <w:p>
      <w:r>
        <w:t xml:space="preserve">A energia é a maior fonte de emissões globais de gases de efeito estufa, mas também detém a chave para soluções climáticas. Este módulo adota uma visão holística de como os sistemas energéticos impulsionam as emissões, os caminhos para reduzi-las e as estratégias para se adaptar aos impactos do clima, garantindo equidade e resiliência.  </w:t>
      </w:r>
    </w:p>
    <w:p>
      <w:r>
        <w:t xml:space="preserve">Começamos mapeando toda a cadeia de energia—produção, distribuição e uso—para revelar onde as emissões surgem e onde existem as maiores oportunidades de redução. Examinamos geração de energia, transporte, indústria, edifícios e uso da terra, mostrando como a dependência enraizada de combustíveis fósseis, ativos de longa duração e subsídios criam um aprisionamento de carbono e por que uma transição justa com proteções sociais é essencial.  </w:t>
      </w:r>
    </w:p>
    <w:p>
      <w:r>
        <w:t xml:space="preserve">A partir dessa base, exploramos como a descarbonização pode ser alcançada em toda a economia. Destacamos a eletrificação, combustíveis de baixo carbono e mudanças nos processos em setores difíceis de descarbonizar; evidenciamos inovações como hidrogênio verde, armazenamento em grande escala e soluções digitais; e explicamos como eficiência energética e demanda mais inteligente podem proporcionar cortes imediatos nas emissões, reduzir custos e aliviar a pressão sobre a infraestrutura.  </w:t>
      </w:r>
    </w:p>
    <w:p>
      <w:r>
        <w:t xml:space="preserve">Por fim, abordamos os impactos climáticos já em andamento. Analisamos como o calor extremo, enchentes, tempestades, aumento do nível do mar e secas ameaçam o acesso e a confiabilidade da energia, e apresentamos estratégias para infraestrutura resiliente ao clima, sistemas energéticos diversificados e descentralizados, e a integração do risco climático no planejamento e financiamento. Ao longo de todo o texto, enfatizamos políticas coerentes, financiamento coordenado e governança inclusiva para garantir que as medidas de resiliência protejam os mais vulneráveis, ao mesmo tempo em que reforçam os objetivos de desenvolvimento e descarbonização.  </w:t>
      </w:r>
    </w:p>
    <w:p>
      <w:r>
        <w:t>Juntos, esses elementos capacitam você a compreender o panorama completo de energia, mitigação, inovação e adaptação—e a aplicar abordagens integradas que promovam um futuro de emissões líquidas zero e resiliência climática.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