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Bem-vindo ao Capítulo 2: Energia Sustentável para a Mitigação do Clima.  </w:t>
      </w:r>
    </w:p>
    <w:p>
      <w:r>
        <w:t xml:space="preserve">No capítulo anterior, exploramos os sistemas de energia e de onde vêm as emissões. Agora, estamos mudando o foco para o caminho à frente — as trajetórias que podem realmente reduzir essas emissões. Neste capítulo, veremos como a descarbonização pode acontecer em toda a economia, as inovações que a tornam possível e como a eficiência e uma demanda mais inteligente podem acelerar a transição.  </w:t>
      </w:r>
    </w:p>
    <w:p>
      <w:r>
        <w:t xml:space="preserve">Começaremos pelos setores de uso final — transporte, indústria, agricultura e edifícios. No capítulo anterior, vimos suas emissões; agora, examinaremos como a eletrificação, os combustíveis de baixo carbono e as mudanças nos processos podem reduzi-las, especialmente em áreas de difícil descarbonização.  </w:t>
      </w:r>
    </w:p>
    <w:p>
      <w:r>
        <w:t xml:space="preserve">Depois, passaremos para as inovações. Destacaremos soluções revolucionárias, como o hidrogênio verde e o armazenamento de energia em grande escala, e veremos como elas podem complementar as fontes renováveis e tornar possível uma descarbonização profunda.  </w:t>
      </w:r>
    </w:p>
    <w:p>
      <w:r>
        <w:t xml:space="preserve">Em seguida, voltaremos nossa atenção para a eficiência energética e a gestão da demanda. Exploraremos como “usar menos” e “usar de forma mais inteligente” — por meio de um melhor design de edifícios, processos industriais mais eficientes e sistemas de transporte mais inteligentes — podem proporcionar cortes imediatos nas emissões, ao mesmo tempo em que reduzem custos e aliviam a pressão sobre a infraestrutura.  </w:t>
      </w:r>
    </w:p>
    <w:p>
      <w:r>
        <w:t>Vamos começar a explorar.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