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Neste módulo, exploramos como tecnologia, política e inovação estão remodelando os sistemas energéticos globais.  </w:t>
      </w:r>
    </w:p>
    <w:p>
      <w:r>
        <w:t xml:space="preserve">A demanda por eletricidade está crescendo rapidamente, impulsionada pela urbanização, mudanças demográficas e uma classe média em expansão nas economias emergentes. Essa alta aumentará a necessidade de resfriamento, eletrodomésticos e eletrificação.  </w:t>
      </w:r>
    </w:p>
    <w:p>
      <w:r>
        <w:t xml:space="preserve">A digitalização e a inteligência artificial podem aumentar a eficiência e permitir uma gestão de rede mais inteligente — mas também aumentam o uso de energia e trazem riscos de cibersegurança, tornando essencial o investimento em infraestrutura resiliente.  </w:t>
      </w:r>
    </w:p>
    <w:p>
      <w:r>
        <w:t xml:space="preserve">Do lado da oferta, as renováveis estão se expandindo rapidamente. A energia solar fotovoltaica deve representar quase 80% da nova capacidade renovável até 2030, enquanto o vento offshore deve escalar de cerca de 9,5 GW em 2023 para mais de 45 GW anuais até 2030.  </w:t>
      </w:r>
    </w:p>
    <w:p>
      <w:r>
        <w:t xml:space="preserve">Olhando para o futuro, em trajetórias compatíveis com limitar o aquecimento a 1,5°C, as renováveis poderiam fornecer quase 90% da eletricidade global até 2050, com a solar e o vento sozinhos entregando cerca de 70%. Alcançar isso exigirá planejamento cuidadoso para equilibrar uso da terra, impactos ambientais e equidade social.  </w:t>
      </w:r>
    </w:p>
    <w:p>
      <w:r>
        <w:t>Essa transição traz desafios, mas também oportunidades imensas. Políticas de apoio, avanços tecnológicos e estratégias inclusivas podem acelerar a inovação — construindo um futuro energético sustentável, resiliente e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