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Tendências e Barreiras para a Energia Renovável no Sul Global.  </w:t>
      </w:r>
    </w:p>
    <w:p>
      <w:r>
        <w:t xml:space="preserve">Ao longo do Sul Global, a energia renovável está transformando a forma como as comunidades acessam a eletricidade e constroem oportunidades. Neste capítulo, exploramos o crescimento dinâmico da energia eólica e solar, bem como o surgimento de soluções descentralizadas como mini-redes e sistemas solares residenciais. Essas tecnologias estão impulsionando o acesso a energia limpa, apoiando o desenvolvimento econômico e ajudando a reduzir a lacuna de acesso à eletricidade em regiões onde milhões ainda carecem de energia confiável.  </w:t>
      </w:r>
    </w:p>
    <w:p>
      <w:r>
        <w:t xml:space="preserve">Mas a transição não está isenta de desafios. O investimento em renováveis permanece desigual, com a África Subsaariana e outras regiões em desenvolvimento enfrentando barreiras persistentes. Lacunas de financiamento, limitações na rede, incerteza nas políticas e questões de acessibilidade continuam a desacelerar o progresso. Mesmo com a redução dos custos das tecnologias e o surgimento de novos modelos de negócios, muitos países lutam para atrair o investimento privado necessário para ampliar as soluções de energia limpa.  </w:t>
      </w:r>
    </w:p>
    <w:p>
      <w:r>
        <w:t xml:space="preserve">Ao longo deste capítulo, você descobrirá como as tendências globais e regionais estão moldando o cenário da energia renovável. Analisaremos os fatores que impulsionaram o crescimento recente, as políticas e programas que fizeram a diferença, e os obstáculos que ainda permanecem. Compreendendo essas tendências e barreiras, preparamos o terreno para o restante deste módulo—onde exploraremos como estratégias específicas de redução de riscos podem desbloquear investimentos e acelerar a transição para uma energia sustentável e acessível para todos.  </w:t>
      </w:r>
    </w:p>
    <w:p>
      <w:r>
        <w:t>Vamos começar nossa jornada pelo mundo em evolução da energia renovável no Sul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