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Teoria de Redução de Riscos.  </w:t>
      </w:r>
    </w:p>
    <w:p>
      <w:r>
        <w:t xml:space="preserve">Investir em energia renovável em países em desenvolvimento é mais do que implantar novas tecnologias — trata-se de entender e gerenciar riscos. Neste capítulo, exploramos como os riscos são definidos, percebidos e precificados por investidores e credores, e por que esses riscos frequentemente tornam o financiamento de projetos de energia renovável mais caro em mercados emergentes.  </w:t>
      </w:r>
    </w:p>
    <w:p>
      <w:r>
        <w:t xml:space="preserve">Você aprenderá sobre os diferentes tipos de riscos que podem afetar o investimento em energia renovável, desde incertezas políticas e regulatórias até flutuações cambiais e desafios específicos de cada projeto. Analisaremos como esses riscos moldam as decisões de investimento, influenciam o custo de capital e, por fim, determinam se os projetos avançam ou ficam parados.  </w:t>
      </w:r>
    </w:p>
    <w:p>
      <w:r>
        <w:t xml:space="preserve">Mas o risco não é apenas uma barreira — também é uma alavanca para a ação. Este capítulo apresenta a teoria da mudança que sustenta uma redução de riscos eficaz, mostrando como intervenções públicas e privadas direcionadas podem reduzir riscos, diminuir os custos de financiamento e desbloquear novos investimentos. Veremos as estratégias que governos, parceiros de desenvolvimento e investidores usam para enfrentar essas barreiras, e como a redução de riscos pode transformar o cenário de investimentos em energia limpa.  </w:t>
      </w:r>
    </w:p>
    <w:p>
      <w:r>
        <w:t>Ao final deste capítulo, você terá uma base sólida nos conceitos e na lógica que impulsionam a abordagem DREI, preparando-o para entender como essas ideias são colocadas em prática no próximo capítulo.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