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Академию устойчивой энергетики!  </w:t>
      </w:r>
    </w:p>
    <w:p>
      <w:r>
        <w:t xml:space="preserve">Я буду вашим гидом на этом пути. Вместе мы исследуем, как энергия способствует прогрессу, формирует политику и преобразует жизни.  </w:t>
      </w:r>
    </w:p>
    <w:p>
      <w:r>
        <w:t xml:space="preserve">В этом первом модуле вы узнаете, почему энергия — это гораздо больше, чем инфраструктура — это двигатель устойчивого развития, климатической устойчивости и социальной справедливости.  </w:t>
      </w:r>
    </w:p>
    <w:p>
      <w:r>
        <w:t xml:space="preserve">Мы рассмотрим важную роль энергии в достижении Целей устойчивого развития, основанную на комплексных преимуществах, обеспечиваемых ЦУР 7: доступ к доступной, надежной, устойчивой и современной энергии для всех.  </w:t>
      </w:r>
    </w:p>
    <w:p>
      <w:r>
        <w:t xml:space="preserve">Вы также увидите, как различные сектора — от финансов и здравоохранения до управления и гендера — все связаны через энергию.  </w:t>
      </w:r>
    </w:p>
    <w:p>
      <w:r>
        <w:t>Давайте начнем это учебное путешествие вместе.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