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Добро пожаловать в Глава 3, посвящённую тому, как происходит энергетический переход по всему миру, через призму пяти региональных бюро ПРООН. От арабских государств до Латинской Америки и Карибского бассейна, от Африки и Азии с Тихоокеанским регионом до Восточной Европы и Центральной Азии — каждый регион сталкивается с уникальными вызовами, но также и с вдохновляющими возможностями для перемен.</w:t>
      </w:r>
    </w:p>
    <w:p>
      <w:r>
        <w:t>Вместе мы рассмотрим тенденции в области доступа к энергии, финансирования и политики, а также увидим, как региональные подходы формируют глобальную энергетическую трансформацию.</w:t>
      </w:r>
    </w:p>
    <w:p>
      <w:r>
        <w:t>В Африке расширяются децентрализованные решения, такие как мини-сети, однако финансирование должно ускориться по сравнению с огромным потенциалом возобновляемых источников региона. В Азии и Тихоокеанском регионе инвестиции в чистую энергию выросли, что позиционирует регион как одного из главных движущих сил глобального роста возобновляемых источников. Тем не менее миллионы людей по-прежнему лишены надежного электроснабжения, особенно в сельских районах.</w:t>
      </w:r>
    </w:p>
    <w:p>
      <w:r>
        <w:t>Арабские государства диверсифицируют источники энергии, быстро увеличивая мощность возобновляемых источников, несмотря на актуальные вопросы доступности и управления. В Латинской Америке и Карибском бассейне достигнут значительный прогресс в развитии возобновляемых ресурсов, однако остаются существенные пробелы в области чистого приготовления пищи и справедливого доступа. А в Восточной Европе и Центральной Азии изменения в политике и климатические обязательства переосмысливают энергетические стратегии, особенно в области отопления и сокращения выбросов.</w:t>
      </w:r>
    </w:p>
    <w:p>
      <w:r>
        <w:t>Контекст важен. Расширение солнечной энергетики в Сахеле, инновации на основе природы на Тихоокеанских островах или реформы энергоэффективности в Восточной Европе — всё это показывает, как местные решения могут масштабироваться до глобального уровня.</w:t>
      </w:r>
    </w:p>
    <w:p>
      <w:r>
        <w:t>На протяжении всей этой главы мы выделим эти разнообразные пути и то, как каждый регион способствует созданию более устойчивого и справедливого будущего.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