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4: Подходы, методы и инструменты стратегических инноваций.  </w:t>
      </w:r>
    </w:p>
    <w:p>
      <w:r>
        <w:t xml:space="preserve">Как превратить смелые идеи по трансформации энергетики в реальные результаты?  </w:t>
      </w:r>
    </w:p>
    <w:p>
      <w:r>
        <w:t xml:space="preserve">Ответ кроется в выбранных нами подходах и инструментах.  </w:t>
      </w:r>
    </w:p>
    <w:p>
      <w:r>
        <w:t xml:space="preserve">В этой главе мы рассмотрим четыре мощных способа работы, которые могут сделать переход более инклюзивным, справедливым и эффективным.  </w:t>
      </w:r>
    </w:p>
    <w:p>
      <w:r>
        <w:t xml:space="preserve">Подход «всеобщество» объединяет всех участников — правительства, сообщества и частный сектор. Совместными усилиями политика становится более инклюзивной, партнерства — крепче, а результаты — более устойчивыми.  </w:t>
      </w:r>
    </w:p>
    <w:p>
      <w:r>
        <w:t xml:space="preserve">Подход, основанный на правах человека, переосмысливает энергию как нечто большее, чем доступ; это фундаментальное право. Это обеспечивает сохранение достоинства, справедливости и социальной инклюзии в центре каждой инициативы.  </w:t>
      </w:r>
    </w:p>
    <w:p>
      <w:r>
        <w:t xml:space="preserve">Гендерное внедрение напоминает нам, что женщины и маргинализированные группы часто сталкиваются с самыми высокими барьерами в доступе к энергии. Включая гендер в основу проектирования, мы можем открыть новые возможности и создать более справедливые системы для всех.  </w:t>
      </w:r>
    </w:p>
    <w:p>
      <w:r>
        <w:t xml:space="preserve">А интерсекциональный подход идет еще дальше, показывая, как пересечение доходов, географии, расы и других факторов влияет на доступ к энергии. Эта перспектива помогает адаптировать решения к реальностям жизни людей.  </w:t>
      </w:r>
    </w:p>
    <w:p>
      <w:r>
        <w:t xml:space="preserve">Применяя эти стратегии, мы можем ускорить глобальный переход к чистой энергии и обеспечить его не только экологической чистотой, но и справедливостью, равенством и возможностями.  </w:t>
      </w:r>
    </w:p>
    <w:p>
      <w:r>
        <w:t>Давайте начнем и узнаем, как эти преобразующие подходы могут превращать идеи в реальные результаты.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