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Добро пожаловать в Модуль 2: Доступ к энергии и инклюзивные энергетические услуги.  </w:t>
      </w:r>
    </w:p>
    <w:p>
      <w:r>
        <w:t xml:space="preserve">Доступ к энергии является критически важным, поскольку он способствует развитию во многих других сферах, включая образование, здравоохранение, создание рабочих мест и технологии. Свет помогает детям учиться ночью; холодовые цепи необходимы для хранения вакцин; устойчивые энергетические системы создают рабочие места; а дата-центры помогают странам внедрять инновации.  </w:t>
      </w:r>
    </w:p>
    <w:p>
      <w:r>
        <w:t xml:space="preserve">В этом модуле мы рассмотрим определения доступа к энергии, энергетической и топливной бедности, а также инклюзивных энергетических услуг. Мы также обсудим технологические инновации, такие как распределённые возобновляемые энергетические системы, и то, как они меняют жизни, особенно в отдалённых сообществах. Например, солнечные микро-сети поддерживают водяное насосное оборудование и малый бизнес.  </w:t>
      </w:r>
    </w:p>
    <w:p>
      <w:r>
        <w:t xml:space="preserve">Позже мы изучим, как инновационные механизмы финансирования, такие как модели оплаты по мере использования и проекты, управляемые сообществами, могут устранить финансовые пробелы. Например, специально разработанные финансовые программы жизненно важны, поскольку высокие первоначальные затраты и ограниченные экономические возможности часто мешают уязвимым группам получить доступ.  </w:t>
      </w:r>
    </w:p>
    <w:p>
      <w:r>
        <w:t xml:space="preserve">Кроме того, мы рассмотрим, как нормативные рамки, целевые субсидии и цифровые инструменты, такие как платформы геопространственных данных, позволяют политикам выявлять недостаточно обслуживаемые районы, приоритезировать инвестиции и оптимизировать распределение ресурсов.  </w:t>
      </w:r>
    </w:p>
    <w:p>
      <w:r>
        <w:t xml:space="preserve">В целом, устранение разрыва в доступе к энергии требует комплексного подхода — подхода, который включает глубокое понимание проблемы, учитывает разнообразные потребности сообществ и использует технологические инновации.  </w:t>
      </w:r>
    </w:p>
    <w:p>
      <w:r>
        <w:t>Возможности велики: расширяя доступ к надёжной, доступной и чистой энергии, мы можем ускорить прогресс в достижении Цели устойчивого развития 7 и обеспечить, чтобы никто не остался позади.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