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первую главу: Введение в ландшафт энергетического перехода.  </w:t>
      </w:r>
    </w:p>
    <w:p>
      <w:r>
        <w:t xml:space="preserve">Энергетические системы по всему миру претерпевают глубокие изменения. Неотложность климатических вопросов и снижение стоимости возобновляемых источников энергии сделали энергетический переход центральной темой глобальной политики и инвестиций. Десятилетие с 2020 по 2030 год является решающим для ограничения потепления до 1,5°C, а сегодняшние решения формируют энергетику для будущих поколений.  </w:t>
      </w:r>
    </w:p>
    <w:p>
      <w:r>
        <w:t xml:space="preserve">Прогресс ускоряется. В 2024 году было добавлено более гигаватт возобновляемой энергии — самое большое ежегодное увеличение за всю историю. Лидируют солнечная и ветровая энергия, поддерживаемые развитием технологий хранения и сетей. Ископаемое топливо постепенно уступает место более чистым источникам.  </w:t>
      </w:r>
    </w:p>
    <w:p>
      <w:r>
        <w:t xml:space="preserve">Честный переход обеспечивает экологическую устойчивость, социальную инклюзивность и экономическую справедливость этого процесса. Он решает прошлые несправедливости, поддерживая работников и сообщества, зависимые от ископаемого топлива, одновременно обеспечивая преимущества чистой энергии — рабочие места, здоровье, доступность — для всех, особенно для тех, кто исторически оставался за бортом.  </w:t>
      </w:r>
    </w:p>
    <w:p>
      <w:r>
        <w:t xml:space="preserve">Ключевым является сильное управление. Помимо строительства инфраструктуры, политики и институты должны предвидеть риски и справедливо распределять возможности. Это включает обучение рабочей силы, финансирование с учетом долговой нагрузки для развивающихся стран и участие сообществ в принятии решений.  </w:t>
      </w:r>
    </w:p>
    <w:p>
      <w:r>
        <w:t xml:space="preserve">Наибольшие трудности возникают в странах Глобального Юга, где необходимо сокращать зависимость от ископаемого топлива, расширять доступ к электроэнергии и управлять давлением на землю и водные ресурсы. Многие также стремятся использовать возможности в области критических минералов и возобновляемых отраслей — цели, требующие амбициозных и контекстуально-специфичных стратегий.  </w:t>
      </w:r>
    </w:p>
    <w:p>
      <w:r>
        <w:t>Эта глава вводит основные движущие силы глобального энергетического перехода, участников, формирующих его, и объясняет, почему справедливость и инклюзивность теперь являются неотъемлемой частью энергетической политики. Она закладывает основу для изучения возможностей и компромиссов честного перехода.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