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во Вторую главу: Обеспечение справедливого перехода для работников и сообществ.  </w:t>
      </w:r>
    </w:p>
    <w:p>
      <w:r>
        <w:t xml:space="preserve">Энергетический переход — это не только инфраструктура, он затрагивает права, средства к существованию и социальное благополучие. Исследования зафиксировали повторяющиеся проблемы, включая спорное использование земель, перемещение сообществ и нарушения прав работников в цепочках поставок минералов. Решение этих вопросов требует правовых гарантий, эффективного правоприменения и активного участия наиболее пострадавших.  </w:t>
      </w:r>
    </w:p>
    <w:p>
      <w:r>
        <w:t xml:space="preserve">Участие лежит в основе легитимности. Свободное, предварительное и информированное согласие обеспечивает коренным народам и местным сообществам возможность формировать проекты с самого начала. В Колумбии народ ую участвует через межкультурные платформы, которые уважают традиционное управление и интегрируют гендерные перспективы — снижая конфликты и позволяя проектам возобновляемой энергетики развиваться на общих условиях.  </w:t>
      </w:r>
    </w:p>
    <w:p>
      <w:r>
        <w:t xml:space="preserve">Международные рамки также важны. В 2018 году было подписано соглашение Эсказю, первое региональное соглашение в Латинской Америке и Карибском бассейне, устанавливающее обязательства по доступу к информации, участию общественности и защите защитников окружающей среды. Оно связывает управление окружающей средой с гражданскими и политическими правами, предлагая модель балансировки климатических целей и справедливости.  </w:t>
      </w:r>
    </w:p>
    <w:p>
      <w:r>
        <w:t xml:space="preserve">Занятость — еще один краеугольный камень. По прогнозам IRENA, возобновляемая энергия может обеспечить более 30 миллионов рабочих мест к 2030 году, однако большинство роста сосредоточено в развитых экономиках, оставляя регионы, зависимые от ископаемого топлива, позади. Необходимы политики по переподготовке, предпринимательству и целенаправленным инвестициям для устранения этого разрыва.  </w:t>
      </w:r>
    </w:p>
    <w:p>
      <w:r>
        <w:t xml:space="preserve">Гендерное равенство остается критически важным. По состоянию на 2024 год женщины составляют менее трети работников в сфере возобновляемой энергетики и недопредставлены в руководстве. Меры, такие как стипендии, наставничество и политики, учитывающие уход за семьей, улучшают участие и повышают эффективность организаций.  </w:t>
      </w:r>
    </w:p>
    <w:p>
      <w:r>
        <w:t xml:space="preserve">Наконец, социальная защита обеспечивает, чтобы уязвимые домохозяйства не остались позади. Субсидии и денежные выплаты, разработанные с учетом мнения сообщества и на основе точных данных, могут предотвратить энергетическую бедность и сохранить стабильность во время перехода.  </w:t>
      </w:r>
    </w:p>
    <w:p>
      <w:r>
        <w:t>Эта глава исследует эти аспекты и подчеркивает практические подходы к защите прав, расширению возможностей и справедливому распределению преимуществ чистой энергии.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