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4: Направления развития данных в энергетическом секторе.  </w:t>
      </w:r>
    </w:p>
    <w:p>
      <w:r>
        <w:t xml:space="preserve">Эта глава рассматривает, как цифровые технологии и инфраструктуры данных меняют развитие энергетических систем. Облачные платформы и публичные базы данных делают возможным обмен информацией в реальном времени и поддерживают масштабируемые решения. Однако они также вызывают вопросы эффективности, поскольку дата-центры составляли примерно один с половиной процента мирового потребления электроэнергии в 2023 году.  </w:t>
      </w:r>
    </w:p>
    <w:p>
      <w:r>
        <w:t xml:space="preserve">Появляющиеся технологии играют все более важную роль. Искусственный интеллект обеспечивает более точное прогнозирование, предиктивное обслуживание и координацию возобновляемых источников энергии в реальном времени. Интернет вещей повышает надежность сети, позволяя быстрее реагировать как на колебания спроса, так и на сбои оборудования. Блокчейн создает новые возможности для обмена энергией между участниками и прозрачного отслеживания выбросов, что может поддержать местные энергетические рынки по мере расширения возобновляемых мощностей.  </w:t>
      </w:r>
    </w:p>
    <w:p>
      <w:r>
        <w:t xml:space="preserve">Эти достижения сопровождаются важными вызовами. Без справедливого доступа и строгого регулирования цифровой разрыв может углубиться. Важна также совместимость. Общие таксономии, системы метаданных и открытые интерфейсы программирования приложений снижают фрагментацию и позволяют правительствам, стартапам и промышленности эффективно сотрудничать. Инициативы, такие как Система обмена данными между машинами, демонстрируют, как эти рамки могут работать на практике.  </w:t>
      </w:r>
    </w:p>
    <w:p>
      <w:r>
        <w:t xml:space="preserve">Институциональные возможности остаются ключевыми. Правительства должны развивать технические навыки, адаптировать нормативные рамки и применять инструменты, такие как регулируемые песочницы или трансграничные партнерства, чтобы обеспечить безопасное и прозрачное использование данных. По мере того как искусственный интеллект все больше внедряется в энергетические решения, важными станут меры по защите конфиденциальности, ответственности и справедливости.  </w:t>
      </w:r>
    </w:p>
    <w:p>
      <w:r>
        <w:t>Эта глава завершает модуль, но также поднимает вопрос: как каждый из нас может способствовать созданию систем данных, которые будут не только умнее, но и справедливее? Ответы на эти вопросы определят будущее устойчивой энергетики.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