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В этом модуле мы исследуем, как технологии, политика и инновации меняют глобальные энергетические системы.  </w:t>
      </w:r>
    </w:p>
    <w:p>
      <w:r>
        <w:t xml:space="preserve">Спрос на электроэнергию быстро растет, чему способствуют урбанизация, демографические изменения и рост среднего класса в развивающихся экономиках. Этот рост усилит потребность в охлаждении, бытовой технике и электрификации.  </w:t>
      </w:r>
    </w:p>
    <w:p>
      <w:r>
        <w:t xml:space="preserve">Цифровизация и искусственный интеллект могут повысить эффективность и обеспечить более умное управление сетью — но они также увеличивают потребление энергии и создают риски кибербезопасности, делая инвестиции в устойчивую инфраструктуру необходимыми.  </w:t>
      </w:r>
    </w:p>
    <w:p>
      <w:r>
        <w:t xml:space="preserve">Со стороны предложения возобновляемые источники энергии быстро расширяются. Ожидается, что солнечная фотоэлектрическая энергия будет составлять почти 80% новой возобновляемой мощности до 2030 года, в то время как оффшорная ветровая энергия, по прогнозам, увеличится с примерно 9,5 ГВт в 2023 году до более чем 45 ГВт ежегодно к 2030 году.  </w:t>
      </w:r>
    </w:p>
    <w:p>
      <w:r>
        <w:t xml:space="preserve">Глядя в будущее, в сценариях, соответствующих ограничению глобального потепления до 1,5°C, возобновляемые источники энергии могут обеспечить почти 90% мировой электроэнергии к 2050 году, при этом солнечная и ветровая энергия обеспечат около 70%. Для достижения этого потребуется тщательное планирование, чтобы сбалансировать использование земли, экологические воздействия и социальную справедливость.  </w:t>
      </w:r>
    </w:p>
    <w:p>
      <w:r>
        <w:t>Этот переход сопряжен с вызовами, но также открывает огромные возможности. Поддерживающая политика, технологические прорывы и инклюзивные стратегии могут ускорить инновации — создавая устойчивое, надежное и справедливое энергетическое будущее.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