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1: Тенденции и прогнозы будущего.  </w:t>
      </w:r>
    </w:p>
    <w:p>
      <w:r>
        <w:t xml:space="preserve">Мы находимся в переломный момент в энергетическом секторе, когда быстрые изменения перестраивают как спрос, так и предложение.  </w:t>
      </w:r>
    </w:p>
    <w:p>
      <w:r>
        <w:t xml:space="preserve">Со стороны спроса глобальное потребление энергии растет, чему способствуют рост населения, урбанизация и экономическое развитие. К 2050 году ООН прогнозирует, что 68% людей будут жить в городах, что усилит спрос на электроэнергию. Цифровизация и искусственный интеллект позволяют создавать более умные сети, но также добавляют новые источники спроса. В 2024 году дата-центры потребили 415 тераватт-часов электроэнергии — 1,5% от мирового потребления, и ожидается, что к 2030 году это число более чем удвоится, превысив текущие показатели Японии. Более эффективные меры могут сократить прогнозируемый рост спроса на треть, снизив как затраты, так и выбросы. Тем временем изменение климата вынуждает пересматривать устойчивость энергетической системы.  </w:t>
      </w:r>
    </w:p>
    <w:p>
      <w:r>
        <w:t xml:space="preserve">Со стороны предложения возобновляемые источники энергии развиваются рекордными темпами. В 2020 году мир добавил 260 гигаватт мощности, из которых солнечная и ветровая энергия составили 91%. В будущем возобновляемые источники энергии займут самую большую долю нового спроса, в то время как природный газ и ядерная энергия останутся важными для балансировки сетей, когда производство солнечной и ветровой энергии снизится.  </w:t>
      </w:r>
    </w:p>
    <w:p>
      <w:r>
        <w:t xml:space="preserve">По мере того как электроэнергия станет доминирующим носителем энергии к 2050 году, дома, промышленность и цифровая инфраструктура будут все больше определять потребление. Цифровизация, хотя и энергоемкая, также предлагает мощные инструменты для повышения эффективности.  </w:t>
      </w:r>
    </w:p>
    <w:p>
      <w:r>
        <w:t>Тенденции ясны: будущее энергетики требует скоординированной политики, технологических инноваций и международного сотрудничества. Оставайтесь с нами, чтобы исследовать вызовы и пути к более чистой, умной энергетической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