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3章，探讨全球能源转型的进展，透过联合国开发计划署五个区域局的视角。从阿拉伯国家到拉丁美洲和加勒比地区，再到非洲、亚洲及太平洋地区，以及东欧和中亚——每个地区都面临着独特的挑战，但也充满了激励变革的机遇。</w:t>
      </w:r>
    </w:p>
    <w:p>
      <w:r>
        <w:t>我们将共同关注能源获取、融资和政策的趋势，看看区域性的方法如何塑造全球能源转型。</w:t>
      </w:r>
    </w:p>
    <w:p>
      <w:r>
        <w:t>在非洲，像微电网这样的分散式解决方案正在扩大，但融资需求需要加快，以应对该地区丰富的可再生能源潜力。在亚洲和太平洋地区，清洁能源的投资激增，使该地区成为全球可再生能源增长的主要推动力。然而，仍有数百万人尤其是农村地区缺乏可靠的电力供应。</w:t>
      </w:r>
    </w:p>
    <w:p>
      <w:r>
        <w:t>阿拉伯国家正在多元化能源来源，可再生能源容量快速增长，尽管可负担性和治理仍是紧迫的问题。在拉丁美洲和加勒比地区，强大的可再生能源基础取得了进展，但清洁烹饪和公平获取方面的差距仍然显著。而在东欧和中亚，政策转变和气候承诺正在重塑能源战略，特别是在供暖和减排方面。</w:t>
      </w:r>
    </w:p>
    <w:p>
      <w:r>
        <w:t>背景很重要。萨赫勒地区的太阳能扩展、太平洋岛国的基于自然的创新，或东欧的效率改革，都展示了本地解决方案如何扩大到全球影响。</w:t>
      </w:r>
    </w:p>
    <w:p>
      <w:r>
        <w:t>在本章中，我们将突出这些多样化的路径，以及每个地区如何推动一个更加可持续和公平的未来。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