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欢迎来到第3章：弥合能源获取差距。</w:t>
      </w:r>
    </w:p>
    <w:p>
      <w:r>
        <w:t>在本章中，我们将讨论一些具体行动，帮助我们构建以福祉、可持续性和公平为核心的能源系统。我们还将探讨创新、政策、伙伴关系和社区基础方法如何助力实现这一目标。</w:t>
      </w:r>
    </w:p>
    <w:p>
      <w:r>
        <w:t>我们将研究一种交叉性方法——考虑性别、民族、社会经济地位和地理因素——如何改变能源政策，使其更加包容。例如，应用细分数据和有针对性的社区参与，可以显著改善边缘群体的获取条件。</w:t>
      </w:r>
    </w:p>
    <w:p>
      <w:r>
        <w:t>我们还将关注技术解决方案，如太阳能微电网。到2030年，太阳能微电网有望为近五亿未供电或服务不足的社区提供高质量的连续电力。</w:t>
      </w:r>
    </w:p>
    <w:p>
      <w:r>
        <w:t>接下来，我们将讨论融资机制——如按用量付费模式和微型融资——如何帮助低收入家庭、农民和创业者获得能源服务。</w:t>
      </w:r>
    </w:p>
    <w:p>
      <w:r>
        <w:t>有效的政策框架——通过监管改革、定向补贴和税收激励——也是关键。例如，巴西等国家通过能源安全网和其他社会政策成功扩大了能源获取。</w:t>
      </w:r>
    </w:p>
    <w:p>
      <w:r>
        <w:t>最后，我们将探讨数字工具和人工智能如何革新能源系统的规划、管理和优化。地理空间数据平台能够精准定位服务不足地区，而人工智能驱动的管理则提升系统的韧性和效率。</w:t>
      </w:r>
    </w:p>
    <w:p>
      <w:r>
        <w:t>总之，弥合能源获取差距需要整合多种策略——结合技术、包容性政策、创新融资和数字解决方案，重点关注最脆弱群体。本章将引导你了解这些机遇，展示协调努力如何将愿景变为行动，真正实现“无人被落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