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欢迎来到第一章：能源转型格局导论。</w:t>
      </w:r>
    </w:p>
    <w:p>
      <w:r>
        <w:t>全球能源系统正经历深刻变革。气候紧迫性和可再生能源成本的下降使能源转型成为全球政策和投资的核心。2020年至2030年的十年对于将全球变暖限制在1.5°C至关重要，今天的选择将塑造未来几代的能源格局。</w:t>
      </w:r>
    </w:p>
    <w:p>
      <w:r>
        <w:t>进展正在加快。2024年，新增可再生能源装机容量超过数千兆瓦，创下历史最高年度增长纪录。太阳能和风能引领这一增长，储能和电网的进步也提供了有力支持。化石燃料正稳步让位于更清洁的能源。</w:t>
      </w:r>
    </w:p>
    <w:p>
      <w:r>
        <w:t>公平转型确保这一转变具有环境可持续性、社会包容性和经济公平性。它通过支持依赖化石燃料的工人和社区，解决过去的不平等，同时确保清洁能源的益处——就业、健康、负担得起的能源获取——惠及所有人，尤其是那些历史上被边缘化的群体。</w:t>
      </w:r>
    </w:p>
    <w:p>
      <w:r>
        <w:t>强有力的治理至关重要。除了建设基础设施外，政策和制度还必须预见风险，公平分享机遇。这包括劳动力培训、对发展中国家的债务敏感融资，以及社区在决策中的参与。</w:t>
      </w:r>
    </w:p>
    <w:p>
      <w:r>
        <w:t>在全球南方，挑战尤为严峻。那些国家必须减少对化石燃料的依赖，同时扩大电力普及，管理土地和水资源的压力。许多国家还希望在关键矿产和可再生产业中抓住机遇——这些目标需要雄心勃勃、具有特定背景的战略。</w:t>
      </w:r>
    </w:p>
    <w:p>
      <w:r>
        <w:t>本章介绍了推动全球能源转型的主要驱动力、塑造转型的参与者，以及为何公平与包容如今已成为能源政策的核心内容。它为探索公平转型的机遇与权衡奠定了基础。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