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欢迎来到第3章：一种保护自然并促进经济增长的喷气式飞机。</w:t>
      </w:r>
    </w:p>
    <w:p>
      <w:r>
        <w:t>向可再生能源的公平转型不仅可以减少排放——还可以推动可持续发展和经济增长，尤其是在资源丰富的国家。</w:t>
      </w:r>
    </w:p>
    <w:p>
      <w:r>
        <w:t>对锂、钴和稀土元素等关键矿物的需求正在激增。2022年全球在其开发上的投资增长了30%，2023年又增长了10%，这得益于电池、风力涡轮机和太阳能电池板等可再生技术。对于资源丰富的国家来说，这提供了重大的经济机遇——但也伴随着风险。矿产开采高度集中在某些地区，其中超过一半位于原住民土地上，引发了对环境破坏和社会影响的担忧。强有力的标准、问责制和国际合作至关重要。</w:t>
      </w:r>
    </w:p>
    <w:p>
      <w:r>
        <w:t>区域合作也能发挥作用。通过资源整合和发展本地产业，国家可以从出口转向加工和电池制造等增值环节。例如，摩洛哥和埃及正将自己定位为可再生能源制造的枢纽。</w:t>
      </w:r>
    </w:p>
    <w:p>
      <w:r>
        <w:t>与此同时，可再生能源也带来环境挑战。风能和太阳能在其生命周期内排放的温室气体比化石燃料少高达90%，但风电场可能干扰鸟类迁徙，太阳能电池板的生产使用有害材料，回收利用仍然有限。大型水电项目虽然排放低，但如果管理不当，可能会破坏河流生态系统。</w:t>
      </w:r>
    </w:p>
    <w:p>
      <w:r>
        <w:t>需要采取全面的方法——既要最大化可再生能源的气候效益，又要减少意外的生态破坏。通过推动价值链发展和投资下游产业，发展中国家可以创造就业、降低成本，并建立更具韧性的经济。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