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欢迎来到第3章：扩大私营部门在可持续能源投资中的作用。  </w:t>
      </w:r>
    </w:p>
    <w:p>
      <w:r>
        <w:t xml:space="preserve">在本章中，我们将重点讨论如何动员关键资金，以加快全球能源转型。到2030年，预计每年需要超过四万亿美元的资金来实现全球清洁能源目标。仅靠公共财政无法弥补这一庞大的资金缺口。相反，必须大幅增加私营部门的投资，以释放创新、部署和降低成本，这些都是实现可持续能源未来的关键。  </w:t>
      </w:r>
    </w:p>
    <w:p>
      <w:r>
        <w:t xml:space="preserve">尽管需求明确，但各地区对可再生能源的私人投资仍然不平衡。虽然全球投资在增加，但发展中国家——尽管拥有巨大的可再生能源潜力和紧迫的能源获取需求——截至2023年仅吸引了不到15%的清洁能源总投资。这种差异凸显了这些地区面临的障碍：高金融风险、市场不发达、监管不确定性以及基础设施不足，所有这些都限制了私营部门的参与。  </w:t>
      </w:r>
    </w:p>
    <w:p>
      <w:r>
        <w:t xml:space="preserve">为应对这些挑战，制定有针对性的解决方案至关重要。风险缓释策略——如担保、保险和证券化——可以降低投资的感知风险。例如，在哈萨克斯坦，政策改革和金融风险缓解释放了私营资本用于可再生能源项目，展示了有效干预如何营造更具吸引力的投资环境。  </w:t>
      </w:r>
    </w:p>
    <w:p>
      <w:r>
        <w:t xml:space="preserve">另一种关键方法是混合融资，即结合优惠公共资金与私人资本。通过利用公共资源降低项目风险，混合融资使高影响力的清洁能源项目对私人投资者更具吸引力。在肯尼亚，混合融资成功动员了私人资金投入太阳能和风能项目，展示了其在发展中市场的潜力。  </w:t>
      </w:r>
    </w:p>
    <w:p>
      <w:r>
        <w:t xml:space="preserve">总之，为了实现到2030年每年超过四万亿美元的全球清洁能源投资目标，动员私人资本是不可或缺的。通过风险缓释、创新融资策略和政策改革解决障碍，将是开启实现可持续能源未来所需投资的关键。  </w:t>
      </w:r>
    </w:p>
    <w:p>
      <w:r>
        <w:t>现在，让我们在接下来的课程中更详细地探讨这些策略。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