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欢迎来到第4章：可再生能源的创新金融工具</w:t>
      </w:r>
    </w:p>
    <w:p>
      <w:r>
        <w:t>为能源转型提供融资需要能够每年动员数百亿美元的机制。创新工具正在重塑资本流向可持续能源的方式。</w:t>
      </w:r>
    </w:p>
    <w:p>
      <w:r>
        <w:t>主题债券——绿色债券、社会债券和可持续性债券——将资金引导到具有可衡量成果的项目。2022年，全球绿色债券发行额超过5000亿美元，绿色债券原则等框架确保了透明度和投资者信心。</w:t>
      </w:r>
    </w:p>
    <w:p>
      <w:r>
        <w:t>碳定价机制——排放交易系统和碳税——激励减少排放。它们的成功依赖于有效的设计、严格的验证以及防止“漂绿”的措施。</w:t>
      </w:r>
    </w:p>
    <w:p>
      <w:r>
        <w:t>数字技术带来了新的动力。区块链增强了透明度，并实现了点对点的能源交易，而人工智能驱动的分析则改善了风险评估并扩大了绿色投资的渠道。</w:t>
      </w:r>
    </w:p>
    <w:p>
      <w:r>
        <w:t>债务换能源的安排有潜力降低债务负担，同时为可再生能源提供资金。这些安排需要强有力的治理和多边支持，以克服监管和交易障碍。</w:t>
      </w:r>
    </w:p>
    <w:p>
      <w:r>
        <w:t>这些工具共同作用，可以动员数万亿资金，增强信任，加快低碳转型。本章将探讨它们的潜力、挑战以及最大化影响的策略。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