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欢迎来到第三章：“关键的可持续能源政策工具与手段”。  </w:t>
      </w:r>
    </w:p>
    <w:p>
      <w:r>
        <w:t xml:space="preserve">向可持续能源的转变不仅仅关乎新技术。这关乎使用正确的政策工具来引导投资、保护人民和地球，并实现长期气候目标。本章介绍了各国政府如何将不同类型的工具结合成一个连贯的战略。  </w:t>
      </w:r>
    </w:p>
    <w:p>
      <w:r>
        <w:t xml:space="preserve">我们从战略规划开始。各国通过国家计划和长期战略，为清洁能源、效率、交通或清洁烹饪设定愿景和目标。这些计划就像指南针：它们将全球承诺（如巴黎协定）转化为国内优先事项，并为投资者、电力公司和社区提供明确的方向感。  </w:t>
      </w:r>
    </w:p>
    <w:p>
      <w:r>
        <w:t xml:space="preserve">但仅靠计划是不够的。法规提供了市场所需的确定性。排放、建筑、家电或可再生能源份额的标准，确保最低性能水平，逐步淘汰有害做法，并指导基础设施的建设地点和方式。当设计得当时，这些规则能够在环境目标与社会公平和创新之间取得平衡。  </w:t>
      </w:r>
    </w:p>
    <w:p>
      <w:r>
        <w:t xml:space="preserve">除了法规之外，政府越来越依赖经济激励措施。市场导向的工具如碳定价、排放交易或上网电价补贴，不是规定如何遵守，而是通过价格和竞争揭示最具成本效益的解决方案，奖励清洁技术，吸引私人资本。  </w:t>
      </w:r>
    </w:p>
    <w:p>
      <w:r>
        <w:t xml:space="preserve">最后，即使是最好的政策也需要转化为可融资的项目。合同工具如长期购电协议或公私合作伙伴关系，分配风险、确保融资，并确保项目兑现其社会和环境承诺。  </w:t>
      </w:r>
    </w:p>
    <w:p>
      <w:r>
        <w:t>综上所述，这些工具共同构成了管理能源转型的工具箱。当它们经过深思熟虑地结合使用时，可以将抽象的气候目标转化为具体、可投资的行动，提供负担得起、可靠且公平的能源，惠及所有人。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