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欢迎来到第六模块：探索能源与气候的联系  </w:t>
      </w:r>
    </w:p>
    <w:p>
      <w:r>
        <w:t xml:space="preserve">能源是全球温室气体排放的最大来源，但它也掌握着应对气候变化的关键。本模块以整体视角审视能源系统如何推动排放、减少排放的路径，以及在保障公平与韧性的同时适应气候影响的策略。  </w:t>
      </w:r>
    </w:p>
    <w:p>
      <w:r>
        <w:t xml:space="preserve">我们首先绘制完整的能源链——生产、分配和使用——以揭示排放源头以及最大的减排机会。我们将分析发电、交通、工业、建筑和土地利用，展示根深蒂固的化石燃料依赖、长期资产和补贴如何造成碳锁定，以及为何实现具有社会保护的公平转型至关重要。  </w:t>
      </w:r>
    </w:p>
    <w:p>
      <w:r>
        <w:t xml:space="preserve">在此基础上，我们探讨如何在整个经济中实现脱碳。我们强调电气化、低碳燃料和难以减排行业的工艺变革；突出绿色氢能、大规模储存和数字化解决方案等创新；并解释能源效率和智能需求管理如何带来即时的减排、降低成本以及减轻基础设施压力。  </w:t>
      </w:r>
    </w:p>
    <w:p>
      <w:r>
        <w:t xml:space="preserve">最后，我们关注已在进行的气候影响。我们分析极端高温、洪水、风暴、海平面上升和干旱如何威胁能源的获取与可靠性，并提出气候韧性基础设施、多元化和分散化能源系统，以及将气候风险纳入规划和融资的策略。在整个过程中，我们强调连贯的政策、协调的融资和包容的治理，以确保韧性措施既保护最脆弱群体，又促进发展与减碳目标的实现。  </w:t>
      </w:r>
    </w:p>
    <w:p>
      <w:r>
        <w:t>总体而言，这些内容将帮助你理解能源、减排、创新和适应的全景，并应用综合方法，推动实现净零排放和气候韧性的未来。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