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欢迎来到第2章：为创新驱动的能源转型创造有利环境。</w:t>
      </w:r>
    </w:p>
    <w:p>
      <w:r>
        <w:t>推动能源创新需要合适的条件：有效的政策、新兴行业以及包容性框架，确保转型清洁、韧性强且公平。</w:t>
      </w:r>
    </w:p>
    <w:p>
      <w:r>
        <w:t>政策和市场机制是核心。设计良好的工具——如碳定价、排放交易和有针对性的激励措施——有助于克服障碍、吸引私人资本，并激发整个技术生命周期的创新。平衡“技术推动”措施（如补贴或税收抵免）与“市场拉动”措施（如标准和采购）战略，确保在适应各国国情的同时取得进展。</w:t>
      </w:r>
    </w:p>
    <w:p>
      <w:r>
        <w:t>新兴行业正在重塑可能性。分布式解决方案如社区太阳能和微电网正在快速扩展——2023年社区装置增长超过20%——改善了接入和韧性。包括点对点能源交易、区块链平台、下一代太阳能电池和海洋能在内的新技术，具有特别的潜力。对于小岛屿和沿海国家，潮汐能和浮动太阳能等创新可以多样化能源结构、增强韧性，并与蓝色经济目标保持一致——如果得到有针对性的政策和投资支持。</w:t>
      </w:r>
    </w:p>
    <w:p>
      <w:r>
        <w:t>同样重要的是本地所有权模式。能源合作社赋予社区集资、投资共享可再生能源项目的能力，并增强对能源供应的控制。这些模式实现了公平准入、创造了本地就业，并将收入留在社区内，同时在农村和服务不足地区建立了长期韧性。</w:t>
      </w:r>
    </w:p>
    <w:p>
      <w:r>
        <w:t>最后，包容性至关重要。融合性别、社会经济和地方视角的方法，确保转型惠及最脆弱的群体。斯威士兰的案例研究显示，共同设计的公平政策可以带来更可持续和公正的成果。</w:t>
      </w:r>
    </w:p>
    <w:p>
      <w:r>
        <w:t>总之，创造有利环境意味着整合智慧治理、新兴技术和包容性框架。这些元素共同加速创新，确保能源转型不仅快速，而且公平和持久。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