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footer28.xml" ContentType="application/vnd.openxmlformats-officedocument.wordprocessingml.footer+xml"/>
  <Override PartName="/word/header2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1.xml" ContentType="application/vnd.openxmlformats-officedocument.wordprocessingml.header+xml"/>
  <Override PartName="/word/footer31.xml" ContentType="application/vnd.openxmlformats-officedocument.wordprocessingml.footer+xml"/>
  <Override PartName="/word/header2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3.xml" ContentType="application/vnd.openxmlformats-officedocument.wordprocessingml.header+xml"/>
  <Override PartName="/word/footer34.xml" ContentType="application/vnd.openxmlformats-officedocument.wordprocessingml.footer+xml"/>
  <Override PartName="/word/header2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5.xml" ContentType="application/vnd.openxmlformats-officedocument.wordprocessingml.header+xml"/>
  <Override PartName="/word/footer37.xml" ContentType="application/vnd.openxmlformats-officedocument.wordprocessingml.footer+xml"/>
  <Override PartName="/word/header2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7.xml" ContentType="application/vnd.openxmlformats-officedocument.wordprocessingml.header+xml"/>
  <Override PartName="/word/footer40.xml" ContentType="application/vnd.openxmlformats-officedocument.wordprocessingml.footer+xml"/>
  <Override PartName="/word/header28.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29.xml" ContentType="application/vnd.openxmlformats-officedocument.wordprocessingml.header+xml"/>
  <Override PartName="/word/footer43.xml" ContentType="application/vnd.openxmlformats-officedocument.wordprocessingml.footer+xml"/>
  <Override PartName="/word/header30.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31.xml" ContentType="application/vnd.openxmlformats-officedocument.wordprocessingml.header+xml"/>
  <Override PartName="/word/footer46.xml" ContentType="application/vnd.openxmlformats-officedocument.wordprocessingml.footer+xml"/>
  <Override PartName="/word/header3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33.xml" ContentType="application/vnd.openxmlformats-officedocument.wordprocessingml.header+xml"/>
  <Override PartName="/word/footer49.xml" ContentType="application/vnd.openxmlformats-officedocument.wordprocessingml.footer+xml"/>
  <Override PartName="/word/header34.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35.xml" ContentType="application/vnd.openxmlformats-officedocument.wordprocessingml.header+xml"/>
  <Override PartName="/word/footer52.xml" ContentType="application/vnd.openxmlformats-officedocument.wordprocessingml.footer+xml"/>
  <Override PartName="/word/header36.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37.xml" ContentType="application/vnd.openxmlformats-officedocument.wordprocessingml.header+xml"/>
  <Override PartName="/word/footer55.xml" ContentType="application/vnd.openxmlformats-officedocument.wordprocessingml.footer+xml"/>
  <Override PartName="/word/header38.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39.xml" ContentType="application/vnd.openxmlformats-officedocument.wordprocessingml.header+xml"/>
  <Override PartName="/word/footer58.xml" ContentType="application/vnd.openxmlformats-officedocument.wordprocessingml.footer+xml"/>
  <Override PartName="/word/header40.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41.xml" ContentType="application/vnd.openxmlformats-officedocument.wordprocessingml.header+xml"/>
  <Override PartName="/word/footer61.xml" ContentType="application/vnd.openxmlformats-officedocument.wordprocessingml.footer+xml"/>
  <Override PartName="/word/header42.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43.xml" ContentType="application/vnd.openxmlformats-officedocument.wordprocessingml.header+xml"/>
  <Override PartName="/word/footer64.xml" ContentType="application/vnd.openxmlformats-officedocument.wordprocessingml.footer+xml"/>
  <Override PartName="/word/header44.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45.xml" ContentType="application/vnd.openxmlformats-officedocument.wordprocessingml.header+xml"/>
  <Override PartName="/word/footer67.xml" ContentType="application/vnd.openxmlformats-officedocument.wordprocessingml.footer+xml"/>
  <Override PartName="/word/header46.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47.xml" ContentType="application/vnd.openxmlformats-officedocument.wordprocessingml.header+xml"/>
  <Override PartName="/word/footer70.xml" ContentType="application/vnd.openxmlformats-officedocument.wordprocessingml.footer+xml"/>
  <Override PartName="/word/header48.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49.xml" ContentType="application/vnd.openxmlformats-officedocument.wordprocessingml.header+xml"/>
  <Override PartName="/word/footer73.xml" ContentType="application/vnd.openxmlformats-officedocument.wordprocessingml.footer+xml"/>
  <Override PartName="/word/header50.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51.xml" ContentType="application/vnd.openxmlformats-officedocument.wordprocessingml.header+xml"/>
  <Override PartName="/word/footer76.xml" ContentType="application/vnd.openxmlformats-officedocument.wordprocessingml.footer+xml"/>
  <Override PartName="/word/header52.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53.xml" ContentType="application/vnd.openxmlformats-officedocument.wordprocessingml.header+xml"/>
  <Override PartName="/word/footer79.xml" ContentType="application/vnd.openxmlformats-officedocument.wordprocessingml.footer+xml"/>
  <Override PartName="/word/header54.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55.xml" ContentType="application/vnd.openxmlformats-officedocument.wordprocessingml.header+xml"/>
  <Override PartName="/word/footer82.xml" ContentType="application/vnd.openxmlformats-officedocument.wordprocessingml.footer+xml"/>
  <Override PartName="/word/header56.xml" ContentType="application/vnd.openxmlformats-officedocument.wordprocessingml.header+xml"/>
  <Override PartName="/word/footer8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464D4" w14:textId="48FECFE7" w:rsidR="00AE18B7" w:rsidRPr="00CF77C1" w:rsidRDefault="00AE18B7" w:rsidP="00AE18B7">
      <w:pPr>
        <w:rPr>
          <w:lang w:val="sr-Cyrl-CS"/>
        </w:rPr>
      </w:pPr>
      <w:bookmarkStart w:id="0" w:name="_GoBack"/>
      <w:bookmarkEnd w:id="0"/>
      <w:r w:rsidRPr="00CF77C1">
        <w:rPr>
          <w:noProof/>
          <w:lang w:val="en-GB" w:eastAsia="en-GB"/>
        </w:rPr>
        <mc:AlternateContent>
          <mc:Choice Requires="wps">
            <w:drawing>
              <wp:anchor distT="0" distB="0" distL="114300" distR="114300" simplePos="0" relativeHeight="251661312" behindDoc="0" locked="0" layoutInCell="1" allowOverlap="1" wp14:anchorId="12FD40C9" wp14:editId="7AE00B87">
                <wp:simplePos x="0" y="0"/>
                <wp:positionH relativeFrom="column">
                  <wp:posOffset>3937000</wp:posOffset>
                </wp:positionH>
                <wp:positionV relativeFrom="paragraph">
                  <wp:posOffset>-114300</wp:posOffset>
                </wp:positionV>
                <wp:extent cx="1956435" cy="556260"/>
                <wp:effectExtent l="0" t="0" r="5715"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435" cy="556260"/>
                        </a:xfrm>
                        <a:prstGeom prst="rect">
                          <a:avLst/>
                        </a:prstGeom>
                        <a:solidFill>
                          <a:srgbClr val="FFFFFF"/>
                        </a:solidFill>
                        <a:ln w="9525">
                          <a:noFill/>
                          <a:miter lim="800000"/>
                          <a:headEnd/>
                          <a:tailEnd/>
                        </a:ln>
                      </wps:spPr>
                      <wps:txbx>
                        <w:txbxContent>
                          <w:p w14:paraId="0B054320" w14:textId="69EAF6B6" w:rsidR="002D5918" w:rsidRPr="00F42D23" w:rsidRDefault="002D5918" w:rsidP="00AE18B7">
                            <w:pPr>
                              <w:rPr>
                                <w:caps/>
                                <w:lang w:val="sr-Cyrl-R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FD40C9" id="_x0000_t202" coordsize="21600,21600" o:spt="202" path="m,l,21600r21600,l21600,xe">
                <v:stroke joinstyle="miter"/>
                <v:path gradientshapeok="t" o:connecttype="rect"/>
              </v:shapetype>
              <v:shape id="Text Box 307" o:spid="_x0000_s1026" type="#_x0000_t202" style="position:absolute;left:0;text-align:left;margin-left:310pt;margin-top:-9pt;width:154.05pt;height:43.8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" stroked="f">
                <v:textbox style="mso-fit-shape-to-text:t">
                  <w:txbxContent>
                    <w:p w14:paraId="0B054320" w14:textId="69EAF6B6" w:rsidR="002D5918" w:rsidRPr="00F42D23" w:rsidRDefault="002D5918" w:rsidP="00AE18B7">
                      <w:pPr>
                        <w:rPr>
                          <w:caps/>
                          <w:lang w:val="sr-Cyrl-RS"/>
                        </w:rPr>
                      </w:pPr>
                    </w:p>
                  </w:txbxContent>
                </v:textbox>
              </v:shape>
            </w:pict>
          </mc:Fallback>
        </mc:AlternateContent>
      </w:r>
    </w:p>
    <w:p w14:paraId="0573883E" w14:textId="44CDE060" w:rsidR="006D564C" w:rsidRPr="006D564C" w:rsidRDefault="006D564C" w:rsidP="00FE27A8">
      <w:pPr>
        <w:spacing w:before="0" w:after="0"/>
        <w:jc w:val="center"/>
      </w:pPr>
      <w:r w:rsidRPr="006D564C">
        <w:rPr>
          <w:lang w:val="sr-Cyrl-CS"/>
        </w:rPr>
        <w:t>ПРОГРАМ</w:t>
      </w:r>
    </w:p>
    <w:p w14:paraId="3C3E60D4" w14:textId="77777777" w:rsidR="006D564C" w:rsidRPr="00CF77C1" w:rsidRDefault="006D564C" w:rsidP="006D564C">
      <w:pPr>
        <w:spacing w:before="0" w:after="0"/>
        <w:jc w:val="center"/>
        <w:rPr>
          <w:lang w:val="sr-Cyrl-CS"/>
        </w:rPr>
      </w:pPr>
      <w:r w:rsidRPr="006D564C">
        <w:rPr>
          <w:lang w:val="sr-Cyrl-CS"/>
        </w:rPr>
        <w:t>ОСТВАРИВАЊА СТРАТЕГИЈЕ РАЗВОЈА ЕНЕРГЕТИКЕ РЕПУБЛИКЕ СРБИЈЕ ДО 2025. ГОДИНЕ СА ПРОЈЕКЦИЈАМА ДО 2030. ГОДИНЕ ЗА ПЕРИОД ОД 2017. ДО 2023. ГОДИНЕ</w:t>
      </w:r>
    </w:p>
    <w:p w14:paraId="0BA5DC8E" w14:textId="77777777" w:rsidR="002A4F65" w:rsidRPr="00CF77C1" w:rsidRDefault="002A4F65" w:rsidP="002A4F65">
      <w:pPr>
        <w:spacing w:before="0" w:after="0"/>
        <w:jc w:val="center"/>
        <w:rPr>
          <w:lang w:val="sr-Cyrl-CS"/>
        </w:rPr>
      </w:pPr>
    </w:p>
    <w:p w14:paraId="17FB45CA" w14:textId="5A6AA9C5" w:rsidR="002A4F65" w:rsidRPr="00CF77C1" w:rsidRDefault="006102B6" w:rsidP="002A4F65">
      <w:pPr>
        <w:jc w:val="center"/>
        <w:rPr>
          <w:lang w:val="sr-Cyrl-RS"/>
        </w:rPr>
      </w:pPr>
      <w:r>
        <w:rPr>
          <w:lang w:val="sr-Latn-CS"/>
        </w:rPr>
        <w:t xml:space="preserve">1. </w:t>
      </w:r>
      <w:r w:rsidR="002A4F65" w:rsidRPr="00CF77C1">
        <w:rPr>
          <w:lang w:val="sr-Cyrl-RS"/>
        </w:rPr>
        <w:t>ОПШТИ ДЕО</w:t>
      </w:r>
    </w:p>
    <w:p w14:paraId="5841CB1F" w14:textId="77777777" w:rsidR="002A4F65" w:rsidRPr="00CF77C1" w:rsidRDefault="002A4F65" w:rsidP="002A4F65">
      <w:pPr>
        <w:spacing w:before="0" w:after="0"/>
        <w:rPr>
          <w:lang w:val="sr-Cyrl-RS"/>
        </w:rPr>
      </w:pPr>
    </w:p>
    <w:p w14:paraId="0D6302B3" w14:textId="17BEA5A2" w:rsidR="00BA724F" w:rsidRPr="00CF77C1" w:rsidRDefault="00BF052D" w:rsidP="002A4F65">
      <w:pPr>
        <w:spacing w:before="0" w:after="0"/>
        <w:ind w:left="-5" w:right="16" w:firstLine="725"/>
        <w:rPr>
          <w:lang w:val="sr-Cyrl-RS"/>
        </w:rPr>
      </w:pPr>
      <w:r w:rsidRPr="00CF77C1">
        <w:rPr>
          <w:lang w:val="sr-Cyrl-RS"/>
        </w:rPr>
        <w:t>На основу Закона</w:t>
      </w:r>
      <w:r w:rsidR="005E0737" w:rsidRPr="00CF77C1">
        <w:rPr>
          <w:lang w:val="sr-Cyrl-RS"/>
        </w:rPr>
        <w:t xml:space="preserve"> о енергетици</w:t>
      </w:r>
      <w:r w:rsidR="00BA724F" w:rsidRPr="00CF77C1">
        <w:rPr>
          <w:lang w:val="sr-Cyrl-RS"/>
        </w:rPr>
        <w:t xml:space="preserve"> </w:t>
      </w:r>
      <w:r w:rsidR="005C1C23" w:rsidRPr="00CF77C1">
        <w:rPr>
          <w:lang w:val="sr-Cyrl-RS"/>
        </w:rPr>
        <w:t>(„</w:t>
      </w:r>
      <w:r w:rsidR="00B329C4" w:rsidRPr="00CF77C1">
        <w:rPr>
          <w:lang w:val="sr-Cyrl-RS"/>
        </w:rPr>
        <w:t>Службени гласник РС”, број 145/</w:t>
      </w:r>
      <w:r w:rsidR="005C1C23" w:rsidRPr="00CF77C1">
        <w:rPr>
          <w:lang w:val="sr-Cyrl-RS"/>
        </w:rPr>
        <w:t xml:space="preserve">14) </w:t>
      </w:r>
      <w:r w:rsidR="00BA724F" w:rsidRPr="00CF77C1">
        <w:rPr>
          <w:lang w:val="sr-Cyrl-RS"/>
        </w:rPr>
        <w:t xml:space="preserve">енергетска политика Републике Србије </w:t>
      </w:r>
      <w:r w:rsidRPr="00CF77C1">
        <w:rPr>
          <w:lang w:val="sr-Cyrl-RS"/>
        </w:rPr>
        <w:t>утврђује се</w:t>
      </w:r>
      <w:r w:rsidR="00BA724F" w:rsidRPr="00CF77C1">
        <w:rPr>
          <w:lang w:val="sr-Cyrl-RS"/>
        </w:rPr>
        <w:t xml:space="preserve"> Стратегијом развоја енергетике Републике Србије </w:t>
      </w:r>
      <w:r w:rsidR="0011648E" w:rsidRPr="00CF77C1">
        <w:rPr>
          <w:lang w:val="sr-Cyrl-RS"/>
        </w:rPr>
        <w:t xml:space="preserve">до 2025. са пројекцијама до 2030. године </w:t>
      </w:r>
      <w:r w:rsidR="00BA724F" w:rsidRPr="00CF77C1">
        <w:rPr>
          <w:lang w:val="sr-Cyrl-RS"/>
        </w:rPr>
        <w:t>(</w:t>
      </w:r>
      <w:r w:rsidR="00095C23">
        <w:rPr>
          <w:lang w:val="sr-Cyrl-RS"/>
        </w:rPr>
        <w:t>„Службени гласник РС”</w:t>
      </w:r>
      <w:r w:rsidR="00C54A36">
        <w:rPr>
          <w:lang w:val="sr-Latn-CS"/>
        </w:rPr>
        <w:t xml:space="preserve">, </w:t>
      </w:r>
      <w:r w:rsidR="00095C23">
        <w:rPr>
          <w:lang w:val="sr-Cyrl-RS"/>
        </w:rPr>
        <w:t>број</w:t>
      </w:r>
      <w:r w:rsidR="00B329C4" w:rsidRPr="00CF77C1">
        <w:rPr>
          <w:lang w:val="sr-Cyrl-RS"/>
        </w:rPr>
        <w:t xml:space="preserve"> 101/</w:t>
      </w:r>
      <w:r w:rsidR="005C1C23" w:rsidRPr="00CF77C1">
        <w:rPr>
          <w:lang w:val="sr-Cyrl-RS"/>
        </w:rPr>
        <w:t>15</w:t>
      </w:r>
      <w:r w:rsidR="00BA724F" w:rsidRPr="00CF77C1">
        <w:rPr>
          <w:lang w:val="sr-Cyrl-RS"/>
        </w:rPr>
        <w:t>)</w:t>
      </w:r>
      <w:r w:rsidR="0011648E" w:rsidRPr="00CF77C1">
        <w:rPr>
          <w:lang w:val="sr-Cyrl-RS"/>
        </w:rPr>
        <w:t xml:space="preserve"> (у даљем тексту</w:t>
      </w:r>
      <w:r w:rsidR="00B329C4" w:rsidRPr="00CF77C1">
        <w:rPr>
          <w:lang w:val="sr-Cyrl-RS"/>
        </w:rPr>
        <w:t>: Стратегија</w:t>
      </w:r>
      <w:r w:rsidR="0011648E" w:rsidRPr="00CF77C1">
        <w:rPr>
          <w:lang w:val="sr-Cyrl-RS"/>
        </w:rPr>
        <w:t xml:space="preserve"> енергетике)</w:t>
      </w:r>
      <w:r w:rsidR="00BA724F" w:rsidRPr="00CF77C1">
        <w:rPr>
          <w:lang w:val="sr-Cyrl-RS"/>
        </w:rPr>
        <w:t xml:space="preserve">, </w:t>
      </w:r>
      <w:r w:rsidRPr="00CF77C1">
        <w:rPr>
          <w:lang w:val="sr-Cyrl-RS"/>
        </w:rPr>
        <w:t>а услови, начин, динамика и мере за остваривање Стратегије</w:t>
      </w:r>
      <w:r w:rsidR="0011648E" w:rsidRPr="00CF77C1">
        <w:rPr>
          <w:lang w:val="sr-Cyrl-RS"/>
        </w:rPr>
        <w:t xml:space="preserve"> енергетике</w:t>
      </w:r>
      <w:r w:rsidRPr="00CF77C1">
        <w:rPr>
          <w:lang w:val="sr-Cyrl-RS"/>
        </w:rPr>
        <w:t xml:space="preserve"> утврђују</w:t>
      </w:r>
      <w:r w:rsidR="004C1526">
        <w:rPr>
          <w:lang w:val="sr-Cyrl-RS"/>
        </w:rPr>
        <w:t xml:space="preserve"> се</w:t>
      </w:r>
      <w:r w:rsidRPr="00CF77C1">
        <w:rPr>
          <w:lang w:val="sr-Cyrl-RS"/>
        </w:rPr>
        <w:t xml:space="preserve"> </w:t>
      </w:r>
      <w:r w:rsidR="00BA724F" w:rsidRPr="00CF77C1">
        <w:rPr>
          <w:lang w:val="sr-Cyrl-RS"/>
        </w:rPr>
        <w:t>Програмом остваривања Ст</w:t>
      </w:r>
      <w:r w:rsidRPr="00CF77C1">
        <w:rPr>
          <w:lang w:val="sr-Cyrl-RS"/>
        </w:rPr>
        <w:t>ратегије (у даљем тексту: ПОС), док се годишње потребе за енергијом, односно енергентима, које је неопходно обезбедити ради поузданог, сигурног и квалитетног снабдевања крајњих купаца, извори обезбеђивања потребних количина енергије, односно енергената, као и потребан ниво залиха и резервних капацитета енергетских објеката за сигурно снабдевање купаца енергијом и енергентима утврђују</w:t>
      </w:r>
      <w:r w:rsidR="00BA724F" w:rsidRPr="00CF77C1">
        <w:rPr>
          <w:lang w:val="sr-Cyrl-RS"/>
        </w:rPr>
        <w:t xml:space="preserve"> Енергетским билансом Републике Србије (у даљем тексту: Енергетски биланс).</w:t>
      </w:r>
    </w:p>
    <w:p w14:paraId="2A6B3AF6" w14:textId="7ABE8132" w:rsidR="00BA724F" w:rsidRPr="00CF77C1" w:rsidRDefault="00BA724F" w:rsidP="002A4F65">
      <w:pPr>
        <w:spacing w:before="0" w:after="0"/>
        <w:ind w:firstLine="720"/>
        <w:rPr>
          <w:lang w:val="sr-Cyrl-RS"/>
        </w:rPr>
      </w:pPr>
      <w:r w:rsidRPr="00CF77C1">
        <w:rPr>
          <w:lang w:val="sr-Cyrl-RS"/>
        </w:rPr>
        <w:t>Стр</w:t>
      </w:r>
      <w:r w:rsidR="00B329C4" w:rsidRPr="00CF77C1">
        <w:rPr>
          <w:lang w:val="sr-Cyrl-RS"/>
        </w:rPr>
        <w:t xml:space="preserve">атегијом енергетике </w:t>
      </w:r>
      <w:r w:rsidRPr="00CF77C1">
        <w:rPr>
          <w:lang w:val="sr-Cyrl-RS"/>
        </w:rPr>
        <w:t xml:space="preserve">дефинисани су стратешки приоритети развоја </w:t>
      </w:r>
      <w:r w:rsidR="00BF052D" w:rsidRPr="00CF77C1">
        <w:rPr>
          <w:lang w:val="sr-Cyrl-RS"/>
        </w:rPr>
        <w:t xml:space="preserve">енергетике </w:t>
      </w:r>
      <w:r w:rsidR="006102B6">
        <w:rPr>
          <w:lang w:val="sr-Cyrl-RS"/>
        </w:rPr>
        <w:t>Р</w:t>
      </w:r>
      <w:r w:rsidR="006102B6">
        <w:rPr>
          <w:lang w:val="sr-Cyrl-CS"/>
        </w:rPr>
        <w:t>епублике Србије</w:t>
      </w:r>
      <w:r w:rsidRPr="00CF77C1">
        <w:rPr>
          <w:lang w:val="sr-Cyrl-RS"/>
        </w:rPr>
        <w:t xml:space="preserve"> за </w:t>
      </w:r>
      <w:r w:rsidR="00BF052D" w:rsidRPr="00CF77C1">
        <w:rPr>
          <w:lang w:val="sr-Cyrl-RS"/>
        </w:rPr>
        <w:t>наведени</w:t>
      </w:r>
      <w:r w:rsidR="00151ABB">
        <w:rPr>
          <w:lang w:val="sr-Cyrl-RS"/>
        </w:rPr>
        <w:t xml:space="preserve"> период, и то</w:t>
      </w:r>
      <w:r w:rsidRPr="00CF77C1">
        <w:rPr>
          <w:lang w:val="sr-Cyrl-RS"/>
        </w:rPr>
        <w:t>:</w:t>
      </w:r>
    </w:p>
    <w:p w14:paraId="6EC1B01A" w14:textId="5E0FABD4" w:rsidR="00BA724F" w:rsidRPr="00CF77C1" w:rsidRDefault="006102B6" w:rsidP="00B329C4">
      <w:pPr>
        <w:pStyle w:val="ListParagraph"/>
        <w:spacing w:before="60" w:after="60"/>
        <w:ind w:left="284" w:firstLine="425"/>
        <w:contextualSpacing w:val="0"/>
        <w:rPr>
          <w:lang w:val="sr-Cyrl-RS"/>
        </w:rPr>
      </w:pPr>
      <w:r>
        <w:rPr>
          <w:lang w:val="sr-Cyrl-RS"/>
        </w:rPr>
        <w:t xml:space="preserve">1) </w:t>
      </w:r>
      <w:r w:rsidR="000E0A3C" w:rsidRPr="00CF77C1">
        <w:rPr>
          <w:lang w:val="sr-Cyrl-RS"/>
        </w:rPr>
        <w:t>Обезбеђење енергетске</w:t>
      </w:r>
      <w:r w:rsidR="00BA724F" w:rsidRPr="00CF77C1">
        <w:rPr>
          <w:lang w:val="sr-Cyrl-RS"/>
        </w:rPr>
        <w:t xml:space="preserve"> </w:t>
      </w:r>
      <w:r w:rsidR="00BF052D" w:rsidRPr="00CF77C1">
        <w:rPr>
          <w:lang w:val="sr-Cyrl-RS"/>
        </w:rPr>
        <w:t>сигурности</w:t>
      </w:r>
      <w:r w:rsidR="000E0A3C" w:rsidRPr="00CF77C1">
        <w:rPr>
          <w:lang w:val="sr-Cyrl-RS"/>
        </w:rPr>
        <w:t>, кроз:</w:t>
      </w:r>
      <w:r w:rsidR="00B329C4" w:rsidRPr="00CF77C1">
        <w:rPr>
          <w:lang w:val="sr-Cyrl-RS"/>
        </w:rPr>
        <w:t xml:space="preserve"> </w:t>
      </w:r>
    </w:p>
    <w:p w14:paraId="178DD341" w14:textId="79AC019B" w:rsidR="00BA724F" w:rsidRPr="00CF77C1" w:rsidRDefault="008A1F01" w:rsidP="003E39B4">
      <w:pPr>
        <w:pStyle w:val="ListParagraph"/>
        <w:numPr>
          <w:ilvl w:val="2"/>
          <w:numId w:val="24"/>
        </w:numPr>
        <w:spacing w:before="60" w:after="60"/>
        <w:ind w:left="0" w:firstLine="720"/>
        <w:contextualSpacing w:val="0"/>
        <w:rPr>
          <w:lang w:val="sr-Cyrl-RS"/>
        </w:rPr>
      </w:pPr>
      <w:r w:rsidRPr="00CF77C1">
        <w:rPr>
          <w:lang w:val="sr-Cyrl-RS"/>
        </w:rPr>
        <w:t>п</w:t>
      </w:r>
      <w:r w:rsidR="00BA724F" w:rsidRPr="00CF77C1">
        <w:rPr>
          <w:lang w:val="sr-Cyrl-RS"/>
        </w:rPr>
        <w:t>оуздано, сигурно, ефикасно и квалитетно сна</w:t>
      </w:r>
      <w:r w:rsidR="006F2D62">
        <w:rPr>
          <w:lang w:val="sr-Cyrl-RS"/>
        </w:rPr>
        <w:t>бдевање енергијом и енергентима;</w:t>
      </w:r>
    </w:p>
    <w:p w14:paraId="36EE1731" w14:textId="6CB19659" w:rsidR="00BA724F" w:rsidRPr="00CF77C1" w:rsidRDefault="008A1F01" w:rsidP="003E39B4">
      <w:pPr>
        <w:pStyle w:val="ListParagraph"/>
        <w:numPr>
          <w:ilvl w:val="2"/>
          <w:numId w:val="24"/>
        </w:numPr>
        <w:spacing w:before="60" w:after="60"/>
        <w:ind w:left="0" w:firstLine="720"/>
        <w:contextualSpacing w:val="0"/>
        <w:rPr>
          <w:lang w:val="sr-Cyrl-RS"/>
        </w:rPr>
      </w:pPr>
      <w:r w:rsidRPr="00CF77C1">
        <w:rPr>
          <w:lang w:val="sr-Cyrl-RS"/>
        </w:rPr>
        <w:t>у</w:t>
      </w:r>
      <w:r w:rsidR="00BA724F" w:rsidRPr="00CF77C1">
        <w:rPr>
          <w:lang w:val="sr-Cyrl-RS"/>
        </w:rPr>
        <w:t>спостављање услова за поуздан и безбедан рад свих система у оквиру енергетског сектора и за њихов одрживи развој</w:t>
      </w:r>
      <w:r w:rsidR="006D261A" w:rsidRPr="00CF77C1">
        <w:rPr>
          <w:lang w:val="sr-Cyrl-RS"/>
        </w:rPr>
        <w:t>.</w:t>
      </w:r>
    </w:p>
    <w:p w14:paraId="66FC7D94" w14:textId="77777777" w:rsidR="00BA724F" w:rsidRPr="00CF77C1" w:rsidRDefault="00BA724F" w:rsidP="00412922">
      <w:pPr>
        <w:ind w:firstLine="709"/>
        <w:rPr>
          <w:lang w:val="sr-Cyrl-RS"/>
        </w:rPr>
      </w:pPr>
      <w:r w:rsidRPr="00CF77C1">
        <w:rPr>
          <w:lang w:val="sr-Cyrl-RS"/>
        </w:rPr>
        <w:t>Како би се омогућило сигурно, поуздано и квалитетно снабдевање енергијом потребно је промовисати рационално коришћење енергије, обезбедити одговарајуће резерве нафте и природног гаса, обезбедити различите изворе снабдевања овим енергентима, затим</w:t>
      </w:r>
      <w:r w:rsidR="00F52DC8" w:rsidRPr="00CF77C1">
        <w:rPr>
          <w:lang w:val="sr-Cyrl-RS"/>
        </w:rPr>
        <w:t xml:space="preserve"> приступити изградњи нових капац</w:t>
      </w:r>
      <w:r w:rsidRPr="00CF77C1">
        <w:rPr>
          <w:lang w:val="sr-Cyrl-RS"/>
        </w:rPr>
        <w:t>итета за производњу електричне енергије (са обновљивим изворима енергије, као и са конвенционалним изворима енергије, уз високу енергетску ефикасност)</w:t>
      </w:r>
      <w:r w:rsidR="00F52DC8" w:rsidRPr="00CF77C1">
        <w:rPr>
          <w:lang w:val="sr-Cyrl-RS"/>
        </w:rPr>
        <w:t xml:space="preserve"> и </w:t>
      </w:r>
      <w:r w:rsidR="00294D88" w:rsidRPr="00CF77C1">
        <w:rPr>
          <w:lang w:val="sr-Cyrl-RS"/>
        </w:rPr>
        <w:t>капацитета за пренос и дистрибуцију електричне енергије и енергената који ће обезбедити сигурно снабдевање уз најниже укупне трошкове</w:t>
      </w:r>
      <w:r w:rsidRPr="00CF77C1">
        <w:rPr>
          <w:lang w:val="sr-Cyrl-RS"/>
        </w:rPr>
        <w:t>.</w:t>
      </w:r>
    </w:p>
    <w:p w14:paraId="7F6A7B3E" w14:textId="7488A746" w:rsidR="00BA724F" w:rsidRPr="00CF77C1" w:rsidRDefault="006102B6" w:rsidP="006D261A">
      <w:pPr>
        <w:pStyle w:val="ListParagraph"/>
        <w:spacing w:before="60" w:after="60"/>
        <w:ind w:left="284" w:firstLine="425"/>
        <w:contextualSpacing w:val="0"/>
        <w:rPr>
          <w:lang w:val="sr-Cyrl-RS"/>
        </w:rPr>
      </w:pPr>
      <w:r>
        <w:rPr>
          <w:lang w:val="sr-Cyrl-RS"/>
        </w:rPr>
        <w:t xml:space="preserve">2) </w:t>
      </w:r>
      <w:r w:rsidR="000E0A3C" w:rsidRPr="00CF77C1">
        <w:rPr>
          <w:lang w:val="sr-Cyrl-RS"/>
        </w:rPr>
        <w:t>Развој т</w:t>
      </w:r>
      <w:r w:rsidR="005934B3" w:rsidRPr="00CF77C1">
        <w:rPr>
          <w:lang w:val="sr-Cyrl-RS"/>
        </w:rPr>
        <w:t>ржишта</w:t>
      </w:r>
      <w:r w:rsidR="00BA724F" w:rsidRPr="00CF77C1">
        <w:rPr>
          <w:lang w:val="sr-Cyrl-RS"/>
        </w:rPr>
        <w:t xml:space="preserve"> енергије</w:t>
      </w:r>
      <w:r w:rsidR="000E0A3C" w:rsidRPr="00CF77C1">
        <w:rPr>
          <w:lang w:val="sr-Cyrl-RS"/>
        </w:rPr>
        <w:t>, кроз:</w:t>
      </w:r>
      <w:r w:rsidR="006D261A" w:rsidRPr="00CF77C1">
        <w:rPr>
          <w:lang w:val="sr-Cyrl-RS"/>
        </w:rPr>
        <w:t xml:space="preserve"> </w:t>
      </w:r>
    </w:p>
    <w:p w14:paraId="3306E99E" w14:textId="03AE6DEF" w:rsidR="00BA724F" w:rsidRPr="00CF77C1" w:rsidRDefault="008A1F01" w:rsidP="003E39B4">
      <w:pPr>
        <w:pStyle w:val="ListParagraph"/>
        <w:numPr>
          <w:ilvl w:val="0"/>
          <w:numId w:val="105"/>
        </w:numPr>
        <w:spacing w:before="60" w:after="60"/>
        <w:ind w:left="0" w:firstLine="720"/>
        <w:contextualSpacing w:val="0"/>
        <w:rPr>
          <w:lang w:val="sr-Cyrl-RS"/>
        </w:rPr>
      </w:pPr>
      <w:r w:rsidRPr="00CF77C1">
        <w:rPr>
          <w:lang w:val="sr-Cyrl-RS"/>
        </w:rPr>
        <w:t>о</w:t>
      </w:r>
      <w:r w:rsidR="000E0A3C" w:rsidRPr="00CF77C1">
        <w:rPr>
          <w:lang w:val="sr-Cyrl-RS"/>
        </w:rPr>
        <w:t>безбеђење к</w:t>
      </w:r>
      <w:r w:rsidR="00BA724F" w:rsidRPr="00CF77C1">
        <w:rPr>
          <w:lang w:val="sr-Cyrl-RS"/>
        </w:rPr>
        <w:t>онкурентност</w:t>
      </w:r>
      <w:r w:rsidR="000E0A3C" w:rsidRPr="00CF77C1">
        <w:rPr>
          <w:lang w:val="sr-Cyrl-RS"/>
        </w:rPr>
        <w:t>и</w:t>
      </w:r>
      <w:r w:rsidR="00BA724F" w:rsidRPr="00CF77C1">
        <w:rPr>
          <w:lang w:val="sr-Cyrl-RS"/>
        </w:rPr>
        <w:t xml:space="preserve"> на тржишту енергије на начелима недискриминације, јавности и транспарентности;</w:t>
      </w:r>
    </w:p>
    <w:p w14:paraId="2B3D220C" w14:textId="7BBB1C92" w:rsidR="00BA724F" w:rsidRPr="00CF77C1" w:rsidRDefault="008A1F01" w:rsidP="003E39B4">
      <w:pPr>
        <w:pStyle w:val="ListParagraph"/>
        <w:numPr>
          <w:ilvl w:val="0"/>
          <w:numId w:val="105"/>
        </w:numPr>
        <w:spacing w:before="60" w:after="60"/>
        <w:ind w:left="0" w:firstLine="720"/>
        <w:contextualSpacing w:val="0"/>
        <w:rPr>
          <w:lang w:val="sr-Cyrl-RS"/>
        </w:rPr>
      </w:pPr>
      <w:r w:rsidRPr="00CF77C1">
        <w:rPr>
          <w:lang w:val="sr-Cyrl-RS"/>
        </w:rPr>
        <w:t>з</w:t>
      </w:r>
      <w:r w:rsidR="000E0A3C" w:rsidRPr="00CF77C1">
        <w:rPr>
          <w:lang w:val="sr-Cyrl-RS"/>
        </w:rPr>
        <w:t>аштиту</w:t>
      </w:r>
      <w:r w:rsidR="00BA724F" w:rsidRPr="00CF77C1">
        <w:rPr>
          <w:lang w:val="sr-Cyrl-RS"/>
        </w:rPr>
        <w:t xml:space="preserve"> купаца енергије и енергената;</w:t>
      </w:r>
    </w:p>
    <w:p w14:paraId="6350036B" w14:textId="74590375" w:rsidR="00BA724F" w:rsidRPr="00CF77C1" w:rsidRDefault="008A1F01" w:rsidP="003E39B4">
      <w:pPr>
        <w:pStyle w:val="ListParagraph"/>
        <w:numPr>
          <w:ilvl w:val="0"/>
          <w:numId w:val="105"/>
        </w:numPr>
        <w:spacing w:before="60" w:after="60"/>
        <w:ind w:left="0" w:firstLine="720"/>
        <w:contextualSpacing w:val="0"/>
        <w:rPr>
          <w:lang w:val="sr-Cyrl-RS"/>
        </w:rPr>
      </w:pPr>
      <w:r w:rsidRPr="00CF77C1">
        <w:rPr>
          <w:lang w:val="sr-Cyrl-RS"/>
        </w:rPr>
        <w:t>р</w:t>
      </w:r>
      <w:r w:rsidR="00BA724F" w:rsidRPr="00CF77C1">
        <w:rPr>
          <w:lang w:val="sr-Cyrl-RS"/>
        </w:rPr>
        <w:t>азвој тржишта електричне енергије и природног гаса и њихово повезивање са јединственим тржиштем енергије Е</w:t>
      </w:r>
      <w:r w:rsidR="006F2D62">
        <w:rPr>
          <w:lang w:val="sr-Cyrl-RS"/>
        </w:rPr>
        <w:t>вропске уније</w:t>
      </w:r>
      <w:r w:rsidR="009C5509">
        <w:rPr>
          <w:lang w:val="sr-Cyrl-RS"/>
        </w:rPr>
        <w:t xml:space="preserve"> (у даљем тексту: ЕУ)</w:t>
      </w:r>
      <w:r w:rsidR="00BA724F" w:rsidRPr="00CF77C1">
        <w:rPr>
          <w:lang w:val="sr-Cyrl-RS"/>
        </w:rPr>
        <w:t>;</w:t>
      </w:r>
    </w:p>
    <w:p w14:paraId="0FA010A4" w14:textId="4E39B2B9" w:rsidR="00BA724F" w:rsidRPr="00CF77C1" w:rsidRDefault="008A1F01" w:rsidP="003E39B4">
      <w:pPr>
        <w:pStyle w:val="ListParagraph"/>
        <w:numPr>
          <w:ilvl w:val="0"/>
          <w:numId w:val="105"/>
        </w:numPr>
        <w:spacing w:before="60" w:after="60"/>
        <w:ind w:left="0" w:firstLine="720"/>
        <w:contextualSpacing w:val="0"/>
        <w:rPr>
          <w:lang w:val="sr-Cyrl-RS"/>
        </w:rPr>
      </w:pPr>
      <w:r w:rsidRPr="00CF77C1">
        <w:rPr>
          <w:lang w:val="sr-Cyrl-RS"/>
        </w:rPr>
        <w:t>и</w:t>
      </w:r>
      <w:r w:rsidR="00BA724F" w:rsidRPr="00CF77C1">
        <w:rPr>
          <w:lang w:val="sr-Cyrl-RS"/>
        </w:rPr>
        <w:t>нтензивније повезивање енергетског система Републике Србије са енергетским системима других држава, нарочито оних из непосредног окружења.</w:t>
      </w:r>
    </w:p>
    <w:p w14:paraId="0AAB2538" w14:textId="635233C6" w:rsidR="00BA724F" w:rsidRPr="00CF77C1" w:rsidRDefault="00BA724F" w:rsidP="006D261A">
      <w:pPr>
        <w:ind w:firstLine="709"/>
        <w:rPr>
          <w:lang w:val="sr-Cyrl-RS"/>
        </w:rPr>
      </w:pPr>
      <w:r w:rsidRPr="00CF77C1">
        <w:rPr>
          <w:lang w:val="sr-Cyrl-RS"/>
        </w:rPr>
        <w:t xml:space="preserve">У складу са </w:t>
      </w:r>
      <w:r w:rsidR="00BF052D" w:rsidRPr="00CF77C1">
        <w:rPr>
          <w:lang w:val="sr-Cyrl-RS"/>
        </w:rPr>
        <w:t>Уговором</w:t>
      </w:r>
      <w:r w:rsidRPr="00CF77C1">
        <w:rPr>
          <w:lang w:val="sr-Cyrl-RS"/>
        </w:rPr>
        <w:t xml:space="preserve"> о оснивању </w:t>
      </w:r>
      <w:r w:rsidR="00D24E38" w:rsidRPr="00CF77C1">
        <w:rPr>
          <w:lang w:val="sr-Cyrl-RS"/>
        </w:rPr>
        <w:t xml:space="preserve">Енергетске </w:t>
      </w:r>
      <w:r w:rsidRPr="00CF77C1">
        <w:rPr>
          <w:lang w:val="sr-Cyrl-RS"/>
        </w:rPr>
        <w:t xml:space="preserve">заједнице, Република Србија је успостављање регионалног тржишта енергије поставила као један од својих </w:t>
      </w:r>
      <w:r w:rsidR="0059016D">
        <w:rPr>
          <w:lang w:val="sr-Cyrl-RS"/>
        </w:rPr>
        <w:t>приоритета</w:t>
      </w:r>
      <w:r w:rsidRPr="00CF77C1">
        <w:rPr>
          <w:lang w:val="sr-Cyrl-RS"/>
        </w:rPr>
        <w:t>. Ово тржиште би требало да се интегрише у енергетско тржиште ЕУ и да омогући више инвестиција у овај сектор и допринесе његовом развоју.</w:t>
      </w:r>
    </w:p>
    <w:p w14:paraId="62BF8D50" w14:textId="20DCEF77" w:rsidR="00BA724F" w:rsidRPr="00CF77C1" w:rsidRDefault="006102B6" w:rsidP="006D261A">
      <w:pPr>
        <w:pStyle w:val="ListParagraph"/>
        <w:spacing w:before="60" w:after="60"/>
        <w:ind w:left="283" w:firstLine="426"/>
        <w:contextualSpacing w:val="0"/>
        <w:rPr>
          <w:lang w:val="sr-Cyrl-RS"/>
        </w:rPr>
      </w:pPr>
      <w:r>
        <w:rPr>
          <w:lang w:val="sr-Cyrl-RS"/>
        </w:rPr>
        <w:t xml:space="preserve">3) </w:t>
      </w:r>
      <w:r w:rsidR="000E0A3C" w:rsidRPr="00CF77C1">
        <w:rPr>
          <w:lang w:val="sr-Cyrl-RS"/>
        </w:rPr>
        <w:t>Транзиција ка одрживој енергетици, кроз:</w:t>
      </w:r>
      <w:r w:rsidR="006D261A" w:rsidRPr="00CF77C1">
        <w:rPr>
          <w:lang w:val="sr-Cyrl-RS"/>
        </w:rPr>
        <w:t xml:space="preserve"> </w:t>
      </w:r>
    </w:p>
    <w:p w14:paraId="6167A44D" w14:textId="77777777" w:rsidR="001F5B55" w:rsidRPr="001F5B55" w:rsidRDefault="008A1F01" w:rsidP="003E39B4">
      <w:pPr>
        <w:pStyle w:val="ListParagraph"/>
        <w:numPr>
          <w:ilvl w:val="0"/>
          <w:numId w:val="106"/>
        </w:numPr>
        <w:spacing w:before="60" w:after="60"/>
        <w:ind w:left="0" w:firstLine="709"/>
        <w:contextualSpacing w:val="0"/>
        <w:rPr>
          <w:lang w:val="sr-Cyrl-RS"/>
        </w:rPr>
      </w:pPr>
      <w:r w:rsidRPr="001F5B55">
        <w:rPr>
          <w:lang w:val="sr-Cyrl-RS"/>
        </w:rPr>
        <w:lastRenderedPageBreak/>
        <w:t>о</w:t>
      </w:r>
      <w:r w:rsidR="00EA6189" w:rsidRPr="001F5B55">
        <w:rPr>
          <w:lang w:val="sr-Cyrl-RS"/>
        </w:rPr>
        <w:t>безбеђивање</w:t>
      </w:r>
      <w:r w:rsidR="00BA724F" w:rsidRPr="001F5B55">
        <w:rPr>
          <w:lang w:val="sr-Cyrl-RS"/>
        </w:rPr>
        <w:t xml:space="preserve"> услова за унапређење енергетске ефикасности у обављању енергетских делатности и потрошњи енергије</w:t>
      </w:r>
      <w:r w:rsidR="006102B6" w:rsidRPr="001F5B55">
        <w:rPr>
          <w:lang w:val="sr-Cyrl-RS"/>
        </w:rPr>
        <w:t>;</w:t>
      </w:r>
    </w:p>
    <w:p w14:paraId="4D68D532" w14:textId="601715EE" w:rsidR="00BA724F" w:rsidRPr="001F5B55" w:rsidRDefault="008A1F01" w:rsidP="003E39B4">
      <w:pPr>
        <w:pStyle w:val="ListParagraph"/>
        <w:numPr>
          <w:ilvl w:val="0"/>
          <w:numId w:val="106"/>
        </w:numPr>
        <w:spacing w:before="60" w:after="60"/>
        <w:ind w:left="0" w:firstLine="709"/>
        <w:contextualSpacing w:val="0"/>
        <w:rPr>
          <w:lang w:val="sr-Cyrl-RS"/>
        </w:rPr>
      </w:pPr>
      <w:r w:rsidRPr="001F5B55">
        <w:rPr>
          <w:lang w:val="sr-Cyrl-RS"/>
        </w:rPr>
        <w:t>с</w:t>
      </w:r>
      <w:r w:rsidR="000E0A3C" w:rsidRPr="001F5B55">
        <w:rPr>
          <w:lang w:val="sr-Cyrl-RS"/>
        </w:rPr>
        <w:t>тварање</w:t>
      </w:r>
      <w:r w:rsidR="00BA724F" w:rsidRPr="001F5B55">
        <w:rPr>
          <w:lang w:val="sr-Cyrl-RS"/>
        </w:rPr>
        <w:t xml:space="preserve"> економских, привредних и финансијских услова за повећавање удела енергије из обновљивих извора енергије, као и за комбиновану производњу електричне и топлотне енергије;</w:t>
      </w:r>
    </w:p>
    <w:p w14:paraId="49C7C3DE" w14:textId="2B880C8F" w:rsidR="00BA724F" w:rsidRPr="00CF77C1" w:rsidRDefault="008A1F01" w:rsidP="003E39B4">
      <w:pPr>
        <w:pStyle w:val="ListParagraph"/>
        <w:numPr>
          <w:ilvl w:val="0"/>
          <w:numId w:val="106"/>
        </w:numPr>
        <w:spacing w:before="60" w:after="60"/>
        <w:ind w:left="0" w:firstLine="709"/>
        <w:contextualSpacing w:val="0"/>
        <w:rPr>
          <w:lang w:val="sr-Cyrl-RS"/>
        </w:rPr>
      </w:pPr>
      <w:r w:rsidRPr="00CF77C1">
        <w:rPr>
          <w:lang w:val="sr-Cyrl-RS"/>
        </w:rPr>
        <w:t>с</w:t>
      </w:r>
      <w:r w:rsidR="00BA724F" w:rsidRPr="00CF77C1">
        <w:rPr>
          <w:lang w:val="sr-Cyrl-RS"/>
        </w:rPr>
        <w:t>тварање институционалних, финансијских и техничких претпоставки за коришћење нових извора енергије</w:t>
      </w:r>
      <w:r w:rsidR="00DE0456" w:rsidRPr="00CF77C1">
        <w:rPr>
          <w:lang w:val="sr-Cyrl-RS"/>
        </w:rPr>
        <w:t xml:space="preserve"> (енергије ветра, сунца, биомасе, биогаса, и сл.)</w:t>
      </w:r>
      <w:r w:rsidR="00BA724F" w:rsidRPr="00CF77C1">
        <w:rPr>
          <w:lang w:val="sr-Cyrl-RS"/>
        </w:rPr>
        <w:t>;</w:t>
      </w:r>
    </w:p>
    <w:p w14:paraId="0FB1FA49" w14:textId="526E22EA" w:rsidR="00BA724F" w:rsidRPr="00CF77C1" w:rsidRDefault="008A1F01" w:rsidP="003E39B4">
      <w:pPr>
        <w:pStyle w:val="ListParagraph"/>
        <w:numPr>
          <w:ilvl w:val="0"/>
          <w:numId w:val="106"/>
        </w:numPr>
        <w:spacing w:before="60" w:after="60"/>
        <w:ind w:left="0" w:firstLine="709"/>
        <w:contextualSpacing w:val="0"/>
        <w:rPr>
          <w:lang w:val="sr-Cyrl-RS"/>
        </w:rPr>
      </w:pPr>
      <w:r w:rsidRPr="00CF77C1">
        <w:rPr>
          <w:lang w:val="sr-Cyrl-RS"/>
        </w:rPr>
        <w:t>у</w:t>
      </w:r>
      <w:r w:rsidR="00BA724F" w:rsidRPr="00CF77C1">
        <w:rPr>
          <w:lang w:val="sr-Cyrl-RS"/>
        </w:rPr>
        <w:t>напређење стања и система заштите животне средине у свим областима енергетских делатности;</w:t>
      </w:r>
    </w:p>
    <w:p w14:paraId="39DB85CE" w14:textId="4A456B0B" w:rsidR="00BA724F" w:rsidRPr="00CF77C1" w:rsidRDefault="008A1F01" w:rsidP="003E39B4">
      <w:pPr>
        <w:pStyle w:val="ListParagraph"/>
        <w:numPr>
          <w:ilvl w:val="0"/>
          <w:numId w:val="106"/>
        </w:numPr>
        <w:spacing w:before="60" w:after="60"/>
        <w:ind w:left="0" w:firstLine="720"/>
        <w:contextualSpacing w:val="0"/>
        <w:rPr>
          <w:lang w:val="sr-Cyrl-RS"/>
        </w:rPr>
      </w:pPr>
      <w:r w:rsidRPr="00CF77C1">
        <w:rPr>
          <w:lang w:val="sr-Cyrl-RS"/>
        </w:rPr>
        <w:t>у</w:t>
      </w:r>
      <w:r w:rsidR="00BA724F" w:rsidRPr="00CF77C1">
        <w:rPr>
          <w:lang w:val="sr-Cyrl-RS"/>
        </w:rPr>
        <w:t>спостављање повољнијих законских, инстит</w:t>
      </w:r>
      <w:r w:rsidR="00096171" w:rsidRPr="00CF77C1">
        <w:rPr>
          <w:lang w:val="sr-Cyrl-RS"/>
        </w:rPr>
        <w:t>уционалних и логистичких услова за</w:t>
      </w:r>
      <w:r w:rsidR="001D0CA7" w:rsidRPr="00CF77C1">
        <w:rPr>
          <w:lang w:val="sr-Cyrl-RS"/>
        </w:rPr>
        <w:t xml:space="preserve"> </w:t>
      </w:r>
      <w:r w:rsidR="00BA724F" w:rsidRPr="00CF77C1">
        <w:rPr>
          <w:lang w:val="sr-Cyrl-RS"/>
        </w:rPr>
        <w:t>динамичније инвестирање у енергетику.</w:t>
      </w:r>
    </w:p>
    <w:p w14:paraId="35A90E06" w14:textId="0EB450F3" w:rsidR="00BA724F" w:rsidRPr="00CF77C1" w:rsidRDefault="00BA724F" w:rsidP="00EE041A">
      <w:pPr>
        <w:ind w:firstLine="720"/>
        <w:rPr>
          <w:lang w:val="sr-Cyrl-RS"/>
        </w:rPr>
      </w:pPr>
      <w:r w:rsidRPr="00CF77C1">
        <w:rPr>
          <w:lang w:val="sr-Cyrl-RS"/>
        </w:rPr>
        <w:t xml:space="preserve">Република Србија </w:t>
      </w:r>
      <w:r w:rsidR="00234E78" w:rsidRPr="00CF77C1">
        <w:rPr>
          <w:lang w:val="sr-Cyrl-RS"/>
        </w:rPr>
        <w:t xml:space="preserve">је Стратегијом </w:t>
      </w:r>
      <w:r w:rsidR="0011648E" w:rsidRPr="00CF77C1">
        <w:rPr>
          <w:lang w:val="sr-Cyrl-RS"/>
        </w:rPr>
        <w:t>енергетике</w:t>
      </w:r>
      <w:r w:rsidR="00234E78" w:rsidRPr="00CF77C1">
        <w:rPr>
          <w:lang w:val="sr-Cyrl-RS"/>
        </w:rPr>
        <w:t>, Националним акционим планом за енергетску ефикасност</w:t>
      </w:r>
      <w:r w:rsidR="00256058" w:rsidRPr="00CF77C1">
        <w:rPr>
          <w:lang w:val="sr-Cyrl-RS"/>
        </w:rPr>
        <w:t xml:space="preserve"> </w:t>
      </w:r>
      <w:r w:rsidR="005C1C23" w:rsidRPr="00CF77C1">
        <w:rPr>
          <w:lang w:val="sr-Cyrl-RS"/>
        </w:rPr>
        <w:t>(„</w:t>
      </w:r>
      <w:r w:rsidR="00096171" w:rsidRPr="00CF77C1">
        <w:rPr>
          <w:lang w:val="sr-Cyrl-RS"/>
        </w:rPr>
        <w:t>Службени гласник РС”</w:t>
      </w:r>
      <w:r w:rsidR="009657A3" w:rsidRPr="00CF77C1">
        <w:rPr>
          <w:lang w:val="sr-Latn-CS"/>
        </w:rPr>
        <w:t>,</w:t>
      </w:r>
      <w:r w:rsidR="009657A3" w:rsidRPr="00CF77C1">
        <w:rPr>
          <w:lang w:val="sr-Cyrl-RS"/>
        </w:rPr>
        <w:t xml:space="preserve"> брoj</w:t>
      </w:r>
      <w:r w:rsidR="00096171" w:rsidRPr="00CF77C1">
        <w:rPr>
          <w:lang w:val="sr-Cyrl-RS"/>
        </w:rPr>
        <w:t xml:space="preserve"> 1/</w:t>
      </w:r>
      <w:r w:rsidR="005C1C23" w:rsidRPr="00CF77C1">
        <w:rPr>
          <w:lang w:val="sr-Cyrl-RS"/>
        </w:rPr>
        <w:t>17)</w:t>
      </w:r>
      <w:r w:rsidR="00234E78" w:rsidRPr="00CF77C1">
        <w:rPr>
          <w:lang w:val="sr-Cyrl-RS"/>
        </w:rPr>
        <w:t xml:space="preserve">, Националним акционим планом за </w:t>
      </w:r>
      <w:r w:rsidR="00C85E36" w:rsidRPr="00CF77C1">
        <w:rPr>
          <w:lang w:val="sr-Cyrl-RS"/>
        </w:rPr>
        <w:t>коришћење обновљивих извора</w:t>
      </w:r>
      <w:r w:rsidR="00234E78" w:rsidRPr="00CF77C1">
        <w:rPr>
          <w:lang w:val="sr-Cyrl-RS"/>
        </w:rPr>
        <w:t xml:space="preserve"> енергије</w:t>
      </w:r>
      <w:r w:rsidR="00256058" w:rsidRPr="00CF77C1">
        <w:rPr>
          <w:lang w:val="sr-Cyrl-RS"/>
        </w:rPr>
        <w:t xml:space="preserve"> </w:t>
      </w:r>
      <w:r w:rsidR="00B40BB1">
        <w:rPr>
          <w:lang w:val="sr-Cyrl-RS"/>
        </w:rPr>
        <w:t>(„Службени гласник РС”, број</w:t>
      </w:r>
      <w:r w:rsidR="00096171" w:rsidRPr="00CF77C1">
        <w:rPr>
          <w:lang w:val="sr-Cyrl-RS"/>
        </w:rPr>
        <w:t> 53/</w:t>
      </w:r>
      <w:r w:rsidR="005C1C23" w:rsidRPr="00CF77C1">
        <w:rPr>
          <w:lang w:val="sr-Cyrl-RS"/>
        </w:rPr>
        <w:t>13)</w:t>
      </w:r>
      <w:r w:rsidR="00234E78" w:rsidRPr="00CF77C1">
        <w:rPr>
          <w:lang w:val="sr-Cyrl-RS"/>
        </w:rPr>
        <w:t xml:space="preserve">, </w:t>
      </w:r>
      <w:r w:rsidR="00D61CDB" w:rsidRPr="00CF77C1">
        <w:rPr>
          <w:lang w:val="sr-Cyrl-RS"/>
        </w:rPr>
        <w:t>Акционим планом за спровођење Националне страте</w:t>
      </w:r>
      <w:r w:rsidR="00024425" w:rsidRPr="00CF77C1">
        <w:rPr>
          <w:lang w:val="sr-Cyrl-RS"/>
        </w:rPr>
        <w:t>гије одрживог развоја за период</w:t>
      </w:r>
      <w:r w:rsidR="00D61CDB" w:rsidRPr="00CF77C1">
        <w:rPr>
          <w:lang w:val="sr-Cyrl-RS"/>
        </w:rPr>
        <w:t xml:space="preserve"> од 2011. до 2017. године </w:t>
      </w:r>
      <w:r w:rsidR="00095C23">
        <w:rPr>
          <w:lang w:val="sr-Cyrl-RS"/>
        </w:rPr>
        <w:t>(„Службени гласник РС”</w:t>
      </w:r>
      <w:r w:rsidR="00B40BB1">
        <w:rPr>
          <w:lang w:val="sr-Cyrl-RS"/>
        </w:rPr>
        <w:t>,</w:t>
      </w:r>
      <w:r w:rsidR="00095C23">
        <w:rPr>
          <w:lang w:val="sr-Cyrl-RS"/>
        </w:rPr>
        <w:t xml:space="preserve"> број</w:t>
      </w:r>
      <w:r w:rsidR="00096171" w:rsidRPr="00CF77C1">
        <w:rPr>
          <w:lang w:val="sr-Cyrl-RS"/>
        </w:rPr>
        <w:t> 62/</w:t>
      </w:r>
      <w:r w:rsidR="00D61CDB" w:rsidRPr="00CF77C1">
        <w:rPr>
          <w:lang w:val="sr-Cyrl-RS"/>
        </w:rPr>
        <w:t xml:space="preserve">11), </w:t>
      </w:r>
      <w:r w:rsidR="00234E78" w:rsidRPr="00CF77C1">
        <w:rPr>
          <w:lang w:val="sr-Cyrl-RS"/>
        </w:rPr>
        <w:t xml:space="preserve">Националним планом за </w:t>
      </w:r>
      <w:r w:rsidR="00C85E36" w:rsidRPr="00CF77C1">
        <w:rPr>
          <w:lang w:val="sr-Cyrl-RS"/>
        </w:rPr>
        <w:t>смањење</w:t>
      </w:r>
      <w:r w:rsidR="00234E78" w:rsidRPr="00CF77C1">
        <w:rPr>
          <w:lang w:val="sr-Cyrl-RS"/>
        </w:rPr>
        <w:t xml:space="preserve"> емисија и Националним програмом за интеграцију Републике Србије у Европску унију</w:t>
      </w:r>
      <w:r w:rsidR="006F2099" w:rsidRPr="00CF77C1">
        <w:rPr>
          <w:lang w:val="sr-Cyrl-RS"/>
        </w:rPr>
        <w:t>,</w:t>
      </w:r>
      <w:r w:rsidR="00234E78" w:rsidRPr="00CF77C1">
        <w:rPr>
          <w:lang w:val="sr-Cyrl-RS"/>
        </w:rPr>
        <w:t xml:space="preserve"> </w:t>
      </w:r>
      <w:r w:rsidRPr="00CF77C1">
        <w:rPr>
          <w:lang w:val="sr-Cyrl-RS"/>
        </w:rPr>
        <w:t>дефинисала</w:t>
      </w:r>
      <w:r w:rsidR="00234E78" w:rsidRPr="00CF77C1">
        <w:rPr>
          <w:lang w:val="sr-Cyrl-RS"/>
        </w:rPr>
        <w:t xml:space="preserve"> </w:t>
      </w:r>
      <w:r w:rsidRPr="00CF77C1">
        <w:rPr>
          <w:lang w:val="sr-Cyrl-RS"/>
        </w:rPr>
        <w:t>циљеве, мере и активности који треба да допринесу повећању енергетске ефикасности, повећању производње енергије из обновљивих извора енергије, смањењу емисије гасова са ефектом стаклене баште као и реорганизацији и реструктурирању предузећа у енергетском сектору, креирању нових националних прописа и стандарда</w:t>
      </w:r>
      <w:r w:rsidR="002D3D62">
        <w:rPr>
          <w:lang w:val="sr-Cyrl-RS"/>
        </w:rPr>
        <w:t>,</w:t>
      </w:r>
      <w:r w:rsidRPr="00CF77C1">
        <w:rPr>
          <w:lang w:val="sr-Cyrl-RS"/>
        </w:rPr>
        <w:t xml:space="preserve"> као и усаглашавању већ постојећих са прописима и стандардима који се примењују у ЕУ.</w:t>
      </w:r>
      <w:r w:rsidR="00EE6A43" w:rsidRPr="00CF77C1">
        <w:rPr>
          <w:lang w:val="sr-Cyrl-RS"/>
        </w:rPr>
        <w:t xml:space="preserve"> Појединачни мерљиви циљеви за сваки од сектора енергетике приказани су у поглављу</w:t>
      </w:r>
      <w:r w:rsidR="002E45C2" w:rsidRPr="00CF77C1">
        <w:rPr>
          <w:lang w:val="sr-Cyrl-RS"/>
        </w:rPr>
        <w:t xml:space="preserve"> које се односи на тај сектор</w:t>
      </w:r>
      <w:r w:rsidR="00EE6A43" w:rsidRPr="00CF77C1">
        <w:rPr>
          <w:lang w:val="sr-Cyrl-RS"/>
        </w:rPr>
        <w:t>.</w:t>
      </w:r>
    </w:p>
    <w:p w14:paraId="318BBC05" w14:textId="7844B99E" w:rsidR="00F5440E" w:rsidRPr="00CF77C1" w:rsidRDefault="00F5440E" w:rsidP="00EE041A">
      <w:pPr>
        <w:ind w:firstLine="720"/>
        <w:rPr>
          <w:lang w:val="sr-Cyrl-RS"/>
        </w:rPr>
      </w:pPr>
      <w:r w:rsidRPr="00CF77C1">
        <w:rPr>
          <w:lang w:val="sr-Cyrl-RS"/>
        </w:rPr>
        <w:t>Напомена: Документ Национални план за смањење емисија је у процесу усвајања. Национални програм за интеграцију Републике Србије у Европску унију је документ који садржи прецизан план како да се постигну сви критеријуми неопходни да би држава постала чланица ЕУ и усвојен је 2008. године.</w:t>
      </w:r>
    </w:p>
    <w:p w14:paraId="58B8DC5D" w14:textId="3692382B" w:rsidR="003D7AE0" w:rsidRPr="00CF77C1" w:rsidRDefault="00D87962" w:rsidP="00EE041A">
      <w:pPr>
        <w:ind w:firstLine="720"/>
        <w:rPr>
          <w:lang w:val="sr-Cyrl-RS"/>
        </w:rPr>
      </w:pPr>
      <w:r w:rsidRPr="00CF77C1">
        <w:rPr>
          <w:lang w:val="sr-Cyrl-RS"/>
        </w:rPr>
        <w:t>Мере, активности и пројект</w:t>
      </w:r>
      <w:r w:rsidR="006B61E6" w:rsidRPr="00CF77C1">
        <w:rPr>
          <w:lang w:val="sr-Cyrl-RS"/>
        </w:rPr>
        <w:t>и који доприносе реализа</w:t>
      </w:r>
      <w:r w:rsidRPr="00CF77C1">
        <w:rPr>
          <w:lang w:val="sr-Cyrl-RS"/>
        </w:rPr>
        <w:t>цији дефинисаних мерљивих циљева у оквиру појединих сектора у</w:t>
      </w:r>
      <w:r w:rsidR="00C90D09" w:rsidRPr="00CF77C1">
        <w:rPr>
          <w:lang w:val="sr-Cyrl-RS"/>
        </w:rPr>
        <w:t>смерени су ка свеукупној транзицији ка одрживој енергетици</w:t>
      </w:r>
      <w:r w:rsidRPr="00CF77C1">
        <w:rPr>
          <w:lang w:val="sr-Cyrl-RS"/>
        </w:rPr>
        <w:t xml:space="preserve"> </w:t>
      </w:r>
      <w:r w:rsidR="00C90D09" w:rsidRPr="00CF77C1">
        <w:rPr>
          <w:lang w:val="sr-Cyrl-RS"/>
        </w:rPr>
        <w:t>у</w:t>
      </w:r>
      <w:r w:rsidR="00096171" w:rsidRPr="00CF77C1">
        <w:rPr>
          <w:lang w:val="sr-Latn-CS"/>
        </w:rPr>
        <w:t xml:space="preserve"> </w:t>
      </w:r>
      <w:r w:rsidR="00096171" w:rsidRPr="00CF77C1">
        <w:rPr>
          <w:lang w:val="sr-Cyrl-CS"/>
        </w:rPr>
        <w:t>Републици</w:t>
      </w:r>
      <w:r w:rsidR="00C90D09" w:rsidRPr="00CF77C1">
        <w:rPr>
          <w:lang w:val="sr-Cyrl-RS"/>
        </w:rPr>
        <w:t xml:space="preserve"> Србији</w:t>
      </w:r>
      <w:r w:rsidR="003D7AE0" w:rsidRPr="00CF77C1">
        <w:rPr>
          <w:lang w:val="sr-Cyrl-RS"/>
        </w:rPr>
        <w:t xml:space="preserve">. Одрживост развоја проистиче из свеопштег унапређења енергетске ефикасности, повећања коришћења обновљивих извора енергије и унапређења стања животне средине, које делимично проистиче из претходна два </w:t>
      </w:r>
      <w:r w:rsidR="00C336A0" w:rsidRPr="00CF77C1">
        <w:rPr>
          <w:lang w:val="sr-Cyrl-RS"/>
        </w:rPr>
        <w:t>фактора</w:t>
      </w:r>
      <w:r w:rsidR="003D7AE0" w:rsidRPr="00CF77C1">
        <w:rPr>
          <w:lang w:val="sr-Cyrl-RS"/>
        </w:rPr>
        <w:t xml:space="preserve">. Област енергетске ефикасности уређена је Законом о ефикасном коришћењу енергије </w:t>
      </w:r>
      <w:r w:rsidR="009A670A" w:rsidRPr="00CF77C1">
        <w:rPr>
          <w:lang w:val="sr-Cyrl-RS"/>
        </w:rPr>
        <w:t>(„Службени гласник РС”</w:t>
      </w:r>
      <w:r w:rsidR="000E7301">
        <w:rPr>
          <w:lang w:val="sr-Latn-CS"/>
        </w:rPr>
        <w:t>,</w:t>
      </w:r>
      <w:r w:rsidR="009A670A" w:rsidRPr="00CF77C1">
        <w:rPr>
          <w:lang w:val="sr-Cyrl-RS"/>
        </w:rPr>
        <w:t xml:space="preserve"> број </w:t>
      </w:r>
      <w:r w:rsidR="00096171" w:rsidRPr="00CF77C1">
        <w:rPr>
          <w:lang w:val="sr-Cyrl-RS"/>
        </w:rPr>
        <w:t>25/</w:t>
      </w:r>
      <w:r w:rsidR="005C1C23" w:rsidRPr="00CF77C1">
        <w:rPr>
          <w:lang w:val="sr-Cyrl-RS"/>
        </w:rPr>
        <w:t>13)</w:t>
      </w:r>
      <w:r w:rsidR="003D7AE0" w:rsidRPr="00CF77C1">
        <w:rPr>
          <w:lang w:val="sr-Cyrl-RS"/>
        </w:rPr>
        <w:t>, док оба кровна закона за област енергетике</w:t>
      </w:r>
      <w:r w:rsidR="00B9618D" w:rsidRPr="00CF77C1">
        <w:rPr>
          <w:lang w:val="sr-Cyrl-RS"/>
        </w:rPr>
        <w:t>:</w:t>
      </w:r>
      <w:r w:rsidR="003D7AE0" w:rsidRPr="00CF77C1">
        <w:rPr>
          <w:lang w:val="sr-Cyrl-RS"/>
        </w:rPr>
        <w:t xml:space="preserve"> </w:t>
      </w:r>
      <w:r w:rsidR="00B9618D" w:rsidRPr="00CF77C1">
        <w:rPr>
          <w:lang w:val="sr-Cyrl-RS"/>
        </w:rPr>
        <w:t>Закон о енергетици</w:t>
      </w:r>
      <w:r w:rsidR="003D7AE0" w:rsidRPr="00CF77C1">
        <w:rPr>
          <w:lang w:val="sr-Cyrl-RS"/>
        </w:rPr>
        <w:t xml:space="preserve"> и </w:t>
      </w:r>
      <w:r w:rsidR="00B9618D" w:rsidRPr="00CF77C1">
        <w:rPr>
          <w:lang w:val="sr-Cyrl-RS"/>
        </w:rPr>
        <w:t>Закон</w:t>
      </w:r>
      <w:r w:rsidR="00096171" w:rsidRPr="00CF77C1">
        <w:rPr>
          <w:lang w:val="sr-Cyrl-RS"/>
        </w:rPr>
        <w:t xml:space="preserve"> о ефикасном коришћењу енергије</w:t>
      </w:r>
      <w:r w:rsidR="005C1C23" w:rsidRPr="00CF77C1">
        <w:rPr>
          <w:lang w:val="sr-Cyrl-RS"/>
        </w:rPr>
        <w:t xml:space="preserve"> </w:t>
      </w:r>
      <w:r w:rsidR="003D7AE0" w:rsidRPr="00CF77C1">
        <w:rPr>
          <w:lang w:val="sr-Cyrl-RS"/>
        </w:rPr>
        <w:t>уређују област обновљивих извора енергије.</w:t>
      </w:r>
    </w:p>
    <w:p w14:paraId="46EABFBD" w14:textId="77777777" w:rsidR="00D87962" w:rsidRPr="00CF77C1" w:rsidRDefault="003D7AE0" w:rsidP="00EE041A">
      <w:pPr>
        <w:ind w:firstLine="720"/>
        <w:rPr>
          <w:lang w:val="sr-Cyrl-RS"/>
        </w:rPr>
      </w:pPr>
      <w:r w:rsidRPr="00CF77C1">
        <w:rPr>
          <w:lang w:val="sr-Cyrl-RS"/>
        </w:rPr>
        <w:t>Поред нивоа енергетске ефикасности (односно индикатора који указују на енергетску ефикасност) и учешћа обновљивих извора енергије у финалној потрошњи енергије, трећи значајан показатељ</w:t>
      </w:r>
      <w:r w:rsidR="00D87962" w:rsidRPr="00CF77C1">
        <w:rPr>
          <w:lang w:val="sr-Cyrl-RS"/>
        </w:rPr>
        <w:t xml:space="preserve"> </w:t>
      </w:r>
      <w:r w:rsidR="00C90D09" w:rsidRPr="00CF77C1">
        <w:rPr>
          <w:lang w:val="sr-Cyrl-RS"/>
        </w:rPr>
        <w:t>одрживог</w:t>
      </w:r>
      <w:r w:rsidR="00D87962" w:rsidRPr="00CF77C1">
        <w:rPr>
          <w:lang w:val="sr-Cyrl-RS"/>
        </w:rPr>
        <w:t xml:space="preserve"> развоја је ниво унапређења стања</w:t>
      </w:r>
      <w:r w:rsidR="00EC7E28" w:rsidRPr="00CF77C1">
        <w:rPr>
          <w:lang w:val="sr-Cyrl-RS"/>
        </w:rPr>
        <w:t xml:space="preserve"> </w:t>
      </w:r>
      <w:r w:rsidR="00D87962" w:rsidRPr="00CF77C1">
        <w:rPr>
          <w:lang w:val="sr-Cyrl-RS"/>
        </w:rPr>
        <w:t xml:space="preserve">животне средине у области </w:t>
      </w:r>
      <w:r w:rsidR="00C90D09" w:rsidRPr="00CF77C1">
        <w:rPr>
          <w:lang w:val="sr-Cyrl-RS"/>
        </w:rPr>
        <w:t xml:space="preserve">заштите </w:t>
      </w:r>
      <w:r w:rsidR="00D87962" w:rsidRPr="00CF77C1">
        <w:rPr>
          <w:lang w:val="sr-Cyrl-RS"/>
        </w:rPr>
        <w:t>животне средине. Законску основу за заштиту животне средине представљају следећи акти:</w:t>
      </w:r>
    </w:p>
    <w:p w14:paraId="36CA9B57" w14:textId="6E113BC2" w:rsidR="004E7A5A" w:rsidRPr="00CF77C1" w:rsidRDefault="004E7A5A" w:rsidP="000A0055">
      <w:pPr>
        <w:pStyle w:val="ListParagraph"/>
        <w:numPr>
          <w:ilvl w:val="0"/>
          <w:numId w:val="108"/>
        </w:numPr>
        <w:tabs>
          <w:tab w:val="left" w:pos="720"/>
        </w:tabs>
        <w:ind w:left="0" w:firstLine="720"/>
        <w:rPr>
          <w:lang w:val="sr-Cyrl-RS"/>
        </w:rPr>
      </w:pPr>
      <w:r w:rsidRPr="00CF77C1">
        <w:rPr>
          <w:lang w:val="sr-Cyrl-RS"/>
        </w:rPr>
        <w:t xml:space="preserve">Закон о заштити животне средине </w:t>
      </w:r>
      <w:r w:rsidR="005C1C23" w:rsidRPr="00CF77C1">
        <w:rPr>
          <w:lang w:val="sr-Cyrl-RS"/>
        </w:rPr>
        <w:t>(„</w:t>
      </w:r>
      <w:r w:rsidR="00147A65" w:rsidRPr="00CF77C1">
        <w:rPr>
          <w:lang w:val="sr-Cyrl-RS"/>
        </w:rPr>
        <w:t>Службени гласник РС”</w:t>
      </w:r>
      <w:r w:rsidR="009A670A" w:rsidRPr="00CF77C1">
        <w:rPr>
          <w:lang w:val="sr-Cyrl-RS"/>
        </w:rPr>
        <w:t>,</w:t>
      </w:r>
      <w:r w:rsidR="00147A65" w:rsidRPr="00CF77C1">
        <w:rPr>
          <w:lang w:val="sr-Cyrl-RS"/>
        </w:rPr>
        <w:t xml:space="preserve"> бр. 135/04, 36/09, 36/</w:t>
      </w:r>
      <w:r w:rsidR="006102B6">
        <w:rPr>
          <w:lang w:val="sr-Cyrl-RS"/>
        </w:rPr>
        <w:t>09 -</w:t>
      </w:r>
      <w:r w:rsidR="005C1C23" w:rsidRPr="00CF77C1">
        <w:rPr>
          <w:lang w:val="sr-Cyrl-RS"/>
        </w:rPr>
        <w:t xml:space="preserve"> др. зако</w:t>
      </w:r>
      <w:r w:rsidR="006102B6">
        <w:rPr>
          <w:lang w:val="sr-Cyrl-RS"/>
        </w:rPr>
        <w:t>н, 72/09 -</w:t>
      </w:r>
      <w:r w:rsidR="00147A65" w:rsidRPr="00CF77C1">
        <w:rPr>
          <w:lang w:val="sr-Cyrl-RS"/>
        </w:rPr>
        <w:t xml:space="preserve"> др. закон, 43/</w:t>
      </w:r>
      <w:r w:rsidR="00096171" w:rsidRPr="00CF77C1">
        <w:rPr>
          <w:lang w:val="sr-Cyrl-RS"/>
        </w:rPr>
        <w:t xml:space="preserve">11 - </w:t>
      </w:r>
      <w:r w:rsidR="00147A65" w:rsidRPr="00CF77C1">
        <w:rPr>
          <w:lang w:val="sr-Cyrl-RS"/>
        </w:rPr>
        <w:t>УС и 14/</w:t>
      </w:r>
      <w:r w:rsidR="005C1C23" w:rsidRPr="00CF77C1">
        <w:rPr>
          <w:lang w:val="sr-Cyrl-RS"/>
        </w:rPr>
        <w:t>16)</w:t>
      </w:r>
      <w:r w:rsidRPr="00CF77C1">
        <w:rPr>
          <w:lang w:val="sr-Cyrl-RS"/>
        </w:rPr>
        <w:t>,</w:t>
      </w:r>
    </w:p>
    <w:p w14:paraId="15B61EBE" w14:textId="5FE257CF" w:rsidR="00D87962" w:rsidRPr="00CF77C1" w:rsidRDefault="00D87962" w:rsidP="000A0055">
      <w:pPr>
        <w:pStyle w:val="ListParagraph"/>
        <w:numPr>
          <w:ilvl w:val="0"/>
          <w:numId w:val="108"/>
        </w:numPr>
        <w:tabs>
          <w:tab w:val="left" w:pos="720"/>
        </w:tabs>
        <w:ind w:left="0" w:firstLine="720"/>
        <w:rPr>
          <w:lang w:val="sr-Cyrl-RS"/>
        </w:rPr>
      </w:pPr>
      <w:r w:rsidRPr="00CF77C1">
        <w:rPr>
          <w:lang w:val="sr-Cyrl-RS"/>
        </w:rPr>
        <w:t xml:space="preserve">Закон о заштити земљишта </w:t>
      </w:r>
      <w:r w:rsidR="005C1C23" w:rsidRPr="00CF77C1">
        <w:rPr>
          <w:lang w:val="sr-Cyrl-RS"/>
        </w:rPr>
        <w:t>(</w:t>
      </w:r>
      <w:r w:rsidR="009A670A" w:rsidRPr="00CF77C1">
        <w:rPr>
          <w:lang w:val="sr-Cyrl-RS"/>
        </w:rPr>
        <w:t xml:space="preserve">„Службени гласник РС”, број </w:t>
      </w:r>
      <w:r w:rsidR="00147A65" w:rsidRPr="00CF77C1">
        <w:rPr>
          <w:lang w:val="sr-Cyrl-RS"/>
        </w:rPr>
        <w:t>112/</w:t>
      </w:r>
      <w:r w:rsidR="005C1C23" w:rsidRPr="00CF77C1">
        <w:rPr>
          <w:lang w:val="sr-Cyrl-RS"/>
        </w:rPr>
        <w:t>15)</w:t>
      </w:r>
      <w:r w:rsidR="004E7A5A" w:rsidRPr="00CF77C1">
        <w:rPr>
          <w:lang w:val="sr-Cyrl-RS"/>
        </w:rPr>
        <w:t>,</w:t>
      </w:r>
    </w:p>
    <w:p w14:paraId="647C47D1" w14:textId="1D6B4263" w:rsidR="00914404" w:rsidRPr="00CF77C1" w:rsidRDefault="00914404" w:rsidP="000A0055">
      <w:pPr>
        <w:pStyle w:val="ListParagraph"/>
        <w:numPr>
          <w:ilvl w:val="0"/>
          <w:numId w:val="108"/>
        </w:numPr>
        <w:tabs>
          <w:tab w:val="left" w:pos="720"/>
        </w:tabs>
        <w:ind w:left="0" w:firstLine="720"/>
        <w:rPr>
          <w:lang w:val="sr-Cyrl-RS"/>
        </w:rPr>
      </w:pPr>
      <w:r w:rsidRPr="00CF77C1">
        <w:rPr>
          <w:lang w:val="sr-Cyrl-RS"/>
        </w:rPr>
        <w:t>Закон о шумама („Службени гл</w:t>
      </w:r>
      <w:r w:rsidR="00147A65" w:rsidRPr="00CF77C1">
        <w:rPr>
          <w:lang w:val="sr-Cyrl-RS"/>
        </w:rPr>
        <w:t>асник РС”</w:t>
      </w:r>
      <w:r w:rsidR="009A670A" w:rsidRPr="00CF77C1">
        <w:rPr>
          <w:lang w:val="sr-Cyrl-RS"/>
        </w:rPr>
        <w:t>,</w:t>
      </w:r>
      <w:r w:rsidR="00B40BB1">
        <w:rPr>
          <w:lang w:val="sr-Cyrl-RS"/>
        </w:rPr>
        <w:t xml:space="preserve"> бр. 30/10,</w:t>
      </w:r>
      <w:r w:rsidR="00147A65" w:rsidRPr="00CF77C1">
        <w:rPr>
          <w:lang w:val="sr-Cyrl-RS"/>
        </w:rPr>
        <w:t xml:space="preserve"> 93/12 и 89/</w:t>
      </w:r>
      <w:r w:rsidRPr="00CF77C1">
        <w:rPr>
          <w:lang w:val="sr-Cyrl-RS"/>
        </w:rPr>
        <w:t>15),</w:t>
      </w:r>
    </w:p>
    <w:p w14:paraId="06C6131A" w14:textId="181E28B4" w:rsidR="00D87962" w:rsidRPr="00CF77C1" w:rsidRDefault="00D87962" w:rsidP="000A0055">
      <w:pPr>
        <w:pStyle w:val="ListParagraph"/>
        <w:numPr>
          <w:ilvl w:val="0"/>
          <w:numId w:val="108"/>
        </w:numPr>
        <w:tabs>
          <w:tab w:val="left" w:pos="720"/>
        </w:tabs>
        <w:ind w:left="0" w:firstLine="720"/>
        <w:rPr>
          <w:lang w:val="sr-Cyrl-RS"/>
        </w:rPr>
      </w:pPr>
      <w:r w:rsidRPr="00CF77C1">
        <w:rPr>
          <w:lang w:val="sr-Cyrl-RS"/>
        </w:rPr>
        <w:t xml:space="preserve">Закон о водама </w:t>
      </w:r>
      <w:r w:rsidR="00147A65" w:rsidRPr="00CF77C1">
        <w:rPr>
          <w:lang w:val="sr-Cyrl-RS"/>
        </w:rPr>
        <w:t>(„Службени гласник РС”</w:t>
      </w:r>
      <w:r w:rsidR="009A670A" w:rsidRPr="00CF77C1">
        <w:rPr>
          <w:lang w:val="sr-Cyrl-RS"/>
        </w:rPr>
        <w:t>,</w:t>
      </w:r>
      <w:r w:rsidR="00B40BB1">
        <w:rPr>
          <w:lang w:val="sr-Cyrl-RS"/>
        </w:rPr>
        <w:t xml:space="preserve"> бр. 30/10</w:t>
      </w:r>
      <w:r w:rsidR="002D3D62">
        <w:rPr>
          <w:lang w:val="sr-Cyrl-RS"/>
        </w:rPr>
        <w:t>,</w:t>
      </w:r>
      <w:r w:rsidR="00B40BB1">
        <w:rPr>
          <w:lang w:val="sr-Cyrl-RS"/>
        </w:rPr>
        <w:t xml:space="preserve"> </w:t>
      </w:r>
      <w:r w:rsidR="00147A65" w:rsidRPr="00CF77C1">
        <w:rPr>
          <w:lang w:val="sr-Cyrl-RS"/>
        </w:rPr>
        <w:t>93/</w:t>
      </w:r>
      <w:r w:rsidR="005C1C23" w:rsidRPr="00CF77C1">
        <w:rPr>
          <w:lang w:val="sr-Cyrl-RS"/>
        </w:rPr>
        <w:t>12</w:t>
      </w:r>
      <w:r w:rsidR="002D3D62">
        <w:rPr>
          <w:lang w:val="sr-Cyrl-RS"/>
        </w:rPr>
        <w:t xml:space="preserve"> и 101/16</w:t>
      </w:r>
      <w:r w:rsidR="005C1C23" w:rsidRPr="00CF77C1">
        <w:rPr>
          <w:lang w:val="sr-Cyrl-RS"/>
        </w:rPr>
        <w:t>)</w:t>
      </w:r>
      <w:r w:rsidR="004E7A5A" w:rsidRPr="00CF77C1">
        <w:rPr>
          <w:lang w:val="sr-Cyrl-RS"/>
        </w:rPr>
        <w:t>,</w:t>
      </w:r>
    </w:p>
    <w:p w14:paraId="77D78922" w14:textId="063EAB97" w:rsidR="00D87962" w:rsidRPr="00CF77C1" w:rsidRDefault="00D87962" w:rsidP="000A0055">
      <w:pPr>
        <w:pStyle w:val="ListParagraph"/>
        <w:numPr>
          <w:ilvl w:val="0"/>
          <w:numId w:val="108"/>
        </w:numPr>
        <w:tabs>
          <w:tab w:val="left" w:pos="720"/>
        </w:tabs>
        <w:ind w:left="0" w:firstLine="720"/>
        <w:rPr>
          <w:lang w:val="sr-Cyrl-RS"/>
        </w:rPr>
      </w:pPr>
      <w:r w:rsidRPr="00CF77C1">
        <w:rPr>
          <w:lang w:val="sr-Cyrl-RS"/>
        </w:rPr>
        <w:t xml:space="preserve">Закон о заштити од буке у животној средини </w:t>
      </w:r>
      <w:r w:rsidR="005C1C23" w:rsidRPr="00CF77C1">
        <w:rPr>
          <w:lang w:val="sr-Cyrl-RS"/>
        </w:rPr>
        <w:t>(</w:t>
      </w:r>
      <w:r w:rsidR="00147A65" w:rsidRPr="00CF77C1">
        <w:rPr>
          <w:lang w:val="sr-Cyrl-RS"/>
        </w:rPr>
        <w:t>„Службени гласник РС”</w:t>
      </w:r>
      <w:r w:rsidR="00805BA8">
        <w:rPr>
          <w:lang w:val="sr-Cyrl-RS"/>
        </w:rPr>
        <w:t>, бр. 36/09 и</w:t>
      </w:r>
      <w:r w:rsidR="00147A65" w:rsidRPr="00CF77C1">
        <w:rPr>
          <w:lang w:val="sr-Cyrl-RS"/>
        </w:rPr>
        <w:t xml:space="preserve"> </w:t>
      </w:r>
      <w:r w:rsidR="00805BA8">
        <w:rPr>
          <w:lang w:val="sr-Cyrl-RS"/>
        </w:rPr>
        <w:t>80</w:t>
      </w:r>
      <w:r w:rsidR="00147A65" w:rsidRPr="00CF77C1">
        <w:rPr>
          <w:lang w:val="sr-Cyrl-RS"/>
        </w:rPr>
        <w:t>/</w:t>
      </w:r>
      <w:r w:rsidR="00805BA8">
        <w:rPr>
          <w:lang w:val="sr-Cyrl-RS"/>
        </w:rPr>
        <w:t>10</w:t>
      </w:r>
      <w:r w:rsidR="005C1C23" w:rsidRPr="00CF77C1">
        <w:rPr>
          <w:lang w:val="sr-Cyrl-RS"/>
        </w:rPr>
        <w:t>)</w:t>
      </w:r>
      <w:r w:rsidR="004E7A5A" w:rsidRPr="00CF77C1">
        <w:rPr>
          <w:lang w:val="sr-Cyrl-RS"/>
        </w:rPr>
        <w:t>,</w:t>
      </w:r>
    </w:p>
    <w:p w14:paraId="22B4E280" w14:textId="73791027" w:rsidR="00D87962" w:rsidRPr="00CF77C1" w:rsidRDefault="00D87962" w:rsidP="000A0055">
      <w:pPr>
        <w:pStyle w:val="ListParagraph"/>
        <w:numPr>
          <w:ilvl w:val="0"/>
          <w:numId w:val="108"/>
        </w:numPr>
        <w:tabs>
          <w:tab w:val="left" w:pos="720"/>
        </w:tabs>
        <w:ind w:left="0" w:firstLine="720"/>
        <w:rPr>
          <w:lang w:val="sr-Cyrl-RS"/>
        </w:rPr>
      </w:pPr>
      <w:r w:rsidRPr="00CF77C1">
        <w:rPr>
          <w:lang w:val="sr-Cyrl-RS"/>
        </w:rPr>
        <w:t xml:space="preserve">Закон о заштити од нејонизујућих зрачења </w:t>
      </w:r>
      <w:r w:rsidR="005C1C23" w:rsidRPr="00CF77C1">
        <w:rPr>
          <w:lang w:val="sr-Cyrl-RS"/>
        </w:rPr>
        <w:t>(„Служ</w:t>
      </w:r>
      <w:r w:rsidR="00147A65" w:rsidRPr="00CF77C1">
        <w:rPr>
          <w:lang w:val="sr-Cyrl-RS"/>
        </w:rPr>
        <w:t>бени гласник РС”</w:t>
      </w:r>
      <w:r w:rsidR="009A670A" w:rsidRPr="00CF77C1">
        <w:rPr>
          <w:lang w:val="sr-Cyrl-RS"/>
        </w:rPr>
        <w:t>, број</w:t>
      </w:r>
      <w:r w:rsidR="00147A65" w:rsidRPr="00CF77C1">
        <w:rPr>
          <w:lang w:val="sr-Cyrl-RS"/>
        </w:rPr>
        <w:t xml:space="preserve"> 36/</w:t>
      </w:r>
      <w:r w:rsidR="005C1C23" w:rsidRPr="00CF77C1">
        <w:rPr>
          <w:lang w:val="sr-Cyrl-RS"/>
        </w:rPr>
        <w:t>09)</w:t>
      </w:r>
      <w:r w:rsidR="004E7A5A" w:rsidRPr="00CF77C1">
        <w:rPr>
          <w:lang w:val="sr-Cyrl-RS"/>
        </w:rPr>
        <w:t>,</w:t>
      </w:r>
    </w:p>
    <w:p w14:paraId="1A3FAB03" w14:textId="77777777" w:rsidR="0030729F" w:rsidRDefault="004E7A5A" w:rsidP="000A0055">
      <w:pPr>
        <w:pStyle w:val="ListParagraph"/>
        <w:numPr>
          <w:ilvl w:val="0"/>
          <w:numId w:val="108"/>
        </w:numPr>
        <w:tabs>
          <w:tab w:val="left" w:pos="720"/>
        </w:tabs>
        <w:ind w:left="0" w:firstLine="720"/>
        <w:rPr>
          <w:lang w:val="sr-Cyrl-RS"/>
        </w:rPr>
      </w:pPr>
      <w:r w:rsidRPr="00CF77C1">
        <w:rPr>
          <w:lang w:val="sr-Cyrl-RS"/>
        </w:rPr>
        <w:t xml:space="preserve">Закон о управљању отпадом </w:t>
      </w:r>
      <w:r w:rsidR="005C1C23" w:rsidRPr="00CF77C1">
        <w:rPr>
          <w:lang w:val="sr-Cyrl-RS"/>
        </w:rPr>
        <w:t>(„Службен</w:t>
      </w:r>
      <w:r w:rsidR="00147A65" w:rsidRPr="00CF77C1">
        <w:rPr>
          <w:lang w:val="sr-Cyrl-RS"/>
        </w:rPr>
        <w:t>и гласник РС”</w:t>
      </w:r>
      <w:r w:rsidR="009A670A" w:rsidRPr="00CF77C1">
        <w:rPr>
          <w:lang w:val="sr-Cyrl-RS"/>
        </w:rPr>
        <w:t>,</w:t>
      </w:r>
      <w:r w:rsidR="00147A65" w:rsidRPr="00CF77C1">
        <w:rPr>
          <w:lang w:val="sr-Cyrl-RS"/>
        </w:rPr>
        <w:t xml:space="preserve"> бр. 36/09, 88/10 и 14/</w:t>
      </w:r>
      <w:r w:rsidR="005C1C23" w:rsidRPr="00CF77C1">
        <w:rPr>
          <w:lang w:val="sr-Cyrl-RS"/>
        </w:rPr>
        <w:t>16)</w:t>
      </w:r>
      <w:r w:rsidRPr="00CF77C1">
        <w:rPr>
          <w:lang w:val="sr-Cyrl-RS"/>
        </w:rPr>
        <w:t>,</w:t>
      </w:r>
    </w:p>
    <w:p w14:paraId="1E848406" w14:textId="1790500F" w:rsidR="004E7A5A" w:rsidRPr="00CF77C1" w:rsidRDefault="004E7A5A" w:rsidP="000A0055">
      <w:pPr>
        <w:pStyle w:val="ListParagraph"/>
        <w:numPr>
          <w:ilvl w:val="0"/>
          <w:numId w:val="108"/>
        </w:numPr>
        <w:tabs>
          <w:tab w:val="left" w:pos="720"/>
        </w:tabs>
        <w:ind w:left="0" w:firstLine="720"/>
        <w:rPr>
          <w:lang w:val="sr-Cyrl-RS"/>
        </w:rPr>
      </w:pPr>
      <w:r w:rsidRPr="00CF77C1">
        <w:rPr>
          <w:lang w:val="sr-Cyrl-RS"/>
        </w:rPr>
        <w:t xml:space="preserve">Закон о заштити ваздуха </w:t>
      </w:r>
      <w:r w:rsidR="005C1C23" w:rsidRPr="00CF77C1">
        <w:rPr>
          <w:lang w:val="sr-Cyrl-RS"/>
        </w:rPr>
        <w:t xml:space="preserve">(„Службени </w:t>
      </w:r>
      <w:r w:rsidR="00147A65" w:rsidRPr="00CF77C1">
        <w:rPr>
          <w:lang w:val="sr-Cyrl-RS"/>
        </w:rPr>
        <w:t>гласник РС”, бр. 36/09 и 10/</w:t>
      </w:r>
      <w:r w:rsidR="005C1C23" w:rsidRPr="00CF77C1">
        <w:rPr>
          <w:lang w:val="sr-Cyrl-RS"/>
        </w:rPr>
        <w:t>13)</w:t>
      </w:r>
      <w:r w:rsidRPr="00CF77C1">
        <w:rPr>
          <w:lang w:val="sr-Cyrl-RS"/>
        </w:rPr>
        <w:t>,</w:t>
      </w:r>
    </w:p>
    <w:p w14:paraId="5CC996A5" w14:textId="0926AE65" w:rsidR="0040133B" w:rsidRPr="00CF77C1" w:rsidRDefault="0040133B" w:rsidP="000A0055">
      <w:pPr>
        <w:pStyle w:val="ListParagraph"/>
        <w:numPr>
          <w:ilvl w:val="0"/>
          <w:numId w:val="108"/>
        </w:numPr>
        <w:tabs>
          <w:tab w:val="left" w:pos="720"/>
        </w:tabs>
        <w:ind w:left="0" w:firstLine="720"/>
        <w:rPr>
          <w:lang w:val="sr-Cyrl-RS"/>
        </w:rPr>
      </w:pPr>
      <w:r w:rsidRPr="00CF77C1">
        <w:rPr>
          <w:lang w:val="sr-Cyrl-RS"/>
        </w:rPr>
        <w:t xml:space="preserve">Закон о стратешкој процени утицаја на животну средину </w:t>
      </w:r>
      <w:r w:rsidR="005C1C23" w:rsidRPr="00CF77C1">
        <w:rPr>
          <w:lang w:val="sr-Cyrl-RS"/>
        </w:rPr>
        <w:t>(„Службени гласни</w:t>
      </w:r>
      <w:r w:rsidR="00147A65" w:rsidRPr="00CF77C1">
        <w:rPr>
          <w:lang w:val="sr-Cyrl-RS"/>
        </w:rPr>
        <w:t>к РС”, бр. 135/04 и 88/</w:t>
      </w:r>
      <w:r w:rsidR="005C1C23" w:rsidRPr="00CF77C1">
        <w:rPr>
          <w:lang w:val="sr-Cyrl-RS"/>
        </w:rPr>
        <w:t>10)</w:t>
      </w:r>
      <w:r w:rsidRPr="00CF77C1">
        <w:rPr>
          <w:lang w:val="sr-Cyrl-RS"/>
        </w:rPr>
        <w:t>,</w:t>
      </w:r>
    </w:p>
    <w:p w14:paraId="3CA5282F" w14:textId="73166FD6" w:rsidR="0040133B" w:rsidRPr="00CF77C1" w:rsidRDefault="0040133B" w:rsidP="000A0055">
      <w:pPr>
        <w:pStyle w:val="ListParagraph"/>
        <w:numPr>
          <w:ilvl w:val="0"/>
          <w:numId w:val="108"/>
        </w:numPr>
        <w:tabs>
          <w:tab w:val="left" w:pos="720"/>
        </w:tabs>
        <w:ind w:left="0" w:firstLine="720"/>
        <w:rPr>
          <w:lang w:val="sr-Cyrl-RS"/>
        </w:rPr>
      </w:pPr>
      <w:r w:rsidRPr="00CF77C1">
        <w:rPr>
          <w:lang w:val="sr-Cyrl-RS"/>
        </w:rPr>
        <w:t xml:space="preserve">Закон о процени утицаја на животну средину </w:t>
      </w:r>
      <w:r w:rsidR="005C1C23" w:rsidRPr="00CF77C1">
        <w:rPr>
          <w:lang w:val="sr-Cyrl-RS"/>
        </w:rPr>
        <w:t>(„</w:t>
      </w:r>
      <w:r w:rsidR="00147A65" w:rsidRPr="00CF77C1">
        <w:rPr>
          <w:lang w:val="sr-Cyrl-RS"/>
        </w:rPr>
        <w:t>Службени гласник РС”, бр. 135/04 и 36/</w:t>
      </w:r>
      <w:r w:rsidR="005C1C23" w:rsidRPr="00CF77C1">
        <w:rPr>
          <w:lang w:val="sr-Cyrl-RS"/>
        </w:rPr>
        <w:t>09)</w:t>
      </w:r>
      <w:r w:rsidRPr="00CF77C1">
        <w:rPr>
          <w:lang w:val="sr-Cyrl-RS"/>
        </w:rPr>
        <w:t>,</w:t>
      </w:r>
    </w:p>
    <w:p w14:paraId="270370A9" w14:textId="03F1ACBC" w:rsidR="00D36F9E" w:rsidRPr="00CF77C1" w:rsidRDefault="00D36F9E" w:rsidP="000A0055">
      <w:pPr>
        <w:pStyle w:val="ListParagraph"/>
        <w:numPr>
          <w:ilvl w:val="0"/>
          <w:numId w:val="108"/>
        </w:numPr>
        <w:tabs>
          <w:tab w:val="left" w:pos="720"/>
        </w:tabs>
        <w:ind w:left="0" w:firstLine="720"/>
        <w:rPr>
          <w:lang w:val="sr-Cyrl-RS"/>
        </w:rPr>
      </w:pPr>
      <w:r w:rsidRPr="00CF77C1">
        <w:rPr>
          <w:lang w:val="sr-Cyrl-RS"/>
        </w:rPr>
        <w:t xml:space="preserve">Закон о интегрисаном спречавању и контроли загађивања животне средине </w:t>
      </w:r>
      <w:r w:rsidR="005C1C23" w:rsidRPr="00CF77C1">
        <w:rPr>
          <w:lang w:val="sr-Cyrl-RS"/>
        </w:rPr>
        <w:t>(„</w:t>
      </w:r>
      <w:r w:rsidR="00147A65" w:rsidRPr="00CF77C1">
        <w:rPr>
          <w:lang w:val="sr-Cyrl-RS"/>
        </w:rPr>
        <w:t>Службени гласник РС”, бр. 135/04 и 25/</w:t>
      </w:r>
      <w:r w:rsidR="005C1C23" w:rsidRPr="00CF77C1">
        <w:rPr>
          <w:lang w:val="sr-Cyrl-RS"/>
        </w:rPr>
        <w:t>15)</w:t>
      </w:r>
      <w:r w:rsidRPr="00CF77C1">
        <w:rPr>
          <w:lang w:val="sr-Cyrl-RS"/>
        </w:rPr>
        <w:t>,</w:t>
      </w:r>
    </w:p>
    <w:p w14:paraId="4A05D837" w14:textId="6611C334" w:rsidR="00D36F9E" w:rsidRPr="00CF77C1" w:rsidRDefault="00D36F9E" w:rsidP="000A0055">
      <w:pPr>
        <w:pStyle w:val="ListParagraph"/>
        <w:numPr>
          <w:ilvl w:val="0"/>
          <w:numId w:val="108"/>
        </w:numPr>
        <w:tabs>
          <w:tab w:val="left" w:pos="720"/>
        </w:tabs>
        <w:ind w:left="0" w:firstLine="720"/>
        <w:rPr>
          <w:lang w:val="sr-Cyrl-RS"/>
        </w:rPr>
      </w:pPr>
      <w:r w:rsidRPr="00CF77C1">
        <w:rPr>
          <w:lang w:val="sr-Cyrl-RS"/>
        </w:rPr>
        <w:t xml:space="preserve">Закон о хемикалијама </w:t>
      </w:r>
      <w:r w:rsidR="005C1C23" w:rsidRPr="00CF77C1">
        <w:rPr>
          <w:lang w:val="sr-Cyrl-RS"/>
        </w:rPr>
        <w:t>(</w:t>
      </w:r>
      <w:r w:rsidR="00147A65" w:rsidRPr="00CF77C1">
        <w:rPr>
          <w:lang w:val="sr-Cyrl-RS"/>
        </w:rPr>
        <w:t>„Службени гласник РС”, бр. 36/09, 88/10, 92/11, 93/12 и 25/</w:t>
      </w:r>
      <w:r w:rsidR="005C1C23" w:rsidRPr="00CF77C1">
        <w:rPr>
          <w:lang w:val="sr-Cyrl-RS"/>
        </w:rPr>
        <w:t>15)</w:t>
      </w:r>
      <w:r w:rsidRPr="00CF77C1">
        <w:rPr>
          <w:lang w:val="sr-Cyrl-RS"/>
        </w:rPr>
        <w:t>,</w:t>
      </w:r>
    </w:p>
    <w:p w14:paraId="5D448122" w14:textId="0781B0FE" w:rsidR="00D36F9E" w:rsidRPr="00CF77C1" w:rsidRDefault="00D36F9E" w:rsidP="000A0055">
      <w:pPr>
        <w:pStyle w:val="ListParagraph"/>
        <w:numPr>
          <w:ilvl w:val="0"/>
          <w:numId w:val="108"/>
        </w:numPr>
        <w:tabs>
          <w:tab w:val="left" w:pos="720"/>
        </w:tabs>
        <w:ind w:left="0" w:firstLine="720"/>
        <w:rPr>
          <w:lang w:val="sr-Cyrl-RS"/>
        </w:rPr>
      </w:pPr>
      <w:r w:rsidRPr="00CF77C1">
        <w:rPr>
          <w:lang w:val="sr-Cyrl-RS"/>
        </w:rPr>
        <w:t xml:space="preserve">Закон о заштити природе </w:t>
      </w:r>
      <w:r w:rsidR="005C1C23" w:rsidRPr="00CF77C1">
        <w:rPr>
          <w:lang w:val="sr-Cyrl-RS"/>
        </w:rPr>
        <w:t>(</w:t>
      </w:r>
      <w:r w:rsidR="0079450A" w:rsidRPr="00CF77C1">
        <w:rPr>
          <w:lang w:val="sr-Cyrl-RS"/>
        </w:rPr>
        <w:t>„Службени гласник РС”,</w:t>
      </w:r>
      <w:r w:rsidR="00784086">
        <w:rPr>
          <w:lang w:val="sr-Cyrl-RS"/>
        </w:rPr>
        <w:t xml:space="preserve"> бр. 36/09, 88/10, 91/10 - исправка</w:t>
      </w:r>
      <w:r w:rsidR="0079450A" w:rsidRPr="00CF77C1">
        <w:rPr>
          <w:lang w:val="sr-Cyrl-RS"/>
        </w:rPr>
        <w:t xml:space="preserve"> и 14/</w:t>
      </w:r>
      <w:r w:rsidR="005C1C23" w:rsidRPr="00CF77C1">
        <w:rPr>
          <w:lang w:val="sr-Cyrl-RS"/>
        </w:rPr>
        <w:t>16)</w:t>
      </w:r>
      <w:r w:rsidR="00C336A0" w:rsidRPr="00CF77C1">
        <w:rPr>
          <w:lang w:val="sr-Cyrl-RS"/>
        </w:rPr>
        <w:t>.</w:t>
      </w:r>
    </w:p>
    <w:p w14:paraId="281AD650" w14:textId="4A969C6D" w:rsidR="004E7A5A" w:rsidRPr="00CF77C1" w:rsidRDefault="00C336A0" w:rsidP="00983BA8">
      <w:pPr>
        <w:pStyle w:val="ListParagraph"/>
        <w:spacing w:before="0" w:after="0"/>
        <w:ind w:left="0" w:firstLine="720"/>
        <w:rPr>
          <w:lang w:val="sr-Cyrl-RS"/>
        </w:rPr>
      </w:pPr>
      <w:r w:rsidRPr="00CF77C1">
        <w:rPr>
          <w:lang w:val="sr-Cyrl-RS"/>
        </w:rPr>
        <w:t xml:space="preserve">Поред наведеног, законску основу чине </w:t>
      </w:r>
      <w:r w:rsidR="004E7A5A" w:rsidRPr="00CF77C1">
        <w:rPr>
          <w:lang w:val="sr-Cyrl-RS"/>
        </w:rPr>
        <w:t>пратеће уредбе и правилници и прихваћени међународни уговори и споразуми (Кјото протокол, Оквирна конвенци</w:t>
      </w:r>
      <w:r w:rsidR="005934B3" w:rsidRPr="00CF77C1">
        <w:rPr>
          <w:lang w:val="sr-Cyrl-RS"/>
        </w:rPr>
        <w:t>ја УН о промени климе, Пармска д</w:t>
      </w:r>
      <w:r w:rsidR="004E7A5A" w:rsidRPr="00CF77C1">
        <w:rPr>
          <w:lang w:val="sr-Cyrl-RS"/>
        </w:rPr>
        <w:t>екларација о жив</w:t>
      </w:r>
      <w:r w:rsidR="00C666BB" w:rsidRPr="00CF77C1">
        <w:rPr>
          <w:lang w:val="sr-Cyrl-RS"/>
        </w:rPr>
        <w:t xml:space="preserve">отној средини и здрављу, </w:t>
      </w:r>
      <w:r w:rsidR="0091402C" w:rsidRPr="00CF77C1">
        <w:rPr>
          <w:lang w:val="sr-Cyrl-RS"/>
        </w:rPr>
        <w:t>Споразум из Париза</w:t>
      </w:r>
      <w:r w:rsidR="004E7A5A" w:rsidRPr="00CF77C1">
        <w:rPr>
          <w:lang w:val="sr-Cyrl-RS"/>
        </w:rPr>
        <w:t xml:space="preserve">, Европска </w:t>
      </w:r>
      <w:r w:rsidR="002158C6" w:rsidRPr="00CF77C1">
        <w:rPr>
          <w:lang w:val="sr-Cyrl-RS"/>
        </w:rPr>
        <w:t>конвенција</w:t>
      </w:r>
      <w:r w:rsidR="004E7A5A" w:rsidRPr="00CF77C1">
        <w:rPr>
          <w:lang w:val="sr-Cyrl-RS"/>
        </w:rPr>
        <w:t xml:space="preserve"> о пределу, Подгоричка </w:t>
      </w:r>
      <w:r w:rsidR="005934B3" w:rsidRPr="00CF77C1">
        <w:rPr>
          <w:lang w:val="sr-Cyrl-RS"/>
        </w:rPr>
        <w:t>и</w:t>
      </w:r>
      <w:r w:rsidR="004E7A5A" w:rsidRPr="00CF77C1">
        <w:rPr>
          <w:lang w:val="sr-Cyrl-RS"/>
        </w:rPr>
        <w:t>ницијатива/</w:t>
      </w:r>
      <w:r w:rsidR="002158C6" w:rsidRPr="00CF77C1">
        <w:rPr>
          <w:lang w:val="sr-Cyrl-RS"/>
        </w:rPr>
        <w:t>регионални приступ питањима заштите животне средине и климатских промена</w:t>
      </w:r>
      <w:r w:rsidR="004E7A5A" w:rsidRPr="00CF77C1">
        <w:rPr>
          <w:lang w:val="sr-Cyrl-RS"/>
        </w:rPr>
        <w:t xml:space="preserve"> у Југоисточној Европи, Протокол о води и здрављу уз Конвенцију о коришћењу прекограничних водотокова и међународних језера</w:t>
      </w:r>
      <w:r w:rsidR="00C85E36" w:rsidRPr="00CF77C1">
        <w:rPr>
          <w:lang w:val="sr-Cyrl-RS"/>
        </w:rPr>
        <w:t>, Уговор о оснивању Енергетске заједнице</w:t>
      </w:r>
      <w:r w:rsidR="00DE4E75" w:rsidRPr="00CF77C1">
        <w:rPr>
          <w:lang w:val="sr-Cyrl-RS"/>
        </w:rPr>
        <w:t xml:space="preserve"> (Закон о ратификацији Уговора о оснивању Енергетске заједнице између Европске заједнице и Републике Албаније, Републике Бугарске, Босне и Херцеговине, Републике Хрватске, Бивше Југословенске Републике Македоније, Републике Црне Горе, Румуније, Републике Србије и Привремене Мисије Уједињених нација на Косову у складу са Резолуцијом 1244 Савета безбедности Уједињених нација, </w:t>
      </w:r>
      <w:r w:rsidR="00DA2038" w:rsidRPr="00CF77C1">
        <w:rPr>
          <w:lang w:val="sr-Cyrl-RS"/>
        </w:rPr>
        <w:t>„Службени гла</w:t>
      </w:r>
      <w:r w:rsidR="009A670A" w:rsidRPr="00CF77C1">
        <w:rPr>
          <w:lang w:val="sr-Cyrl-RS"/>
        </w:rPr>
        <w:t>сник РС”, број</w:t>
      </w:r>
      <w:r w:rsidR="00DA2038" w:rsidRPr="00CF77C1">
        <w:rPr>
          <w:lang w:val="sr-Cyrl-RS"/>
        </w:rPr>
        <w:t xml:space="preserve"> 62/</w:t>
      </w:r>
      <w:r w:rsidR="00DE4E75" w:rsidRPr="00CF77C1">
        <w:rPr>
          <w:lang w:val="sr-Cyrl-RS"/>
        </w:rPr>
        <w:t>06)</w:t>
      </w:r>
      <w:r w:rsidR="00CC0529" w:rsidRPr="00CF77C1">
        <w:rPr>
          <w:lang w:val="sr-Cyrl-RS"/>
        </w:rPr>
        <w:t>, Конвенција о сарадњи на заштити и одрживом коришћењу реке Дунав, Оквирни споразум о сливу реке Саве</w:t>
      </w:r>
      <w:r w:rsidR="004E7A5A" w:rsidRPr="00CF77C1">
        <w:rPr>
          <w:lang w:val="sr-Cyrl-RS"/>
        </w:rPr>
        <w:t xml:space="preserve">). </w:t>
      </w:r>
      <w:r w:rsidR="00F70CE2" w:rsidRPr="00CF77C1">
        <w:rPr>
          <w:lang w:val="sr-Cyrl-RS"/>
        </w:rPr>
        <w:t>Инвентар гасова са ефектом стаклене баште за период 2010-2013. година и пројекције до 2020. године, дакле, за део периода који покрива Пр</w:t>
      </w:r>
      <w:r w:rsidR="00221656" w:rsidRPr="00CF77C1">
        <w:rPr>
          <w:lang w:val="sr-Cyrl-RS"/>
        </w:rPr>
        <w:t>ограм остварења стратегије, дат је</w:t>
      </w:r>
      <w:r w:rsidR="00F70CE2" w:rsidRPr="00CF77C1">
        <w:rPr>
          <w:lang w:val="sr-Cyrl-RS"/>
        </w:rPr>
        <w:t xml:space="preserve"> у </w:t>
      </w:r>
      <w:r w:rsidR="00AC1F50" w:rsidRPr="00CF77C1">
        <w:rPr>
          <w:lang w:val="sr-Cyrl-RS"/>
        </w:rPr>
        <w:t>„</w:t>
      </w:r>
      <w:r w:rsidR="00F70CE2" w:rsidRPr="00CF77C1">
        <w:rPr>
          <w:lang w:val="sr-Cyrl-RS"/>
        </w:rPr>
        <w:t>Првом ажурираном двогодишњем извештају према Оквирној конвенцији УН о промени климе</w:t>
      </w:r>
      <w:r w:rsidR="00AD5740" w:rsidRPr="00CF77C1">
        <w:rPr>
          <w:lang w:val="sr-Cyrl-RS"/>
        </w:rPr>
        <w:t>”</w:t>
      </w:r>
      <w:r w:rsidR="00F70CE2" w:rsidRPr="00CF77C1">
        <w:rPr>
          <w:lang w:val="sr-Cyrl-RS"/>
        </w:rPr>
        <w:t xml:space="preserve">. Пројекције </w:t>
      </w:r>
      <w:r w:rsidR="00B1737B" w:rsidRPr="00CF77C1">
        <w:rPr>
          <w:lang w:val="sr-Cyrl-RS"/>
        </w:rPr>
        <w:t xml:space="preserve">емисије гасова са ефектом стаклене баште до 2030. године и национално одређени допринос смањењу емисија од 9,8% у односу на емисије у базној, 1990. години, дате су у документу </w:t>
      </w:r>
      <w:r w:rsidR="00AC1F50" w:rsidRPr="00CF77C1">
        <w:rPr>
          <w:lang w:val="sr-Cyrl-RS"/>
        </w:rPr>
        <w:t>„</w:t>
      </w:r>
      <w:r w:rsidR="00B1737B" w:rsidRPr="00CF77C1">
        <w:rPr>
          <w:lang w:val="sr-Cyrl-RS"/>
        </w:rPr>
        <w:t>Intended Nationally Determined Contribution of the Republic of Serbia</w:t>
      </w:r>
      <w:r w:rsidR="00AD5740" w:rsidRPr="00CF77C1">
        <w:rPr>
          <w:lang w:val="sr-Cyrl-RS"/>
        </w:rPr>
        <w:t>”</w:t>
      </w:r>
      <w:r w:rsidR="00B1737B" w:rsidRPr="00CF77C1">
        <w:rPr>
          <w:lang w:val="sr-Cyrl-RS"/>
        </w:rPr>
        <w:t xml:space="preserve">. </w:t>
      </w:r>
      <w:r w:rsidR="004E7A5A" w:rsidRPr="00CF77C1">
        <w:rPr>
          <w:lang w:val="sr-Cyrl-RS"/>
        </w:rPr>
        <w:t xml:space="preserve">Посебан значај за мере, активности и пројекте поменуте у Програму остварења стратегије има Уредба о граничним вредностима емисија загађујућих материја у ваздух из постројења за сагоревање </w:t>
      </w:r>
      <w:r w:rsidR="009A670A" w:rsidRPr="00CF77C1">
        <w:rPr>
          <w:lang w:val="sr-Cyrl-RS"/>
        </w:rPr>
        <w:t>(„Службени гласник РС”, број</w:t>
      </w:r>
      <w:r w:rsidR="005C1C23" w:rsidRPr="00CF77C1">
        <w:rPr>
          <w:lang w:val="sr-Cyrl-RS"/>
        </w:rPr>
        <w:t xml:space="preserve"> 6/16) </w:t>
      </w:r>
      <w:r w:rsidR="004E7A5A" w:rsidRPr="00CF77C1">
        <w:rPr>
          <w:lang w:val="sr-Cyrl-RS"/>
        </w:rPr>
        <w:t xml:space="preserve">која условљава реализацију читавог низа пројекта у </w:t>
      </w:r>
      <w:r w:rsidR="00C85E36" w:rsidRPr="00CF77C1">
        <w:rPr>
          <w:lang w:val="sr-Cyrl-RS"/>
        </w:rPr>
        <w:t>области</w:t>
      </w:r>
      <w:r w:rsidR="004E7A5A" w:rsidRPr="00CF77C1">
        <w:rPr>
          <w:lang w:val="sr-Cyrl-RS"/>
        </w:rPr>
        <w:t xml:space="preserve"> електроенергетике</w:t>
      </w:r>
      <w:r w:rsidR="00C85E36" w:rsidRPr="00CF77C1">
        <w:rPr>
          <w:lang w:val="sr-Cyrl-RS"/>
        </w:rPr>
        <w:t>, топлотне енергије, нафте и индустрије у којима постоје велика ложишта</w:t>
      </w:r>
      <w:r w:rsidR="004E7A5A" w:rsidRPr="00CF77C1">
        <w:rPr>
          <w:lang w:val="sr-Cyrl-RS"/>
        </w:rPr>
        <w:t>.</w:t>
      </w:r>
      <w:r w:rsidR="00FD6557" w:rsidRPr="00CF77C1">
        <w:rPr>
          <w:lang w:val="sr-Cyrl-RS"/>
        </w:rPr>
        <w:t xml:space="preserve"> </w:t>
      </w:r>
      <w:r w:rsidR="00450111" w:rsidRPr="00CF77C1">
        <w:rPr>
          <w:lang w:val="sr-Cyrl-RS"/>
        </w:rPr>
        <w:t>20</w:t>
      </w:r>
      <w:r w:rsidR="00FD6557" w:rsidRPr="00CF77C1">
        <w:rPr>
          <w:lang w:val="sr-Cyrl-RS"/>
        </w:rPr>
        <w:t xml:space="preserve"> топлана у оквиру система даљинског грејања, НИС а.д. и ЈП </w:t>
      </w:r>
      <w:r w:rsidR="0030729F">
        <w:rPr>
          <w:lang w:val="sr-Cyrl-RS"/>
        </w:rPr>
        <w:t>„</w:t>
      </w:r>
      <w:r w:rsidR="00FD6557" w:rsidRPr="00CF77C1">
        <w:rPr>
          <w:lang w:val="sr-Cyrl-RS"/>
        </w:rPr>
        <w:t>Електропривреда Србије</w:t>
      </w:r>
      <w:r w:rsidR="0030729F">
        <w:rPr>
          <w:lang w:val="sr-Cyrl-RS"/>
        </w:rPr>
        <w:t>”</w:t>
      </w:r>
      <w:r w:rsidR="00FD6557" w:rsidRPr="00CF77C1">
        <w:rPr>
          <w:lang w:val="sr-Cyrl-RS"/>
        </w:rPr>
        <w:t xml:space="preserve"> (у даљем тексту</w:t>
      </w:r>
      <w:r w:rsidR="00133248" w:rsidRPr="00CF77C1">
        <w:rPr>
          <w:lang w:val="sr-Cyrl-RS"/>
        </w:rPr>
        <w:t>:</w:t>
      </w:r>
      <w:r w:rsidR="00FD6557" w:rsidRPr="00CF77C1">
        <w:rPr>
          <w:lang w:val="sr-Cyrl-RS"/>
        </w:rPr>
        <w:t xml:space="preserve"> ЕПС) преп</w:t>
      </w:r>
      <w:r w:rsidR="00C666BB" w:rsidRPr="00CF77C1">
        <w:rPr>
          <w:lang w:val="sr-Cyrl-RS"/>
        </w:rPr>
        <w:t>ознати су као операто</w:t>
      </w:r>
      <w:r w:rsidR="00FD6557" w:rsidRPr="00CF77C1">
        <w:rPr>
          <w:lang w:val="sr-Cyrl-RS"/>
        </w:rPr>
        <w:t>ри који подлежу Закону о интегрисаном спречавању и контроли загађивања животне средине и обавезне су да поднесу захтев надлежном министарству ради добијања интегрисане дозволе.</w:t>
      </w:r>
    </w:p>
    <w:p w14:paraId="289C7030" w14:textId="77777777" w:rsidR="00CA0898" w:rsidRPr="00CF77C1" w:rsidRDefault="00CA0898" w:rsidP="00983BA8">
      <w:pPr>
        <w:pStyle w:val="ListParagraph"/>
        <w:spacing w:before="0" w:after="0"/>
        <w:ind w:left="0" w:firstLine="720"/>
        <w:rPr>
          <w:lang w:val="sr-Cyrl-RS"/>
        </w:rPr>
      </w:pPr>
      <w:r w:rsidRPr="00CF77C1">
        <w:rPr>
          <w:lang w:val="sr-Cyrl-RS"/>
        </w:rPr>
        <w:t xml:space="preserve">Такође, </w:t>
      </w:r>
      <w:r w:rsidR="00C336A0" w:rsidRPr="00CF77C1">
        <w:rPr>
          <w:lang w:val="sr-Cyrl-RS"/>
        </w:rPr>
        <w:t>планиран је низ</w:t>
      </w:r>
      <w:r w:rsidRPr="00CF77C1">
        <w:rPr>
          <w:lang w:val="sr-Cyrl-RS"/>
        </w:rPr>
        <w:t xml:space="preserve"> мера и активности које би требало </w:t>
      </w:r>
      <w:r w:rsidR="00B061EF" w:rsidRPr="00CF77C1">
        <w:rPr>
          <w:lang w:val="sr-Cyrl-RS"/>
        </w:rPr>
        <w:t xml:space="preserve">да </w:t>
      </w:r>
      <w:r w:rsidR="00C336A0" w:rsidRPr="00CF77C1">
        <w:rPr>
          <w:lang w:val="sr-Cyrl-RS"/>
        </w:rPr>
        <w:t>обезбеде одрживи</w:t>
      </w:r>
      <w:r w:rsidRPr="00CF77C1">
        <w:rPr>
          <w:lang w:val="sr-Cyrl-RS"/>
        </w:rPr>
        <w:t xml:space="preserve"> енергетски сектор</w:t>
      </w:r>
      <w:r w:rsidR="00C336A0" w:rsidRPr="00CF77C1">
        <w:rPr>
          <w:lang w:val="sr-Cyrl-RS"/>
        </w:rPr>
        <w:t xml:space="preserve"> у складу са међународно преузетим обавезама и позитивном праксом</w:t>
      </w:r>
      <w:r w:rsidRPr="00CF77C1">
        <w:rPr>
          <w:lang w:val="sr-Cyrl-RS"/>
        </w:rPr>
        <w:t>.</w:t>
      </w:r>
    </w:p>
    <w:p w14:paraId="1488B2F6" w14:textId="77777777" w:rsidR="00BA724F" w:rsidRPr="00CF77C1" w:rsidRDefault="00BA724F" w:rsidP="00983BA8">
      <w:pPr>
        <w:pStyle w:val="ListParagraph"/>
        <w:spacing w:before="0" w:after="0"/>
        <w:ind w:left="0" w:firstLine="720"/>
        <w:rPr>
          <w:lang w:val="sr-Cyrl-RS"/>
        </w:rPr>
      </w:pPr>
      <w:r w:rsidRPr="00CF77C1">
        <w:rPr>
          <w:lang w:val="sr-Cyrl-RS"/>
        </w:rPr>
        <w:t>Овај документ у наставку обухвата следеће целине, односно поглавља:</w:t>
      </w:r>
    </w:p>
    <w:p w14:paraId="5B4652D2" w14:textId="03D14B9D" w:rsidR="000D142D" w:rsidRPr="00CF77C1" w:rsidRDefault="006102B6" w:rsidP="00983BA8">
      <w:pPr>
        <w:spacing w:before="0" w:after="0"/>
        <w:ind w:firstLine="720"/>
        <w:rPr>
          <w:rFonts w:eastAsia="Calibri"/>
          <w:szCs w:val="22"/>
          <w:lang w:val="sr-Cyrl-RS"/>
        </w:rPr>
      </w:pPr>
      <w:r>
        <w:rPr>
          <w:rFonts w:eastAsia="Calibri"/>
          <w:szCs w:val="22"/>
          <w:lang w:val="sr-Cyrl-RS"/>
        </w:rPr>
        <w:t xml:space="preserve">1) </w:t>
      </w:r>
      <w:r w:rsidR="00247AAD">
        <w:rPr>
          <w:rFonts w:eastAsia="Calibri"/>
          <w:szCs w:val="22"/>
          <w:lang w:val="sr-Cyrl-RS"/>
        </w:rPr>
        <w:t>Н</w:t>
      </w:r>
      <w:r w:rsidR="000D142D" w:rsidRPr="00CF77C1">
        <w:rPr>
          <w:rFonts w:eastAsia="Calibri"/>
          <w:szCs w:val="22"/>
          <w:lang w:val="sr-Cyrl-RS"/>
        </w:rPr>
        <w:t xml:space="preserve">ачин </w:t>
      </w:r>
      <w:r w:rsidR="007B1D69" w:rsidRPr="00CF77C1">
        <w:rPr>
          <w:rFonts w:eastAsia="Calibri"/>
          <w:szCs w:val="22"/>
          <w:lang w:val="sr-Cyrl-RS"/>
        </w:rPr>
        <w:t>дефинисања стратешких енергетских</w:t>
      </w:r>
      <w:r w:rsidR="000D142D" w:rsidRPr="00CF77C1">
        <w:rPr>
          <w:rFonts w:eastAsia="Calibri"/>
          <w:szCs w:val="22"/>
          <w:lang w:val="sr-Cyrl-RS"/>
        </w:rPr>
        <w:t xml:space="preserve"> пројеката </w:t>
      </w:r>
      <w:r w:rsidR="007B1D69" w:rsidRPr="00CF77C1">
        <w:rPr>
          <w:rFonts w:eastAsia="Calibri"/>
          <w:szCs w:val="22"/>
          <w:lang w:val="sr-Cyrl-RS"/>
        </w:rPr>
        <w:t>и неопходне активности у вези са доношењем одлуке о томе да је неки пројекат стратешки и основне обавезе Владе, њених министарстава и Агенције за енергетику Републике Србије у вези са стратешким енергетским пројектима;</w:t>
      </w:r>
    </w:p>
    <w:p w14:paraId="33E418C2" w14:textId="2799BE41" w:rsidR="00BA724F" w:rsidRPr="00CF77C1" w:rsidRDefault="006102B6" w:rsidP="00983BA8">
      <w:pPr>
        <w:spacing w:before="0" w:after="0"/>
        <w:ind w:firstLine="720"/>
        <w:rPr>
          <w:rFonts w:eastAsia="Calibri"/>
          <w:szCs w:val="22"/>
          <w:lang w:val="sr-Cyrl-RS"/>
        </w:rPr>
      </w:pPr>
      <w:bookmarkStart w:id="1" w:name="_Ref476121494"/>
      <w:r>
        <w:rPr>
          <w:rFonts w:eastAsia="Calibri"/>
          <w:szCs w:val="22"/>
          <w:lang w:val="sr-Cyrl-RS"/>
        </w:rPr>
        <w:t xml:space="preserve">2) </w:t>
      </w:r>
      <w:r w:rsidR="00247AAD">
        <w:rPr>
          <w:rFonts w:eastAsia="Calibri"/>
          <w:szCs w:val="22"/>
          <w:lang w:val="sr-Cyrl-RS"/>
        </w:rPr>
        <w:t>П</w:t>
      </w:r>
      <w:r w:rsidR="002E45C2" w:rsidRPr="00CF77C1">
        <w:rPr>
          <w:rFonts w:eastAsia="Calibri"/>
          <w:szCs w:val="22"/>
          <w:lang w:val="sr-Cyrl-RS"/>
        </w:rPr>
        <w:t>реглед</w:t>
      </w:r>
      <w:r w:rsidR="00440E3A" w:rsidRPr="00CF77C1">
        <w:rPr>
          <w:rFonts w:eastAsia="Calibri"/>
          <w:szCs w:val="22"/>
          <w:lang w:val="sr-Cyrl-RS"/>
        </w:rPr>
        <w:t xml:space="preserve"> мерљивих циљева и индикатора њиховог остварења које је потребно остварити кр</w:t>
      </w:r>
      <w:r w:rsidR="00C3571E" w:rsidRPr="00CF77C1">
        <w:rPr>
          <w:rFonts w:eastAsia="Calibri"/>
          <w:szCs w:val="22"/>
          <w:lang w:val="sr-Cyrl-RS"/>
        </w:rPr>
        <w:t>оз Програм остварења стратегије и</w:t>
      </w:r>
      <w:r w:rsidR="00440E3A" w:rsidRPr="00CF77C1">
        <w:rPr>
          <w:rFonts w:eastAsia="Calibri"/>
          <w:szCs w:val="22"/>
          <w:lang w:val="sr-Cyrl-RS"/>
        </w:rPr>
        <w:t xml:space="preserve"> </w:t>
      </w:r>
      <w:r w:rsidR="00C3571E" w:rsidRPr="00CF77C1">
        <w:rPr>
          <w:rFonts w:eastAsia="Calibri"/>
          <w:szCs w:val="22"/>
          <w:lang w:val="sr-Cyrl-RS"/>
        </w:rPr>
        <w:t>листу</w:t>
      </w:r>
      <w:r w:rsidR="00BA724F" w:rsidRPr="00CF77C1">
        <w:rPr>
          <w:rFonts w:eastAsia="Calibri"/>
          <w:szCs w:val="22"/>
          <w:lang w:val="sr-Cyrl-RS"/>
        </w:rPr>
        <w:t xml:space="preserve"> мера, активности и проје</w:t>
      </w:r>
      <w:r w:rsidR="006C729D">
        <w:rPr>
          <w:rFonts w:eastAsia="Calibri"/>
          <w:szCs w:val="22"/>
          <w:lang w:val="sr-Cyrl-RS"/>
        </w:rPr>
        <w:t>ката по областима у оквиру ПОС</w:t>
      </w:r>
      <w:r w:rsidR="00BA724F" w:rsidRPr="00CF77C1">
        <w:rPr>
          <w:rFonts w:eastAsia="Calibri"/>
          <w:szCs w:val="22"/>
          <w:lang w:val="sr-Cyrl-RS"/>
        </w:rPr>
        <w:t xml:space="preserve"> за остварење постављених циљева</w:t>
      </w:r>
      <w:r w:rsidR="004111F2" w:rsidRPr="00CF77C1">
        <w:rPr>
          <w:rFonts w:eastAsia="Calibri"/>
          <w:szCs w:val="22"/>
          <w:lang w:val="sr-Cyrl-RS"/>
        </w:rPr>
        <w:t>, узимајући у обзир и заштиту животне средине и енергетску ефикасност</w:t>
      </w:r>
      <w:r w:rsidR="00C3571E" w:rsidRPr="00CF77C1">
        <w:rPr>
          <w:rFonts w:eastAsia="Calibri"/>
          <w:szCs w:val="22"/>
          <w:lang w:val="sr-Cyrl-RS"/>
        </w:rPr>
        <w:t xml:space="preserve"> за сваку од наведених области</w:t>
      </w:r>
      <w:r w:rsidR="000107EA" w:rsidRPr="00CF77C1">
        <w:rPr>
          <w:rFonts w:eastAsia="Calibri"/>
          <w:szCs w:val="22"/>
          <w:lang w:val="sr-Cyrl-RS"/>
        </w:rPr>
        <w:t>:</w:t>
      </w:r>
      <w:bookmarkEnd w:id="1"/>
    </w:p>
    <w:p w14:paraId="5096957B" w14:textId="2A650F9E" w:rsidR="00BA724F" w:rsidRPr="00CF77C1" w:rsidRDefault="00AC34E3" w:rsidP="000A0055">
      <w:pPr>
        <w:pStyle w:val="ListParagraph"/>
        <w:numPr>
          <w:ilvl w:val="0"/>
          <w:numId w:val="108"/>
        </w:numPr>
        <w:tabs>
          <w:tab w:val="left" w:pos="720"/>
        </w:tabs>
        <w:ind w:left="0" w:firstLine="720"/>
        <w:rPr>
          <w:lang w:val="sr-Cyrl-RS"/>
        </w:rPr>
      </w:pPr>
      <w:r w:rsidRPr="00CF77C1">
        <w:rPr>
          <w:lang w:val="sr-Cyrl-RS"/>
        </w:rPr>
        <w:t xml:space="preserve">област </w:t>
      </w:r>
      <w:r w:rsidR="00BA724F" w:rsidRPr="00CF77C1">
        <w:rPr>
          <w:lang w:val="sr-Cyrl-RS"/>
        </w:rPr>
        <w:t>електричне енергије</w:t>
      </w:r>
      <w:r w:rsidR="00AA6FAD">
        <w:rPr>
          <w:lang w:val="sr-Cyrl-RS"/>
        </w:rPr>
        <w:t>;</w:t>
      </w:r>
    </w:p>
    <w:p w14:paraId="3BF162B4" w14:textId="056FC09A" w:rsidR="00BA724F" w:rsidRPr="00CF77C1" w:rsidRDefault="00AC34E3" w:rsidP="000A0055">
      <w:pPr>
        <w:pStyle w:val="ListParagraph"/>
        <w:numPr>
          <w:ilvl w:val="0"/>
          <w:numId w:val="108"/>
        </w:numPr>
        <w:tabs>
          <w:tab w:val="left" w:pos="720"/>
        </w:tabs>
        <w:ind w:left="0" w:firstLine="720"/>
        <w:rPr>
          <w:lang w:val="sr-Cyrl-RS"/>
        </w:rPr>
      </w:pPr>
      <w:r w:rsidRPr="00CF77C1">
        <w:rPr>
          <w:lang w:val="sr-Cyrl-RS"/>
        </w:rPr>
        <w:t xml:space="preserve">област </w:t>
      </w:r>
      <w:r w:rsidR="00BA724F" w:rsidRPr="00CF77C1">
        <w:rPr>
          <w:lang w:val="sr-Cyrl-RS"/>
        </w:rPr>
        <w:t>топлотне енергије</w:t>
      </w:r>
      <w:r w:rsidR="00AA6FAD">
        <w:rPr>
          <w:lang w:val="sr-Cyrl-RS"/>
        </w:rPr>
        <w:t>;</w:t>
      </w:r>
    </w:p>
    <w:p w14:paraId="3664771F" w14:textId="1C7288C4" w:rsidR="00BA724F" w:rsidRPr="00CF77C1" w:rsidRDefault="00AC34E3" w:rsidP="000A0055">
      <w:pPr>
        <w:pStyle w:val="ListParagraph"/>
        <w:numPr>
          <w:ilvl w:val="0"/>
          <w:numId w:val="108"/>
        </w:numPr>
        <w:tabs>
          <w:tab w:val="left" w:pos="720"/>
        </w:tabs>
        <w:ind w:left="0" w:firstLine="720"/>
        <w:rPr>
          <w:lang w:val="sr-Cyrl-RS"/>
        </w:rPr>
      </w:pPr>
      <w:r w:rsidRPr="00CF77C1">
        <w:rPr>
          <w:lang w:val="sr-Cyrl-RS"/>
        </w:rPr>
        <w:t xml:space="preserve">област </w:t>
      </w:r>
      <w:r w:rsidR="00BA724F" w:rsidRPr="00CF77C1">
        <w:rPr>
          <w:lang w:val="sr-Cyrl-RS"/>
        </w:rPr>
        <w:t>обновљивих извора енергије</w:t>
      </w:r>
      <w:r w:rsidR="00AA6FAD">
        <w:rPr>
          <w:lang w:val="sr-Cyrl-RS"/>
        </w:rPr>
        <w:t>;</w:t>
      </w:r>
    </w:p>
    <w:p w14:paraId="473AB109" w14:textId="52A46B49" w:rsidR="00BA724F" w:rsidRPr="00CF77C1" w:rsidRDefault="00AC34E3" w:rsidP="000A0055">
      <w:pPr>
        <w:pStyle w:val="ListParagraph"/>
        <w:numPr>
          <w:ilvl w:val="0"/>
          <w:numId w:val="108"/>
        </w:numPr>
        <w:tabs>
          <w:tab w:val="left" w:pos="720"/>
        </w:tabs>
        <w:ind w:left="0" w:firstLine="720"/>
        <w:rPr>
          <w:lang w:val="sr-Cyrl-RS"/>
        </w:rPr>
      </w:pPr>
      <w:r w:rsidRPr="00CF77C1">
        <w:rPr>
          <w:lang w:val="sr-Cyrl-RS"/>
        </w:rPr>
        <w:t xml:space="preserve">област </w:t>
      </w:r>
      <w:r w:rsidR="00BA724F" w:rsidRPr="00CF77C1">
        <w:rPr>
          <w:lang w:val="sr-Cyrl-RS"/>
        </w:rPr>
        <w:t>нафте</w:t>
      </w:r>
      <w:r w:rsidR="00AA6FAD">
        <w:rPr>
          <w:lang w:val="sr-Cyrl-RS"/>
        </w:rPr>
        <w:t>;</w:t>
      </w:r>
    </w:p>
    <w:p w14:paraId="31A678C4" w14:textId="77CE195D" w:rsidR="00BA724F" w:rsidRPr="00CF77C1" w:rsidRDefault="00AC34E3" w:rsidP="000A0055">
      <w:pPr>
        <w:pStyle w:val="ListParagraph"/>
        <w:numPr>
          <w:ilvl w:val="0"/>
          <w:numId w:val="108"/>
        </w:numPr>
        <w:tabs>
          <w:tab w:val="left" w:pos="720"/>
        </w:tabs>
        <w:ind w:left="0" w:firstLine="720"/>
        <w:rPr>
          <w:lang w:val="sr-Cyrl-RS"/>
        </w:rPr>
      </w:pPr>
      <w:r w:rsidRPr="00CF77C1">
        <w:rPr>
          <w:lang w:val="sr-Cyrl-RS"/>
        </w:rPr>
        <w:t xml:space="preserve">област </w:t>
      </w:r>
      <w:r w:rsidR="0092486C" w:rsidRPr="00CF77C1">
        <w:rPr>
          <w:lang w:val="sr-Cyrl-RS"/>
        </w:rPr>
        <w:t xml:space="preserve">природног </w:t>
      </w:r>
      <w:r w:rsidR="00BA724F" w:rsidRPr="00CF77C1">
        <w:rPr>
          <w:lang w:val="sr-Cyrl-RS"/>
        </w:rPr>
        <w:t>гаса</w:t>
      </w:r>
      <w:r w:rsidR="00AA6FAD">
        <w:rPr>
          <w:lang w:val="sr-Cyrl-RS"/>
        </w:rPr>
        <w:t>;</w:t>
      </w:r>
    </w:p>
    <w:p w14:paraId="5A73D084" w14:textId="0827224E" w:rsidR="00BA724F" w:rsidRPr="00CF77C1" w:rsidRDefault="00AC34E3" w:rsidP="000A0055">
      <w:pPr>
        <w:pStyle w:val="ListParagraph"/>
        <w:numPr>
          <w:ilvl w:val="0"/>
          <w:numId w:val="108"/>
        </w:numPr>
        <w:tabs>
          <w:tab w:val="left" w:pos="720"/>
        </w:tabs>
        <w:ind w:left="0" w:firstLine="720"/>
        <w:rPr>
          <w:lang w:val="sr-Cyrl-RS"/>
        </w:rPr>
      </w:pPr>
      <w:r w:rsidRPr="00CF77C1">
        <w:rPr>
          <w:lang w:val="sr-Cyrl-RS"/>
        </w:rPr>
        <w:t xml:space="preserve">област </w:t>
      </w:r>
      <w:r w:rsidR="00BA724F" w:rsidRPr="00CF77C1">
        <w:rPr>
          <w:lang w:val="sr-Cyrl-RS"/>
        </w:rPr>
        <w:t>угља</w:t>
      </w:r>
      <w:r w:rsidR="00AA6FAD">
        <w:rPr>
          <w:lang w:val="sr-Cyrl-RS"/>
        </w:rPr>
        <w:t>;</w:t>
      </w:r>
    </w:p>
    <w:p w14:paraId="28134593" w14:textId="4BEC7327" w:rsidR="00BA724F" w:rsidRPr="00CF77C1" w:rsidRDefault="00AC34E3" w:rsidP="000A0055">
      <w:pPr>
        <w:pStyle w:val="ListParagraph"/>
        <w:numPr>
          <w:ilvl w:val="0"/>
          <w:numId w:val="108"/>
        </w:numPr>
        <w:tabs>
          <w:tab w:val="left" w:pos="720"/>
        </w:tabs>
        <w:ind w:left="0" w:firstLine="720"/>
        <w:rPr>
          <w:lang w:val="sr-Cyrl-RS"/>
        </w:rPr>
      </w:pPr>
      <w:r w:rsidRPr="00CF77C1">
        <w:rPr>
          <w:lang w:val="sr-Cyrl-RS"/>
        </w:rPr>
        <w:t xml:space="preserve">област </w:t>
      </w:r>
      <w:r w:rsidR="00BA724F" w:rsidRPr="00CF77C1">
        <w:rPr>
          <w:lang w:val="sr-Cyrl-RS"/>
        </w:rPr>
        <w:t>енергетске ефикасности</w:t>
      </w:r>
      <w:r w:rsidR="004111F2" w:rsidRPr="00CF77C1">
        <w:rPr>
          <w:lang w:val="sr-Cyrl-RS"/>
        </w:rPr>
        <w:t xml:space="preserve"> у сектору потрошње енергије</w:t>
      </w:r>
      <w:r w:rsidR="00AA6FAD">
        <w:rPr>
          <w:lang w:val="sr-Cyrl-RS"/>
        </w:rPr>
        <w:t>.</w:t>
      </w:r>
    </w:p>
    <w:p w14:paraId="168BD6DA" w14:textId="45285DB7" w:rsidR="00C3571E" w:rsidRPr="00CF77C1" w:rsidRDefault="00464A56" w:rsidP="005F3794">
      <w:pPr>
        <w:tabs>
          <w:tab w:val="left" w:pos="720"/>
        </w:tabs>
        <w:ind w:firstLine="720"/>
        <w:rPr>
          <w:rFonts w:eastAsia="Calibri"/>
          <w:szCs w:val="22"/>
          <w:lang w:val="sr-Cyrl-RS"/>
        </w:rPr>
      </w:pPr>
      <w:r w:rsidRPr="00CF77C1">
        <w:rPr>
          <w:rFonts w:eastAsia="Calibri"/>
          <w:szCs w:val="22"/>
          <w:lang w:val="sr-Cyrl-RS"/>
        </w:rPr>
        <w:t xml:space="preserve"> </w:t>
      </w:r>
      <w:r w:rsidR="00DA2038" w:rsidRPr="00CF77C1">
        <w:rPr>
          <w:rFonts w:eastAsia="Calibri"/>
          <w:szCs w:val="22"/>
          <w:lang w:val="sr-Cyrl-RS"/>
        </w:rPr>
        <w:t>У оквиру ПОС</w:t>
      </w:r>
      <w:r w:rsidR="00C3571E" w:rsidRPr="00CF77C1">
        <w:rPr>
          <w:rFonts w:eastAsia="Calibri"/>
          <w:szCs w:val="22"/>
          <w:lang w:val="sr-Cyrl-RS"/>
        </w:rPr>
        <w:t xml:space="preserve"> посебно је издвојена група пројеката чије су основне карактеристике, тренутни статус и динамички план реализације детаљно приказани. Ови пројекти су јединствено нумерисани кроз цео ПОС, кључни су за остварење циљева по областима и њихова реализација, поред реализације предложених мера и активности, биће предмет извешта</w:t>
      </w:r>
      <w:r w:rsidR="00F567C9">
        <w:rPr>
          <w:rFonts w:eastAsia="Calibri"/>
          <w:szCs w:val="22"/>
          <w:lang w:val="sr-Cyrl-RS"/>
        </w:rPr>
        <w:t>вања у периоду реализа</w:t>
      </w:r>
      <w:r w:rsidR="00DA2038" w:rsidRPr="00CF77C1">
        <w:rPr>
          <w:rFonts w:eastAsia="Calibri"/>
          <w:szCs w:val="22"/>
          <w:lang w:val="sr-Cyrl-RS"/>
        </w:rPr>
        <w:t>ције ПОС</w:t>
      </w:r>
      <w:r w:rsidR="00C3571E" w:rsidRPr="00CF77C1">
        <w:rPr>
          <w:rFonts w:eastAsia="Calibri"/>
          <w:szCs w:val="22"/>
          <w:lang w:val="sr-Cyrl-RS"/>
        </w:rPr>
        <w:t>.</w:t>
      </w:r>
    </w:p>
    <w:p w14:paraId="3366B857" w14:textId="30317E85" w:rsidR="001F5B55" w:rsidRDefault="00AD7DEA" w:rsidP="001F5B55">
      <w:pPr>
        <w:rPr>
          <w:rFonts w:eastAsia="Calibri"/>
          <w:szCs w:val="22"/>
        </w:rPr>
      </w:pPr>
      <w:r w:rsidRPr="00CF77C1">
        <w:rPr>
          <w:rFonts w:eastAsia="Calibri"/>
          <w:szCs w:val="22"/>
          <w:lang w:val="sr-Cyrl-RS"/>
        </w:rPr>
        <w:tab/>
      </w:r>
      <w:r w:rsidR="006102B6">
        <w:rPr>
          <w:rFonts w:eastAsia="Calibri"/>
          <w:szCs w:val="22"/>
          <w:lang w:val="sr-Cyrl-RS"/>
        </w:rPr>
        <w:t xml:space="preserve">3) </w:t>
      </w:r>
      <w:r w:rsidR="00247AAD">
        <w:rPr>
          <w:rFonts w:eastAsia="Calibri"/>
          <w:szCs w:val="22"/>
          <w:lang w:val="sr-Cyrl-RS"/>
        </w:rPr>
        <w:t>О</w:t>
      </w:r>
      <w:r w:rsidR="009F21CF" w:rsidRPr="00CF77C1">
        <w:rPr>
          <w:rFonts w:eastAsia="Calibri"/>
          <w:szCs w:val="22"/>
          <w:lang w:val="sr-Cyrl-RS"/>
        </w:rPr>
        <w:t xml:space="preserve">дређивање приоритета пројеката дефинисаних у оквиру поглавља </w:t>
      </w:r>
      <w:r w:rsidR="00C000A0" w:rsidRPr="00CF77C1">
        <w:rPr>
          <w:rFonts w:eastAsia="Calibri"/>
          <w:szCs w:val="22"/>
          <w:lang w:val="sr-Latn-CS"/>
        </w:rPr>
        <w:t>4</w:t>
      </w:r>
      <w:r w:rsidR="00C3571E" w:rsidRPr="00CF77C1">
        <w:rPr>
          <w:rFonts w:eastAsia="Calibri"/>
          <w:szCs w:val="22"/>
          <w:lang w:val="sr-Cyrl-RS"/>
        </w:rPr>
        <w:t>, које је извршено користећи посебну Методологију за селекцију и приоритизацију инфраструктурних пројеката коју је усвојила Влада. На основу валоризоване стратешке релевантности сваког од пројеката, формиран је предлог допуне Јединствене листе приоритетних инфраструктурних пројеката у области енергетике - документа који ј</w:t>
      </w:r>
      <w:r w:rsidR="00AC627E" w:rsidRPr="00CF77C1">
        <w:rPr>
          <w:rFonts w:eastAsia="Calibri"/>
          <w:szCs w:val="22"/>
          <w:lang w:val="sr-Cyrl-RS"/>
        </w:rPr>
        <w:t>е у</w:t>
      </w:r>
      <w:r w:rsidR="00AC34E3">
        <w:rPr>
          <w:rFonts w:eastAsia="Calibri"/>
          <w:szCs w:val="22"/>
          <w:lang w:val="sr-Cyrl-RS"/>
        </w:rPr>
        <w:t>с</w:t>
      </w:r>
      <w:r w:rsidR="00AC627E" w:rsidRPr="00CF77C1">
        <w:rPr>
          <w:rFonts w:eastAsia="Calibri"/>
          <w:szCs w:val="22"/>
          <w:lang w:val="sr-Cyrl-RS"/>
        </w:rPr>
        <w:t>војила Влада</w:t>
      </w:r>
      <w:r w:rsidR="00C3571E" w:rsidRPr="00CF77C1">
        <w:rPr>
          <w:rFonts w:eastAsia="Calibri"/>
          <w:szCs w:val="22"/>
          <w:lang w:val="sr-Cyrl-RS"/>
        </w:rPr>
        <w:t xml:space="preserve"> и чија се ревизија очекује у 2018. години. Након извршене анализе, процењено је да су неки стратешки циљеви потцењени у систему оцењивања дефинисаног критеријумима за процену стратешке релевантности пројеката који су коришћени за формирање Јединствене листе приоритетних инфраструктурних пројеката у области енергетике. У том смислу редефинисан је систем оцена и параметара за оцењивање, као и тежинских фактора појединих оцена да би се адекватно сагледао утицај пројеката на реализацију циљева дефинисаних </w:t>
      </w:r>
      <w:r w:rsidR="00C3571E" w:rsidRPr="00506E73">
        <w:rPr>
          <w:rFonts w:eastAsia="Calibri"/>
          <w:szCs w:val="22"/>
          <w:lang w:val="sr-Cyrl-RS"/>
        </w:rPr>
        <w:t>Стратегијом енергетике и формирана је посебна ранг листа прој</w:t>
      </w:r>
      <w:r w:rsidR="00C255D3" w:rsidRPr="00506E73">
        <w:rPr>
          <w:rFonts w:eastAsia="Calibri"/>
          <w:szCs w:val="22"/>
          <w:lang w:val="sr-Cyrl-RS"/>
        </w:rPr>
        <w:t>еката дефинисаних у оквиру ПОС</w:t>
      </w:r>
      <w:r w:rsidR="00C3571E" w:rsidRPr="00506E73">
        <w:rPr>
          <w:rFonts w:eastAsia="Calibri"/>
          <w:szCs w:val="22"/>
          <w:lang w:val="sr-Cyrl-RS"/>
        </w:rPr>
        <w:t xml:space="preserve"> која боље показује њихов валоризовани утицај на остварење циљева чији је преглед дат у поглављу</w:t>
      </w:r>
      <w:r w:rsidR="00506E73" w:rsidRPr="00506E73">
        <w:rPr>
          <w:rFonts w:eastAsia="Calibri"/>
          <w:szCs w:val="22"/>
          <w:lang w:val="sr-Cyrl-RS"/>
        </w:rPr>
        <w:t xml:space="preserve"> 4</w:t>
      </w:r>
      <w:r w:rsidR="00F83314" w:rsidRPr="00506E73">
        <w:rPr>
          <w:rFonts w:eastAsia="Calibri"/>
          <w:szCs w:val="22"/>
          <w:lang w:val="sr-Cyrl-RS"/>
        </w:rPr>
        <w:t>.</w:t>
      </w:r>
      <w:r w:rsidR="00C3571E" w:rsidRPr="00CF77C1">
        <w:rPr>
          <w:rFonts w:eastAsia="Calibri"/>
          <w:szCs w:val="22"/>
          <w:lang w:val="sr-Cyrl-RS"/>
        </w:rPr>
        <w:t xml:space="preserve"> </w:t>
      </w:r>
      <w:r w:rsidR="000D241F">
        <w:rPr>
          <w:rFonts w:eastAsia="Calibri"/>
          <w:szCs w:val="22"/>
          <w:lang w:val="sr-Cyrl-RS"/>
        </w:rPr>
        <w:t xml:space="preserve"> </w:t>
      </w:r>
      <w:bookmarkStart w:id="2" w:name="_Toc484260272"/>
    </w:p>
    <w:p w14:paraId="43E6DF66" w14:textId="77777777" w:rsidR="001F5B55" w:rsidRDefault="001F5B55" w:rsidP="001F5B55">
      <w:pPr>
        <w:rPr>
          <w:rFonts w:eastAsia="Calibri"/>
          <w:szCs w:val="22"/>
        </w:rPr>
      </w:pPr>
    </w:p>
    <w:p w14:paraId="12778219" w14:textId="65B1194B" w:rsidR="00444B51" w:rsidRDefault="005E1591" w:rsidP="001F5B55">
      <w:pPr>
        <w:jc w:val="center"/>
      </w:pPr>
      <w:r w:rsidRPr="00CF77C1">
        <w:rPr>
          <w:lang w:val="sr-Cyrl-RS"/>
        </w:rPr>
        <w:t xml:space="preserve">2. </w:t>
      </w:r>
      <w:r w:rsidR="001F5B55" w:rsidRPr="00CF77C1">
        <w:rPr>
          <w:lang w:val="sr-Cyrl-RS"/>
        </w:rPr>
        <w:t>СТРАТЕШКИ ЕНЕРГЕТСКИ ПРОЈЕКТИ</w:t>
      </w:r>
      <w:bookmarkEnd w:id="2"/>
    </w:p>
    <w:p w14:paraId="562435AD" w14:textId="77777777" w:rsidR="001F5B55" w:rsidRPr="001F5B55" w:rsidRDefault="001F5B55" w:rsidP="001F5B55">
      <w:pPr>
        <w:jc w:val="center"/>
        <w:rPr>
          <w:b/>
        </w:rPr>
      </w:pPr>
    </w:p>
    <w:p w14:paraId="44F4985F" w14:textId="4DD29DD9" w:rsidR="008F19A6" w:rsidRPr="008F19A6" w:rsidRDefault="008F19A6" w:rsidP="008F19A6">
      <w:pPr>
        <w:ind w:firstLine="720"/>
        <w:rPr>
          <w:lang w:val="sr-Cyrl-CS"/>
        </w:rPr>
      </w:pPr>
      <w:r>
        <w:rPr>
          <w:lang w:val="sr-Latn-CS"/>
        </w:rPr>
        <w:t xml:space="preserve">2.1. </w:t>
      </w:r>
      <w:r>
        <w:rPr>
          <w:lang w:val="sr-Cyrl-CS"/>
        </w:rPr>
        <w:t>Основни појмови у вези са стр</w:t>
      </w:r>
      <w:r w:rsidR="00007E48">
        <w:rPr>
          <w:lang w:val="sr-Latn-CS"/>
        </w:rPr>
        <w:t>a</w:t>
      </w:r>
      <w:r>
        <w:rPr>
          <w:lang w:val="sr-Cyrl-CS"/>
        </w:rPr>
        <w:t>тешк</w:t>
      </w:r>
      <w:r w:rsidR="008D1F4C">
        <w:rPr>
          <w:lang w:val="sr-Cyrl-CS"/>
        </w:rPr>
        <w:t>и</w:t>
      </w:r>
      <w:r>
        <w:rPr>
          <w:lang w:val="sr-Cyrl-CS"/>
        </w:rPr>
        <w:t>м енергетским пројектима</w:t>
      </w:r>
    </w:p>
    <w:p w14:paraId="1C21213E" w14:textId="59E46DE6" w:rsidR="009E4135" w:rsidRPr="00CF77C1" w:rsidRDefault="00615070" w:rsidP="00EE041A">
      <w:pPr>
        <w:ind w:firstLine="720"/>
        <w:rPr>
          <w:lang w:val="sr-Cyrl-RS"/>
        </w:rPr>
      </w:pPr>
      <w:r w:rsidRPr="00CF77C1">
        <w:rPr>
          <w:lang w:val="sr-Cyrl-RS"/>
        </w:rPr>
        <w:t>У циљу дефинисања појма стратешки енергетски пројекат, начина промовисања неког пројекта у стратешки и обавеза и активности надлежних институција у погледу праћења реализације стратешких енергетских пројеката користе се појмови са следећим значењем:</w:t>
      </w:r>
    </w:p>
    <w:p w14:paraId="3E04FDD9" w14:textId="4CA34928" w:rsidR="008B6069" w:rsidRPr="00CF77C1" w:rsidRDefault="00615070" w:rsidP="003E39B4">
      <w:pPr>
        <w:pStyle w:val="ListParagraph"/>
        <w:numPr>
          <w:ilvl w:val="0"/>
          <w:numId w:val="69"/>
        </w:numPr>
        <w:spacing w:before="60" w:after="60"/>
        <w:ind w:left="0" w:firstLine="720"/>
        <w:contextualSpacing w:val="0"/>
        <w:rPr>
          <w:lang w:val="sr-Cyrl-RS"/>
        </w:rPr>
      </w:pPr>
      <w:r w:rsidRPr="00CF77C1">
        <w:rPr>
          <w:lang w:val="sr-Cyrl-RS"/>
        </w:rPr>
        <w:t>„енергетска инфраструктура” представља делове енергетског система, који се налазе у Републици Србији или повезују Републику Србију са једном или више земаља</w:t>
      </w:r>
      <w:r w:rsidR="008B6069" w:rsidRPr="00CF77C1">
        <w:rPr>
          <w:lang w:val="sr-Cyrl-RS"/>
        </w:rPr>
        <w:t>;</w:t>
      </w:r>
    </w:p>
    <w:p w14:paraId="608B3BC1" w14:textId="69C70ED8" w:rsidR="008B6069" w:rsidRPr="00CF77C1" w:rsidRDefault="00615070" w:rsidP="003E39B4">
      <w:pPr>
        <w:pStyle w:val="ListParagraph"/>
        <w:numPr>
          <w:ilvl w:val="0"/>
          <w:numId w:val="69"/>
        </w:numPr>
        <w:spacing w:before="60" w:after="60"/>
        <w:ind w:left="0" w:firstLine="720"/>
        <w:contextualSpacing w:val="0"/>
        <w:rPr>
          <w:lang w:val="sr-Cyrl-RS"/>
        </w:rPr>
      </w:pPr>
      <w:r w:rsidRPr="00CF77C1">
        <w:rPr>
          <w:lang w:val="sr-Cyrl-RS"/>
        </w:rPr>
        <w:t>„одлука о изградњи објекта” представља све одлуке које се доносе у поступку прибављања дозволе за изградњу, не укључујући одлуке судова и одлуке донете у поступку по жалбама</w:t>
      </w:r>
      <w:r w:rsidR="008B6069" w:rsidRPr="00CF77C1">
        <w:rPr>
          <w:lang w:val="sr-Cyrl-RS"/>
        </w:rPr>
        <w:t>;</w:t>
      </w:r>
    </w:p>
    <w:p w14:paraId="588057B8" w14:textId="4818CFC5" w:rsidR="008B6069" w:rsidRPr="00CF77C1" w:rsidRDefault="00615070" w:rsidP="003E39B4">
      <w:pPr>
        <w:pStyle w:val="ListParagraph"/>
        <w:numPr>
          <w:ilvl w:val="0"/>
          <w:numId w:val="69"/>
        </w:numPr>
        <w:spacing w:before="60" w:after="60"/>
        <w:ind w:left="0" w:firstLine="720"/>
        <w:contextualSpacing w:val="0"/>
        <w:rPr>
          <w:lang w:val="sr-Cyrl-RS"/>
        </w:rPr>
      </w:pPr>
      <w:r w:rsidRPr="00CF77C1">
        <w:rPr>
          <w:lang w:val="sr-Cyrl-RS"/>
        </w:rPr>
        <w:t>„пројекат” представља један или више делова енергетске инфраструктуре</w:t>
      </w:r>
      <w:r w:rsidR="008B6069" w:rsidRPr="00CF77C1">
        <w:rPr>
          <w:lang w:val="sr-Cyrl-RS"/>
        </w:rPr>
        <w:t>;</w:t>
      </w:r>
    </w:p>
    <w:p w14:paraId="4EB20A4E" w14:textId="1DFB78A1" w:rsidR="008B6069" w:rsidRPr="00CF77C1" w:rsidRDefault="008B6069" w:rsidP="003E39B4">
      <w:pPr>
        <w:pStyle w:val="ListParagraph"/>
        <w:numPr>
          <w:ilvl w:val="0"/>
          <w:numId w:val="69"/>
        </w:numPr>
        <w:spacing w:before="60" w:after="60"/>
        <w:ind w:left="0" w:firstLine="720"/>
        <w:contextualSpacing w:val="0"/>
        <w:rPr>
          <w:lang w:val="sr-Cyrl-RS"/>
        </w:rPr>
      </w:pPr>
      <w:r w:rsidRPr="00CF77C1">
        <w:rPr>
          <w:lang w:val="sr-Cyrl-RS"/>
        </w:rPr>
        <w:t>„</w:t>
      </w:r>
      <w:r w:rsidR="00615070" w:rsidRPr="00CF77C1">
        <w:rPr>
          <w:lang w:val="sr-Cyrl-RS"/>
        </w:rPr>
        <w:t>пројекат од интереса за Енергетску заједницу” представља стратешки енергетски пројекат који је део листе пројеката од интереса за Енергетску заједницу</w:t>
      </w:r>
      <w:r w:rsidR="008F61C9" w:rsidRPr="00CF77C1">
        <w:rPr>
          <w:lang w:val="sr-Cyrl-RS"/>
        </w:rPr>
        <w:t>;</w:t>
      </w:r>
    </w:p>
    <w:p w14:paraId="1F4231B9" w14:textId="3C808F0F" w:rsidR="008F61C9" w:rsidRPr="00CF77C1" w:rsidRDefault="008F61C9" w:rsidP="003E39B4">
      <w:pPr>
        <w:pStyle w:val="ListParagraph"/>
        <w:numPr>
          <w:ilvl w:val="0"/>
          <w:numId w:val="69"/>
        </w:numPr>
        <w:spacing w:before="60" w:after="60"/>
        <w:ind w:left="0" w:firstLine="720"/>
        <w:contextualSpacing w:val="0"/>
        <w:rPr>
          <w:lang w:val="sr-Cyrl-RS"/>
        </w:rPr>
      </w:pPr>
      <w:r w:rsidRPr="00CF77C1">
        <w:rPr>
          <w:lang w:val="sr-Cyrl-RS"/>
        </w:rPr>
        <w:t>„</w:t>
      </w:r>
      <w:r w:rsidR="00615070" w:rsidRPr="00CF77C1">
        <w:rPr>
          <w:lang w:val="sr-Cyrl-RS"/>
        </w:rPr>
        <w:t>уско грло енергетске инфраструктуре” представља ограничење физичког протока у енергетском систему због недовољних капацитета, што укључује, између осталог, недостатак инфраструктуре</w:t>
      </w:r>
      <w:r w:rsidRPr="00CF77C1">
        <w:rPr>
          <w:lang w:val="sr-Cyrl-RS"/>
        </w:rPr>
        <w:t>;</w:t>
      </w:r>
    </w:p>
    <w:p w14:paraId="497A4273" w14:textId="461B6398" w:rsidR="008F61C9" w:rsidRPr="00CF77C1" w:rsidRDefault="008F61C9" w:rsidP="003E39B4">
      <w:pPr>
        <w:pStyle w:val="ListParagraph"/>
        <w:numPr>
          <w:ilvl w:val="0"/>
          <w:numId w:val="69"/>
        </w:numPr>
        <w:spacing w:before="60" w:after="60"/>
        <w:ind w:left="0" w:firstLine="720"/>
        <w:contextualSpacing w:val="0"/>
        <w:rPr>
          <w:lang w:val="sr-Cyrl-RS"/>
        </w:rPr>
      </w:pPr>
      <w:r w:rsidRPr="00CF77C1">
        <w:rPr>
          <w:lang w:val="sr-Cyrl-RS"/>
        </w:rPr>
        <w:t>„промотер пројекта</w:t>
      </w:r>
      <w:r w:rsidR="00AD5740" w:rsidRPr="00CF77C1">
        <w:rPr>
          <w:lang w:val="sr-Cyrl-RS"/>
        </w:rPr>
        <w:t>”</w:t>
      </w:r>
      <w:r w:rsidR="003F0510" w:rsidRPr="00CF77C1">
        <w:rPr>
          <w:lang w:val="sr-Cyrl-RS"/>
        </w:rPr>
        <w:t xml:space="preserve"> </w:t>
      </w:r>
      <w:r w:rsidR="00615070" w:rsidRPr="00CF77C1">
        <w:rPr>
          <w:lang w:val="sr-Cyrl-RS"/>
        </w:rPr>
        <w:t>је</w:t>
      </w:r>
      <w:r w:rsidR="003F0510" w:rsidRPr="00CF77C1">
        <w:rPr>
          <w:lang w:val="sr-Cyrl-RS"/>
        </w:rPr>
        <w:t>:</w:t>
      </w:r>
    </w:p>
    <w:p w14:paraId="7254111D" w14:textId="65E80E4F" w:rsidR="008F61C9" w:rsidRPr="00CF77C1" w:rsidRDefault="003F0510" w:rsidP="00983BA8">
      <w:pPr>
        <w:pStyle w:val="ListParagraph"/>
        <w:tabs>
          <w:tab w:val="left" w:pos="810"/>
        </w:tabs>
        <w:spacing w:before="60" w:after="60"/>
        <w:ind w:left="0" w:firstLine="720"/>
        <w:contextualSpacing w:val="0"/>
        <w:rPr>
          <w:lang w:val="sr-Cyrl-RS"/>
        </w:rPr>
      </w:pPr>
      <w:r w:rsidRPr="00CF77C1">
        <w:rPr>
          <w:lang w:val="sr-Cyrl-RS"/>
        </w:rPr>
        <w:t>(а)</w:t>
      </w:r>
      <w:r w:rsidRPr="00CF77C1">
        <w:rPr>
          <w:lang w:val="sr-Cyrl-RS"/>
        </w:rPr>
        <w:tab/>
        <w:t>оператор преносног система (ОПС),</w:t>
      </w:r>
      <w:r w:rsidR="00FD2DEA" w:rsidRPr="00CF77C1">
        <w:rPr>
          <w:lang w:val="sr-Cyrl-RS"/>
        </w:rPr>
        <w:t xml:space="preserve"> оператор транспортног система (ОТС),</w:t>
      </w:r>
      <w:r w:rsidRPr="00CF77C1">
        <w:rPr>
          <w:lang w:val="sr-Cyrl-RS"/>
        </w:rPr>
        <w:t xml:space="preserve"> оператор дистрибутивног система (ОДС), или други оператор, или инвеститор, који развија </w:t>
      </w:r>
      <w:r w:rsidR="00615070" w:rsidRPr="00CF77C1">
        <w:rPr>
          <w:lang w:val="sr-Cyrl-RS"/>
        </w:rPr>
        <w:t>стратешки енергетски пројекат</w:t>
      </w:r>
      <w:r w:rsidRPr="00CF77C1">
        <w:rPr>
          <w:lang w:val="sr-Cyrl-RS"/>
        </w:rPr>
        <w:t>;</w:t>
      </w:r>
    </w:p>
    <w:p w14:paraId="1E216F7C" w14:textId="23FE6247" w:rsidR="003F0510" w:rsidRPr="00CF77C1" w:rsidRDefault="003F0510" w:rsidP="00983BA8">
      <w:pPr>
        <w:pStyle w:val="ListParagraph"/>
        <w:tabs>
          <w:tab w:val="left" w:pos="810"/>
        </w:tabs>
        <w:spacing w:before="60" w:after="60"/>
        <w:ind w:left="0" w:firstLine="720"/>
        <w:contextualSpacing w:val="0"/>
        <w:rPr>
          <w:lang w:val="sr-Cyrl-RS"/>
        </w:rPr>
      </w:pPr>
      <w:r w:rsidRPr="00CF77C1">
        <w:rPr>
          <w:lang w:val="sr-Cyrl-RS"/>
        </w:rPr>
        <w:t>(б)</w:t>
      </w:r>
      <w:r w:rsidRPr="00CF77C1">
        <w:rPr>
          <w:lang w:val="sr-Cyrl-RS"/>
        </w:rPr>
        <w:tab/>
      </w:r>
      <w:r w:rsidR="00615070" w:rsidRPr="00CF77C1">
        <w:rPr>
          <w:lang w:val="sr-Cyrl-RS"/>
        </w:rPr>
        <w:t>правни субјект који је уговором овлашћен до прихвати правне обавезе и сноси финансијску одговорност у име уговорних страна, у случају да постоји више оператора система, инвеститора, или група заин</w:t>
      </w:r>
      <w:r w:rsidR="008D1F4C">
        <w:rPr>
          <w:lang w:val="sr-Cyrl-RS"/>
        </w:rPr>
        <w:t>т</w:t>
      </w:r>
      <w:r w:rsidR="00615070" w:rsidRPr="00CF77C1">
        <w:rPr>
          <w:lang w:val="sr-Cyrl-RS"/>
        </w:rPr>
        <w:t>ересованих субјеката</w:t>
      </w:r>
      <w:r w:rsidRPr="00CF77C1">
        <w:rPr>
          <w:lang w:val="sr-Cyrl-RS"/>
        </w:rPr>
        <w:t>;</w:t>
      </w:r>
    </w:p>
    <w:p w14:paraId="03BEBBE5" w14:textId="4CCE1C81" w:rsidR="003F0510" w:rsidRPr="00CF77C1" w:rsidRDefault="003F0510" w:rsidP="003E39B4">
      <w:pPr>
        <w:pStyle w:val="ListParagraph"/>
        <w:numPr>
          <w:ilvl w:val="0"/>
          <w:numId w:val="69"/>
        </w:numPr>
        <w:spacing w:before="60" w:after="60"/>
        <w:ind w:left="0" w:firstLine="720"/>
        <w:contextualSpacing w:val="0"/>
        <w:rPr>
          <w:lang w:val="sr-Cyrl-RS"/>
        </w:rPr>
      </w:pPr>
      <w:r w:rsidRPr="00CF77C1">
        <w:rPr>
          <w:lang w:val="sr-Cyrl-RS"/>
        </w:rPr>
        <w:t>„паметна мрежа</w:t>
      </w:r>
      <w:r w:rsidR="00AD5740" w:rsidRPr="00CF77C1">
        <w:rPr>
          <w:lang w:val="sr-Cyrl-RS"/>
        </w:rPr>
        <w:t>”</w:t>
      </w:r>
      <w:r w:rsidRPr="00CF77C1">
        <w:rPr>
          <w:lang w:val="sr-Cyrl-RS"/>
        </w:rPr>
        <w:t xml:space="preserve"> </w:t>
      </w:r>
      <w:r w:rsidR="00615070" w:rsidRPr="00CF77C1">
        <w:rPr>
          <w:lang w:val="sr-Cyrl-RS"/>
        </w:rPr>
        <w:t>је електроенергетска мрежа која на исплатив начин обједињује понашање и деловање свих корисника који су на њу прикључени, односно повезани, укључујући произвођаче, крајње купце и оне који и производе и троше, да би се обезбедио економски ефикасан и одржив електроенергетски систем са ниским губицима и високим нивоима квалитета, сигурности снабдевања и безбедности</w:t>
      </w:r>
      <w:r w:rsidRPr="00CF77C1">
        <w:rPr>
          <w:lang w:val="sr-Cyrl-RS"/>
        </w:rPr>
        <w:t>;</w:t>
      </w:r>
    </w:p>
    <w:p w14:paraId="473AFD7C" w14:textId="219FE43D" w:rsidR="003F0510" w:rsidRPr="00CF77C1" w:rsidRDefault="003F0510" w:rsidP="003E39B4">
      <w:pPr>
        <w:pStyle w:val="ListParagraph"/>
        <w:numPr>
          <w:ilvl w:val="0"/>
          <w:numId w:val="69"/>
        </w:numPr>
        <w:spacing w:before="60" w:after="60"/>
        <w:ind w:left="0" w:firstLine="720"/>
        <w:contextualSpacing w:val="0"/>
        <w:rPr>
          <w:lang w:val="sr-Cyrl-RS"/>
        </w:rPr>
      </w:pPr>
      <w:r w:rsidRPr="00CF77C1">
        <w:rPr>
          <w:lang w:val="sr-Cyrl-RS"/>
        </w:rPr>
        <w:t>„радови</w:t>
      </w:r>
      <w:r w:rsidR="00AD5740" w:rsidRPr="00CF77C1">
        <w:rPr>
          <w:lang w:val="sr-Cyrl-RS"/>
        </w:rPr>
        <w:t>”</w:t>
      </w:r>
      <w:r w:rsidRPr="00CF77C1">
        <w:rPr>
          <w:lang w:val="sr-Cyrl-RS"/>
        </w:rPr>
        <w:t xml:space="preserve"> </w:t>
      </w:r>
      <w:r w:rsidR="00247AAD">
        <w:rPr>
          <w:lang w:val="sr-Cyrl-RS"/>
        </w:rPr>
        <w:t>су изградња објекта у смислу з</w:t>
      </w:r>
      <w:r w:rsidR="00615070" w:rsidRPr="00CF77C1">
        <w:rPr>
          <w:lang w:val="sr-Cyrl-RS"/>
        </w:rPr>
        <w:t>акона којим се уређује планирање и изградња објеката, као и набавка опреме и услуга</w:t>
      </w:r>
      <w:r w:rsidRPr="00CF77C1">
        <w:rPr>
          <w:lang w:val="sr-Cyrl-RS"/>
        </w:rPr>
        <w:t>;</w:t>
      </w:r>
    </w:p>
    <w:p w14:paraId="3D1B47DA" w14:textId="10D19F65" w:rsidR="003F0510" w:rsidRPr="00CF77C1" w:rsidRDefault="003F0510" w:rsidP="003E39B4">
      <w:pPr>
        <w:pStyle w:val="ListParagraph"/>
        <w:numPr>
          <w:ilvl w:val="0"/>
          <w:numId w:val="69"/>
        </w:numPr>
        <w:spacing w:before="60" w:after="60"/>
        <w:ind w:left="0" w:firstLine="720"/>
        <w:contextualSpacing w:val="0"/>
        <w:rPr>
          <w:lang w:val="sr-Cyrl-RS"/>
        </w:rPr>
      </w:pPr>
      <w:r w:rsidRPr="00CF77C1">
        <w:rPr>
          <w:lang w:val="sr-Cyrl-RS"/>
        </w:rPr>
        <w:t>„студије</w:t>
      </w:r>
      <w:r w:rsidR="00AD5740" w:rsidRPr="00CF77C1">
        <w:rPr>
          <w:lang w:val="sr-Cyrl-RS"/>
        </w:rPr>
        <w:t>”</w:t>
      </w:r>
      <w:r w:rsidRPr="00CF77C1">
        <w:rPr>
          <w:lang w:val="sr-Cyrl-RS"/>
        </w:rPr>
        <w:t xml:space="preserve"> </w:t>
      </w:r>
      <w:r w:rsidR="00615070" w:rsidRPr="00CF77C1">
        <w:rPr>
          <w:lang w:val="sr-Cyrl-RS"/>
        </w:rPr>
        <w:t>су активности потребне за припрему извођења пројекта, у смислу закона којим се уређује планирање и изградња објеката и закона којим се уређује заштита животне средине</w:t>
      </w:r>
      <w:r w:rsidRPr="00CF77C1">
        <w:rPr>
          <w:lang w:val="sr-Cyrl-RS"/>
        </w:rPr>
        <w:t>;</w:t>
      </w:r>
    </w:p>
    <w:p w14:paraId="52AFA080" w14:textId="5F9B9F49" w:rsidR="007B1D69" w:rsidRPr="00CF77C1" w:rsidRDefault="007B1D69" w:rsidP="003E39B4">
      <w:pPr>
        <w:pStyle w:val="ListParagraph"/>
        <w:numPr>
          <w:ilvl w:val="0"/>
          <w:numId w:val="69"/>
        </w:numPr>
        <w:spacing w:before="60" w:after="60"/>
        <w:ind w:left="0" w:firstLine="720"/>
        <w:contextualSpacing w:val="0"/>
        <w:rPr>
          <w:lang w:val="sr-Cyrl-RS"/>
        </w:rPr>
      </w:pPr>
      <w:r w:rsidRPr="00CF77C1">
        <w:rPr>
          <w:lang w:val="sr-Cyrl-RS"/>
        </w:rPr>
        <w:t>„</w:t>
      </w:r>
      <w:r w:rsidR="00615070" w:rsidRPr="00CF77C1">
        <w:rPr>
          <w:lang w:val="sr-Cyrl-RS"/>
        </w:rPr>
        <w:t>стављање у погон</w:t>
      </w:r>
      <w:r w:rsidR="00AD5740" w:rsidRPr="00CF77C1">
        <w:rPr>
          <w:lang w:val="sr-Cyrl-RS"/>
        </w:rPr>
        <w:t>”</w:t>
      </w:r>
      <w:r w:rsidRPr="00CF77C1">
        <w:rPr>
          <w:lang w:val="sr-Cyrl-RS"/>
        </w:rPr>
        <w:t xml:space="preserve"> </w:t>
      </w:r>
      <w:r w:rsidR="00615070" w:rsidRPr="00CF77C1">
        <w:rPr>
          <w:lang w:val="sr-Cyrl-RS"/>
        </w:rPr>
        <w:t>је поступак пуштања пројекта у рад након изградње у смислу закона којим се уређује планирање и изградња објеката</w:t>
      </w:r>
      <w:r w:rsidRPr="00CF77C1">
        <w:rPr>
          <w:lang w:val="sr-Cyrl-RS"/>
        </w:rPr>
        <w:t>.</w:t>
      </w:r>
    </w:p>
    <w:p w14:paraId="7B4B9EB1" w14:textId="73C1AAB2" w:rsidR="00476C25" w:rsidRPr="00CF77C1" w:rsidRDefault="00D75886" w:rsidP="00D75886">
      <w:pPr>
        <w:pStyle w:val="Heading2"/>
        <w:pageBreakBefore w:val="0"/>
        <w:numPr>
          <w:ilvl w:val="0"/>
          <w:numId w:val="0"/>
        </w:numPr>
        <w:ind w:left="720"/>
        <w:rPr>
          <w:rFonts w:ascii="Times New Roman" w:hAnsi="Times New Roman"/>
          <w:b w:val="0"/>
          <w:lang w:val="sr-Cyrl-RS"/>
        </w:rPr>
      </w:pPr>
      <w:bookmarkStart w:id="3" w:name="_Ref479266727"/>
      <w:bookmarkStart w:id="4" w:name="_Toc484260274"/>
      <w:r w:rsidRPr="00CF77C1">
        <w:rPr>
          <w:rFonts w:ascii="Times New Roman" w:hAnsi="Times New Roman"/>
          <w:b w:val="0"/>
          <w:lang w:val="sr-Latn-CS"/>
        </w:rPr>
        <w:t xml:space="preserve">2.2.  </w:t>
      </w:r>
      <w:r w:rsidR="00476C25" w:rsidRPr="00CF77C1">
        <w:rPr>
          <w:rFonts w:ascii="Times New Roman" w:hAnsi="Times New Roman"/>
          <w:b w:val="0"/>
          <w:lang w:val="sr-Cyrl-RS"/>
        </w:rPr>
        <w:t>Категорије стратешких енергетских пројеката</w:t>
      </w:r>
      <w:bookmarkEnd w:id="3"/>
      <w:bookmarkEnd w:id="4"/>
    </w:p>
    <w:p w14:paraId="195DB092" w14:textId="143D104B" w:rsidR="00476C25" w:rsidRPr="008F19A6" w:rsidRDefault="008F19A6" w:rsidP="008F19A6">
      <w:pPr>
        <w:ind w:firstLine="720"/>
        <w:rPr>
          <w:lang w:val="sr-Cyrl-RS"/>
        </w:rPr>
      </w:pPr>
      <w:r w:rsidRPr="008F19A6">
        <w:rPr>
          <w:lang w:val="sr-Cyrl-RS"/>
        </w:rPr>
        <w:t xml:space="preserve">1) </w:t>
      </w:r>
      <w:r w:rsidR="00476C25" w:rsidRPr="008F19A6">
        <w:rPr>
          <w:lang w:val="sr-Cyrl-RS"/>
        </w:rPr>
        <w:t>Област електричне енергије:</w:t>
      </w:r>
      <w:r>
        <w:rPr>
          <w:lang w:val="sr-Cyrl-RS"/>
        </w:rPr>
        <w:t xml:space="preserve"> </w:t>
      </w:r>
    </w:p>
    <w:p w14:paraId="066576D4" w14:textId="3E964870" w:rsidR="009C0DA7" w:rsidRPr="00CF77C1" w:rsidRDefault="009C0DA7" w:rsidP="00EE041A">
      <w:pPr>
        <w:ind w:firstLine="720"/>
        <w:rPr>
          <w:lang w:val="sr-Cyrl-RS"/>
        </w:rPr>
      </w:pPr>
      <w:r w:rsidRPr="00CF77C1">
        <w:rPr>
          <w:lang w:val="sr-Cyrl-RS"/>
        </w:rPr>
        <w:t>(1) надземни електроенергетски водови напонског нивоа 110 kV или вишег, или подземни електроенергетски водови (каблови) напонског нивоа 110 kV или вишег или подводни електроенергетски водови (каблови) напонског нивоа 110 kV или вишег;</w:t>
      </w:r>
    </w:p>
    <w:p w14:paraId="7D8C4B2C" w14:textId="671055F2" w:rsidR="009C0DA7" w:rsidRPr="00CF77C1" w:rsidRDefault="009C0DA7" w:rsidP="00EE041A">
      <w:pPr>
        <w:ind w:firstLine="720"/>
        <w:rPr>
          <w:lang w:val="sr-Cyrl-RS"/>
        </w:rPr>
      </w:pPr>
      <w:r w:rsidRPr="00CF77C1">
        <w:rPr>
          <w:lang w:val="sr-Cyrl-RS"/>
        </w:rPr>
        <w:t>(2) објекти за складиштење електричне енергије који се користе за стално или привремено складиштење електричне енергије у надземној или подземној инфраструктури или геолошким локацијама, под условом да су директно повезани с електроенергетским водовима напонског нивоа 110 kV или вишег;</w:t>
      </w:r>
    </w:p>
    <w:p w14:paraId="0A2CE4FA" w14:textId="6F611C3F" w:rsidR="009C0DA7" w:rsidRPr="00CF77C1" w:rsidRDefault="008F19A6" w:rsidP="00EE041A">
      <w:pPr>
        <w:ind w:firstLine="720"/>
        <w:rPr>
          <w:lang w:val="sr-Cyrl-RS"/>
        </w:rPr>
      </w:pPr>
      <w:r>
        <w:rPr>
          <w:lang w:val="sr-Cyrl-RS"/>
        </w:rPr>
        <w:t xml:space="preserve">(3) </w:t>
      </w:r>
      <w:r w:rsidR="009C0DA7" w:rsidRPr="00CF77C1">
        <w:rPr>
          <w:lang w:val="sr-Cyrl-RS"/>
        </w:rPr>
        <w:t>опрема или инсталације које су битне за сигуран, поуздан и ефикасан рад</w:t>
      </w:r>
      <w:r w:rsidR="00247AAD">
        <w:rPr>
          <w:lang w:val="sr-Cyrl-RS"/>
        </w:rPr>
        <w:t xml:space="preserve"> претходно поменутих система из подтач.</w:t>
      </w:r>
      <w:r w:rsidR="00DA3CD8">
        <w:rPr>
          <w:lang w:val="sr-Cyrl-RS"/>
        </w:rPr>
        <w:t xml:space="preserve"> (1) и </w:t>
      </w:r>
      <w:r w:rsidR="009C0DA7" w:rsidRPr="00CF77C1">
        <w:rPr>
          <w:lang w:val="sr-Cyrl-RS"/>
        </w:rPr>
        <w:t>(2)</w:t>
      </w:r>
      <w:r w:rsidR="00247AAD">
        <w:rPr>
          <w:lang w:val="sr-Cyrl-RS"/>
        </w:rPr>
        <w:t xml:space="preserve"> ове тачке</w:t>
      </w:r>
      <w:r w:rsidR="009C0DA7" w:rsidRPr="00CF77C1">
        <w:rPr>
          <w:lang w:val="sr-Cyrl-RS"/>
        </w:rPr>
        <w:t>, укључујући системе заштите, надзора и управљања за све напонске нивое и трансформаторске станице;</w:t>
      </w:r>
    </w:p>
    <w:p w14:paraId="69B10A88" w14:textId="371C4C91" w:rsidR="009C0DA7" w:rsidRPr="00CF77C1" w:rsidRDefault="008F19A6" w:rsidP="00EE041A">
      <w:pPr>
        <w:ind w:firstLine="720"/>
        <w:rPr>
          <w:lang w:val="sr-Cyrl-RS"/>
        </w:rPr>
      </w:pPr>
      <w:r>
        <w:rPr>
          <w:lang w:val="sr-Cyrl-RS"/>
        </w:rPr>
        <w:t xml:space="preserve">(4) </w:t>
      </w:r>
      <w:r w:rsidR="009C0DA7" w:rsidRPr="00CF77C1">
        <w:rPr>
          <w:lang w:val="sr-Cyrl-RS"/>
        </w:rPr>
        <w:t>опрема или инсталације у преносном и дистрибутивном систему, који обезбеђују двострану дигиталну комуникацију у реалном времену или што ближе реалном времену, интерактиван и паметан надзор и управљање производњом, преносом, дистрибуцијом и потрошњом електричне енергије унутар електроенергетске мреже, у погледу развоја електроенергетске мреже која на исплатив начин обједињује понашање и деловање свих субјеката који су на њу повезани (произвођача, потрошача и оних који обављају обе функције), да би се осигурао економски ефикасан и одржив електроенергетски систем са ниским губицима и високим нивоом сигурности и квалитета снабдева</w:t>
      </w:r>
      <w:r w:rsidR="00C15375">
        <w:rPr>
          <w:lang w:val="sr-Cyrl-RS"/>
        </w:rPr>
        <w:t>ња и високим нивоом безбедности.</w:t>
      </w:r>
    </w:p>
    <w:p w14:paraId="644F9006" w14:textId="774F1E41" w:rsidR="00476C25" w:rsidRPr="008F19A6" w:rsidRDefault="008F19A6" w:rsidP="008F19A6">
      <w:pPr>
        <w:ind w:firstLine="720"/>
        <w:rPr>
          <w:lang w:val="sr-Cyrl-RS"/>
        </w:rPr>
      </w:pPr>
      <w:r>
        <w:rPr>
          <w:lang w:val="sr-Cyrl-RS"/>
        </w:rPr>
        <w:t xml:space="preserve">2) </w:t>
      </w:r>
      <w:r w:rsidR="009C0DA7" w:rsidRPr="008F19A6">
        <w:rPr>
          <w:lang w:val="sr-Cyrl-RS"/>
        </w:rPr>
        <w:t>Област гаса:</w:t>
      </w:r>
      <w:r>
        <w:rPr>
          <w:lang w:val="sr-Cyrl-RS"/>
        </w:rPr>
        <w:t xml:space="preserve"> </w:t>
      </w:r>
    </w:p>
    <w:p w14:paraId="40A2A8BC" w14:textId="77777777" w:rsidR="009C0DA7" w:rsidRPr="008F19A6" w:rsidRDefault="009C0DA7" w:rsidP="00EE041A">
      <w:pPr>
        <w:ind w:firstLine="720"/>
        <w:rPr>
          <w:lang w:val="sr-Cyrl-RS"/>
        </w:rPr>
      </w:pPr>
      <w:r w:rsidRPr="008F19A6">
        <w:rPr>
          <w:lang w:val="sr-Cyrl-RS"/>
        </w:rPr>
        <w:t>(1) гасоводи за транспорт природног гаса и биогаса који су део транспортног система;</w:t>
      </w:r>
    </w:p>
    <w:p w14:paraId="3B300DFD" w14:textId="17351349" w:rsidR="009C0DA7" w:rsidRPr="008F19A6" w:rsidRDefault="009C0DA7" w:rsidP="00EE041A">
      <w:pPr>
        <w:ind w:firstLine="720"/>
        <w:rPr>
          <w:lang w:val="sr-Cyrl-RS"/>
        </w:rPr>
      </w:pPr>
      <w:r w:rsidRPr="008F19A6">
        <w:rPr>
          <w:lang w:val="sr-Cyrl-RS"/>
        </w:rPr>
        <w:t xml:space="preserve">(2) подземна складишта природног гаса повезана са гасоводима поменутим </w:t>
      </w:r>
      <w:r w:rsidR="00310B51" w:rsidRPr="008F19A6">
        <w:rPr>
          <w:lang w:val="sr-Cyrl-RS"/>
        </w:rPr>
        <w:t>у подтачки</w:t>
      </w:r>
      <w:r w:rsidRPr="008F19A6">
        <w:rPr>
          <w:lang w:val="sr-Cyrl-RS"/>
        </w:rPr>
        <w:t xml:space="preserve"> (1)</w:t>
      </w:r>
      <w:r w:rsidR="00310B51" w:rsidRPr="008F19A6">
        <w:rPr>
          <w:lang w:val="sr-Cyrl-RS"/>
        </w:rPr>
        <w:t xml:space="preserve"> ове тачке</w:t>
      </w:r>
      <w:r w:rsidRPr="008F19A6">
        <w:rPr>
          <w:lang w:val="sr-Cyrl-RS"/>
        </w:rPr>
        <w:t>;</w:t>
      </w:r>
    </w:p>
    <w:p w14:paraId="3D9566A5" w14:textId="77777777" w:rsidR="009C0DA7" w:rsidRPr="008F19A6" w:rsidRDefault="009C0DA7" w:rsidP="00EE041A">
      <w:pPr>
        <w:ind w:firstLine="720"/>
        <w:rPr>
          <w:lang w:val="sr-Cyrl-RS"/>
        </w:rPr>
      </w:pPr>
      <w:r w:rsidRPr="008F19A6">
        <w:rPr>
          <w:lang w:val="sr-Cyrl-RS"/>
        </w:rPr>
        <w:t>(3) постројења за пријем, складиштење, регасификацију или декомпресију утечњеног природног гаса или компримованог природног гаса;</w:t>
      </w:r>
    </w:p>
    <w:p w14:paraId="7016B270" w14:textId="4DEE0ED9" w:rsidR="009C0DA7" w:rsidRPr="00CF77C1" w:rsidRDefault="009C0DA7" w:rsidP="00EE041A">
      <w:pPr>
        <w:ind w:firstLine="720"/>
        <w:rPr>
          <w:lang w:val="sr-Cyrl-RS"/>
        </w:rPr>
      </w:pPr>
      <w:r w:rsidRPr="008F19A6">
        <w:rPr>
          <w:lang w:val="sr-Cyrl-RS"/>
        </w:rPr>
        <w:t xml:space="preserve">(4) опрема или инсталације које су од значаја за безбедан, сигуран и ефикасан рад система, или омогућују двосмеран проток природног гаса, укључујући </w:t>
      </w:r>
      <w:r w:rsidR="006607ED">
        <w:rPr>
          <w:lang w:val="sr-Cyrl-RS"/>
        </w:rPr>
        <w:t>компресорске станице.</w:t>
      </w:r>
    </w:p>
    <w:p w14:paraId="4506595B" w14:textId="79DE546B" w:rsidR="009C0DA7" w:rsidRPr="008F19A6" w:rsidRDefault="008F19A6" w:rsidP="008F19A6">
      <w:pPr>
        <w:ind w:firstLine="720"/>
        <w:rPr>
          <w:lang w:val="sr-Cyrl-RS"/>
        </w:rPr>
      </w:pPr>
      <w:r>
        <w:rPr>
          <w:lang w:val="sr-Cyrl-RS"/>
        </w:rPr>
        <w:t xml:space="preserve">3) </w:t>
      </w:r>
      <w:r w:rsidR="009C0DA7" w:rsidRPr="008F19A6">
        <w:rPr>
          <w:lang w:val="sr-Cyrl-RS"/>
        </w:rPr>
        <w:t>Област нафте:</w:t>
      </w:r>
    </w:p>
    <w:p w14:paraId="38382AB0" w14:textId="77777777" w:rsidR="009C0DA7" w:rsidRPr="00CF77C1" w:rsidRDefault="009C0DA7" w:rsidP="004572CC">
      <w:pPr>
        <w:ind w:firstLine="720"/>
        <w:rPr>
          <w:lang w:val="sr-Cyrl-RS"/>
        </w:rPr>
      </w:pPr>
      <w:r w:rsidRPr="00CF77C1">
        <w:rPr>
          <w:lang w:val="sr-Cyrl-RS"/>
        </w:rPr>
        <w:t>(1) нафтоводи за транспорт сирове нафте;</w:t>
      </w:r>
    </w:p>
    <w:p w14:paraId="5DCA76AE" w14:textId="77777777" w:rsidR="009C0DA7" w:rsidRPr="00CF77C1" w:rsidRDefault="009C0DA7" w:rsidP="004572CC">
      <w:pPr>
        <w:ind w:firstLine="720"/>
        <w:rPr>
          <w:lang w:val="sr-Cyrl-RS"/>
        </w:rPr>
      </w:pPr>
      <w:r w:rsidRPr="00CF77C1">
        <w:rPr>
          <w:lang w:val="sr-Cyrl-RS"/>
        </w:rPr>
        <w:t>(2) пумпне станице и складишни објекти потребни за рад нафтовода;</w:t>
      </w:r>
    </w:p>
    <w:p w14:paraId="3B37DBC2" w14:textId="77777777" w:rsidR="009C0DA7" w:rsidRPr="00CF77C1" w:rsidRDefault="009C0DA7" w:rsidP="004572CC">
      <w:pPr>
        <w:ind w:firstLine="720"/>
        <w:rPr>
          <w:lang w:val="sr-Cyrl-RS"/>
        </w:rPr>
      </w:pPr>
      <w:r w:rsidRPr="00CF77C1">
        <w:rPr>
          <w:lang w:val="sr-Cyrl-RS"/>
        </w:rPr>
        <w:t>(3) свака опрема или инсталације која је битна за сигуран, поуздан и ефикасан рад поменутог система, укључујући системе заштите, надзора и управљања, као и уређаје за реверзибилни ток;</w:t>
      </w:r>
    </w:p>
    <w:p w14:paraId="78BE07BE" w14:textId="33D87A30" w:rsidR="009C0DA7" w:rsidRPr="008F19A6" w:rsidRDefault="008F19A6" w:rsidP="008F19A6">
      <w:pPr>
        <w:ind w:firstLine="720"/>
        <w:rPr>
          <w:lang w:val="sr-Cyrl-RS"/>
        </w:rPr>
      </w:pPr>
      <w:r>
        <w:rPr>
          <w:lang w:val="sr-Cyrl-RS"/>
        </w:rPr>
        <w:t xml:space="preserve">4) </w:t>
      </w:r>
      <w:r w:rsidR="009C0DA7" w:rsidRPr="008F19A6">
        <w:rPr>
          <w:lang w:val="sr-Cyrl-RS"/>
        </w:rPr>
        <w:t>Приоритетна тематска област коју треба развијати:</w:t>
      </w:r>
    </w:p>
    <w:p w14:paraId="65BE5B6A" w14:textId="21A0FAA2" w:rsidR="009C0DA7" w:rsidRPr="00CF77C1" w:rsidRDefault="00412922" w:rsidP="004572CC">
      <w:pPr>
        <w:pStyle w:val="ListParagraph"/>
        <w:spacing w:before="60" w:after="60"/>
        <w:ind w:left="0" w:firstLine="720"/>
        <w:contextualSpacing w:val="0"/>
        <w:rPr>
          <w:lang w:val="sr-Cyrl-RS"/>
        </w:rPr>
      </w:pPr>
      <w:r w:rsidRPr="00CF77C1">
        <w:rPr>
          <w:lang w:val="sr-Cyrl-RS"/>
        </w:rPr>
        <w:t>У</w:t>
      </w:r>
      <w:r w:rsidR="009C0DA7" w:rsidRPr="00CF77C1">
        <w:rPr>
          <w:lang w:val="sr-Cyrl-RS"/>
        </w:rPr>
        <w:t>вођење паметних мрежа: примена технологија паметних мрежа у Републици Србији, с циљем ефективне интеграције понашања и деловања свих корисника повезаних с</w:t>
      </w:r>
      <w:r w:rsidR="00827CDE">
        <w:rPr>
          <w:lang w:val="sr-Cyrl-RS"/>
        </w:rPr>
        <w:t>а</w:t>
      </w:r>
      <w:r w:rsidR="009C0DA7" w:rsidRPr="00CF77C1">
        <w:rPr>
          <w:lang w:val="sr-Cyrl-RS"/>
        </w:rPr>
        <w:t xml:space="preserve"> електроенергетском мрежом, посебно производње великих количина електричне енергије из обновљивих или дистрибуираних извор</w:t>
      </w:r>
      <w:r w:rsidR="008A1F01" w:rsidRPr="00CF77C1">
        <w:rPr>
          <w:lang w:val="sr-Cyrl-RS"/>
        </w:rPr>
        <w:t>а енергије и управљиве потрошње.</w:t>
      </w:r>
    </w:p>
    <w:p w14:paraId="36AD3FA5" w14:textId="5E70A64A" w:rsidR="00D31842" w:rsidRPr="00CF77C1" w:rsidRDefault="00D75886" w:rsidP="00D75886">
      <w:pPr>
        <w:pStyle w:val="Heading2"/>
        <w:pageBreakBefore w:val="0"/>
        <w:numPr>
          <w:ilvl w:val="0"/>
          <w:numId w:val="0"/>
        </w:numPr>
        <w:ind w:left="720"/>
        <w:rPr>
          <w:rFonts w:ascii="Times New Roman" w:hAnsi="Times New Roman"/>
          <w:b w:val="0"/>
          <w:lang w:val="sr-Cyrl-RS"/>
        </w:rPr>
      </w:pPr>
      <w:bookmarkStart w:id="5" w:name="_Toc484260275"/>
      <w:r w:rsidRPr="00CF77C1">
        <w:rPr>
          <w:rFonts w:ascii="Times New Roman" w:hAnsi="Times New Roman"/>
          <w:b w:val="0"/>
          <w:lang w:val="sr-Cyrl-RS"/>
        </w:rPr>
        <w:t xml:space="preserve">2.3. </w:t>
      </w:r>
      <w:r w:rsidR="009C0DA7" w:rsidRPr="00CF77C1">
        <w:rPr>
          <w:rFonts w:ascii="Times New Roman" w:hAnsi="Times New Roman"/>
          <w:b w:val="0"/>
          <w:lang w:val="sr-Cyrl-RS"/>
        </w:rPr>
        <w:t>Критеријуми и процена критеријума</w:t>
      </w:r>
      <w:bookmarkEnd w:id="5"/>
    </w:p>
    <w:p w14:paraId="1E28DA7C" w14:textId="77777777" w:rsidR="009C0DA7" w:rsidRPr="00CF77C1" w:rsidRDefault="009C0DA7" w:rsidP="004572CC">
      <w:pPr>
        <w:ind w:firstLine="720"/>
        <w:rPr>
          <w:lang w:val="sr-Cyrl-RS"/>
        </w:rPr>
      </w:pPr>
      <w:r w:rsidRPr="00CF77C1">
        <w:rPr>
          <w:lang w:val="sr-Cyrl-RS"/>
        </w:rPr>
        <w:t>Да би пројекат био одређен као стратешки енергетски пројекат мора да испуни опште и посебне критеријуме.</w:t>
      </w:r>
    </w:p>
    <w:p w14:paraId="2F6F5B0F" w14:textId="20527CEC" w:rsidR="003F0510" w:rsidRPr="00CF77C1" w:rsidRDefault="009C0DA7" w:rsidP="004572CC">
      <w:pPr>
        <w:ind w:firstLine="720"/>
        <w:rPr>
          <w:lang w:val="sr-Cyrl-RS"/>
        </w:rPr>
      </w:pPr>
      <w:r w:rsidRPr="00CF77C1">
        <w:rPr>
          <w:lang w:val="sr-Cyrl-RS"/>
        </w:rPr>
        <w:t>Општи критеријуми су:</w:t>
      </w:r>
    </w:p>
    <w:p w14:paraId="73A1759F" w14:textId="29F488AF" w:rsidR="009C0DA7" w:rsidRPr="006D5279" w:rsidRDefault="006D5279" w:rsidP="006D5279">
      <w:pPr>
        <w:ind w:firstLine="720"/>
        <w:rPr>
          <w:lang w:val="sr-Cyrl-RS"/>
        </w:rPr>
      </w:pPr>
      <w:r>
        <w:rPr>
          <w:lang w:val="sr-Cyrl-RS"/>
        </w:rPr>
        <w:t xml:space="preserve">1) </w:t>
      </w:r>
      <w:r w:rsidR="009C0DA7" w:rsidRPr="006D5279">
        <w:rPr>
          <w:lang w:val="sr-Cyrl-RS"/>
        </w:rPr>
        <w:t xml:space="preserve">да пројекат припада једној од категорија пројеката из </w:t>
      </w:r>
      <w:r w:rsidR="00310B51" w:rsidRPr="006D5279">
        <w:rPr>
          <w:lang w:val="sr-Cyrl-RS"/>
        </w:rPr>
        <w:t>одељка</w:t>
      </w:r>
      <w:r w:rsidR="009C0DA7" w:rsidRPr="006D5279">
        <w:rPr>
          <w:lang w:val="sr-Cyrl-RS"/>
        </w:rPr>
        <w:t xml:space="preserve"> </w:t>
      </w:r>
      <w:r w:rsidR="00E775FA" w:rsidRPr="006D5279">
        <w:rPr>
          <w:lang w:val="sr-Cyrl-RS"/>
        </w:rPr>
        <w:t>2.2</w:t>
      </w:r>
      <w:r w:rsidR="00310B51" w:rsidRPr="006D5279">
        <w:rPr>
          <w:lang w:val="sr-Cyrl-RS"/>
        </w:rPr>
        <w:t xml:space="preserve"> овог поглавља</w:t>
      </w:r>
      <w:r w:rsidR="009C0DA7" w:rsidRPr="006D5279">
        <w:rPr>
          <w:lang w:val="sr-Cyrl-RS"/>
        </w:rPr>
        <w:t>;</w:t>
      </w:r>
    </w:p>
    <w:p w14:paraId="142A3DD0" w14:textId="4E48B170" w:rsidR="009C0DA7" w:rsidRPr="006D5279" w:rsidRDefault="006D5279" w:rsidP="006D5279">
      <w:pPr>
        <w:ind w:firstLine="720"/>
        <w:rPr>
          <w:lang w:val="sr-Cyrl-RS"/>
        </w:rPr>
      </w:pPr>
      <w:r>
        <w:rPr>
          <w:lang w:val="sr-Cyrl-RS"/>
        </w:rPr>
        <w:t xml:space="preserve">2) </w:t>
      </w:r>
      <w:r w:rsidR="009C0DA7" w:rsidRPr="006D5279">
        <w:rPr>
          <w:lang w:val="sr-Cyrl-RS"/>
        </w:rPr>
        <w:t>да укупна потенцијална корист од пројекта, процењена у складу са посебним кри</w:t>
      </w:r>
      <w:r w:rsidR="008208D1" w:rsidRPr="006D5279">
        <w:rPr>
          <w:lang w:val="sr-Cyrl-RS"/>
        </w:rPr>
        <w:t>теријумима дугорочно превазилази</w:t>
      </w:r>
      <w:r w:rsidR="009C0DA7" w:rsidRPr="006D5279">
        <w:rPr>
          <w:lang w:val="sr-Cyrl-RS"/>
        </w:rPr>
        <w:t xml:space="preserve"> укупне трошкове пројекта;</w:t>
      </w:r>
    </w:p>
    <w:p w14:paraId="33922184" w14:textId="634789E7" w:rsidR="009C0DA7" w:rsidRPr="006D5279" w:rsidRDefault="006D5279" w:rsidP="006D5279">
      <w:pPr>
        <w:ind w:firstLine="720"/>
        <w:rPr>
          <w:lang w:val="sr-Cyrl-RS"/>
        </w:rPr>
      </w:pPr>
      <w:r>
        <w:rPr>
          <w:lang w:val="sr-Cyrl-RS"/>
        </w:rPr>
        <w:t xml:space="preserve">3) </w:t>
      </w:r>
      <w:r w:rsidR="008208D1" w:rsidRPr="006D5279">
        <w:rPr>
          <w:lang w:val="sr-Cyrl-RS"/>
        </w:rPr>
        <w:t>д</w:t>
      </w:r>
      <w:r w:rsidR="009C0DA7" w:rsidRPr="006D5279">
        <w:rPr>
          <w:lang w:val="sr-Cyrl-RS"/>
        </w:rPr>
        <w:t>а пројекат задовољава најмање један од следећих критеријума:</w:t>
      </w:r>
    </w:p>
    <w:p w14:paraId="081C8D56" w14:textId="7A280F1B" w:rsidR="009C0DA7" w:rsidRPr="006607ED" w:rsidRDefault="006607ED" w:rsidP="006607ED">
      <w:pPr>
        <w:tabs>
          <w:tab w:val="left" w:pos="709"/>
        </w:tabs>
        <w:rPr>
          <w:lang w:val="sr-Cyrl-RS"/>
        </w:rPr>
      </w:pPr>
      <w:r>
        <w:rPr>
          <w:lang w:val="sr-Cyrl-RS"/>
        </w:rPr>
        <w:tab/>
      </w:r>
      <w:r w:rsidR="009910E1">
        <w:rPr>
          <w:lang w:val="sr-Cyrl-RS"/>
        </w:rPr>
        <w:t xml:space="preserve">(1) </w:t>
      </w:r>
      <w:r>
        <w:rPr>
          <w:lang w:val="sr-Cyrl-RS"/>
        </w:rPr>
        <w:t xml:space="preserve">да </w:t>
      </w:r>
      <w:r w:rsidR="009C0DA7" w:rsidRPr="006607ED">
        <w:rPr>
          <w:lang w:val="sr-Cyrl-RS"/>
        </w:rPr>
        <w:t xml:space="preserve">поред Републике Србије укључује најмање још једну суседну потписницу Уговора о оснивању Енергетске заједнице или </w:t>
      </w:r>
      <w:r w:rsidR="0041616A" w:rsidRPr="006607ED">
        <w:rPr>
          <w:lang w:val="sr-Cyrl-RS"/>
        </w:rPr>
        <w:t xml:space="preserve">државу </w:t>
      </w:r>
      <w:r w:rsidR="00827CDE">
        <w:rPr>
          <w:lang w:val="sr-Cyrl-RS"/>
        </w:rPr>
        <w:t>чланицу ЕУ;</w:t>
      </w:r>
    </w:p>
    <w:p w14:paraId="58BFDDFE" w14:textId="3740CEA2" w:rsidR="009C0DA7" w:rsidRPr="00203B77" w:rsidRDefault="00203B77" w:rsidP="00203B77">
      <w:pPr>
        <w:ind w:firstLine="720"/>
        <w:rPr>
          <w:lang w:val="sr-Cyrl-RS"/>
        </w:rPr>
      </w:pPr>
      <w:r>
        <w:rPr>
          <w:lang w:val="sr-Cyrl-RS"/>
        </w:rPr>
        <w:t xml:space="preserve">(2) </w:t>
      </w:r>
      <w:r w:rsidR="009910E1">
        <w:rPr>
          <w:lang w:val="sr-Cyrl-RS"/>
        </w:rPr>
        <w:t xml:space="preserve">да се </w:t>
      </w:r>
      <w:r w:rsidR="009C0DA7" w:rsidRPr="00203B77">
        <w:rPr>
          <w:lang w:val="sr-Cyrl-RS"/>
        </w:rPr>
        <w:t>налази на територији Републике Србије и има значајан прекогранични утицај на неку од земаља са којима се Република Србија граничи.</w:t>
      </w:r>
    </w:p>
    <w:p w14:paraId="1D9CC5B2" w14:textId="25B885F9" w:rsidR="009C0DA7" w:rsidRPr="00CF77C1" w:rsidRDefault="009C0DA7" w:rsidP="004572CC">
      <w:pPr>
        <w:ind w:firstLine="720"/>
        <w:rPr>
          <w:lang w:val="sr-Cyrl-RS"/>
        </w:rPr>
      </w:pPr>
      <w:r w:rsidRPr="00CF77C1">
        <w:rPr>
          <w:lang w:val="sr-Cyrl-RS"/>
        </w:rPr>
        <w:t>Да би пројекат имао значајан прекогранични утицај у</w:t>
      </w:r>
      <w:r w:rsidR="00310B51" w:rsidRPr="00CF77C1">
        <w:rPr>
          <w:lang w:val="sr-Cyrl-RS"/>
        </w:rPr>
        <w:t xml:space="preserve"> складу са тачком 3) овог одељка, </w:t>
      </w:r>
      <w:r w:rsidRPr="00CF77C1">
        <w:rPr>
          <w:lang w:val="sr-Cyrl-RS"/>
        </w:rPr>
        <w:t>општих критеријума мора да испуњава следеће услове:</w:t>
      </w:r>
      <w:r w:rsidR="004572CC" w:rsidRPr="00CF77C1">
        <w:rPr>
          <w:lang w:val="sr-Cyrl-RS"/>
        </w:rPr>
        <w:t xml:space="preserve"> </w:t>
      </w:r>
    </w:p>
    <w:p w14:paraId="2258EF32" w14:textId="6DD88022" w:rsidR="009C0DA7" w:rsidRPr="00CF77C1" w:rsidRDefault="009C0DA7" w:rsidP="00E701C6">
      <w:pPr>
        <w:ind w:firstLine="720"/>
        <w:rPr>
          <w:lang w:val="sr-Cyrl-RS"/>
        </w:rPr>
      </w:pPr>
      <w:r w:rsidRPr="00CF77C1">
        <w:rPr>
          <w:lang w:val="sr-Cyrl-RS"/>
        </w:rPr>
        <w:t>(1)</w:t>
      </w:r>
      <w:r w:rsidRPr="00CF77C1">
        <w:rPr>
          <w:lang w:val="sr-Cyrl-RS"/>
        </w:rPr>
        <w:tab/>
        <w:t>у погледу преноса електричне енергије да пројекат повећава капацитет преносне електроенергетске мреже или расположив капацитет за комерцијалне протоке, на граници Републике Србије с</w:t>
      </w:r>
      <w:r w:rsidR="00827CDE">
        <w:rPr>
          <w:lang w:val="sr-Cyrl-RS"/>
        </w:rPr>
        <w:t>а</w:t>
      </w:r>
      <w:r w:rsidRPr="00CF77C1">
        <w:rPr>
          <w:lang w:val="sr-Cyrl-RS"/>
        </w:rPr>
        <w:t xml:space="preserve"> једном или неколико других држава или неком другом релевантном пресеку истог преносног коридора с учинком повећања прекограничног капацитета преноса електроенергетске мреже, за најмање 500 МW у поређењу са стањем када пројекат није пуштен у рад;</w:t>
      </w:r>
    </w:p>
    <w:p w14:paraId="48DD071D" w14:textId="77777777" w:rsidR="009C0DA7" w:rsidRPr="00CF77C1" w:rsidRDefault="009C0DA7" w:rsidP="00E701C6">
      <w:pPr>
        <w:ind w:firstLine="720"/>
        <w:rPr>
          <w:lang w:val="sr-Cyrl-RS"/>
        </w:rPr>
      </w:pPr>
      <w:r w:rsidRPr="00CF77C1">
        <w:rPr>
          <w:lang w:val="sr-Cyrl-RS"/>
        </w:rPr>
        <w:t>(2)</w:t>
      </w:r>
      <w:r w:rsidRPr="00CF77C1">
        <w:rPr>
          <w:lang w:val="sr-Cyrl-RS"/>
        </w:rPr>
        <w:tab/>
        <w:t>у погледу складиштења да пројекат предвиђа најмање 225 МW инсталисаног капацитета и има складишни капацитет који омогућује нето годишњу производњу електричне енергије од 250 GWh годишње;</w:t>
      </w:r>
    </w:p>
    <w:p w14:paraId="6266B4FB" w14:textId="77777777" w:rsidR="009C0DA7" w:rsidRPr="00CF77C1" w:rsidRDefault="009C0DA7" w:rsidP="00E701C6">
      <w:pPr>
        <w:ind w:firstLine="720"/>
        <w:rPr>
          <w:lang w:val="sr-Cyrl-RS"/>
        </w:rPr>
      </w:pPr>
      <w:r w:rsidRPr="00CF77C1">
        <w:rPr>
          <w:lang w:val="sr-Cyrl-RS"/>
        </w:rPr>
        <w:t>(3)</w:t>
      </w:r>
      <w:r w:rsidRPr="00CF77C1">
        <w:rPr>
          <w:lang w:val="sr-Cyrl-RS"/>
        </w:rPr>
        <w:tab/>
        <w:t>у погледу транспорта природног гаса, да се пројекат односи на улагање у двосмерне капацитете или промене способности транспорта природног гаса преко граница Републике Србије за најмање 10% у односу на стање пре пуштања пројекта у рад;</w:t>
      </w:r>
    </w:p>
    <w:p w14:paraId="1939EC09" w14:textId="729575A7" w:rsidR="009C0DA7" w:rsidRPr="00CF77C1" w:rsidRDefault="009C0DA7" w:rsidP="00E701C6">
      <w:pPr>
        <w:ind w:firstLine="720"/>
        <w:rPr>
          <w:lang w:val="sr-Cyrl-RS"/>
        </w:rPr>
      </w:pPr>
      <w:r w:rsidRPr="00CF77C1">
        <w:rPr>
          <w:lang w:val="sr-Cyrl-RS"/>
        </w:rPr>
        <w:t>(4)</w:t>
      </w:r>
      <w:r w:rsidRPr="00CF77C1">
        <w:rPr>
          <w:lang w:val="sr-Cyrl-RS"/>
        </w:rPr>
        <w:tab/>
        <w:t>у погледу складиштења природног гаса или течног/компримованог природног гаса, да је циљ пројекта директно или индиректно снабдевање најмање две потписнице Уговора о оснивању Енергетске заједнице или чланице ЕУ или задовољавање инфраструктурног стандарда (N-1).</w:t>
      </w:r>
    </w:p>
    <w:p w14:paraId="53B444DF" w14:textId="6ACF87F1" w:rsidR="009C0DA7" w:rsidRPr="00CF77C1" w:rsidRDefault="009C0DA7" w:rsidP="00E701C6">
      <w:pPr>
        <w:ind w:firstLine="720"/>
        <w:rPr>
          <w:lang w:val="sr-Cyrl-RS"/>
        </w:rPr>
      </w:pPr>
      <w:r w:rsidRPr="00CF77C1">
        <w:rPr>
          <w:lang w:val="sr-Cyrl-RS"/>
        </w:rPr>
        <w:t>(5)</w:t>
      </w:r>
      <w:r w:rsidRPr="00CF77C1">
        <w:rPr>
          <w:lang w:val="sr-Cyrl-RS"/>
        </w:rPr>
        <w:tab/>
        <w:t>у погледу паметних мрежа да је пројекат намењен опреми и инсталацијама напона 10 kV или више. Поред наведеног цени се и да ли су оператори система из најмање две потписнице Уговора о оснивању Енергетске заједнице и да ли покривају најмање 50.000 корисника који производе или троше електричну енергију или и једно и друго у конзумном подручју са потрошњом од најмање 300 GWh годишње, од чега најмање 20% долази из обновљивих извора чија је производња по природи променљива.</w:t>
      </w:r>
    </w:p>
    <w:p w14:paraId="590C683D" w14:textId="77777777" w:rsidR="009C0DA7" w:rsidRPr="00CF77C1" w:rsidRDefault="009C0DA7" w:rsidP="00E701C6">
      <w:pPr>
        <w:ind w:firstLine="720"/>
        <w:rPr>
          <w:lang w:val="sr-Cyrl-RS"/>
        </w:rPr>
      </w:pPr>
      <w:r w:rsidRPr="00CF77C1">
        <w:rPr>
          <w:lang w:val="sr-Cyrl-RS"/>
        </w:rPr>
        <w:t>Посебни критеријуми су допринос пројекта како следи:</w:t>
      </w:r>
    </w:p>
    <w:p w14:paraId="385CBEB1" w14:textId="167F4CCD" w:rsidR="009C0DA7" w:rsidRPr="00CF77C1" w:rsidRDefault="00F6233E" w:rsidP="008F19A6">
      <w:pPr>
        <w:pStyle w:val="ListParagraph"/>
        <w:spacing w:before="60" w:after="60"/>
        <w:contextualSpacing w:val="0"/>
        <w:rPr>
          <w:lang w:val="sr-Cyrl-RS"/>
        </w:rPr>
      </w:pPr>
      <w:r>
        <w:rPr>
          <w:lang w:val="sr-Cyrl-RS"/>
        </w:rPr>
        <w:t>1)</w:t>
      </w:r>
      <w:r w:rsidR="008F19A6">
        <w:rPr>
          <w:lang w:val="sr-Cyrl-RS"/>
        </w:rPr>
        <w:t xml:space="preserve"> </w:t>
      </w:r>
      <w:r w:rsidR="009C0DA7" w:rsidRPr="00CF77C1">
        <w:rPr>
          <w:lang w:val="sr-Cyrl-RS"/>
        </w:rPr>
        <w:t>За пројекте преноса и складиштења електричне енергије:</w:t>
      </w:r>
    </w:p>
    <w:p w14:paraId="126D1C9E" w14:textId="52AB8A6C" w:rsidR="009C0DA7" w:rsidRPr="00CF77C1" w:rsidRDefault="008F19A6" w:rsidP="008F19A6">
      <w:pPr>
        <w:pStyle w:val="ListParagraph"/>
        <w:spacing w:before="60" w:after="60"/>
        <w:ind w:left="0" w:firstLine="720"/>
        <w:contextualSpacing w:val="0"/>
        <w:rPr>
          <w:lang w:val="sr-Cyrl-RS"/>
        </w:rPr>
      </w:pPr>
      <w:r>
        <w:rPr>
          <w:lang w:val="sr-Cyrl-RS"/>
        </w:rPr>
        <w:t xml:space="preserve">(1) </w:t>
      </w:r>
      <w:r w:rsidR="009C0DA7" w:rsidRPr="00CF77C1">
        <w:rPr>
          <w:lang w:val="sr-Cyrl-RS"/>
        </w:rPr>
        <w:t>Интеграцији тржишта и смањењу уских грла енергетске инфраструктуре, конкуренцији и прилагодљивости система</w:t>
      </w:r>
    </w:p>
    <w:p w14:paraId="2466BEB1" w14:textId="3E65636D" w:rsidR="009C0DA7" w:rsidRPr="00CF77C1" w:rsidRDefault="009C0DA7" w:rsidP="00E701C6">
      <w:pPr>
        <w:pStyle w:val="ListParagraph"/>
        <w:spacing w:before="60" w:after="60"/>
        <w:ind w:left="0" w:firstLine="720"/>
        <w:contextualSpacing w:val="0"/>
        <w:rPr>
          <w:lang w:val="sr-Cyrl-RS"/>
        </w:rPr>
      </w:pPr>
      <w:r w:rsidRPr="00CF77C1">
        <w:rPr>
          <w:lang w:val="sr-Cyrl-RS"/>
        </w:rPr>
        <w:t>Овај критеријум се цени рачунањем и проценом.</w:t>
      </w:r>
    </w:p>
    <w:p w14:paraId="52A41B46" w14:textId="2A921D44" w:rsidR="009C0DA7" w:rsidRPr="00CF77C1" w:rsidRDefault="009C0DA7" w:rsidP="00E701C6">
      <w:pPr>
        <w:pStyle w:val="ListParagraph"/>
        <w:spacing w:before="60" w:after="60"/>
        <w:ind w:left="0" w:firstLine="720"/>
        <w:contextualSpacing w:val="0"/>
        <w:rPr>
          <w:lang w:val="sr-Cyrl-RS"/>
        </w:rPr>
      </w:pPr>
      <w:r w:rsidRPr="00CF77C1">
        <w:rPr>
          <w:lang w:val="sr-Cyrl-RS"/>
        </w:rPr>
        <w:t>За прекограничне пројекте рачуна се утицај на преносну способност мреже у оба смера протока електричне енергије, измереног у односу на количину снаге (у MW) и њиховог доприноса постизању минималног капацитета интерконекције од 10% инсталисаног капацитета производње.</w:t>
      </w:r>
    </w:p>
    <w:p w14:paraId="42798F45" w14:textId="2D9BC2BC" w:rsidR="009C0DA7" w:rsidRPr="00CF77C1" w:rsidRDefault="009C0DA7" w:rsidP="00E701C6">
      <w:pPr>
        <w:pStyle w:val="ListParagraph"/>
        <w:spacing w:before="60" w:after="60"/>
        <w:ind w:left="0" w:firstLine="720"/>
        <w:contextualSpacing w:val="0"/>
        <w:rPr>
          <w:lang w:val="sr-Cyrl-RS"/>
        </w:rPr>
      </w:pPr>
      <w:r w:rsidRPr="00CF77C1">
        <w:rPr>
          <w:lang w:val="sr-Cyrl-RS"/>
        </w:rPr>
        <w:t>За пројекте са значајним прекограни</w:t>
      </w:r>
      <w:r w:rsidR="00083909">
        <w:rPr>
          <w:lang w:val="sr-Cyrl-RS"/>
        </w:rPr>
        <w:t>чним утицајем, рачуна се утицај</w:t>
      </w:r>
      <w:r w:rsidRPr="00CF77C1">
        <w:rPr>
          <w:lang w:val="sr-Cyrl-RS"/>
        </w:rPr>
        <w:t xml:space="preserve"> на преносну способност мреже на границама између Републике Србије и потписница Уговора о оснивању Енергетске заједнице или чланица ЕУ, или унутар Републике Србије, те на равнотежу понуде и потражње и рад мреже у Републици Србији.</w:t>
      </w:r>
    </w:p>
    <w:p w14:paraId="41E43B14" w14:textId="6D242BE1" w:rsidR="009C0DA7" w:rsidRPr="00CF77C1" w:rsidRDefault="009C0DA7" w:rsidP="00E701C6">
      <w:pPr>
        <w:pStyle w:val="ListParagraph"/>
        <w:spacing w:before="60" w:after="60"/>
        <w:ind w:left="0" w:firstLine="720"/>
        <w:contextualSpacing w:val="0"/>
        <w:rPr>
          <w:lang w:val="sr-Cyrl-RS"/>
        </w:rPr>
      </w:pPr>
      <w:r w:rsidRPr="00CF77C1">
        <w:rPr>
          <w:lang w:val="sr-Cyrl-RS"/>
        </w:rPr>
        <w:t>Проценом утицаја за сваки појединачни пројекат који обухвата све уговорне стране и државе чланице на чијем подручју ће се пројекат градити, све суседне уговорне стране и државе чланице и све остале уговорне стране и државе чланице на које пројекат значајно утиче.</w:t>
      </w:r>
    </w:p>
    <w:p w14:paraId="1FB45572" w14:textId="596C78C0" w:rsidR="009C0DA7" w:rsidRPr="00CF77C1" w:rsidRDefault="009C0DA7" w:rsidP="00E701C6">
      <w:pPr>
        <w:pStyle w:val="ListParagraph"/>
        <w:spacing w:before="60" w:after="60"/>
        <w:ind w:left="0" w:firstLine="720"/>
        <w:contextualSpacing w:val="0"/>
        <w:rPr>
          <w:lang w:val="sr-Cyrl-RS"/>
        </w:rPr>
      </w:pPr>
      <w:r w:rsidRPr="00CF77C1">
        <w:rPr>
          <w:lang w:val="sr-Cyrl-RS"/>
        </w:rPr>
        <w:t>Посебно се процењује утицај у односу на трошкове производње и преноса електричне енергије, развоја и приближавања тржишних цена за цео пројекат у оквиру различитих планираних сценарија, посебно имајући у виду варирање настало у редоследу вредности.</w:t>
      </w:r>
    </w:p>
    <w:p w14:paraId="04888CE4" w14:textId="13EAA5BE" w:rsidR="009C0DA7" w:rsidRPr="00CF77C1" w:rsidRDefault="008F19A6" w:rsidP="008F19A6">
      <w:pPr>
        <w:pStyle w:val="ListParagraph"/>
        <w:keepNext/>
        <w:spacing w:before="60" w:after="60"/>
        <w:ind w:left="0" w:firstLine="720"/>
        <w:contextualSpacing w:val="0"/>
        <w:rPr>
          <w:lang w:val="sr-Cyrl-RS"/>
        </w:rPr>
      </w:pPr>
      <w:r>
        <w:rPr>
          <w:lang w:val="sr-Cyrl-RS"/>
        </w:rPr>
        <w:t xml:space="preserve">(2) </w:t>
      </w:r>
      <w:r w:rsidR="009C0DA7" w:rsidRPr="00CF77C1">
        <w:rPr>
          <w:lang w:val="sr-Cyrl-RS"/>
        </w:rPr>
        <w:t>Одрживости, поред осталог, путем укључивања обновљиве енергије у електроенергетску мрежу и преноса те енергије до великих потрошачких центара и складишта</w:t>
      </w:r>
    </w:p>
    <w:p w14:paraId="701DE6F6" w14:textId="0C3F0916" w:rsidR="009C0DA7" w:rsidRPr="00CF77C1" w:rsidRDefault="009C0DA7" w:rsidP="00E701C6">
      <w:pPr>
        <w:pStyle w:val="ListParagraph"/>
        <w:spacing w:before="60" w:after="60"/>
        <w:ind w:left="0" w:firstLine="720"/>
        <w:contextualSpacing w:val="0"/>
        <w:rPr>
          <w:lang w:val="sr-Cyrl-RS"/>
        </w:rPr>
      </w:pPr>
      <w:r w:rsidRPr="00CF77C1">
        <w:rPr>
          <w:lang w:val="sr-Cyrl-RS"/>
        </w:rPr>
        <w:t>Овај критеријум се цени у складу са анализом спроведеном у оквиру најновијег важећег десетогодишњег плана развоја електроенергетске мреже, а нарочито код преноса електричне енергије, оценом количине капацитета производње из обновљивих извора енергије (према технологији, у MW), која је повезана и преноси се због пројекта, у поређењу с количином планираног укупног капацитета производње из ових врста извора обновљиве енергије у складу са циљем који треба достићи до 2020. године у складу Националним акционим планом за обновљиве изворе енергије у Републици Србији.</w:t>
      </w:r>
    </w:p>
    <w:p w14:paraId="65CDA139" w14:textId="2C450555" w:rsidR="009C0DA7" w:rsidRPr="00CF77C1" w:rsidRDefault="009C0DA7" w:rsidP="00E701C6">
      <w:pPr>
        <w:pStyle w:val="ListParagraph"/>
        <w:spacing w:before="60" w:after="60"/>
        <w:ind w:left="0" w:firstLine="762"/>
        <w:contextualSpacing w:val="0"/>
        <w:rPr>
          <w:lang w:val="sr-Cyrl-RS"/>
        </w:rPr>
      </w:pPr>
      <w:r w:rsidRPr="00CF77C1">
        <w:rPr>
          <w:lang w:val="sr-Cyrl-RS"/>
        </w:rPr>
        <w:t>Када је у питању складиштење електричне енергије, оцена се врши упоређењем новог капацитета предвиђеног пројектом са укупним постојећим капацитетом за исту технологију складиштења у подручју које обухвата све уговорне стране и државе чланице на чијем подручју ће се пројекат градити, све суседне уговорне стране и државе чланице и све остале уговорне стране и државе чланице на које пројекат значајно утиче.</w:t>
      </w:r>
    </w:p>
    <w:p w14:paraId="3C50501B" w14:textId="4BABBB8F" w:rsidR="009C0DA7" w:rsidRPr="008F19A6" w:rsidRDefault="008F19A6" w:rsidP="008F19A6">
      <w:pPr>
        <w:ind w:firstLine="720"/>
        <w:rPr>
          <w:lang w:val="sr-Cyrl-RS"/>
        </w:rPr>
      </w:pPr>
      <w:r>
        <w:rPr>
          <w:lang w:val="sr-Cyrl-RS"/>
        </w:rPr>
        <w:t xml:space="preserve">(3) </w:t>
      </w:r>
      <w:r w:rsidR="00447F8C" w:rsidRPr="008F19A6">
        <w:rPr>
          <w:lang w:val="sr-Cyrl-RS"/>
        </w:rPr>
        <w:t>Сигурности снабдевања, поред осталог, путем међусобне усаглашености, одговарајућих повезивања и сигурног и поузданог рада система</w:t>
      </w:r>
    </w:p>
    <w:p w14:paraId="1618911F" w14:textId="6AC2A9E0" w:rsidR="00447F8C" w:rsidRPr="00CF77C1" w:rsidRDefault="00447F8C" w:rsidP="00E701C6">
      <w:pPr>
        <w:pStyle w:val="ListParagraph"/>
        <w:spacing w:before="60" w:after="60"/>
        <w:ind w:left="0" w:firstLine="720"/>
        <w:contextualSpacing w:val="0"/>
        <w:rPr>
          <w:lang w:val="sr-Cyrl-RS"/>
        </w:rPr>
      </w:pPr>
      <w:r w:rsidRPr="00CF77C1">
        <w:rPr>
          <w:lang w:val="sr-Cyrl-RS"/>
        </w:rPr>
        <w:t>Овај критеријум се цени у складу са анализом спроведеном у оквиру најновијег важећег десетогодишњег плана развоја електроенергетске мреже, посебно проценом утицаја пројекта на губитак очекиваног оптерећења на подручју које обухвата све уговорне стране и државе чланице на чијем подручју ће се пројекат градити, све суседне уговорне стране и државе чланице и све остале уговорне стране и државе чланице на које пројекат значајно, у погледу производње и адекватног преноса за низ карактеристичних периода оптерећења, узевши у обзир очекиване промене код екстремних временских прилика и њихов утицај на флексибилност инфраструктуре. Поред наведеног, ако је потребно, цени се утицај пројекта на самосталну и поуздану контролу рада и услуга система.</w:t>
      </w:r>
    </w:p>
    <w:p w14:paraId="1B115AC2" w14:textId="396E5E3D" w:rsidR="009C0DA7" w:rsidRPr="008F19A6" w:rsidRDefault="00F6233E" w:rsidP="008F19A6">
      <w:pPr>
        <w:ind w:firstLine="720"/>
        <w:rPr>
          <w:lang w:val="sr-Cyrl-RS"/>
        </w:rPr>
      </w:pPr>
      <w:r>
        <w:rPr>
          <w:lang w:val="sr-Cyrl-RS"/>
        </w:rPr>
        <w:t xml:space="preserve">2) </w:t>
      </w:r>
      <w:r w:rsidR="00447F8C" w:rsidRPr="008F19A6">
        <w:rPr>
          <w:lang w:val="sr-Cyrl-RS"/>
        </w:rPr>
        <w:t>За пројекте из приоритетне тематске области коју треба развијати:</w:t>
      </w:r>
    </w:p>
    <w:p w14:paraId="4BF5DD11" w14:textId="38589D0F" w:rsidR="00447F8C" w:rsidRPr="00CF77C1" w:rsidRDefault="008F19A6" w:rsidP="008F19A6">
      <w:pPr>
        <w:pStyle w:val="ListParagraph"/>
        <w:spacing w:before="60" w:after="60"/>
        <w:ind w:left="0" w:firstLine="720"/>
        <w:contextualSpacing w:val="0"/>
        <w:rPr>
          <w:lang w:val="sr-Cyrl-RS"/>
        </w:rPr>
      </w:pPr>
      <w:r>
        <w:rPr>
          <w:lang w:val="sr-Cyrl-RS"/>
        </w:rPr>
        <w:t xml:space="preserve">(1) </w:t>
      </w:r>
      <w:r w:rsidR="00447F8C" w:rsidRPr="00CF77C1">
        <w:rPr>
          <w:lang w:val="sr-Cyrl-RS"/>
        </w:rPr>
        <w:t>Повезивању и укључивању корисника система са новим техничким захтевима у вези са њиховом понудом и потражњом електричне енергије</w:t>
      </w:r>
    </w:p>
    <w:p w14:paraId="13077353" w14:textId="540C788A" w:rsidR="00447F8C" w:rsidRPr="00CF77C1" w:rsidRDefault="00447F8C" w:rsidP="00E701C6">
      <w:pPr>
        <w:pStyle w:val="ListParagraph"/>
        <w:spacing w:before="60" w:after="60"/>
        <w:ind w:left="0" w:firstLine="720"/>
        <w:contextualSpacing w:val="0"/>
        <w:rPr>
          <w:lang w:val="sr-Cyrl-RS"/>
        </w:rPr>
      </w:pPr>
      <w:r w:rsidRPr="00CF77C1">
        <w:rPr>
          <w:lang w:val="sr-Cyrl-RS"/>
        </w:rPr>
        <w:t>Овај критеријум се цени на основу процене метода усвојених за обрачун такси и тарифа, као и њихове структуре, за произвођаче, купце и оне који и производе и троше, те оперативне прилагодљивости за динамичко уравнотежење електричне енергије у мрежи.</w:t>
      </w:r>
    </w:p>
    <w:p w14:paraId="666ACBA4" w14:textId="04CEEC26" w:rsidR="00447F8C" w:rsidRPr="006B062E" w:rsidRDefault="006B062E" w:rsidP="006B062E">
      <w:pPr>
        <w:ind w:firstLine="720"/>
        <w:rPr>
          <w:lang w:val="sr-Cyrl-RS"/>
        </w:rPr>
      </w:pPr>
      <w:r>
        <w:rPr>
          <w:lang w:val="sr-Cyrl-RS"/>
        </w:rPr>
        <w:t xml:space="preserve">(2) </w:t>
      </w:r>
      <w:r w:rsidR="00447F8C" w:rsidRPr="006B062E">
        <w:rPr>
          <w:lang w:val="sr-Cyrl-RS"/>
        </w:rPr>
        <w:t>Ефикасности и међусобне усаглашености преноса и дистрибуције електричне енергије у свакодневном раду мреже</w:t>
      </w:r>
    </w:p>
    <w:p w14:paraId="533F1C43" w14:textId="16DD0589" w:rsidR="00447F8C" w:rsidRPr="00CF77C1" w:rsidRDefault="00447F8C" w:rsidP="00E701C6">
      <w:pPr>
        <w:pStyle w:val="ListParagraph"/>
        <w:spacing w:before="60" w:after="60"/>
        <w:ind w:left="0" w:firstLine="720"/>
        <w:contextualSpacing w:val="0"/>
        <w:rPr>
          <w:lang w:val="sr-Cyrl-RS"/>
        </w:rPr>
      </w:pPr>
      <w:r w:rsidRPr="00CF77C1">
        <w:rPr>
          <w:lang w:val="sr-Cyrl-RS"/>
        </w:rPr>
        <w:t>Овај критеријум се цени проценом нивоа губитака у преносној и дистрибутивној мрежи, одређивањем односа између најмање и највеће потражње за електричном енергијом у одређеном временском периоду, учешћа на страни потражње на тржиштима електричне енергије и у мерама енергетске ефикасности, процента искоришћености (тј. просечног оптерећења) саставних делова електроенергетске мреже, расположивости саставних делова мреже (у вези с планираним и непланираним одржавањем) и утицаја на ефикасност рада мреже и стварне расположивости капацитета мреже с обзиром на стандардну вредност.</w:t>
      </w:r>
    </w:p>
    <w:p w14:paraId="5A7B9CE6" w14:textId="0EA2E7E3" w:rsidR="00447F8C" w:rsidRPr="006B062E" w:rsidRDefault="006B062E" w:rsidP="006B062E">
      <w:pPr>
        <w:ind w:firstLine="720"/>
        <w:rPr>
          <w:lang w:val="sr-Cyrl-RS"/>
        </w:rPr>
      </w:pPr>
      <w:r>
        <w:rPr>
          <w:lang w:val="sr-Cyrl-RS"/>
        </w:rPr>
        <w:t xml:space="preserve">(3) </w:t>
      </w:r>
      <w:r w:rsidR="00447F8C" w:rsidRPr="006B062E">
        <w:rPr>
          <w:lang w:val="sr-Cyrl-RS"/>
        </w:rPr>
        <w:t>Сигурности мреже, контроли система и квалитету снабдевања</w:t>
      </w:r>
    </w:p>
    <w:p w14:paraId="0808BE13" w14:textId="3F6093C3" w:rsidR="00447F8C" w:rsidRPr="00CF77C1" w:rsidRDefault="00447F8C" w:rsidP="00E701C6">
      <w:pPr>
        <w:pStyle w:val="ListParagraph"/>
        <w:spacing w:before="60" w:after="60"/>
        <w:ind w:left="0" w:firstLine="720"/>
        <w:contextualSpacing w:val="0"/>
        <w:rPr>
          <w:lang w:val="sr-Cyrl-RS"/>
        </w:rPr>
      </w:pPr>
      <w:r w:rsidRPr="00CF77C1">
        <w:rPr>
          <w:lang w:val="sr-Cyrl-RS"/>
        </w:rPr>
        <w:t>Овај критеријум се цени проценом односа између поузданог расположивог капацитета производње и вршне потрошње, удела електричне енергије произведене из обновљивих извора, стабилности електроенергетског система, трајања и учесталости прекида по купцу, укључујући поремећаје повезане с климатским условима и утицаја на квалитет напона.</w:t>
      </w:r>
    </w:p>
    <w:p w14:paraId="1342E2F0" w14:textId="5C78D0A2" w:rsidR="00447F8C" w:rsidRPr="006B062E" w:rsidRDefault="006B062E" w:rsidP="006B062E">
      <w:pPr>
        <w:ind w:firstLine="720"/>
        <w:rPr>
          <w:lang w:val="sr-Cyrl-RS"/>
        </w:rPr>
      </w:pPr>
      <w:r>
        <w:rPr>
          <w:lang w:val="sr-Cyrl-RS"/>
        </w:rPr>
        <w:t xml:space="preserve">(4) </w:t>
      </w:r>
      <w:r w:rsidR="00393C98" w:rsidRPr="006B062E">
        <w:rPr>
          <w:lang w:val="sr-Cyrl-RS"/>
        </w:rPr>
        <w:t>Оптимизованом планирању будућих исплативих инвестиција у мрежу</w:t>
      </w:r>
      <w:r>
        <w:rPr>
          <w:lang w:val="sr-Cyrl-RS"/>
        </w:rPr>
        <w:t xml:space="preserve"> </w:t>
      </w:r>
    </w:p>
    <w:p w14:paraId="210BB033" w14:textId="0FEDAA12"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проценом смањења емисија гасова са ефектом стаклене баште и утицаја на електроенергетске мрежне инфраструктуре на животну средину.</w:t>
      </w:r>
    </w:p>
    <w:p w14:paraId="6E4D2830" w14:textId="1921A55E" w:rsidR="00393C98" w:rsidRPr="006B062E" w:rsidRDefault="006B062E" w:rsidP="006B062E">
      <w:pPr>
        <w:ind w:firstLine="720"/>
        <w:rPr>
          <w:lang w:val="sr-Cyrl-RS"/>
        </w:rPr>
      </w:pPr>
      <w:r>
        <w:rPr>
          <w:lang w:val="sr-Cyrl-RS"/>
        </w:rPr>
        <w:t xml:space="preserve">(5) </w:t>
      </w:r>
      <w:r w:rsidR="00393C98" w:rsidRPr="006B062E">
        <w:rPr>
          <w:lang w:val="sr-Cyrl-RS"/>
        </w:rPr>
        <w:t>Функционисању тржишта и услугама корисницима система, односно допринос прекограничним тржиштима електричне енергије управљањем токовима снага ради смањења циркулаторних токова снага и повећања капацитета интерконекције</w:t>
      </w:r>
    </w:p>
    <w:p w14:paraId="7435760B" w14:textId="593C8518"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проценом односа између капацитета интерконекције уговорне стране и њене потражње електричне енергије, искоришћења капацитета интерконекције и накнада за загушење у интерконекцијама.</w:t>
      </w:r>
    </w:p>
    <w:p w14:paraId="47FDE656" w14:textId="5753400E" w:rsidR="00393C98" w:rsidRPr="00CF77C1" w:rsidRDefault="00393C98" w:rsidP="00E701C6">
      <w:pPr>
        <w:pStyle w:val="ListParagraph"/>
        <w:spacing w:before="60" w:after="60"/>
        <w:ind w:left="0" w:firstLine="720"/>
        <w:contextualSpacing w:val="0"/>
        <w:rPr>
          <w:lang w:val="sr-Cyrl-RS"/>
        </w:rPr>
      </w:pPr>
      <w:r w:rsidRPr="00CF77C1">
        <w:rPr>
          <w:lang w:val="sr-Cyrl-RS"/>
        </w:rPr>
        <w:t>Поред овога, цени се инсталисани капацитет дистрибуираних извора енергије у дистрибутивним мрежама, највећи дозвољени пласмани електричне енергије без ризика загушења у преносним мрежама и енергије која није укључена у обновљиве изворе енергије због ризика загушења или ризика сигурности.</w:t>
      </w:r>
    </w:p>
    <w:p w14:paraId="16914D1B" w14:textId="50A2945E" w:rsidR="00393C98" w:rsidRPr="006B062E" w:rsidRDefault="00F6233E" w:rsidP="006B062E">
      <w:pPr>
        <w:ind w:firstLine="720"/>
        <w:rPr>
          <w:lang w:val="sr-Cyrl-RS"/>
        </w:rPr>
      </w:pPr>
      <w:r>
        <w:rPr>
          <w:lang w:val="sr-Cyrl-RS"/>
        </w:rPr>
        <w:t>3)</w:t>
      </w:r>
      <w:r w:rsidR="006B062E">
        <w:rPr>
          <w:lang w:val="sr-Cyrl-RS"/>
        </w:rPr>
        <w:t xml:space="preserve"> </w:t>
      </w:r>
      <w:r w:rsidR="00393C98" w:rsidRPr="006B062E">
        <w:rPr>
          <w:lang w:val="sr-Cyrl-RS"/>
        </w:rPr>
        <w:t>За пројекте из области транспорта и складиштења природног гаса:</w:t>
      </w:r>
    </w:p>
    <w:p w14:paraId="4E39F87F" w14:textId="5FE5F3B3" w:rsidR="00393C98" w:rsidRPr="006B062E" w:rsidRDefault="006B062E" w:rsidP="006B062E">
      <w:pPr>
        <w:ind w:firstLine="720"/>
        <w:rPr>
          <w:lang w:val="sr-Cyrl-RS"/>
        </w:rPr>
      </w:pPr>
      <w:r>
        <w:rPr>
          <w:lang w:val="sr-Cyrl-RS"/>
        </w:rPr>
        <w:t xml:space="preserve">(1) </w:t>
      </w:r>
      <w:r w:rsidR="00393C98" w:rsidRPr="006B062E">
        <w:rPr>
          <w:lang w:val="sr-Cyrl-RS"/>
        </w:rPr>
        <w:t>Интеграцији тржишта и смањењу уских грла енергетске инфраструктуре, међусобној усаглашености и прилагодљивости система</w:t>
      </w:r>
      <w:r>
        <w:rPr>
          <w:lang w:val="sr-Cyrl-RS"/>
        </w:rPr>
        <w:t xml:space="preserve"> </w:t>
      </w:r>
    </w:p>
    <w:p w14:paraId="5A531F87" w14:textId="7AFD2081"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рачунањем додатне вредности коју пројекат има на повезивање тржишта и приближавање цена, целокупну прилагодљивост система, укључујући ниво капацитета који је понуђен за двосмерни проток према различитим сценаријима.</w:t>
      </w:r>
    </w:p>
    <w:p w14:paraId="42F20914" w14:textId="54FE910D" w:rsidR="00393C98" w:rsidRPr="006B062E" w:rsidRDefault="006B062E" w:rsidP="006B062E">
      <w:pPr>
        <w:ind w:firstLine="720"/>
        <w:rPr>
          <w:lang w:val="sr-Cyrl-RS"/>
        </w:rPr>
      </w:pPr>
      <w:r>
        <w:rPr>
          <w:lang w:val="sr-Cyrl-RS"/>
        </w:rPr>
        <w:t xml:space="preserve">(2) </w:t>
      </w:r>
      <w:r w:rsidR="00393C98" w:rsidRPr="006B062E">
        <w:rPr>
          <w:lang w:val="sr-Cyrl-RS"/>
        </w:rPr>
        <w:t>Конкуренцији, поред осталог, путем диверсификације извора снабдевања, уговорних страна које врше снабдевање и праваца снабдевања</w:t>
      </w:r>
    </w:p>
    <w:p w14:paraId="7B73C0C6" w14:textId="4BAEA82E"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на основу диверсификације, укључујући олакшавање приступа домаћим изворима снабдевања, узимајући у обзир следеће: диверсификацију извора снабдевања, разноврсност уговорних страна, диверсификацију праваца снабдевања, утицај новог капацитета на Herfindahl-Hirschmann индекс (HHI) прорачунат на подручју које обухвата све уговорне стране и државе чланице на чијем подручју ће се пројекат градити, све суседне уговорне стране и државе чланице и све остале уговорне стране и државе чланице на које пројекат значајно утиче.</w:t>
      </w:r>
    </w:p>
    <w:p w14:paraId="48A4F5BA" w14:textId="10A4D0DD" w:rsidR="00393C98" w:rsidRPr="006B062E" w:rsidRDefault="006B062E" w:rsidP="006B062E">
      <w:pPr>
        <w:ind w:firstLine="720"/>
        <w:rPr>
          <w:lang w:val="sr-Cyrl-RS"/>
        </w:rPr>
      </w:pPr>
      <w:r>
        <w:rPr>
          <w:lang w:val="sr-Cyrl-RS"/>
        </w:rPr>
        <w:t xml:space="preserve">(3) </w:t>
      </w:r>
      <w:r w:rsidR="00393C98" w:rsidRPr="006B062E">
        <w:rPr>
          <w:lang w:val="sr-Cyrl-RS"/>
        </w:rPr>
        <w:t>Сигурности снабдевања, поред осталог, путем одговарајућих повезивања, диверсификацијe извора снабдевања, уговорних страна које врше снабдевање и праваца снабдевања</w:t>
      </w:r>
    </w:p>
    <w:p w14:paraId="421E4DBC" w14:textId="12BD47EF"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израчунавањем додатне вредности пројекта на краткорочну и дугорочну прилагодљивост система за транспорт природног гаса и побољшање флексибилности система у случају поремећаја у снабдевању потписница Уговора о оснивању Енергетске заједнице, према разним сценаријима, као и додатног капацитета предвиђеног пројектом који је измерен у односу на инфраструктурни стандард (N-1) на регионалном нивоу.</w:t>
      </w:r>
    </w:p>
    <w:p w14:paraId="1C9603D9" w14:textId="5CF24248" w:rsidR="00393C98" w:rsidRPr="006B062E" w:rsidRDefault="006B062E" w:rsidP="006B062E">
      <w:pPr>
        <w:ind w:firstLine="720"/>
        <w:rPr>
          <w:lang w:val="sr-Cyrl-RS"/>
        </w:rPr>
      </w:pPr>
      <w:r>
        <w:rPr>
          <w:lang w:val="sr-Cyrl-RS"/>
        </w:rPr>
        <w:t xml:space="preserve">(4) </w:t>
      </w:r>
      <w:r w:rsidR="00393C98" w:rsidRPr="006B062E">
        <w:rPr>
          <w:lang w:val="sr-Cyrl-RS"/>
        </w:rPr>
        <w:t>Одрживости, поред осталог, путем смањења емисија, кроз подршку поврем</w:t>
      </w:r>
      <w:r w:rsidR="0039233F">
        <w:rPr>
          <w:lang w:val="sr-Cyrl-RS"/>
        </w:rPr>
        <w:t>е</w:t>
      </w:r>
      <w:r w:rsidR="00393C98" w:rsidRPr="006B062E">
        <w:rPr>
          <w:lang w:val="sr-Cyrl-RS"/>
        </w:rPr>
        <w:t>ној производњи електричне енергије из обновљивих извора енергије и кроз повећање коришћења биогаса</w:t>
      </w:r>
    </w:p>
    <w:p w14:paraId="49A262CC" w14:textId="749EEEBC"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на основу доприноса пројекта смањењу емисија, раду резервног система производње електричне енергије из обновљивих извора или конверзији енергије у гас и транспорту биогаса, водећи рачуна о очекиваним променама у климатским условима.</w:t>
      </w:r>
    </w:p>
    <w:p w14:paraId="11BADEA1" w14:textId="47B24AEE" w:rsidR="00393C98" w:rsidRPr="006B062E" w:rsidRDefault="00F6233E" w:rsidP="006B062E">
      <w:pPr>
        <w:ind w:firstLine="720"/>
        <w:rPr>
          <w:lang w:val="sr-Cyrl-RS"/>
        </w:rPr>
      </w:pPr>
      <w:r>
        <w:rPr>
          <w:lang w:val="sr-Cyrl-RS"/>
        </w:rPr>
        <w:t>4)</w:t>
      </w:r>
      <w:r w:rsidR="006B062E">
        <w:rPr>
          <w:lang w:val="sr-Cyrl-RS"/>
        </w:rPr>
        <w:t xml:space="preserve"> </w:t>
      </w:r>
      <w:r w:rsidR="00393C98" w:rsidRPr="006B062E">
        <w:rPr>
          <w:lang w:val="sr-Cyrl-RS"/>
        </w:rPr>
        <w:t>За пројекте из области транспорта нафте:</w:t>
      </w:r>
    </w:p>
    <w:p w14:paraId="20046C1C" w14:textId="0D7118A7" w:rsidR="00393C98" w:rsidRPr="006B062E" w:rsidRDefault="006B062E" w:rsidP="006B062E">
      <w:pPr>
        <w:ind w:firstLine="720"/>
        <w:rPr>
          <w:lang w:val="sr-Cyrl-RS"/>
        </w:rPr>
      </w:pPr>
      <w:r>
        <w:rPr>
          <w:lang w:val="sr-Cyrl-RS"/>
        </w:rPr>
        <w:t xml:space="preserve">(1) </w:t>
      </w:r>
      <w:r w:rsidR="00393C98" w:rsidRPr="006B062E">
        <w:rPr>
          <w:lang w:val="sr-Cyrl-RS"/>
        </w:rPr>
        <w:t>Сигурности снабдевања и смањењу зависности од једног извора или једног правца снабдевања</w:t>
      </w:r>
      <w:r w:rsidRPr="006B062E">
        <w:rPr>
          <w:lang w:val="sr-Cyrl-RS"/>
        </w:rPr>
        <w:t xml:space="preserve"> </w:t>
      </w:r>
    </w:p>
    <w:p w14:paraId="1CBBF82D" w14:textId="22203AC2"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на основу процене додатне вредности који нови капацитет предложен пројектом има на краткорочну и дугорочну прилагодљивост система, као и на преосталу флексибилност система у случају поремећаја снабдевања према разним сценаријима.</w:t>
      </w:r>
    </w:p>
    <w:p w14:paraId="4EAEA34F" w14:textId="11876811" w:rsidR="00393C98" w:rsidRPr="006B062E" w:rsidRDefault="006B062E" w:rsidP="006B062E">
      <w:pPr>
        <w:ind w:firstLine="720"/>
        <w:rPr>
          <w:lang w:val="sr-Cyrl-RS"/>
        </w:rPr>
      </w:pPr>
      <w:r>
        <w:rPr>
          <w:lang w:val="sr-Cyrl-RS"/>
        </w:rPr>
        <w:t xml:space="preserve">(2) </w:t>
      </w:r>
      <w:r w:rsidR="00393C98" w:rsidRPr="006B062E">
        <w:rPr>
          <w:lang w:val="sr-Cyrl-RS"/>
        </w:rPr>
        <w:t>Ефикасном и одрживом коришћењу ресурса кроз смањење ризика по животну средину</w:t>
      </w:r>
    </w:p>
    <w:p w14:paraId="66FBA116" w14:textId="424EF8C9"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на основу процене обима у којем пројекат користи већ постојећу инфраструктуру и доприноси смањењу утицаја и ризика по животну средину и климатске промене.</w:t>
      </w:r>
    </w:p>
    <w:p w14:paraId="4D80F31E" w14:textId="791839E3" w:rsidR="00393C98" w:rsidRPr="006B062E" w:rsidRDefault="006B062E" w:rsidP="006B062E">
      <w:pPr>
        <w:ind w:firstLine="720"/>
        <w:rPr>
          <w:lang w:val="sr-Cyrl-RS"/>
        </w:rPr>
      </w:pPr>
      <w:r>
        <w:rPr>
          <w:lang w:val="sr-Cyrl-RS"/>
        </w:rPr>
        <w:t xml:space="preserve">(3) </w:t>
      </w:r>
      <w:r w:rsidR="00393C98" w:rsidRPr="006B062E">
        <w:rPr>
          <w:lang w:val="sr-Cyrl-RS"/>
        </w:rPr>
        <w:t>Међусобној усаглашености</w:t>
      </w:r>
    </w:p>
    <w:p w14:paraId="778027B1" w14:textId="70D76BA1" w:rsidR="00393C98" w:rsidRPr="00CF77C1" w:rsidRDefault="00393C98" w:rsidP="00E701C6">
      <w:pPr>
        <w:pStyle w:val="ListParagraph"/>
        <w:spacing w:before="60" w:after="60"/>
        <w:ind w:left="0" w:firstLine="720"/>
        <w:contextualSpacing w:val="0"/>
        <w:rPr>
          <w:lang w:val="sr-Cyrl-RS"/>
        </w:rPr>
      </w:pPr>
      <w:r w:rsidRPr="00CF77C1">
        <w:rPr>
          <w:lang w:val="sr-Cyrl-RS"/>
        </w:rPr>
        <w:t>Овај критеријум се цени на основу процене обима у којем пројекат побољшава рад нафтоводне мреже, посебно пружањем могућности реверзибилног протока.</w:t>
      </w:r>
    </w:p>
    <w:p w14:paraId="032F3150" w14:textId="05115225" w:rsidR="00447F8C" w:rsidRPr="00CF77C1" w:rsidRDefault="0054293E" w:rsidP="00E701C6">
      <w:pPr>
        <w:pStyle w:val="ListParagraph"/>
        <w:spacing w:before="60" w:after="60"/>
        <w:ind w:left="0" w:firstLine="720"/>
        <w:contextualSpacing w:val="0"/>
        <w:rPr>
          <w:lang w:val="sr-Cyrl-RS"/>
        </w:rPr>
      </w:pPr>
      <w:r w:rsidRPr="00CF77C1">
        <w:rPr>
          <w:lang w:val="sr-Cyrl-RS"/>
        </w:rPr>
        <w:t xml:space="preserve">Стратешки енергетски пројекти из </w:t>
      </w:r>
      <w:r w:rsidR="00785894">
        <w:rPr>
          <w:lang w:val="sr-Cyrl-RS"/>
        </w:rPr>
        <w:t>одељка</w:t>
      </w:r>
      <w:r w:rsidRPr="00CF77C1">
        <w:rPr>
          <w:lang w:val="sr-Cyrl-RS"/>
        </w:rPr>
        <w:t xml:space="preserve"> </w:t>
      </w:r>
      <w:r w:rsidR="00F6233E">
        <w:rPr>
          <w:lang w:val="sr-Cyrl-RS"/>
        </w:rPr>
        <w:t>2.2</w:t>
      </w:r>
      <w:r w:rsidR="00785894">
        <w:rPr>
          <w:lang w:val="sr-Cyrl-RS"/>
        </w:rPr>
        <w:t xml:space="preserve"> овог поглавља</w:t>
      </w:r>
      <w:r w:rsidRPr="00CF77C1">
        <w:rPr>
          <w:lang w:val="sr-Cyrl-RS"/>
        </w:rPr>
        <w:t xml:space="preserve"> могу да се кандидују за пројекте од интереса за Енергетску заједницу у складу са одлуком Министарског савета Енергетске заједнице број D/2015/09/MC-EnC.</w:t>
      </w:r>
    </w:p>
    <w:p w14:paraId="163CED01" w14:textId="1DCDD08E" w:rsidR="00341ABD" w:rsidRPr="00CF77C1" w:rsidRDefault="007E3B19" w:rsidP="007E3B19">
      <w:pPr>
        <w:pStyle w:val="Heading2"/>
        <w:pageBreakBefore w:val="0"/>
        <w:numPr>
          <w:ilvl w:val="0"/>
          <w:numId w:val="0"/>
        </w:numPr>
        <w:ind w:firstLine="720"/>
        <w:rPr>
          <w:rFonts w:ascii="Times New Roman" w:hAnsi="Times New Roman"/>
          <w:b w:val="0"/>
          <w:lang w:val="sr-Cyrl-RS"/>
        </w:rPr>
      </w:pPr>
      <w:bookmarkStart w:id="6" w:name="_Toc484260276"/>
      <w:r w:rsidRPr="00CF77C1">
        <w:rPr>
          <w:rFonts w:ascii="Times New Roman" w:hAnsi="Times New Roman"/>
          <w:b w:val="0"/>
          <w:lang w:val="sr-Cyrl-RS"/>
        </w:rPr>
        <w:t xml:space="preserve">2.4. </w:t>
      </w:r>
      <w:r w:rsidR="00341ABD" w:rsidRPr="00CF77C1">
        <w:rPr>
          <w:rFonts w:ascii="Times New Roman" w:hAnsi="Times New Roman"/>
          <w:b w:val="0"/>
          <w:lang w:val="sr-Cyrl-RS"/>
        </w:rPr>
        <w:t>Радна група за стратешке енергетске пројекте</w:t>
      </w:r>
      <w:bookmarkEnd w:id="6"/>
    </w:p>
    <w:p w14:paraId="4634AE13" w14:textId="79B141AB" w:rsidR="0054293E" w:rsidRPr="00CF77C1" w:rsidRDefault="0054293E" w:rsidP="007D730A">
      <w:pPr>
        <w:ind w:firstLine="720"/>
        <w:rPr>
          <w:lang w:val="sr-Cyrl-RS"/>
        </w:rPr>
      </w:pPr>
      <w:r w:rsidRPr="00CF77C1">
        <w:rPr>
          <w:lang w:val="sr-Cyrl-RS"/>
        </w:rPr>
        <w:t>Влада</w:t>
      </w:r>
      <w:r w:rsidR="007D2CCF" w:rsidRPr="00CF77C1">
        <w:rPr>
          <w:lang w:val="sr-Cyrl-RS"/>
        </w:rPr>
        <w:t>,</w:t>
      </w:r>
      <w:r w:rsidRPr="00CF77C1">
        <w:rPr>
          <w:lang w:val="sr-Cyrl-RS"/>
        </w:rPr>
        <w:t xml:space="preserve"> на предлог министарства надлежног за послове енергетике</w:t>
      </w:r>
      <w:r w:rsidR="007D2CCF" w:rsidRPr="00CF77C1">
        <w:rPr>
          <w:lang w:val="sr-Cyrl-RS"/>
        </w:rPr>
        <w:t>,</w:t>
      </w:r>
      <w:r w:rsidRPr="00CF77C1">
        <w:rPr>
          <w:lang w:val="sr-Cyrl-RS"/>
        </w:rPr>
        <w:t xml:space="preserve"> формира сталну Радну групу за стратешке енергетске пројекте коју чине</w:t>
      </w:r>
      <w:r w:rsidR="007D2CCF" w:rsidRPr="00CF77C1">
        <w:rPr>
          <w:lang w:val="sr-Cyrl-RS"/>
        </w:rPr>
        <w:t>,</w:t>
      </w:r>
      <w:r w:rsidRPr="00CF77C1">
        <w:rPr>
          <w:lang w:val="sr-Cyrl-RS"/>
        </w:rPr>
        <w:t xml:space="preserve"> поред представника министа</w:t>
      </w:r>
      <w:r w:rsidR="000E6F02">
        <w:rPr>
          <w:lang w:val="sr-Cyrl-RS"/>
        </w:rPr>
        <w:t>р</w:t>
      </w:r>
      <w:r w:rsidRPr="00CF77C1">
        <w:rPr>
          <w:lang w:val="sr-Cyrl-RS"/>
        </w:rPr>
        <w:t>ства надлежног за послове енергетике</w:t>
      </w:r>
      <w:r w:rsidR="007D2CCF" w:rsidRPr="00CF77C1">
        <w:rPr>
          <w:lang w:val="sr-Cyrl-RS"/>
        </w:rPr>
        <w:t>,</w:t>
      </w:r>
      <w:r w:rsidRPr="00CF77C1">
        <w:rPr>
          <w:lang w:val="sr-Cyrl-RS"/>
        </w:rPr>
        <w:t xml:space="preserve"> и следећи представници: министарство надлежно за послове планирања и</w:t>
      </w:r>
      <w:r w:rsidR="00B57AE3">
        <w:rPr>
          <w:lang w:val="sr-Cyrl-RS"/>
        </w:rPr>
        <w:t xml:space="preserve"> изградње објеката, министарства надлежна</w:t>
      </w:r>
      <w:r w:rsidRPr="00CF77C1">
        <w:rPr>
          <w:lang w:val="sr-Cyrl-RS"/>
        </w:rPr>
        <w:t xml:space="preserve"> за послов</w:t>
      </w:r>
      <w:r w:rsidR="00B57AE3">
        <w:rPr>
          <w:lang w:val="sr-Cyrl-RS"/>
        </w:rPr>
        <w:t xml:space="preserve">е пољопривреде и </w:t>
      </w:r>
      <w:r w:rsidRPr="00CF77C1">
        <w:rPr>
          <w:lang w:val="sr-Cyrl-RS"/>
        </w:rPr>
        <w:t xml:space="preserve">заштите животне средине, министарство надлежно за послове финансија, </w:t>
      </w:r>
      <w:r w:rsidR="00540836" w:rsidRPr="00CF77C1">
        <w:rPr>
          <w:lang w:val="sr-Cyrl-RS"/>
        </w:rPr>
        <w:t xml:space="preserve">министарство надлежно за послове привреде, </w:t>
      </w:r>
      <w:r w:rsidRPr="00CF77C1">
        <w:rPr>
          <w:lang w:val="sr-Cyrl-RS"/>
        </w:rPr>
        <w:t>Агенције за енергетику Републике Србије (у даљем тексту</w:t>
      </w:r>
      <w:r w:rsidR="00133248" w:rsidRPr="00CF77C1">
        <w:rPr>
          <w:lang w:val="sr-Cyrl-RS"/>
        </w:rPr>
        <w:t>:</w:t>
      </w:r>
      <w:r w:rsidRPr="00CF77C1">
        <w:rPr>
          <w:lang w:val="sr-Cyrl-RS"/>
        </w:rPr>
        <w:t xml:space="preserve"> АЕРС), ЈП </w:t>
      </w:r>
      <w:r w:rsidR="000E6F02">
        <w:rPr>
          <w:lang w:val="sr-Cyrl-RS"/>
        </w:rPr>
        <w:t>„</w:t>
      </w:r>
      <w:r w:rsidRPr="00CF77C1">
        <w:rPr>
          <w:lang w:val="sr-Cyrl-RS"/>
        </w:rPr>
        <w:t>Електропривреда Србије</w:t>
      </w:r>
      <w:r w:rsidR="000E6F02">
        <w:rPr>
          <w:lang w:val="sr-Cyrl-RS"/>
        </w:rPr>
        <w:t>”</w:t>
      </w:r>
      <w:r w:rsidRPr="00CF77C1">
        <w:rPr>
          <w:lang w:val="sr-Cyrl-RS"/>
        </w:rPr>
        <w:t xml:space="preserve"> (у даљем тексту</w:t>
      </w:r>
      <w:r w:rsidR="00133248" w:rsidRPr="00CF77C1">
        <w:rPr>
          <w:lang w:val="sr-Cyrl-RS"/>
        </w:rPr>
        <w:t xml:space="preserve">: </w:t>
      </w:r>
      <w:r w:rsidRPr="00CF77C1">
        <w:rPr>
          <w:lang w:val="sr-Cyrl-RS"/>
        </w:rPr>
        <w:t xml:space="preserve">ЕПС), </w:t>
      </w:r>
      <w:r w:rsidR="000667D2">
        <w:rPr>
          <w:lang w:val="sr-Cyrl-RS"/>
        </w:rPr>
        <w:t>„</w:t>
      </w:r>
      <w:r w:rsidRPr="00CF77C1">
        <w:rPr>
          <w:lang w:val="sr-Cyrl-RS"/>
        </w:rPr>
        <w:t>Електромрежа Србије</w:t>
      </w:r>
      <w:r w:rsidR="000667D2">
        <w:rPr>
          <w:lang w:val="sr-Cyrl-RS"/>
        </w:rPr>
        <w:t>”</w:t>
      </w:r>
      <w:r w:rsidRPr="00CF77C1">
        <w:rPr>
          <w:lang w:val="sr-Cyrl-RS"/>
        </w:rPr>
        <w:t xml:space="preserve"> а.д. (у даљем тексту</w:t>
      </w:r>
      <w:r w:rsidR="00133248" w:rsidRPr="00CF77C1">
        <w:rPr>
          <w:lang w:val="sr-Cyrl-RS"/>
        </w:rPr>
        <w:t>:</w:t>
      </w:r>
      <w:r w:rsidRPr="00CF77C1">
        <w:rPr>
          <w:lang w:val="sr-Cyrl-RS"/>
        </w:rPr>
        <w:t xml:space="preserve"> ЕМС а.д), ЈП </w:t>
      </w:r>
      <w:r w:rsidR="000667D2">
        <w:rPr>
          <w:lang w:val="sr-Cyrl-RS"/>
        </w:rPr>
        <w:t>„</w:t>
      </w:r>
      <w:r w:rsidRPr="00CF77C1">
        <w:rPr>
          <w:lang w:val="sr-Cyrl-RS"/>
        </w:rPr>
        <w:t>Србија</w:t>
      </w:r>
      <w:r w:rsidR="00F6233E">
        <w:rPr>
          <w:lang w:val="sr-Cyrl-RS"/>
        </w:rPr>
        <w:t>гас</w:t>
      </w:r>
      <w:r w:rsidR="000667D2">
        <w:rPr>
          <w:lang w:val="sr-Cyrl-RS"/>
        </w:rPr>
        <w:t>”</w:t>
      </w:r>
      <w:r w:rsidR="00F6233E">
        <w:rPr>
          <w:lang w:val="sr-Cyrl-RS"/>
        </w:rPr>
        <w:t xml:space="preserve">, </w:t>
      </w:r>
      <w:r w:rsidR="000667D2">
        <w:rPr>
          <w:lang w:val="sr-Cyrl-RS"/>
        </w:rPr>
        <w:t>„Транспорт</w:t>
      </w:r>
      <w:r w:rsidR="00F6233E">
        <w:rPr>
          <w:lang w:val="sr-Cyrl-RS"/>
        </w:rPr>
        <w:t>гас Србија</w:t>
      </w:r>
      <w:r w:rsidR="000667D2">
        <w:rPr>
          <w:lang w:val="sr-Cyrl-RS"/>
        </w:rPr>
        <w:t>”</w:t>
      </w:r>
      <w:r w:rsidR="00F6233E">
        <w:rPr>
          <w:lang w:val="sr-Cyrl-RS"/>
        </w:rPr>
        <w:t xml:space="preserve"> д.о.о</w:t>
      </w:r>
      <w:r w:rsidRPr="00CF77C1">
        <w:rPr>
          <w:lang w:val="sr-Cyrl-RS"/>
        </w:rPr>
        <w:t xml:space="preserve">, Југоросгаз, Југоросгаз </w:t>
      </w:r>
      <w:r w:rsidR="00F6233E">
        <w:rPr>
          <w:lang w:val="sr-Cyrl-RS"/>
        </w:rPr>
        <w:t>- транспорт а.д.</w:t>
      </w:r>
      <w:r w:rsidRPr="00CF77C1">
        <w:rPr>
          <w:lang w:val="sr-Cyrl-RS"/>
        </w:rPr>
        <w:t xml:space="preserve"> </w:t>
      </w:r>
      <w:r w:rsidR="00F6233E">
        <w:rPr>
          <w:lang w:val="sr-Cyrl-RS"/>
        </w:rPr>
        <w:t xml:space="preserve">и </w:t>
      </w:r>
      <w:r w:rsidRPr="00CF77C1">
        <w:rPr>
          <w:lang w:val="sr-Cyrl-RS"/>
        </w:rPr>
        <w:t xml:space="preserve">ЈП </w:t>
      </w:r>
      <w:r w:rsidR="000667D2">
        <w:rPr>
          <w:lang w:val="sr-Cyrl-RS"/>
        </w:rPr>
        <w:t>„</w:t>
      </w:r>
      <w:r w:rsidRPr="00CF77C1">
        <w:rPr>
          <w:lang w:val="sr-Cyrl-RS"/>
        </w:rPr>
        <w:t>Транснафта</w:t>
      </w:r>
      <w:r w:rsidR="000667D2">
        <w:rPr>
          <w:lang w:val="sr-Cyrl-RS"/>
        </w:rPr>
        <w:t>”</w:t>
      </w:r>
      <w:r w:rsidRPr="00CF77C1">
        <w:rPr>
          <w:lang w:val="sr-Cyrl-RS"/>
        </w:rPr>
        <w:t xml:space="preserve">. У рад </w:t>
      </w:r>
      <w:r w:rsidR="00F25DD6" w:rsidRPr="00CF77C1">
        <w:rPr>
          <w:lang w:val="sr-Cyrl-RS"/>
        </w:rPr>
        <w:t xml:space="preserve">Радне </w:t>
      </w:r>
      <w:r w:rsidRPr="00CF77C1">
        <w:rPr>
          <w:lang w:val="sr-Cyrl-RS"/>
        </w:rPr>
        <w:t>групе могу се укључити и друге институције и промотери пројекта.</w:t>
      </w:r>
    </w:p>
    <w:p w14:paraId="6E06DD80" w14:textId="12BD2CB3" w:rsidR="0054293E" w:rsidRPr="00CF77C1" w:rsidRDefault="0054293E" w:rsidP="007D730A">
      <w:pPr>
        <w:ind w:firstLine="720"/>
        <w:rPr>
          <w:lang w:val="sr-Cyrl-RS"/>
        </w:rPr>
      </w:pPr>
      <w:r w:rsidRPr="00CF77C1">
        <w:rPr>
          <w:lang w:val="sr-Cyrl-RS"/>
        </w:rPr>
        <w:t>Основни задаци Радне групе су</w:t>
      </w:r>
      <w:r w:rsidR="00F25DD6">
        <w:rPr>
          <w:lang w:val="sr-Cyrl-RS"/>
        </w:rPr>
        <w:t xml:space="preserve"> да</w:t>
      </w:r>
      <w:r w:rsidRPr="00CF77C1">
        <w:rPr>
          <w:lang w:val="sr-Cyrl-RS"/>
        </w:rPr>
        <w:t>:</w:t>
      </w:r>
    </w:p>
    <w:p w14:paraId="33B51859" w14:textId="2AC14A57" w:rsidR="0054293E"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о</w:t>
      </w:r>
      <w:r w:rsidR="0054293E" w:rsidRPr="00CF77C1">
        <w:rPr>
          <w:lang w:val="sr-Cyrl-RS"/>
        </w:rPr>
        <w:t>дређује шему за доношење одлуке о изградњи објекта;</w:t>
      </w:r>
    </w:p>
    <w:p w14:paraId="4573E506" w14:textId="07BCA74E" w:rsidR="0054293E"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р</w:t>
      </w:r>
      <w:r w:rsidR="0054293E" w:rsidRPr="00CF77C1">
        <w:rPr>
          <w:lang w:val="sr-Cyrl-RS"/>
        </w:rPr>
        <w:t>азматра захтеве Промотера пројекта;</w:t>
      </w:r>
    </w:p>
    <w:p w14:paraId="0A25F717" w14:textId="0A71FADE" w:rsidR="0054293E" w:rsidRPr="00CF77C1" w:rsidRDefault="00BD4599" w:rsidP="00B1663A">
      <w:pPr>
        <w:pStyle w:val="ListParagraph"/>
        <w:numPr>
          <w:ilvl w:val="0"/>
          <w:numId w:val="49"/>
        </w:numPr>
        <w:spacing w:before="60" w:after="60"/>
        <w:ind w:left="0" w:firstLine="720"/>
        <w:contextualSpacing w:val="0"/>
        <w:rPr>
          <w:lang w:val="sr-Cyrl-RS"/>
        </w:rPr>
      </w:pPr>
      <w:r>
        <w:rPr>
          <w:lang w:val="sr-Cyrl-RS"/>
        </w:rPr>
        <w:t>в</w:t>
      </w:r>
      <w:r w:rsidR="0054293E" w:rsidRPr="00CF77C1">
        <w:rPr>
          <w:lang w:val="sr-Cyrl-RS"/>
        </w:rPr>
        <w:t xml:space="preserve">реднује пројекте у складу са </w:t>
      </w:r>
      <w:r w:rsidR="00310B51" w:rsidRPr="00CF77C1">
        <w:rPr>
          <w:lang w:val="sr-Cyrl-RS"/>
        </w:rPr>
        <w:t>одељком</w:t>
      </w:r>
      <w:r>
        <w:rPr>
          <w:lang w:val="sr-Cyrl-RS"/>
        </w:rPr>
        <w:t xml:space="preserve"> 2.2</w:t>
      </w:r>
      <w:r w:rsidR="003E158A">
        <w:rPr>
          <w:lang w:val="sr-Cyrl-RS"/>
        </w:rPr>
        <w:t>.</w:t>
      </w:r>
      <w:r w:rsidR="00310B51" w:rsidRPr="00CF77C1">
        <w:rPr>
          <w:lang w:val="sr-Cyrl-RS"/>
        </w:rPr>
        <w:t xml:space="preserve"> овог поглавља</w:t>
      </w:r>
      <w:r w:rsidR="0054293E" w:rsidRPr="00CF77C1">
        <w:rPr>
          <w:lang w:val="sr-Cyrl-RS"/>
        </w:rPr>
        <w:t>;</w:t>
      </w:r>
    </w:p>
    <w:p w14:paraId="6D84F403" w14:textId="2EAB61DC" w:rsidR="0054293E"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п</w:t>
      </w:r>
      <w:r w:rsidR="0054293E" w:rsidRPr="00CF77C1">
        <w:rPr>
          <w:lang w:val="sr-Cyrl-RS"/>
        </w:rPr>
        <w:t xml:space="preserve">редлаже министру надлежном за послове енергетике листе кандидата за стратешке енергетске пројекте. Одлуку о проглашењу неког пројекта стратешким енергетским пројектом доноси Влада </w:t>
      </w:r>
      <w:r w:rsidR="005F3794" w:rsidRPr="00CF77C1">
        <w:rPr>
          <w:lang w:val="sr-Cyrl-RS"/>
        </w:rPr>
        <w:t>на предлог м</w:t>
      </w:r>
      <w:r w:rsidR="0054293E" w:rsidRPr="00CF77C1">
        <w:rPr>
          <w:lang w:val="sr-Cyrl-RS"/>
        </w:rPr>
        <w:t xml:space="preserve">инистра надлежног за </w:t>
      </w:r>
      <w:r w:rsidR="00412922" w:rsidRPr="00CF77C1">
        <w:rPr>
          <w:lang w:val="sr-Cyrl-RS"/>
        </w:rPr>
        <w:t>послове енергетике;</w:t>
      </w:r>
    </w:p>
    <w:p w14:paraId="2091FBF2" w14:textId="794B1988" w:rsidR="0054293E"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п</w:t>
      </w:r>
      <w:r w:rsidR="0054293E" w:rsidRPr="00CF77C1">
        <w:rPr>
          <w:lang w:val="sr-Cyrl-RS"/>
        </w:rPr>
        <w:t>редлаже министарству надлежном за послове енергетике израду нацрта закона</w:t>
      </w:r>
      <w:r w:rsidR="0076559E" w:rsidRPr="00CF77C1">
        <w:rPr>
          <w:lang w:val="sr-Cyrl-RS"/>
        </w:rPr>
        <w:t xml:space="preserve"> (у даљем тексту</w:t>
      </w:r>
      <w:r w:rsidR="00962F76">
        <w:rPr>
          <w:lang w:val="sr-Cyrl-RS"/>
        </w:rPr>
        <w:t>:</w:t>
      </w:r>
      <w:r w:rsidR="0076559E" w:rsidRPr="00CF77C1">
        <w:rPr>
          <w:lang w:val="sr-Cyrl-RS"/>
        </w:rPr>
        <w:t xml:space="preserve"> посебног прописа)</w:t>
      </w:r>
      <w:r w:rsidR="0054293E" w:rsidRPr="00CF77C1">
        <w:rPr>
          <w:lang w:val="sr-Cyrl-RS"/>
        </w:rPr>
        <w:t xml:space="preserve"> којим ће се уредити питања у вези са стратешким енергетским пројектом;</w:t>
      </w:r>
    </w:p>
    <w:p w14:paraId="1B7B3946" w14:textId="0FD9F851" w:rsidR="0054293E"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п</w:t>
      </w:r>
      <w:r w:rsidR="0054293E" w:rsidRPr="00CF77C1">
        <w:rPr>
          <w:lang w:val="sr-Cyrl-RS"/>
        </w:rPr>
        <w:t>рати реализацију стратешких енергетских пројеката;</w:t>
      </w:r>
    </w:p>
    <w:p w14:paraId="6150FB68" w14:textId="511F6F91" w:rsidR="0054293E"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п</w:t>
      </w:r>
      <w:r w:rsidR="0054293E" w:rsidRPr="00CF77C1">
        <w:rPr>
          <w:lang w:val="sr-Cyrl-RS"/>
        </w:rPr>
        <w:t xml:space="preserve">рипрема годишњи извештај за сваки од стратешких енергетских пројеката из области електричне енергије и природног гаса и доставља </w:t>
      </w:r>
      <w:r w:rsidR="00962F76">
        <w:rPr>
          <w:lang w:val="sr-Cyrl-RS"/>
        </w:rPr>
        <w:t xml:space="preserve">га </w:t>
      </w:r>
      <w:r w:rsidR="0054293E" w:rsidRPr="00CF77C1">
        <w:rPr>
          <w:lang w:val="sr-Cyrl-RS"/>
        </w:rPr>
        <w:t>Секретаријату Енерегетске заједнице у складу са одлуком Министарског савета Енергетске заједнице број D/2015/09/MC-EnC;</w:t>
      </w:r>
    </w:p>
    <w:p w14:paraId="381DB15E" w14:textId="43BA9620" w:rsidR="00AE7A03"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с</w:t>
      </w:r>
      <w:r w:rsidR="00AE7A03" w:rsidRPr="00CF77C1">
        <w:rPr>
          <w:lang w:val="sr-Cyrl-RS"/>
        </w:rPr>
        <w:t>арађује са координатором пројекта од интереса за Енергетску заједницу којег именује стална група на високом нивоу (ПЕЦИ координатором), као и са другим заинтересованим странама за реализацију пројекта;</w:t>
      </w:r>
    </w:p>
    <w:p w14:paraId="291E0EA7" w14:textId="481A8D25" w:rsidR="0054293E" w:rsidRPr="00CF77C1" w:rsidRDefault="008A1F01" w:rsidP="003E39B4">
      <w:pPr>
        <w:pStyle w:val="ListParagraph"/>
        <w:numPr>
          <w:ilvl w:val="0"/>
          <w:numId w:val="49"/>
        </w:numPr>
        <w:spacing w:before="60" w:after="60"/>
        <w:ind w:left="357" w:firstLine="363"/>
        <w:contextualSpacing w:val="0"/>
        <w:rPr>
          <w:lang w:val="sr-Cyrl-RS"/>
        </w:rPr>
      </w:pPr>
      <w:r w:rsidRPr="00CF77C1">
        <w:rPr>
          <w:lang w:val="sr-Cyrl-RS"/>
        </w:rPr>
        <w:t>п</w:t>
      </w:r>
      <w:r w:rsidR="0054293E" w:rsidRPr="00CF77C1">
        <w:rPr>
          <w:lang w:val="sr-Cyrl-RS"/>
        </w:rPr>
        <w:t>рати активности надлежних органа у вези са одлуком о изградњи објекта у циљу испуњења рока.</w:t>
      </w:r>
    </w:p>
    <w:p w14:paraId="7E0C2A06" w14:textId="4326D7E4" w:rsidR="0054293E" w:rsidRPr="00CF77C1" w:rsidRDefault="0054293E" w:rsidP="007D730A">
      <w:pPr>
        <w:ind w:firstLine="720"/>
        <w:rPr>
          <w:lang w:val="sr-Cyrl-RS"/>
        </w:rPr>
      </w:pPr>
      <w:r w:rsidRPr="00CF77C1">
        <w:rPr>
          <w:lang w:val="sr-Cyrl-RS"/>
        </w:rPr>
        <w:t>Основни задаци Промотера су</w:t>
      </w:r>
      <w:r w:rsidR="003B2A34">
        <w:rPr>
          <w:lang w:val="sr-Cyrl-RS"/>
        </w:rPr>
        <w:t xml:space="preserve"> да</w:t>
      </w:r>
      <w:r w:rsidRPr="00CF77C1">
        <w:rPr>
          <w:lang w:val="sr-Cyrl-RS"/>
        </w:rPr>
        <w:t>:</w:t>
      </w:r>
    </w:p>
    <w:p w14:paraId="756FFB27" w14:textId="2F3927FE" w:rsidR="0054293E" w:rsidRPr="00CF77C1" w:rsidRDefault="0054293E" w:rsidP="003E39B4">
      <w:pPr>
        <w:pStyle w:val="ListParagraph"/>
        <w:numPr>
          <w:ilvl w:val="0"/>
          <w:numId w:val="101"/>
        </w:numPr>
        <w:spacing w:before="60" w:after="60"/>
        <w:ind w:left="357" w:firstLine="363"/>
        <w:rPr>
          <w:lang w:val="sr-Cyrl-RS"/>
        </w:rPr>
      </w:pPr>
      <w:r w:rsidRPr="00CF77C1">
        <w:rPr>
          <w:lang w:val="sr-Cyrl-RS"/>
        </w:rPr>
        <w:t>у свему поступа у складу са прописима којима је регулисана област енергетике, просторног планирања и изградње об</w:t>
      </w:r>
      <w:r w:rsidR="008A1F01" w:rsidRPr="00CF77C1">
        <w:rPr>
          <w:lang w:val="sr-Cyrl-RS"/>
        </w:rPr>
        <w:t>јеката, заштите животне средине;</w:t>
      </w:r>
    </w:p>
    <w:p w14:paraId="7ED6F78B" w14:textId="3EC01184" w:rsidR="00AE7A03" w:rsidRPr="00CF77C1" w:rsidRDefault="00AE7A03" w:rsidP="003E39B4">
      <w:pPr>
        <w:pStyle w:val="ListParagraph"/>
        <w:numPr>
          <w:ilvl w:val="0"/>
          <w:numId w:val="101"/>
        </w:numPr>
        <w:spacing w:before="60" w:after="60"/>
        <w:ind w:left="357" w:firstLine="363"/>
        <w:rPr>
          <w:lang w:val="sr-Cyrl-RS"/>
        </w:rPr>
      </w:pPr>
      <w:r w:rsidRPr="00CF77C1">
        <w:rPr>
          <w:lang w:val="sr-Cyrl-RS"/>
        </w:rPr>
        <w:t xml:space="preserve">донесе план спровођења пројекта из </w:t>
      </w:r>
      <w:r w:rsidR="00310B51" w:rsidRPr="00CF77C1">
        <w:rPr>
          <w:lang w:val="sr-Cyrl-RS"/>
        </w:rPr>
        <w:t>одељка</w:t>
      </w:r>
      <w:r w:rsidRPr="00CF77C1">
        <w:rPr>
          <w:lang w:val="sr-Cyrl-RS"/>
        </w:rPr>
        <w:t xml:space="preserve"> </w:t>
      </w:r>
      <w:r w:rsidR="00094C27">
        <w:rPr>
          <w:lang w:val="sr-Cyrl-RS"/>
        </w:rPr>
        <w:t>2.5.</w:t>
      </w:r>
      <w:r w:rsidR="00310B51" w:rsidRPr="00CF77C1">
        <w:rPr>
          <w:lang w:val="sr-Cyrl-RS"/>
        </w:rPr>
        <w:t xml:space="preserve"> овог поглавља</w:t>
      </w:r>
      <w:r w:rsidR="008A1F01" w:rsidRPr="00CF77C1">
        <w:rPr>
          <w:lang w:val="sr-Cyrl-RS"/>
        </w:rPr>
        <w:t>;</w:t>
      </w:r>
    </w:p>
    <w:p w14:paraId="382B67F8" w14:textId="77777777" w:rsidR="009A0B12" w:rsidRPr="009A0B12" w:rsidRDefault="0054293E" w:rsidP="003E39B4">
      <w:pPr>
        <w:pStyle w:val="ListParagraph"/>
        <w:numPr>
          <w:ilvl w:val="0"/>
          <w:numId w:val="101"/>
        </w:numPr>
        <w:spacing w:before="60" w:after="60"/>
        <w:ind w:left="357" w:firstLine="363"/>
        <w:rPr>
          <w:lang w:val="sr-Cyrl-RS"/>
        </w:rPr>
      </w:pPr>
      <w:r w:rsidRPr="009A0B12">
        <w:rPr>
          <w:lang w:val="sr-Cyrl-RS"/>
        </w:rPr>
        <w:t xml:space="preserve">захтев Радне групе, </w:t>
      </w:r>
      <w:r w:rsidR="003B2A34" w:rsidRPr="009A0B12">
        <w:rPr>
          <w:lang w:val="sr-Cyrl-RS"/>
        </w:rPr>
        <w:t xml:space="preserve">АЕРС </w:t>
      </w:r>
      <w:r w:rsidRPr="009A0B12">
        <w:rPr>
          <w:lang w:val="sr-Cyrl-RS"/>
        </w:rPr>
        <w:t xml:space="preserve">и Секретаријата Енергетске заједнице доставља потребне податке и </w:t>
      </w:r>
      <w:r w:rsidR="008A1F01" w:rsidRPr="009A0B12">
        <w:rPr>
          <w:lang w:val="sr-Cyrl-RS"/>
        </w:rPr>
        <w:t>информације у вези са пројектом;</w:t>
      </w:r>
    </w:p>
    <w:p w14:paraId="65DB84C8" w14:textId="77777777" w:rsidR="009A0B12" w:rsidRDefault="009A0B12" w:rsidP="009A0B12">
      <w:pPr>
        <w:pStyle w:val="ListParagraph"/>
        <w:spacing w:before="60" w:after="60"/>
        <w:rPr>
          <w:lang w:val="sr-Cyrl-RS"/>
        </w:rPr>
      </w:pPr>
    </w:p>
    <w:p w14:paraId="0B39CBA7" w14:textId="77777777" w:rsidR="00294D23" w:rsidRPr="009A0B12" w:rsidRDefault="00294D23" w:rsidP="009A0B12">
      <w:pPr>
        <w:pStyle w:val="ListParagraph"/>
        <w:spacing w:before="60" w:after="60"/>
        <w:rPr>
          <w:lang w:val="sr-Cyrl-RS"/>
        </w:rPr>
      </w:pPr>
    </w:p>
    <w:p w14:paraId="62A3603E" w14:textId="744067D0" w:rsidR="0054293E" w:rsidRPr="009A0B12" w:rsidRDefault="0054293E" w:rsidP="003E39B4">
      <w:pPr>
        <w:pStyle w:val="ListParagraph"/>
        <w:numPr>
          <w:ilvl w:val="0"/>
          <w:numId w:val="101"/>
        </w:numPr>
        <w:spacing w:before="60" w:after="60"/>
        <w:ind w:left="357" w:firstLine="363"/>
        <w:rPr>
          <w:lang w:val="sr-Cyrl-RS"/>
        </w:rPr>
      </w:pPr>
      <w:r w:rsidRPr="009A0B12">
        <w:rPr>
          <w:lang w:val="sr-Cyrl-RS"/>
        </w:rPr>
        <w:t>податке и информације из тачке</w:t>
      </w:r>
      <w:r w:rsidR="00E735E0" w:rsidRPr="009A0B12">
        <w:rPr>
          <w:lang w:val="sr-Cyrl-RS"/>
        </w:rPr>
        <w:t xml:space="preserve"> 3</w:t>
      </w:r>
      <w:r w:rsidR="00094C27" w:rsidRPr="009A0B12">
        <w:rPr>
          <w:lang w:val="sr-Cyrl-RS"/>
        </w:rPr>
        <w:t>.</w:t>
      </w:r>
      <w:r w:rsidR="00B342EC" w:rsidRPr="009A0B12">
        <w:rPr>
          <w:lang w:val="sr-Cyrl-RS"/>
        </w:rPr>
        <w:t xml:space="preserve"> овог поглавља,</w:t>
      </w:r>
      <w:r w:rsidRPr="009A0B12">
        <w:rPr>
          <w:lang w:val="sr-Cyrl-RS"/>
        </w:rPr>
        <w:t xml:space="preserve"> као и Извештаје који се достављају </w:t>
      </w:r>
      <w:r w:rsidR="009A0B12" w:rsidRPr="009A0B12">
        <w:rPr>
          <w:lang w:val="sr-Cyrl-RS"/>
        </w:rPr>
        <w:t xml:space="preserve">АЕРС </w:t>
      </w:r>
      <w:r w:rsidRPr="009A0B12">
        <w:rPr>
          <w:lang w:val="sr-Cyrl-RS"/>
        </w:rPr>
        <w:t>и Секретаријату Енергетске з</w:t>
      </w:r>
      <w:r w:rsidR="008A1F01" w:rsidRPr="009A0B12">
        <w:rPr>
          <w:lang w:val="sr-Cyrl-RS"/>
        </w:rPr>
        <w:t>аједнице, доставља Радној групи;</w:t>
      </w:r>
    </w:p>
    <w:p w14:paraId="6486E29B" w14:textId="3CBFB8C5" w:rsidR="0054293E" w:rsidRPr="00CF77C1" w:rsidRDefault="0054293E" w:rsidP="003E39B4">
      <w:pPr>
        <w:pStyle w:val="ListParagraph"/>
        <w:numPr>
          <w:ilvl w:val="0"/>
          <w:numId w:val="101"/>
        </w:numPr>
        <w:spacing w:before="60" w:after="60"/>
        <w:ind w:left="357" w:firstLine="363"/>
        <w:rPr>
          <w:lang w:val="sr-Cyrl-RS"/>
        </w:rPr>
      </w:pPr>
      <w:r w:rsidRPr="00CF77C1">
        <w:rPr>
          <w:lang w:val="sr-Cyrl-RS"/>
        </w:rPr>
        <w:t>изради посебну интернет страницу на којој презентује стратешки енергетски пројекат.</w:t>
      </w:r>
    </w:p>
    <w:p w14:paraId="437B839D" w14:textId="07BD3506" w:rsidR="0054293E" w:rsidRPr="00CF77C1" w:rsidRDefault="005E1591" w:rsidP="005E1591">
      <w:pPr>
        <w:pStyle w:val="Heading2"/>
        <w:pageBreakBefore w:val="0"/>
        <w:numPr>
          <w:ilvl w:val="0"/>
          <w:numId w:val="0"/>
        </w:numPr>
        <w:ind w:firstLine="720"/>
        <w:rPr>
          <w:rFonts w:ascii="Times New Roman" w:hAnsi="Times New Roman"/>
          <w:b w:val="0"/>
          <w:lang w:val="sr-Cyrl-RS"/>
        </w:rPr>
      </w:pPr>
      <w:bookmarkStart w:id="7" w:name="_Toc484260277"/>
      <w:bookmarkStart w:id="8" w:name="_Ref494953021"/>
      <w:r w:rsidRPr="00CF77C1">
        <w:rPr>
          <w:rFonts w:ascii="Times New Roman" w:hAnsi="Times New Roman"/>
          <w:b w:val="0"/>
          <w:lang w:val="sr-Cyrl-RS"/>
        </w:rPr>
        <w:t xml:space="preserve">2.5. </w:t>
      </w:r>
      <w:r w:rsidR="0054293E" w:rsidRPr="00CF77C1">
        <w:rPr>
          <w:rFonts w:ascii="Times New Roman" w:hAnsi="Times New Roman"/>
          <w:b w:val="0"/>
          <w:lang w:val="sr-Cyrl-RS"/>
        </w:rPr>
        <w:t>Спровођење и надзор</w:t>
      </w:r>
      <w:bookmarkEnd w:id="7"/>
      <w:bookmarkEnd w:id="8"/>
    </w:p>
    <w:p w14:paraId="34D2B00F" w14:textId="182A13D3" w:rsidR="005F3794" w:rsidRPr="00CF77C1" w:rsidRDefault="0054293E" w:rsidP="005F3794">
      <w:pPr>
        <w:ind w:firstLine="720"/>
        <w:rPr>
          <w:lang w:val="sr-Cyrl-RS"/>
        </w:rPr>
      </w:pPr>
      <w:r w:rsidRPr="00CF77C1">
        <w:rPr>
          <w:lang w:val="sr-Cyrl-RS"/>
        </w:rPr>
        <w:t>Радна група за стратешке енергетске пројекте прати реализацију пројеката на основу плана спровођења (реализације) који подноси промотер пројекта. У оквиру плана имплементације нео</w:t>
      </w:r>
      <w:r w:rsidR="00067996">
        <w:rPr>
          <w:lang w:val="sr-Cyrl-RS"/>
        </w:rPr>
        <w:t>пх</w:t>
      </w:r>
      <w:r w:rsidRPr="00CF77C1">
        <w:rPr>
          <w:lang w:val="sr-Cyrl-RS"/>
        </w:rPr>
        <w:t>одно је да се прецизно дефинише временски план за:</w:t>
      </w:r>
    </w:p>
    <w:p w14:paraId="18227A2E" w14:textId="12CED3EA" w:rsidR="0054293E" w:rsidRPr="00F6233E" w:rsidRDefault="0054293E" w:rsidP="00F6233E">
      <w:pPr>
        <w:pStyle w:val="ListParagraph"/>
        <w:numPr>
          <w:ilvl w:val="0"/>
          <w:numId w:val="49"/>
        </w:numPr>
        <w:spacing w:before="60" w:after="60"/>
        <w:ind w:left="0" w:firstLine="723"/>
        <w:contextualSpacing w:val="0"/>
        <w:rPr>
          <w:lang w:val="sr-Cyrl-RS"/>
        </w:rPr>
      </w:pPr>
      <w:r w:rsidRPr="00CF77C1">
        <w:rPr>
          <w:lang w:val="sr-Cyrl-RS"/>
        </w:rPr>
        <w:t>израду просторно-</w:t>
      </w:r>
      <w:r w:rsidRPr="00F6233E">
        <w:rPr>
          <w:lang w:val="sr-Cyrl-RS"/>
        </w:rPr>
        <w:t>планске и техничке документације у складу са захтевима Закона о планирању и изградњ</w:t>
      </w:r>
      <w:r w:rsidR="00F6233E" w:rsidRPr="00F6233E">
        <w:rPr>
          <w:lang w:val="sr-Cyrl-RS"/>
        </w:rPr>
        <w:t xml:space="preserve">и </w:t>
      </w:r>
      <w:r w:rsidR="00F6233E" w:rsidRPr="00F6233E">
        <w:rPr>
          <w:lang w:val="ru-RU"/>
        </w:rPr>
        <w:t>(„Службени гласник РС”, бр. 72/09, 81/09-исправка, 64/10-УС, 24/11, 121/12, 42/13-УС, 50/13-УС, 98/13-УС, 132/14 и 145/14)</w:t>
      </w:r>
      <w:r w:rsidR="00F6233E" w:rsidRPr="00F6233E">
        <w:rPr>
          <w:lang w:val="sr-Cyrl-RS"/>
        </w:rPr>
        <w:t>;</w:t>
      </w:r>
    </w:p>
    <w:p w14:paraId="7DB5E610" w14:textId="09BB5C01" w:rsidR="0054293E" w:rsidRPr="00CF77C1" w:rsidRDefault="0054293E" w:rsidP="003E39B4">
      <w:pPr>
        <w:pStyle w:val="ListParagraph"/>
        <w:numPr>
          <w:ilvl w:val="0"/>
          <w:numId w:val="49"/>
        </w:numPr>
        <w:spacing w:before="60" w:after="60"/>
        <w:ind w:left="0" w:firstLine="723"/>
        <w:contextualSpacing w:val="0"/>
        <w:rPr>
          <w:lang w:val="sr-Cyrl-RS"/>
        </w:rPr>
      </w:pPr>
      <w:r w:rsidRPr="00F6233E">
        <w:rPr>
          <w:lang w:val="sr-Cyrl-RS"/>
        </w:rPr>
        <w:t>издавање свих потребних одобрења надлежних органа и</w:t>
      </w:r>
      <w:r w:rsidRPr="00CF77C1">
        <w:rPr>
          <w:lang w:val="sr-Cyrl-RS"/>
        </w:rPr>
        <w:t xml:space="preserve"> институција;</w:t>
      </w:r>
    </w:p>
    <w:p w14:paraId="4647EC39" w14:textId="5455D5FB" w:rsidR="0054293E" w:rsidRPr="00CF77C1" w:rsidRDefault="0054293E" w:rsidP="003E39B4">
      <w:pPr>
        <w:pStyle w:val="ListParagraph"/>
        <w:numPr>
          <w:ilvl w:val="0"/>
          <w:numId w:val="49"/>
        </w:numPr>
        <w:spacing w:before="60" w:after="60"/>
        <w:ind w:left="0" w:firstLine="723"/>
        <w:contextualSpacing w:val="0"/>
        <w:rPr>
          <w:lang w:val="sr-Cyrl-RS"/>
        </w:rPr>
      </w:pPr>
      <w:r w:rsidRPr="00CF77C1">
        <w:rPr>
          <w:lang w:val="sr-Cyrl-RS"/>
        </w:rPr>
        <w:t>изградњу и пуштање у рад;</w:t>
      </w:r>
    </w:p>
    <w:p w14:paraId="503E1CA6" w14:textId="1D257CE5" w:rsidR="0054293E" w:rsidRPr="00CF77C1" w:rsidRDefault="0054293E" w:rsidP="003E39B4">
      <w:pPr>
        <w:pStyle w:val="ListParagraph"/>
        <w:numPr>
          <w:ilvl w:val="0"/>
          <w:numId w:val="49"/>
        </w:numPr>
        <w:spacing w:before="60" w:after="60"/>
        <w:ind w:left="0" w:firstLine="723"/>
        <w:contextualSpacing w:val="0"/>
        <w:rPr>
          <w:lang w:val="sr-Cyrl-RS"/>
        </w:rPr>
      </w:pPr>
      <w:r w:rsidRPr="00CF77C1">
        <w:rPr>
          <w:lang w:val="sr-Cyrl-RS"/>
        </w:rPr>
        <w:t>издавање свих потребних дозвола.</w:t>
      </w:r>
    </w:p>
    <w:p w14:paraId="4F47B818" w14:textId="5192DFC6" w:rsidR="0054293E" w:rsidRPr="008F68D4" w:rsidRDefault="0054293E" w:rsidP="005F3794">
      <w:pPr>
        <w:ind w:firstLine="720"/>
        <w:rPr>
          <w:lang w:val="sr-Cyrl-RS"/>
        </w:rPr>
      </w:pPr>
      <w:r w:rsidRPr="00CF77C1">
        <w:rPr>
          <w:lang w:val="sr-Cyrl-RS"/>
        </w:rPr>
        <w:t xml:space="preserve">Поступак решавања </w:t>
      </w:r>
      <w:r w:rsidRPr="008F68D4">
        <w:rPr>
          <w:lang w:val="sr-Cyrl-RS"/>
        </w:rPr>
        <w:t>административних и правних питања која се односе на стицање или експропријацију земљишта на којем ће се реализовати пројекат уређују се у складу са посебним прописом.</w:t>
      </w:r>
    </w:p>
    <w:p w14:paraId="0A9F8793" w14:textId="0365E639" w:rsidR="0054293E" w:rsidRPr="008F68D4" w:rsidRDefault="0054293E" w:rsidP="00B342EC">
      <w:pPr>
        <w:ind w:firstLine="720"/>
        <w:rPr>
          <w:lang w:val="sr-Cyrl-CS"/>
        </w:rPr>
      </w:pPr>
      <w:r w:rsidRPr="008F68D4">
        <w:rPr>
          <w:lang w:val="sr-Cyrl-RS"/>
        </w:rPr>
        <w:t>Рокови за издавање аката из става 1</w:t>
      </w:r>
      <w:r w:rsidR="00F6233E">
        <w:rPr>
          <w:lang w:val="sr-Cyrl-RS"/>
        </w:rPr>
        <w:t>.</w:t>
      </w:r>
      <w:r w:rsidR="00B342EC" w:rsidRPr="008F68D4">
        <w:rPr>
          <w:lang w:val="sr-Cyrl-RS"/>
        </w:rPr>
        <w:t xml:space="preserve"> овог </w:t>
      </w:r>
      <w:r w:rsidR="00A54AD2">
        <w:rPr>
          <w:lang w:val="sr-Cyrl-RS"/>
        </w:rPr>
        <w:t>одељка</w:t>
      </w:r>
      <w:r w:rsidRPr="008F68D4">
        <w:rPr>
          <w:lang w:val="sr-Cyrl-RS"/>
        </w:rPr>
        <w:t xml:space="preserve"> биће прописани посебним прописом и укупно не могу бити дужи од 3,5 године.</w:t>
      </w:r>
      <w:r w:rsidR="005F3794" w:rsidRPr="008F68D4">
        <w:rPr>
          <w:lang w:val="sr-Latn-CS"/>
        </w:rPr>
        <w:t xml:space="preserve"> </w:t>
      </w:r>
      <w:r w:rsidR="00B342EC" w:rsidRPr="008F68D4">
        <w:rPr>
          <w:lang w:val="sr-Cyrl-CS"/>
        </w:rPr>
        <w:t xml:space="preserve"> </w:t>
      </w:r>
    </w:p>
    <w:p w14:paraId="2B5991E7" w14:textId="3A2ED0A7" w:rsidR="0054293E" w:rsidRPr="008F68D4" w:rsidRDefault="00F6233E" w:rsidP="005F3794">
      <w:pPr>
        <w:ind w:firstLine="357"/>
        <w:rPr>
          <w:lang w:val="sr-Cyrl-RS"/>
        </w:rPr>
      </w:pPr>
      <w:r>
        <w:rPr>
          <w:lang w:val="sr-Cyrl-RS"/>
        </w:rPr>
        <w:t xml:space="preserve">Посебним прописом из става 3. овог </w:t>
      </w:r>
      <w:r w:rsidR="00A54AD2">
        <w:rPr>
          <w:lang w:val="sr-Cyrl-RS"/>
        </w:rPr>
        <w:t>одељка</w:t>
      </w:r>
      <w:r>
        <w:rPr>
          <w:lang w:val="sr-Cyrl-RS"/>
        </w:rPr>
        <w:t xml:space="preserve"> </w:t>
      </w:r>
      <w:r w:rsidR="0054293E" w:rsidRPr="008F68D4">
        <w:rPr>
          <w:lang w:val="sr-Cyrl-RS"/>
        </w:rPr>
        <w:t>се уређује:</w:t>
      </w:r>
    </w:p>
    <w:p w14:paraId="559FF217" w14:textId="77777777" w:rsidR="0054293E" w:rsidRPr="00CF77C1" w:rsidRDefault="0054293E" w:rsidP="003E39B4">
      <w:pPr>
        <w:pStyle w:val="ListParagraph"/>
        <w:numPr>
          <w:ilvl w:val="0"/>
          <w:numId w:val="49"/>
        </w:numPr>
        <w:spacing w:before="60" w:after="60"/>
        <w:ind w:left="0" w:firstLine="723"/>
        <w:contextualSpacing w:val="0"/>
        <w:rPr>
          <w:lang w:val="sr-Cyrl-RS"/>
        </w:rPr>
      </w:pPr>
      <w:r w:rsidRPr="00CF77C1">
        <w:rPr>
          <w:lang w:val="sr-Cyrl-RS"/>
        </w:rPr>
        <w:t>пројекат који је Одлуком проглашен стратешким енергетским пројектом, опис пројекта, приоритетни статус и утврђивање јавног интереса;</w:t>
      </w:r>
    </w:p>
    <w:p w14:paraId="741742B4" w14:textId="77777777" w:rsidR="0054293E" w:rsidRPr="00CF77C1" w:rsidRDefault="0054293E" w:rsidP="003E39B4">
      <w:pPr>
        <w:pStyle w:val="ListParagraph"/>
        <w:numPr>
          <w:ilvl w:val="0"/>
          <w:numId w:val="49"/>
        </w:numPr>
        <w:spacing w:before="60" w:after="60"/>
        <w:ind w:left="0" w:firstLine="723"/>
        <w:contextualSpacing w:val="0"/>
        <w:rPr>
          <w:lang w:val="sr-Cyrl-RS"/>
        </w:rPr>
      </w:pPr>
      <w:r w:rsidRPr="00CF77C1">
        <w:rPr>
          <w:lang w:val="sr-Cyrl-RS"/>
        </w:rPr>
        <w:t>обавезе промотера пројекта, посебно у погледу рокова извршења појединих фаза;</w:t>
      </w:r>
    </w:p>
    <w:p w14:paraId="3B66F83D" w14:textId="66F98C4F" w:rsidR="0054293E" w:rsidRPr="008F68D4" w:rsidRDefault="0054293E" w:rsidP="003E39B4">
      <w:pPr>
        <w:pStyle w:val="ListParagraph"/>
        <w:numPr>
          <w:ilvl w:val="0"/>
          <w:numId w:val="49"/>
        </w:numPr>
        <w:spacing w:before="60" w:after="60"/>
        <w:ind w:left="0" w:firstLine="723"/>
        <w:contextualSpacing w:val="0"/>
        <w:rPr>
          <w:lang w:val="sr-Cyrl-RS"/>
        </w:rPr>
      </w:pPr>
      <w:r w:rsidRPr="00CF77C1">
        <w:rPr>
          <w:lang w:val="sr-Cyrl-RS"/>
        </w:rPr>
        <w:t xml:space="preserve">начин извештавања о реализацији пројекта на годишњем нивоу, за сваку годину реализације, укључујући рокове за </w:t>
      </w:r>
      <w:r w:rsidRPr="008F68D4">
        <w:rPr>
          <w:lang w:val="sr-Cyrl-RS"/>
        </w:rPr>
        <w:t>извештавање, статусе дозвола и процедура за консултације, начин извештавања о кашњењу реализације пројекта и сл;</w:t>
      </w:r>
    </w:p>
    <w:p w14:paraId="28A3CEE0" w14:textId="76EDA511" w:rsidR="0054293E" w:rsidRPr="008F68D4" w:rsidRDefault="0054293E" w:rsidP="003E39B4">
      <w:pPr>
        <w:pStyle w:val="ListParagraph"/>
        <w:numPr>
          <w:ilvl w:val="0"/>
          <w:numId w:val="49"/>
        </w:numPr>
        <w:spacing w:before="60" w:after="60"/>
        <w:ind w:left="0" w:firstLine="723"/>
        <w:contextualSpacing w:val="0"/>
        <w:rPr>
          <w:lang w:val="sr-Cyrl-RS"/>
        </w:rPr>
      </w:pPr>
      <w:r w:rsidRPr="008F68D4">
        <w:rPr>
          <w:lang w:val="sr-Cyrl-RS"/>
        </w:rPr>
        <w:t>роко</w:t>
      </w:r>
      <w:r w:rsidR="00412922" w:rsidRPr="008F68D4">
        <w:rPr>
          <w:lang w:val="sr-Cyrl-RS"/>
        </w:rPr>
        <w:t>в</w:t>
      </w:r>
      <w:r w:rsidR="00F6233E">
        <w:rPr>
          <w:lang w:val="sr-Cyrl-RS"/>
        </w:rPr>
        <w:t xml:space="preserve">и за издавање аката из става 1. </w:t>
      </w:r>
      <w:r w:rsidR="00412922" w:rsidRPr="008F68D4">
        <w:rPr>
          <w:lang w:val="sr-Cyrl-RS"/>
        </w:rPr>
        <w:t xml:space="preserve">овог </w:t>
      </w:r>
      <w:r w:rsidR="00A54AD2">
        <w:rPr>
          <w:lang w:val="sr-Cyrl-RS"/>
        </w:rPr>
        <w:t>одељка</w:t>
      </w:r>
      <w:r w:rsidR="00412922" w:rsidRPr="008F68D4">
        <w:rPr>
          <w:lang w:val="sr-Cyrl-RS"/>
        </w:rPr>
        <w:t>.</w:t>
      </w:r>
    </w:p>
    <w:p w14:paraId="04F28D36" w14:textId="67C196AF" w:rsidR="0054293E" w:rsidRPr="00CF77C1" w:rsidRDefault="0054293E" w:rsidP="005F3794">
      <w:pPr>
        <w:ind w:firstLine="720"/>
        <w:rPr>
          <w:lang w:val="sr-Cyrl-RS"/>
        </w:rPr>
      </w:pPr>
      <w:r w:rsidRPr="008F68D4">
        <w:rPr>
          <w:lang w:val="sr-Cyrl-RS"/>
        </w:rPr>
        <w:t xml:space="preserve">У циљу потпуног </w:t>
      </w:r>
      <w:r w:rsidR="005F3794" w:rsidRPr="008F68D4">
        <w:rPr>
          <w:lang w:val="sr-Cyrl-RS"/>
        </w:rPr>
        <w:t>преношења захтева Уредбе 347/</w:t>
      </w:r>
      <w:r w:rsidRPr="008F68D4">
        <w:rPr>
          <w:lang w:val="sr-Cyrl-RS"/>
        </w:rPr>
        <w:t xml:space="preserve">13 европског парламента </w:t>
      </w:r>
      <w:r w:rsidRPr="00CF77C1">
        <w:rPr>
          <w:lang w:val="sr-Cyrl-RS"/>
        </w:rPr>
        <w:t>и већа о смерницама за трансевропску енергетску инфраструктуру неопходно је прописима којима се уређује заштита животне средине и прописима којима се уређује просторно планирање и изградња објеката прописати да се рокови за стратешке енергетске пројекте утврђују посебним прописом.</w:t>
      </w:r>
    </w:p>
    <w:p w14:paraId="76B05194" w14:textId="1F0C52D7" w:rsidR="0054293E" w:rsidRPr="00CF77C1" w:rsidRDefault="005E1591" w:rsidP="005E1591">
      <w:pPr>
        <w:pStyle w:val="Heading2"/>
        <w:pageBreakBefore w:val="0"/>
        <w:numPr>
          <w:ilvl w:val="0"/>
          <w:numId w:val="0"/>
        </w:numPr>
        <w:ind w:left="720"/>
        <w:rPr>
          <w:rFonts w:ascii="Times New Roman" w:hAnsi="Times New Roman"/>
          <w:b w:val="0"/>
          <w:lang w:val="sr-Cyrl-RS"/>
        </w:rPr>
      </w:pPr>
      <w:bookmarkStart w:id="9" w:name="_Toc484260278"/>
      <w:r w:rsidRPr="00CF77C1">
        <w:rPr>
          <w:rFonts w:ascii="Times New Roman" w:hAnsi="Times New Roman"/>
          <w:b w:val="0"/>
          <w:lang w:val="sr-Cyrl-RS"/>
        </w:rPr>
        <w:t xml:space="preserve">2.6. </w:t>
      </w:r>
      <w:r w:rsidR="0054293E" w:rsidRPr="00CF77C1">
        <w:rPr>
          <w:rFonts w:ascii="Times New Roman" w:hAnsi="Times New Roman"/>
          <w:b w:val="0"/>
          <w:lang w:val="sr-Cyrl-RS"/>
        </w:rPr>
        <w:t xml:space="preserve">Улога </w:t>
      </w:r>
      <w:r w:rsidR="00BC599B" w:rsidRPr="00B57AE3">
        <w:rPr>
          <w:rFonts w:ascii="Times New Roman" w:hAnsi="Times New Roman"/>
          <w:b w:val="0"/>
          <w:i/>
          <w:lang w:val="sr-Cyrl-RS"/>
        </w:rPr>
        <w:t>АЕ</w:t>
      </w:r>
      <w:r w:rsidR="00926C67" w:rsidRPr="00B57AE3">
        <w:rPr>
          <w:rFonts w:ascii="Times New Roman" w:hAnsi="Times New Roman"/>
          <w:b w:val="0"/>
          <w:i/>
          <w:lang w:val="sr-Cyrl-RS"/>
        </w:rPr>
        <w:t>Р</w:t>
      </w:r>
      <w:r w:rsidR="0054293E" w:rsidRPr="00B57AE3">
        <w:rPr>
          <w:rFonts w:ascii="Times New Roman" w:hAnsi="Times New Roman"/>
          <w:b w:val="0"/>
          <w:i/>
          <w:lang w:val="sr-Cyrl-RS"/>
        </w:rPr>
        <w:t>С</w:t>
      </w:r>
      <w:bookmarkEnd w:id="9"/>
    </w:p>
    <w:p w14:paraId="73056B48" w14:textId="5FB58F22" w:rsidR="000A58D4" w:rsidRPr="00CF77C1" w:rsidRDefault="0054293E" w:rsidP="005F3794">
      <w:pPr>
        <w:ind w:firstLine="720"/>
        <w:rPr>
          <w:lang w:val="sr-Cyrl-RS"/>
        </w:rPr>
      </w:pPr>
      <w:r w:rsidRPr="00CF77C1">
        <w:rPr>
          <w:lang w:val="sr-Cyrl-RS"/>
        </w:rPr>
        <w:t xml:space="preserve">У процесу утврђивања и праћења реализације стратешких енергетских пројеката учествује и </w:t>
      </w:r>
      <w:r w:rsidR="00FE5017">
        <w:rPr>
          <w:lang w:val="sr-Cyrl-RS"/>
        </w:rPr>
        <w:t>АЕРС</w:t>
      </w:r>
      <w:r w:rsidR="00BD55DA">
        <w:rPr>
          <w:lang w:val="sr-Cyrl-RS"/>
        </w:rPr>
        <w:t xml:space="preserve"> </w:t>
      </w:r>
      <w:r w:rsidRPr="00CF77C1">
        <w:rPr>
          <w:lang w:val="sr-Cyrl-RS"/>
        </w:rPr>
        <w:t xml:space="preserve">која ће до 30. јуна 2018. године утврдити и објавити показатеље и одговарајуће референтне вредности ради поређења јединичних трошкова </w:t>
      </w:r>
      <w:r w:rsidRPr="009D7893">
        <w:rPr>
          <w:lang w:val="sr-Cyrl-RS"/>
        </w:rPr>
        <w:t>улагања за упоредиве пројекте инфрастр</w:t>
      </w:r>
      <w:r w:rsidR="00F6233E" w:rsidRPr="009D7893">
        <w:rPr>
          <w:lang w:val="sr-Cyrl-RS"/>
        </w:rPr>
        <w:t xml:space="preserve">уктурних категорија приказане у </w:t>
      </w:r>
      <w:r w:rsidR="008320CF">
        <w:rPr>
          <w:lang w:val="sr-Cyrl-RS"/>
        </w:rPr>
        <w:t xml:space="preserve">одељку </w:t>
      </w:r>
      <w:r w:rsidR="009D7893">
        <w:rPr>
          <w:lang w:val="sr-Cyrl-RS"/>
        </w:rPr>
        <w:t>2.2</w:t>
      </w:r>
      <w:r w:rsidR="008320CF">
        <w:rPr>
          <w:lang w:val="sr-Cyrl-RS"/>
        </w:rPr>
        <w:t>.</w:t>
      </w:r>
      <w:r w:rsidR="00B1663A">
        <w:rPr>
          <w:lang w:val="sr-Cyrl-RS"/>
        </w:rPr>
        <w:t xml:space="preserve"> </w:t>
      </w:r>
      <w:r w:rsidR="008320CF" w:rsidRPr="009D7893">
        <w:rPr>
          <w:lang w:val="sr-Cyrl-RS"/>
        </w:rPr>
        <w:t xml:space="preserve">тач. 1) и 2) </w:t>
      </w:r>
      <w:r w:rsidR="00B1663A">
        <w:rPr>
          <w:lang w:val="sr-Cyrl-RS"/>
        </w:rPr>
        <w:t>овог поглавља,</w:t>
      </w:r>
      <w:r w:rsidRPr="00CF77C1">
        <w:rPr>
          <w:lang w:val="sr-Cyrl-RS"/>
        </w:rPr>
        <w:t xml:space="preserve"> а које промотери пројекта могу да користе за анализе трошкова и за пројекте које промовишу.</w:t>
      </w:r>
    </w:p>
    <w:p w14:paraId="31F1A730" w14:textId="3565E697" w:rsidR="002E3868" w:rsidRPr="00CF77C1" w:rsidRDefault="005E1591" w:rsidP="005E1591">
      <w:pPr>
        <w:pStyle w:val="Heading1"/>
        <w:numPr>
          <w:ilvl w:val="0"/>
          <w:numId w:val="0"/>
        </w:numPr>
        <w:ind w:firstLine="720"/>
        <w:jc w:val="both"/>
        <w:rPr>
          <w:b w:val="0"/>
          <w:lang w:val="sr-Cyrl-RS"/>
        </w:rPr>
      </w:pPr>
      <w:bookmarkStart w:id="10" w:name="_Ref479933288"/>
      <w:bookmarkStart w:id="11" w:name="_Toc484260279"/>
      <w:r w:rsidRPr="00CF77C1">
        <w:rPr>
          <w:b w:val="0"/>
          <w:lang w:val="sr-Cyrl-RS"/>
        </w:rPr>
        <w:t xml:space="preserve">3. </w:t>
      </w:r>
      <w:r w:rsidR="002E45C2" w:rsidRPr="00CF77C1">
        <w:rPr>
          <w:b w:val="0"/>
          <w:lang w:val="sr-Cyrl-RS"/>
        </w:rPr>
        <w:t>Преглед циљева, индикатора, мера, активности и пројеката Програма остварења стратегије по областима</w:t>
      </w:r>
      <w:bookmarkEnd w:id="10"/>
      <w:bookmarkEnd w:id="11"/>
    </w:p>
    <w:p w14:paraId="1EA7A3FF" w14:textId="23B4FBC9" w:rsidR="002E3868" w:rsidRPr="00CF77C1" w:rsidRDefault="005E1591" w:rsidP="005E1591">
      <w:pPr>
        <w:pStyle w:val="Heading2"/>
        <w:pageBreakBefore w:val="0"/>
        <w:numPr>
          <w:ilvl w:val="0"/>
          <w:numId w:val="0"/>
        </w:numPr>
        <w:ind w:firstLine="720"/>
        <w:rPr>
          <w:rFonts w:ascii="Times New Roman" w:hAnsi="Times New Roman"/>
          <w:b w:val="0"/>
          <w:lang w:val="sr-Cyrl-RS"/>
        </w:rPr>
      </w:pPr>
      <w:bookmarkStart w:id="12" w:name="_Toc463001113"/>
      <w:bookmarkStart w:id="13" w:name="_Ref468378469"/>
      <w:bookmarkStart w:id="14" w:name="_Ref470995602"/>
      <w:bookmarkStart w:id="15" w:name="_Toc484260280"/>
      <w:r w:rsidRPr="00CF77C1">
        <w:rPr>
          <w:rFonts w:ascii="Times New Roman" w:hAnsi="Times New Roman"/>
          <w:b w:val="0"/>
          <w:lang w:val="sr-Cyrl-RS"/>
        </w:rPr>
        <w:t xml:space="preserve">3.1. </w:t>
      </w:r>
      <w:r w:rsidR="002E3868" w:rsidRPr="00CF77C1">
        <w:rPr>
          <w:rFonts w:ascii="Times New Roman" w:hAnsi="Times New Roman"/>
          <w:b w:val="0"/>
          <w:lang w:val="sr-Cyrl-RS"/>
        </w:rPr>
        <w:t>Област електричне енергије</w:t>
      </w:r>
      <w:bookmarkEnd w:id="12"/>
      <w:bookmarkEnd w:id="13"/>
      <w:bookmarkEnd w:id="14"/>
      <w:bookmarkEnd w:id="15"/>
    </w:p>
    <w:p w14:paraId="204B3306" w14:textId="69977D54" w:rsidR="00945D48" w:rsidRPr="00CF77C1" w:rsidRDefault="00945D48" w:rsidP="000763D5">
      <w:pPr>
        <w:keepNext/>
        <w:ind w:firstLine="720"/>
        <w:rPr>
          <w:lang w:val="sr-Cyrl-RS"/>
        </w:rPr>
      </w:pPr>
      <w:r w:rsidRPr="00CF77C1">
        <w:rPr>
          <w:lang w:val="sr-Cyrl-RS"/>
        </w:rPr>
        <w:t xml:space="preserve">Стратегијом </w:t>
      </w:r>
      <w:r w:rsidR="0011648E" w:rsidRPr="00CF77C1">
        <w:rPr>
          <w:lang w:val="sr-Cyrl-RS"/>
        </w:rPr>
        <w:t xml:space="preserve">енергетике </w:t>
      </w:r>
      <w:r w:rsidRPr="00CF77C1">
        <w:rPr>
          <w:lang w:val="sr-Cyrl-RS"/>
        </w:rPr>
        <w:t>су дефинисани стратешки циљеви Републике Србије</w:t>
      </w:r>
      <w:r w:rsidR="00A74F0A" w:rsidRPr="00CF77C1">
        <w:rPr>
          <w:lang w:val="sr-Cyrl-RS"/>
        </w:rPr>
        <w:t xml:space="preserve"> </w:t>
      </w:r>
      <w:r w:rsidRPr="00CF77C1">
        <w:rPr>
          <w:lang w:val="sr-Cyrl-RS"/>
        </w:rPr>
        <w:t xml:space="preserve">у сектору електроенергетике. За сваки циљ дефинисани су </w:t>
      </w:r>
      <w:r w:rsidR="00D61BC9" w:rsidRPr="00CF77C1">
        <w:rPr>
          <w:lang w:val="sr-Cyrl-RS"/>
        </w:rPr>
        <w:t>индикатори</w:t>
      </w:r>
      <w:r w:rsidRPr="00CF77C1">
        <w:rPr>
          <w:lang w:val="sr-Cyrl-RS"/>
        </w:rPr>
        <w:t xml:space="preserve"> преко којих се прати његова реализација.</w:t>
      </w:r>
    </w:p>
    <w:p w14:paraId="7FF1284B" w14:textId="39A04365" w:rsidR="00945D48" w:rsidRPr="00CF77C1" w:rsidRDefault="00DE0456" w:rsidP="000763D5">
      <w:pPr>
        <w:keepNext/>
        <w:ind w:firstLine="720"/>
        <w:rPr>
          <w:lang w:val="sr-Cyrl-RS"/>
        </w:rPr>
      </w:pPr>
      <w:bookmarkStart w:id="16" w:name="EE_Cilj_1"/>
      <w:r w:rsidRPr="00CF77C1">
        <w:rPr>
          <w:lang w:val="sr-Cyrl-RS"/>
        </w:rPr>
        <w:t>Ц.Е.1</w:t>
      </w:r>
      <w:r w:rsidR="000B28E3" w:rsidRPr="00CF77C1">
        <w:rPr>
          <w:lang w:val="sr-Cyrl-RS"/>
        </w:rPr>
        <w:t xml:space="preserve">. </w:t>
      </w:r>
      <w:r w:rsidR="00945D48" w:rsidRPr="00CF77C1">
        <w:rPr>
          <w:lang w:val="sr-Cyrl-RS"/>
        </w:rPr>
        <w:t>Обезбеђивање сигурног снабдевања електричном енергијом домаћег тржишта</w:t>
      </w:r>
      <w:bookmarkEnd w:id="16"/>
    </w:p>
    <w:p w14:paraId="61A3D183" w14:textId="4C293CC8" w:rsidR="00945D48" w:rsidRPr="00CF77C1" w:rsidRDefault="00945D48" w:rsidP="000763D5">
      <w:pPr>
        <w:keepNext/>
        <w:ind w:firstLine="720"/>
        <w:rPr>
          <w:lang w:val="sr-Cyrl-RS"/>
        </w:rPr>
      </w:pPr>
      <w:r w:rsidRPr="00CF77C1">
        <w:rPr>
          <w:lang w:val="sr-Cyrl-RS"/>
        </w:rPr>
        <w:t xml:space="preserve">Мери се кроз могућност да се свим купцима електричне енергије </w:t>
      </w:r>
      <w:r w:rsidR="00D61BC9" w:rsidRPr="00CF77C1">
        <w:rPr>
          <w:lang w:val="sr-Cyrl-RS"/>
        </w:rPr>
        <w:t xml:space="preserve">у периоду </w:t>
      </w:r>
      <w:r w:rsidRPr="00CF77C1">
        <w:rPr>
          <w:lang w:val="sr-Cyrl-RS"/>
        </w:rPr>
        <w:t>реализ</w:t>
      </w:r>
      <w:r w:rsidR="00C255D3" w:rsidRPr="00CF77C1">
        <w:rPr>
          <w:lang w:val="sr-Cyrl-RS"/>
        </w:rPr>
        <w:t>ације ПОС</w:t>
      </w:r>
      <w:r w:rsidRPr="00CF77C1">
        <w:rPr>
          <w:lang w:val="sr-Cyrl-RS"/>
        </w:rPr>
        <w:t xml:space="preserve"> обезбеди снабдевање електричном енергијом у складу са </w:t>
      </w:r>
      <w:r w:rsidR="005C650D" w:rsidRPr="00CF77C1">
        <w:rPr>
          <w:lang w:val="sr-Cyrl-RS"/>
        </w:rPr>
        <w:t>Законом о енергетиц</w:t>
      </w:r>
      <w:r w:rsidR="0079450A" w:rsidRPr="00CF77C1">
        <w:rPr>
          <w:lang w:val="sr-Cyrl-RS"/>
        </w:rPr>
        <w:t>и</w:t>
      </w:r>
      <w:r w:rsidR="005C650D" w:rsidRPr="00CF77C1">
        <w:rPr>
          <w:lang w:val="sr-Cyrl-RS"/>
        </w:rPr>
        <w:t xml:space="preserve">, </w:t>
      </w:r>
      <w:r w:rsidR="00D61BC9" w:rsidRPr="00CF77C1">
        <w:rPr>
          <w:lang w:val="sr-Cyrl-RS"/>
        </w:rPr>
        <w:t>прописом</w:t>
      </w:r>
      <w:r w:rsidRPr="00CF77C1">
        <w:rPr>
          <w:lang w:val="sr-Cyrl-RS"/>
        </w:rPr>
        <w:t xml:space="preserve"> о условима испоруке и снабдевања електричном енергијом,</w:t>
      </w:r>
      <w:r w:rsidR="005934B3" w:rsidRPr="00CF77C1">
        <w:rPr>
          <w:lang w:val="sr-Cyrl-RS"/>
        </w:rPr>
        <w:t xml:space="preserve"> </w:t>
      </w:r>
      <w:r w:rsidR="00D61BC9" w:rsidRPr="00CF77C1">
        <w:rPr>
          <w:lang w:val="sr-Cyrl-RS"/>
        </w:rPr>
        <w:t xml:space="preserve">правилима </w:t>
      </w:r>
      <w:r w:rsidR="00D40E0B" w:rsidRPr="00CF77C1">
        <w:rPr>
          <w:lang w:val="sr-Cyrl-RS"/>
        </w:rPr>
        <w:t>о раду дистрибутивног система,</w:t>
      </w:r>
      <w:r w:rsidRPr="00CF77C1">
        <w:rPr>
          <w:lang w:val="sr-Cyrl-RS"/>
        </w:rPr>
        <w:t xml:space="preserve"> </w:t>
      </w:r>
      <w:r w:rsidR="00D61BC9" w:rsidRPr="00CF77C1">
        <w:rPr>
          <w:lang w:val="sr-Cyrl-RS"/>
        </w:rPr>
        <w:t xml:space="preserve">правилима </w:t>
      </w:r>
      <w:r w:rsidRPr="00CF77C1">
        <w:rPr>
          <w:lang w:val="sr-Cyrl-RS"/>
        </w:rPr>
        <w:t>о раду преносног система</w:t>
      </w:r>
      <w:r w:rsidR="00D40E0B" w:rsidRPr="00CF77C1">
        <w:rPr>
          <w:lang w:val="sr-Cyrl-RS"/>
        </w:rPr>
        <w:t xml:space="preserve"> и </w:t>
      </w:r>
      <w:r w:rsidR="00D61BC9" w:rsidRPr="00CF77C1">
        <w:rPr>
          <w:lang w:val="sr-Cyrl-RS"/>
        </w:rPr>
        <w:t xml:space="preserve">правилима </w:t>
      </w:r>
      <w:r w:rsidR="00D40E0B" w:rsidRPr="00CF77C1">
        <w:rPr>
          <w:lang w:val="sr-Cyrl-RS"/>
        </w:rPr>
        <w:t>о праћењу техничких и комерцијалних показатеља и регулисању квалитета испоруке и снабдевања електричном енергијом и природним гасом</w:t>
      </w:r>
      <w:r w:rsidRPr="00CF77C1">
        <w:rPr>
          <w:lang w:val="sr-Cyrl-RS"/>
        </w:rPr>
        <w:t>.</w:t>
      </w:r>
    </w:p>
    <w:p w14:paraId="64A969A0" w14:textId="77777777" w:rsidR="00945D48" w:rsidRPr="00CF77C1" w:rsidRDefault="00945D48" w:rsidP="000763D5">
      <w:pPr>
        <w:keepNext/>
        <w:ind w:firstLine="720"/>
        <w:rPr>
          <w:lang w:val="sr-Cyrl-RS"/>
        </w:rPr>
      </w:pPr>
      <w:r w:rsidRPr="00CF77C1">
        <w:rPr>
          <w:lang w:val="sr-Cyrl-RS"/>
        </w:rPr>
        <w:t>Показатељи непрекидности испоруке у преносној мрежи, који се прате и прорачунавају су:</w:t>
      </w:r>
    </w:p>
    <w:p w14:paraId="52461390" w14:textId="47EE62B3" w:rsidR="00945D48" w:rsidRPr="00CF77C1" w:rsidRDefault="00945D48" w:rsidP="003E39B4">
      <w:pPr>
        <w:pStyle w:val="ListParagraph"/>
        <w:numPr>
          <w:ilvl w:val="0"/>
          <w:numId w:val="49"/>
        </w:numPr>
        <w:ind w:left="0" w:firstLine="720"/>
        <w:rPr>
          <w:lang w:val="sr-Cyrl-RS"/>
        </w:rPr>
      </w:pPr>
      <w:r w:rsidRPr="00CF77C1">
        <w:rPr>
          <w:lang w:val="sr-Cyrl-RS"/>
        </w:rPr>
        <w:t xml:space="preserve">испала снага [MW] </w:t>
      </w:r>
      <w:r w:rsidR="008F7E3A" w:rsidRPr="00CF77C1">
        <w:rPr>
          <w:lang w:val="sr-Cyrl-RS"/>
        </w:rPr>
        <w:t>-</w:t>
      </w:r>
      <w:r w:rsidRPr="00CF77C1">
        <w:rPr>
          <w:lang w:val="sr-Cyrl-RS"/>
        </w:rPr>
        <w:t xml:space="preserve"> укупна испала снага на свим мерним местима која су остала без напајања услед прекида,</w:t>
      </w:r>
    </w:p>
    <w:p w14:paraId="65695F7D" w14:textId="77777777" w:rsidR="00945D48" w:rsidRPr="00CF77C1" w:rsidRDefault="00945D48" w:rsidP="003E39B4">
      <w:pPr>
        <w:pStyle w:val="ListParagraph"/>
        <w:numPr>
          <w:ilvl w:val="0"/>
          <w:numId w:val="49"/>
        </w:numPr>
        <w:ind w:left="0" w:firstLine="720"/>
        <w:rPr>
          <w:lang w:val="sr-Cyrl-RS"/>
        </w:rPr>
      </w:pPr>
      <w:r w:rsidRPr="00CF77C1">
        <w:rPr>
          <w:lang w:val="sr-Cyrl-RS"/>
        </w:rPr>
        <w:t xml:space="preserve">ENS [MWh] </w:t>
      </w:r>
      <w:r w:rsidR="008F7E3A" w:rsidRPr="00CF77C1">
        <w:rPr>
          <w:lang w:val="sr-Cyrl-RS"/>
        </w:rPr>
        <w:t>-</w:t>
      </w:r>
      <w:r w:rsidRPr="00CF77C1">
        <w:rPr>
          <w:lang w:val="sr-Cyrl-RS"/>
        </w:rPr>
        <w:t xml:space="preserve"> укупна неиспоручена електрична енергија, која представља укупну неиспоручену електричну енергију за време свих прекида,</w:t>
      </w:r>
    </w:p>
    <w:p w14:paraId="168138FF" w14:textId="77777777" w:rsidR="00945D48" w:rsidRPr="00CF77C1" w:rsidRDefault="00945D48" w:rsidP="003E39B4">
      <w:pPr>
        <w:pStyle w:val="ListParagraph"/>
        <w:numPr>
          <w:ilvl w:val="0"/>
          <w:numId w:val="49"/>
        </w:numPr>
        <w:ind w:left="0" w:firstLine="720"/>
        <w:rPr>
          <w:lang w:val="sr-Cyrl-RS"/>
        </w:rPr>
      </w:pPr>
      <w:r w:rsidRPr="00CF77C1">
        <w:rPr>
          <w:lang w:val="sr-Cyrl-RS"/>
        </w:rPr>
        <w:t xml:space="preserve">ENS [%] </w:t>
      </w:r>
      <w:r w:rsidR="008F7E3A" w:rsidRPr="00CF77C1">
        <w:rPr>
          <w:lang w:val="sr-Cyrl-RS"/>
        </w:rPr>
        <w:t>-</w:t>
      </w:r>
      <w:r w:rsidRPr="00CF77C1">
        <w:rPr>
          <w:lang w:val="sr-Cyrl-RS"/>
        </w:rPr>
        <w:t xml:space="preserve"> удео неиспоручене електричне енергије у укупно испорученој електричној енергији,</w:t>
      </w:r>
    </w:p>
    <w:p w14:paraId="76744867" w14:textId="77777777" w:rsidR="00945D48" w:rsidRPr="00CF77C1" w:rsidRDefault="00945D48" w:rsidP="003E39B4">
      <w:pPr>
        <w:pStyle w:val="ListParagraph"/>
        <w:numPr>
          <w:ilvl w:val="0"/>
          <w:numId w:val="49"/>
        </w:numPr>
        <w:ind w:left="0" w:firstLine="720"/>
        <w:rPr>
          <w:lang w:val="sr-Cyrl-RS"/>
        </w:rPr>
      </w:pPr>
      <w:r w:rsidRPr="00CF77C1">
        <w:rPr>
          <w:lang w:val="sr-Cyrl-RS"/>
        </w:rPr>
        <w:t xml:space="preserve">АIT [min] </w:t>
      </w:r>
      <w:r w:rsidR="008F7E3A" w:rsidRPr="00CF77C1">
        <w:rPr>
          <w:lang w:val="sr-Cyrl-RS"/>
        </w:rPr>
        <w:t>-</w:t>
      </w:r>
      <w:r w:rsidRPr="00CF77C1">
        <w:rPr>
          <w:lang w:val="sr-Cyrl-RS"/>
        </w:rPr>
        <w:t xml:space="preserve"> просечно трајање прекида напајања у минутима, које представља количник неиспоручене електричне енергије и средње снаге.</w:t>
      </w:r>
    </w:p>
    <w:p w14:paraId="660A9957" w14:textId="77777777" w:rsidR="00945D48" w:rsidRPr="00CF77C1" w:rsidRDefault="00945D48" w:rsidP="000763D5">
      <w:pPr>
        <w:ind w:left="11" w:firstLine="709"/>
        <w:rPr>
          <w:lang w:val="sr-Cyrl-RS"/>
        </w:rPr>
      </w:pPr>
      <w:r w:rsidRPr="00CF77C1">
        <w:rPr>
          <w:lang w:val="sr-Cyrl-RS"/>
        </w:rPr>
        <w:t>Непрекидност испоруке у дистрибутивној мрежи се оцењује на основу показатеља:</w:t>
      </w:r>
    </w:p>
    <w:p w14:paraId="3FA99D9C" w14:textId="2ACAAFB1" w:rsidR="00945D48" w:rsidRPr="00CF77C1" w:rsidRDefault="00945D48" w:rsidP="003E39B4">
      <w:pPr>
        <w:pStyle w:val="ListParagraph"/>
        <w:numPr>
          <w:ilvl w:val="0"/>
          <w:numId w:val="49"/>
        </w:numPr>
        <w:ind w:left="0" w:firstLine="720"/>
        <w:rPr>
          <w:lang w:val="sr-Cyrl-RS"/>
        </w:rPr>
      </w:pPr>
      <w:r w:rsidRPr="00CF77C1">
        <w:rPr>
          <w:lang w:val="sr-Cyrl-RS"/>
        </w:rPr>
        <w:t xml:space="preserve">SAIFI [број прекида/корисник] </w:t>
      </w:r>
      <w:r w:rsidR="008F7E3A" w:rsidRPr="00CF77C1">
        <w:rPr>
          <w:lang w:val="sr-Cyrl-RS"/>
        </w:rPr>
        <w:t>-</w:t>
      </w:r>
      <w:r w:rsidR="001065CE">
        <w:rPr>
          <w:lang w:val="sr-Cyrl-RS"/>
        </w:rPr>
        <w:t xml:space="preserve"> просечна учестал</w:t>
      </w:r>
      <w:r w:rsidRPr="00CF77C1">
        <w:rPr>
          <w:lang w:val="sr-Cyrl-RS"/>
        </w:rPr>
        <w:t>ост прекида напајања по кориснику, која се рачуна као количник кумулативног броја прекида напајања корисника и укупног броја корисника и</w:t>
      </w:r>
    </w:p>
    <w:p w14:paraId="69103EF0" w14:textId="77777777" w:rsidR="00945D48" w:rsidRPr="00CF77C1" w:rsidRDefault="00945D48" w:rsidP="003E39B4">
      <w:pPr>
        <w:pStyle w:val="ListParagraph"/>
        <w:numPr>
          <w:ilvl w:val="0"/>
          <w:numId w:val="49"/>
        </w:numPr>
        <w:ind w:left="0" w:firstLine="720"/>
        <w:rPr>
          <w:lang w:val="sr-Cyrl-RS"/>
        </w:rPr>
      </w:pPr>
      <w:r w:rsidRPr="00CF77C1">
        <w:rPr>
          <w:lang w:val="sr-Cyrl-RS"/>
        </w:rPr>
        <w:t>SAIDI [</w:t>
      </w:r>
      <w:r w:rsidR="0013305E" w:rsidRPr="00CF77C1">
        <w:rPr>
          <w:lang w:val="sr-Cyrl-RS"/>
        </w:rPr>
        <w:t>min</w:t>
      </w:r>
      <w:r w:rsidRPr="00CF77C1">
        <w:rPr>
          <w:lang w:val="sr-Cyrl-RS"/>
        </w:rPr>
        <w:t xml:space="preserve">/корисник] </w:t>
      </w:r>
      <w:r w:rsidR="008F7E3A" w:rsidRPr="00CF77C1">
        <w:rPr>
          <w:lang w:val="sr-Cyrl-RS"/>
        </w:rPr>
        <w:t>-</w:t>
      </w:r>
      <w:r w:rsidRPr="00CF77C1">
        <w:rPr>
          <w:lang w:val="sr-Cyrl-RS"/>
        </w:rPr>
        <w:t xml:space="preserve"> просечно трајање прекида напајања у минутима по кориснику, које се рачуна као количник кумулативног трајања прекида напајања корисника и укупног броја корисника.</w:t>
      </w:r>
    </w:p>
    <w:p w14:paraId="2F4B7227" w14:textId="3901DB80" w:rsidR="00945D48" w:rsidRPr="00CF77C1" w:rsidRDefault="005C650D" w:rsidP="000763D5">
      <w:pPr>
        <w:ind w:left="11" w:firstLine="709"/>
        <w:rPr>
          <w:lang w:val="sr-Cyrl-RS"/>
        </w:rPr>
      </w:pPr>
      <w:r w:rsidRPr="00CF77C1">
        <w:rPr>
          <w:lang w:val="sr-Cyrl-RS"/>
        </w:rPr>
        <w:t>Како н</w:t>
      </w:r>
      <w:r w:rsidR="00945D48" w:rsidRPr="00CF77C1">
        <w:rPr>
          <w:lang w:val="sr-Cyrl-RS"/>
        </w:rPr>
        <w:t>е постоје међународно утврђени стандарди задовољавајућег нивоа непрекидности испоруке у п</w:t>
      </w:r>
      <w:r w:rsidRPr="00CF77C1">
        <w:rPr>
          <w:lang w:val="sr-Cyrl-RS"/>
        </w:rPr>
        <w:t>реносној и дистрибутивној мрежи, о</w:t>
      </w:r>
      <w:r w:rsidR="00945D48" w:rsidRPr="00CF77C1">
        <w:rPr>
          <w:lang w:val="sr-Cyrl-RS"/>
        </w:rPr>
        <w:t xml:space="preserve">ператори преносног и дистрибутивног система у </w:t>
      </w:r>
      <w:r w:rsidRPr="00CF77C1">
        <w:rPr>
          <w:lang w:val="sr-Cyrl-RS"/>
        </w:rPr>
        <w:t>својим стратешким документима нису у могућности да</w:t>
      </w:r>
      <w:r w:rsidR="00945D48" w:rsidRPr="00CF77C1">
        <w:rPr>
          <w:lang w:val="sr-Cyrl-RS"/>
        </w:rPr>
        <w:t xml:space="preserve"> дефинишу циљане вредности ових параметара. Такође, сви наведени параметри зависе у великој мери од временских прилика током године, а нарочито од појаве неуобичајених догађаја (тзв. више силе)</w:t>
      </w:r>
      <w:r w:rsidR="00F10D3F" w:rsidRPr="00CF77C1">
        <w:rPr>
          <w:lang w:val="sr-Cyrl-RS"/>
        </w:rPr>
        <w:t xml:space="preserve"> -</w:t>
      </w:r>
      <w:r w:rsidR="00945D48" w:rsidRPr="00CF77C1">
        <w:rPr>
          <w:lang w:val="sr-Cyrl-RS"/>
        </w:rPr>
        <w:t xml:space="preserve"> </w:t>
      </w:r>
      <w:r w:rsidRPr="00CF77C1">
        <w:rPr>
          <w:lang w:val="sr-Cyrl-RS"/>
        </w:rPr>
        <w:t>елементарних</w:t>
      </w:r>
      <w:r w:rsidR="00945D48" w:rsidRPr="00CF77C1">
        <w:rPr>
          <w:lang w:val="sr-Cyrl-RS"/>
        </w:rPr>
        <w:t xml:space="preserve"> непогода катастрофалних размера. У</w:t>
      </w:r>
      <w:r w:rsidR="00B061EF" w:rsidRPr="00CF77C1">
        <w:rPr>
          <w:lang w:val="sr-Cyrl-RS"/>
        </w:rPr>
        <w:t xml:space="preserve"> том смислу испуњење </w:t>
      </w:r>
      <w:r w:rsidR="00945D48" w:rsidRPr="00CF77C1">
        <w:rPr>
          <w:lang w:val="sr-Cyrl-RS"/>
        </w:rPr>
        <w:t>циљ</w:t>
      </w:r>
      <w:r w:rsidR="00B061EF" w:rsidRPr="00CF77C1">
        <w:rPr>
          <w:lang w:val="sr-Cyrl-RS"/>
        </w:rPr>
        <w:t>ев</w:t>
      </w:r>
      <w:r w:rsidR="00945D48" w:rsidRPr="00CF77C1">
        <w:rPr>
          <w:lang w:val="sr-Cyrl-RS"/>
        </w:rPr>
        <w:t>а</w:t>
      </w:r>
      <w:r w:rsidR="00B061EF" w:rsidRPr="00CF77C1">
        <w:rPr>
          <w:lang w:val="sr-Cyrl-RS"/>
        </w:rPr>
        <w:t xml:space="preserve"> </w:t>
      </w:r>
      <w:r w:rsidR="00F10D3F" w:rsidRPr="00CF77C1">
        <w:rPr>
          <w:lang w:val="sr-Cyrl-RS"/>
        </w:rPr>
        <w:t xml:space="preserve">представљених </w:t>
      </w:r>
      <w:r w:rsidR="00B061EF" w:rsidRPr="00CF77C1">
        <w:rPr>
          <w:lang w:val="sr-Cyrl-RS"/>
        </w:rPr>
        <w:t xml:space="preserve">у </w:t>
      </w:r>
      <w:r w:rsidR="0092145E" w:rsidRPr="00CF77C1">
        <w:rPr>
          <w:lang w:val="sr-Cyrl-RS"/>
        </w:rPr>
        <w:fldChar w:fldCharType="begin"/>
      </w:r>
      <w:r w:rsidR="00B061EF" w:rsidRPr="00CF77C1">
        <w:rPr>
          <w:lang w:val="sr-Cyrl-RS"/>
        </w:rPr>
        <w:instrText xml:space="preserve"> REF _Ref474706340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1</w:t>
      </w:r>
      <w:r w:rsidR="0092145E" w:rsidRPr="00CF77C1">
        <w:rPr>
          <w:lang w:val="sr-Cyrl-RS"/>
        </w:rPr>
        <w:fldChar w:fldCharType="end"/>
      </w:r>
      <w:r w:rsidR="00945D48" w:rsidRPr="00CF77C1">
        <w:rPr>
          <w:lang w:val="sr-Cyrl-RS"/>
        </w:rPr>
        <w:t xml:space="preserve"> по годинама</w:t>
      </w:r>
      <w:r w:rsidR="00B061EF" w:rsidRPr="00CF77C1">
        <w:rPr>
          <w:lang w:val="sr-Cyrl-RS"/>
        </w:rPr>
        <w:t>, дефинисаних на основу анализа историјских података и експертског искуства,</w:t>
      </w:r>
      <w:r w:rsidR="00945D48" w:rsidRPr="00CF77C1">
        <w:rPr>
          <w:lang w:val="sr-Cyrl-RS"/>
        </w:rPr>
        <w:t xml:space="preserve"> неопходно је критички сагледавати приликом извештавања.</w:t>
      </w:r>
    </w:p>
    <w:p w14:paraId="7C670A65" w14:textId="03ACBBE5" w:rsidR="00945D48" w:rsidRPr="00CF77C1" w:rsidRDefault="00D61BC9" w:rsidP="0080044B">
      <w:pPr>
        <w:pStyle w:val="Caption"/>
        <w:rPr>
          <w:b w:val="0"/>
          <w:lang w:val="sr-Cyrl-RS"/>
        </w:rPr>
      </w:pPr>
      <w:bookmarkStart w:id="17" w:name="_Ref474706340"/>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w:t>
      </w:r>
      <w:r w:rsidR="0092145E" w:rsidRPr="00CF77C1">
        <w:rPr>
          <w:b w:val="0"/>
          <w:lang w:val="sr-Cyrl-RS"/>
        </w:rPr>
        <w:fldChar w:fldCharType="end"/>
      </w:r>
      <w:bookmarkEnd w:id="17"/>
      <w:r w:rsidRPr="00CF77C1">
        <w:rPr>
          <w:b w:val="0"/>
          <w:lang w:val="sr-Cyrl-RS"/>
        </w:rPr>
        <w:t>: Индикатори непрекидности испоруке у преносној и дистрибутивној мрежи</w:t>
      </w:r>
    </w:p>
    <w:tbl>
      <w:tblPr>
        <w:tblStyle w:val="TableGrid"/>
        <w:tblW w:w="9485" w:type="dxa"/>
        <w:tblLayout w:type="fixed"/>
        <w:tblLook w:val="04A0" w:firstRow="1" w:lastRow="0" w:firstColumn="1" w:lastColumn="0" w:noHBand="0" w:noVBand="1"/>
      </w:tblPr>
      <w:tblGrid>
        <w:gridCol w:w="3499"/>
        <w:gridCol w:w="855"/>
        <w:gridCol w:w="855"/>
        <w:gridCol w:w="855"/>
        <w:gridCol w:w="855"/>
        <w:gridCol w:w="855"/>
        <w:gridCol w:w="855"/>
        <w:gridCol w:w="856"/>
      </w:tblGrid>
      <w:tr w:rsidR="00945D48" w:rsidRPr="00CF77C1" w14:paraId="339A023A" w14:textId="77777777" w:rsidTr="002E45C2">
        <w:trPr>
          <w:cantSplit/>
          <w:tblHeader/>
        </w:trPr>
        <w:tc>
          <w:tcPr>
            <w:tcW w:w="3499" w:type="dxa"/>
            <w:vAlign w:val="center"/>
          </w:tcPr>
          <w:p w14:paraId="1806C8CB" w14:textId="77777777" w:rsidR="00945D48" w:rsidRPr="00CF77C1" w:rsidRDefault="00945D48" w:rsidP="0080044B">
            <w:pPr>
              <w:framePr w:hSpace="181" w:wrap="notBeside" w:vAnchor="text" w:hAnchor="text" w:x="12" w:y="1"/>
              <w:jc w:val="center"/>
              <w:rPr>
                <w:lang w:val="sr-Cyrl-RS"/>
              </w:rPr>
            </w:pPr>
            <w:r w:rsidRPr="00CF77C1">
              <w:rPr>
                <w:lang w:val="sr-Cyrl-RS"/>
              </w:rPr>
              <w:t>Мерљиви циљ</w:t>
            </w:r>
          </w:p>
        </w:tc>
        <w:tc>
          <w:tcPr>
            <w:tcW w:w="855" w:type="dxa"/>
            <w:vAlign w:val="center"/>
          </w:tcPr>
          <w:p w14:paraId="5751D036" w14:textId="77777777" w:rsidR="00945D48" w:rsidRPr="00CF77C1" w:rsidRDefault="00945D48" w:rsidP="0080044B">
            <w:pPr>
              <w:framePr w:hSpace="181" w:wrap="notBeside" w:vAnchor="text" w:hAnchor="text" w:x="12" w:y="1"/>
              <w:jc w:val="center"/>
              <w:rPr>
                <w:lang w:val="sr-Cyrl-RS"/>
              </w:rPr>
            </w:pPr>
            <w:r w:rsidRPr="00CF77C1">
              <w:rPr>
                <w:lang w:val="sr-Cyrl-RS"/>
              </w:rPr>
              <w:t>2017.</w:t>
            </w:r>
          </w:p>
        </w:tc>
        <w:tc>
          <w:tcPr>
            <w:tcW w:w="855" w:type="dxa"/>
            <w:vAlign w:val="center"/>
          </w:tcPr>
          <w:p w14:paraId="78AD97DB" w14:textId="77777777" w:rsidR="00945D48" w:rsidRPr="00CF77C1" w:rsidRDefault="00945D48" w:rsidP="0080044B">
            <w:pPr>
              <w:framePr w:hSpace="181" w:wrap="notBeside" w:vAnchor="text" w:hAnchor="text" w:x="12" w:y="1"/>
              <w:jc w:val="center"/>
              <w:rPr>
                <w:lang w:val="sr-Cyrl-RS"/>
              </w:rPr>
            </w:pPr>
            <w:r w:rsidRPr="00CF77C1">
              <w:rPr>
                <w:lang w:val="sr-Cyrl-RS"/>
              </w:rPr>
              <w:t>2018.</w:t>
            </w:r>
          </w:p>
        </w:tc>
        <w:tc>
          <w:tcPr>
            <w:tcW w:w="855" w:type="dxa"/>
            <w:vAlign w:val="center"/>
          </w:tcPr>
          <w:p w14:paraId="36A7B082" w14:textId="77777777" w:rsidR="00945D48" w:rsidRPr="00CF77C1" w:rsidRDefault="00945D48" w:rsidP="0080044B">
            <w:pPr>
              <w:framePr w:hSpace="181" w:wrap="notBeside" w:vAnchor="text" w:hAnchor="text" w:x="12" w:y="1"/>
              <w:jc w:val="center"/>
              <w:rPr>
                <w:lang w:val="sr-Cyrl-RS"/>
              </w:rPr>
            </w:pPr>
            <w:r w:rsidRPr="00CF77C1">
              <w:rPr>
                <w:lang w:val="sr-Cyrl-RS"/>
              </w:rPr>
              <w:t>2019.</w:t>
            </w:r>
          </w:p>
        </w:tc>
        <w:tc>
          <w:tcPr>
            <w:tcW w:w="855" w:type="dxa"/>
            <w:vAlign w:val="center"/>
          </w:tcPr>
          <w:p w14:paraId="5A2B401E" w14:textId="77777777" w:rsidR="00945D48" w:rsidRPr="00CF77C1" w:rsidRDefault="00945D48" w:rsidP="0080044B">
            <w:pPr>
              <w:framePr w:hSpace="181" w:wrap="notBeside" w:vAnchor="text" w:hAnchor="text" w:x="12" w:y="1"/>
              <w:jc w:val="center"/>
              <w:rPr>
                <w:lang w:val="sr-Cyrl-RS"/>
              </w:rPr>
            </w:pPr>
            <w:r w:rsidRPr="00CF77C1">
              <w:rPr>
                <w:lang w:val="sr-Cyrl-RS"/>
              </w:rPr>
              <w:t>2020.</w:t>
            </w:r>
          </w:p>
        </w:tc>
        <w:tc>
          <w:tcPr>
            <w:tcW w:w="855" w:type="dxa"/>
            <w:vAlign w:val="center"/>
          </w:tcPr>
          <w:p w14:paraId="4847B762" w14:textId="77777777" w:rsidR="00945D48" w:rsidRPr="00CF77C1" w:rsidRDefault="00945D48" w:rsidP="0080044B">
            <w:pPr>
              <w:framePr w:hSpace="181" w:wrap="notBeside" w:vAnchor="text" w:hAnchor="text" w:x="12" w:y="1"/>
              <w:jc w:val="center"/>
              <w:rPr>
                <w:lang w:val="sr-Cyrl-RS"/>
              </w:rPr>
            </w:pPr>
            <w:r w:rsidRPr="00CF77C1">
              <w:rPr>
                <w:lang w:val="sr-Cyrl-RS"/>
              </w:rPr>
              <w:t>2021.</w:t>
            </w:r>
          </w:p>
        </w:tc>
        <w:tc>
          <w:tcPr>
            <w:tcW w:w="855" w:type="dxa"/>
            <w:vAlign w:val="center"/>
          </w:tcPr>
          <w:p w14:paraId="02530771" w14:textId="77777777" w:rsidR="00945D48" w:rsidRPr="00CF77C1" w:rsidRDefault="00945D48" w:rsidP="0080044B">
            <w:pPr>
              <w:framePr w:hSpace="181" w:wrap="notBeside" w:vAnchor="text" w:hAnchor="text" w:x="12" w:y="1"/>
              <w:jc w:val="center"/>
              <w:rPr>
                <w:lang w:val="sr-Cyrl-RS"/>
              </w:rPr>
            </w:pPr>
            <w:r w:rsidRPr="00CF77C1">
              <w:rPr>
                <w:lang w:val="sr-Cyrl-RS"/>
              </w:rPr>
              <w:t>2022.</w:t>
            </w:r>
          </w:p>
        </w:tc>
        <w:tc>
          <w:tcPr>
            <w:tcW w:w="856" w:type="dxa"/>
            <w:vAlign w:val="center"/>
          </w:tcPr>
          <w:p w14:paraId="46512F8D" w14:textId="77777777" w:rsidR="00945D48" w:rsidRPr="00CF77C1" w:rsidRDefault="00945D48" w:rsidP="0080044B">
            <w:pPr>
              <w:framePr w:hSpace="181" w:wrap="notBeside" w:vAnchor="text" w:hAnchor="text" w:x="12" w:y="1"/>
              <w:jc w:val="center"/>
              <w:rPr>
                <w:lang w:val="sr-Cyrl-RS"/>
              </w:rPr>
            </w:pPr>
            <w:r w:rsidRPr="00CF77C1">
              <w:rPr>
                <w:lang w:val="sr-Cyrl-RS"/>
              </w:rPr>
              <w:t>2023.</w:t>
            </w:r>
          </w:p>
        </w:tc>
      </w:tr>
      <w:tr w:rsidR="00945D48" w:rsidRPr="00CF77C1" w14:paraId="2520134F" w14:textId="77777777" w:rsidTr="002E45C2">
        <w:trPr>
          <w:cantSplit/>
        </w:trPr>
        <w:tc>
          <w:tcPr>
            <w:tcW w:w="3499" w:type="dxa"/>
            <w:vAlign w:val="center"/>
          </w:tcPr>
          <w:p w14:paraId="365438EC" w14:textId="77777777" w:rsidR="00945D48" w:rsidRPr="00CF77C1" w:rsidRDefault="00945D48" w:rsidP="0080044B">
            <w:pPr>
              <w:framePr w:hSpace="181" w:wrap="notBeside" w:vAnchor="text" w:hAnchor="text" w:x="12" w:y="1"/>
              <w:jc w:val="left"/>
              <w:rPr>
                <w:lang w:val="sr-Cyrl-RS"/>
              </w:rPr>
            </w:pPr>
            <w:r w:rsidRPr="00CF77C1">
              <w:rPr>
                <w:lang w:val="sr-Cyrl-RS"/>
              </w:rPr>
              <w:t>Испала снага (MW)</w:t>
            </w:r>
          </w:p>
        </w:tc>
        <w:tc>
          <w:tcPr>
            <w:tcW w:w="855" w:type="dxa"/>
            <w:vAlign w:val="center"/>
          </w:tcPr>
          <w:p w14:paraId="58188502" w14:textId="77777777" w:rsidR="00945D48" w:rsidRPr="00CF77C1" w:rsidRDefault="00945D48" w:rsidP="0080044B">
            <w:pPr>
              <w:framePr w:hSpace="181" w:wrap="notBeside" w:vAnchor="text" w:hAnchor="text" w:x="12" w:y="1"/>
              <w:jc w:val="center"/>
              <w:rPr>
                <w:lang w:val="sr-Cyrl-RS"/>
              </w:rPr>
            </w:pPr>
            <w:r w:rsidRPr="00CF77C1">
              <w:rPr>
                <w:lang w:val="sr-Cyrl-RS"/>
              </w:rPr>
              <w:t>2000</w:t>
            </w:r>
          </w:p>
        </w:tc>
        <w:tc>
          <w:tcPr>
            <w:tcW w:w="855" w:type="dxa"/>
            <w:vAlign w:val="center"/>
          </w:tcPr>
          <w:p w14:paraId="3FB37E4F" w14:textId="77777777" w:rsidR="00945D48" w:rsidRPr="00CF77C1" w:rsidRDefault="00945D48" w:rsidP="0080044B">
            <w:pPr>
              <w:framePr w:hSpace="181" w:wrap="notBeside" w:vAnchor="text" w:hAnchor="text" w:x="12" w:y="1"/>
              <w:jc w:val="center"/>
              <w:rPr>
                <w:lang w:val="sr-Cyrl-RS"/>
              </w:rPr>
            </w:pPr>
            <w:r w:rsidRPr="00CF77C1">
              <w:rPr>
                <w:lang w:val="sr-Cyrl-RS"/>
              </w:rPr>
              <w:t>1960</w:t>
            </w:r>
          </w:p>
        </w:tc>
        <w:tc>
          <w:tcPr>
            <w:tcW w:w="855" w:type="dxa"/>
            <w:vAlign w:val="center"/>
          </w:tcPr>
          <w:p w14:paraId="64017BB5" w14:textId="77777777" w:rsidR="00945D48" w:rsidRPr="00CF77C1" w:rsidRDefault="00945D48" w:rsidP="0080044B">
            <w:pPr>
              <w:framePr w:hSpace="181" w:wrap="notBeside" w:vAnchor="text" w:hAnchor="text" w:x="12" w:y="1"/>
              <w:jc w:val="center"/>
              <w:rPr>
                <w:lang w:val="sr-Cyrl-RS"/>
              </w:rPr>
            </w:pPr>
            <w:r w:rsidRPr="00CF77C1">
              <w:rPr>
                <w:lang w:val="sr-Cyrl-RS"/>
              </w:rPr>
              <w:t>1920</w:t>
            </w:r>
          </w:p>
        </w:tc>
        <w:tc>
          <w:tcPr>
            <w:tcW w:w="855" w:type="dxa"/>
            <w:vAlign w:val="center"/>
          </w:tcPr>
          <w:p w14:paraId="27F3B4E2" w14:textId="77777777" w:rsidR="00945D48" w:rsidRPr="00CF77C1" w:rsidRDefault="00945D48" w:rsidP="0080044B">
            <w:pPr>
              <w:framePr w:hSpace="181" w:wrap="notBeside" w:vAnchor="text" w:hAnchor="text" w:x="12" w:y="1"/>
              <w:jc w:val="center"/>
              <w:rPr>
                <w:lang w:val="sr-Cyrl-RS"/>
              </w:rPr>
            </w:pPr>
            <w:r w:rsidRPr="00CF77C1">
              <w:rPr>
                <w:lang w:val="sr-Cyrl-RS"/>
              </w:rPr>
              <w:t>1880</w:t>
            </w:r>
          </w:p>
        </w:tc>
        <w:tc>
          <w:tcPr>
            <w:tcW w:w="855" w:type="dxa"/>
            <w:vAlign w:val="center"/>
          </w:tcPr>
          <w:p w14:paraId="4B6F0BAE" w14:textId="77777777" w:rsidR="00945D48" w:rsidRPr="00CF77C1" w:rsidRDefault="00945D48" w:rsidP="0080044B">
            <w:pPr>
              <w:framePr w:hSpace="181" w:wrap="notBeside" w:vAnchor="text" w:hAnchor="text" w:x="12" w:y="1"/>
              <w:jc w:val="center"/>
              <w:rPr>
                <w:lang w:val="sr-Cyrl-RS"/>
              </w:rPr>
            </w:pPr>
            <w:r w:rsidRPr="00CF77C1">
              <w:rPr>
                <w:lang w:val="sr-Cyrl-RS"/>
              </w:rPr>
              <w:t>1840</w:t>
            </w:r>
          </w:p>
        </w:tc>
        <w:tc>
          <w:tcPr>
            <w:tcW w:w="855" w:type="dxa"/>
            <w:vAlign w:val="center"/>
          </w:tcPr>
          <w:p w14:paraId="7E1FFA48" w14:textId="77777777" w:rsidR="00945D48" w:rsidRPr="00CF77C1" w:rsidRDefault="00945D48" w:rsidP="0080044B">
            <w:pPr>
              <w:framePr w:hSpace="181" w:wrap="notBeside" w:vAnchor="text" w:hAnchor="text" w:x="12" w:y="1"/>
              <w:jc w:val="center"/>
              <w:rPr>
                <w:lang w:val="sr-Cyrl-RS"/>
              </w:rPr>
            </w:pPr>
            <w:r w:rsidRPr="00CF77C1">
              <w:rPr>
                <w:lang w:val="sr-Cyrl-RS"/>
              </w:rPr>
              <w:t>1800</w:t>
            </w:r>
          </w:p>
        </w:tc>
        <w:tc>
          <w:tcPr>
            <w:tcW w:w="856" w:type="dxa"/>
            <w:vAlign w:val="center"/>
          </w:tcPr>
          <w:p w14:paraId="2BD1A7D3" w14:textId="77777777" w:rsidR="00945D48" w:rsidRPr="00CF77C1" w:rsidRDefault="00945D48" w:rsidP="0080044B">
            <w:pPr>
              <w:framePr w:hSpace="181" w:wrap="notBeside" w:vAnchor="text" w:hAnchor="text" w:x="12" w:y="1"/>
              <w:jc w:val="center"/>
              <w:rPr>
                <w:lang w:val="sr-Cyrl-RS"/>
              </w:rPr>
            </w:pPr>
            <w:r w:rsidRPr="00CF77C1">
              <w:rPr>
                <w:lang w:val="sr-Cyrl-RS"/>
              </w:rPr>
              <w:t>1760</w:t>
            </w:r>
          </w:p>
        </w:tc>
      </w:tr>
      <w:tr w:rsidR="00945D48" w:rsidRPr="00CF77C1" w14:paraId="5557F282" w14:textId="77777777" w:rsidTr="002E45C2">
        <w:trPr>
          <w:cantSplit/>
        </w:trPr>
        <w:tc>
          <w:tcPr>
            <w:tcW w:w="3499" w:type="dxa"/>
            <w:vAlign w:val="center"/>
          </w:tcPr>
          <w:p w14:paraId="5A918661" w14:textId="77777777" w:rsidR="00945D48" w:rsidRPr="00CF77C1" w:rsidRDefault="00945D48" w:rsidP="0080044B">
            <w:pPr>
              <w:framePr w:hSpace="181" w:wrap="notBeside" w:vAnchor="text" w:hAnchor="text" w:x="12" w:y="1"/>
              <w:jc w:val="left"/>
              <w:rPr>
                <w:lang w:val="sr-Cyrl-RS"/>
              </w:rPr>
            </w:pPr>
            <w:r w:rsidRPr="00CF77C1">
              <w:rPr>
                <w:lang w:val="sr-Cyrl-RS"/>
              </w:rPr>
              <w:t>ENS</w:t>
            </w:r>
            <w:r w:rsidR="00132D06" w:rsidRPr="00CF77C1">
              <w:rPr>
                <w:lang w:val="sr-Cyrl-RS"/>
              </w:rPr>
              <w:t xml:space="preserve"> </w:t>
            </w:r>
            <w:r w:rsidRPr="00CF77C1">
              <w:rPr>
                <w:lang w:val="sr-Cyrl-RS"/>
              </w:rPr>
              <w:t>(MWh)</w:t>
            </w:r>
          </w:p>
        </w:tc>
        <w:tc>
          <w:tcPr>
            <w:tcW w:w="855" w:type="dxa"/>
            <w:vAlign w:val="center"/>
          </w:tcPr>
          <w:p w14:paraId="1BDD186C" w14:textId="77777777" w:rsidR="00945D48" w:rsidRPr="00CF77C1" w:rsidRDefault="00945D48" w:rsidP="0080044B">
            <w:pPr>
              <w:framePr w:hSpace="181" w:wrap="notBeside" w:vAnchor="text" w:hAnchor="text" w:x="12" w:y="1"/>
              <w:jc w:val="center"/>
              <w:rPr>
                <w:lang w:val="sr-Cyrl-RS"/>
              </w:rPr>
            </w:pPr>
            <w:r w:rsidRPr="00CF77C1">
              <w:rPr>
                <w:lang w:val="sr-Cyrl-RS"/>
              </w:rPr>
              <w:t>1600</w:t>
            </w:r>
          </w:p>
        </w:tc>
        <w:tc>
          <w:tcPr>
            <w:tcW w:w="855" w:type="dxa"/>
            <w:vAlign w:val="center"/>
          </w:tcPr>
          <w:p w14:paraId="0BFEB144" w14:textId="77777777" w:rsidR="00945D48" w:rsidRPr="00CF77C1" w:rsidRDefault="00945D48" w:rsidP="0080044B">
            <w:pPr>
              <w:framePr w:hSpace="181" w:wrap="notBeside" w:vAnchor="text" w:hAnchor="text" w:x="12" w:y="1"/>
              <w:jc w:val="center"/>
              <w:rPr>
                <w:lang w:val="sr-Cyrl-RS"/>
              </w:rPr>
            </w:pPr>
            <w:r w:rsidRPr="00CF77C1">
              <w:rPr>
                <w:lang w:val="sr-Cyrl-RS"/>
              </w:rPr>
              <w:t>1500</w:t>
            </w:r>
          </w:p>
        </w:tc>
        <w:tc>
          <w:tcPr>
            <w:tcW w:w="855" w:type="dxa"/>
            <w:vAlign w:val="center"/>
          </w:tcPr>
          <w:p w14:paraId="44E342DD" w14:textId="77777777" w:rsidR="00945D48" w:rsidRPr="00CF77C1" w:rsidRDefault="00945D48" w:rsidP="0080044B">
            <w:pPr>
              <w:framePr w:hSpace="181" w:wrap="notBeside" w:vAnchor="text" w:hAnchor="text" w:x="12" w:y="1"/>
              <w:jc w:val="center"/>
              <w:rPr>
                <w:lang w:val="sr-Cyrl-RS"/>
              </w:rPr>
            </w:pPr>
            <w:r w:rsidRPr="00CF77C1">
              <w:rPr>
                <w:lang w:val="sr-Cyrl-RS"/>
              </w:rPr>
              <w:t>1400</w:t>
            </w:r>
          </w:p>
        </w:tc>
        <w:tc>
          <w:tcPr>
            <w:tcW w:w="855" w:type="dxa"/>
            <w:vAlign w:val="center"/>
          </w:tcPr>
          <w:p w14:paraId="5D88E4DC" w14:textId="77777777" w:rsidR="00945D48" w:rsidRPr="00CF77C1" w:rsidRDefault="00945D48" w:rsidP="0080044B">
            <w:pPr>
              <w:framePr w:hSpace="181" w:wrap="notBeside" w:vAnchor="text" w:hAnchor="text" w:x="12" w:y="1"/>
              <w:jc w:val="center"/>
              <w:rPr>
                <w:lang w:val="sr-Cyrl-RS"/>
              </w:rPr>
            </w:pPr>
            <w:r w:rsidRPr="00CF77C1">
              <w:rPr>
                <w:lang w:val="sr-Cyrl-RS"/>
              </w:rPr>
              <w:t>1300</w:t>
            </w:r>
          </w:p>
        </w:tc>
        <w:tc>
          <w:tcPr>
            <w:tcW w:w="855" w:type="dxa"/>
            <w:vAlign w:val="center"/>
          </w:tcPr>
          <w:p w14:paraId="67C0BE2F" w14:textId="77777777" w:rsidR="00945D48" w:rsidRPr="00CF77C1" w:rsidRDefault="00945D48" w:rsidP="0080044B">
            <w:pPr>
              <w:framePr w:hSpace="181" w:wrap="notBeside" w:vAnchor="text" w:hAnchor="text" w:x="12" w:y="1"/>
              <w:jc w:val="center"/>
              <w:rPr>
                <w:lang w:val="sr-Cyrl-RS"/>
              </w:rPr>
            </w:pPr>
            <w:r w:rsidRPr="00CF77C1">
              <w:rPr>
                <w:lang w:val="sr-Cyrl-RS"/>
              </w:rPr>
              <w:t>1200</w:t>
            </w:r>
          </w:p>
        </w:tc>
        <w:tc>
          <w:tcPr>
            <w:tcW w:w="855" w:type="dxa"/>
            <w:vAlign w:val="center"/>
          </w:tcPr>
          <w:p w14:paraId="684D1159" w14:textId="77777777" w:rsidR="00945D48" w:rsidRPr="00CF77C1" w:rsidRDefault="00945D48" w:rsidP="0080044B">
            <w:pPr>
              <w:framePr w:hSpace="181" w:wrap="notBeside" w:vAnchor="text" w:hAnchor="text" w:x="12" w:y="1"/>
              <w:jc w:val="center"/>
              <w:rPr>
                <w:lang w:val="sr-Cyrl-RS"/>
              </w:rPr>
            </w:pPr>
            <w:r w:rsidRPr="00CF77C1">
              <w:rPr>
                <w:lang w:val="sr-Cyrl-RS"/>
              </w:rPr>
              <w:t>1100</w:t>
            </w:r>
          </w:p>
        </w:tc>
        <w:tc>
          <w:tcPr>
            <w:tcW w:w="856" w:type="dxa"/>
            <w:vAlign w:val="center"/>
          </w:tcPr>
          <w:p w14:paraId="6F9F8255" w14:textId="77777777" w:rsidR="00945D48" w:rsidRPr="00CF77C1" w:rsidRDefault="00945D48" w:rsidP="0080044B">
            <w:pPr>
              <w:framePr w:hSpace="181" w:wrap="notBeside" w:vAnchor="text" w:hAnchor="text" w:x="12" w:y="1"/>
              <w:jc w:val="center"/>
              <w:rPr>
                <w:lang w:val="sr-Cyrl-RS"/>
              </w:rPr>
            </w:pPr>
            <w:r w:rsidRPr="00CF77C1">
              <w:rPr>
                <w:lang w:val="sr-Cyrl-RS"/>
              </w:rPr>
              <w:t>1000</w:t>
            </w:r>
          </w:p>
        </w:tc>
      </w:tr>
      <w:tr w:rsidR="00945D48" w:rsidRPr="00CF77C1" w14:paraId="54C78486" w14:textId="77777777" w:rsidTr="002E45C2">
        <w:trPr>
          <w:cantSplit/>
        </w:trPr>
        <w:tc>
          <w:tcPr>
            <w:tcW w:w="3499" w:type="dxa"/>
            <w:vAlign w:val="center"/>
          </w:tcPr>
          <w:p w14:paraId="29FF5A57" w14:textId="77777777" w:rsidR="00945D48" w:rsidRPr="00CF77C1" w:rsidRDefault="00945D48" w:rsidP="0080044B">
            <w:pPr>
              <w:framePr w:hSpace="181" w:wrap="notBeside" w:vAnchor="text" w:hAnchor="text" w:x="12" w:y="1"/>
              <w:jc w:val="left"/>
              <w:rPr>
                <w:lang w:val="sr-Cyrl-RS"/>
              </w:rPr>
            </w:pPr>
            <w:r w:rsidRPr="00CF77C1">
              <w:rPr>
                <w:lang w:val="sr-Cyrl-RS"/>
              </w:rPr>
              <w:t>ENS</w:t>
            </w:r>
            <w:r w:rsidR="00132D06" w:rsidRPr="00CF77C1">
              <w:rPr>
                <w:lang w:val="sr-Cyrl-RS"/>
              </w:rPr>
              <w:t xml:space="preserve"> </w:t>
            </w:r>
            <w:r w:rsidRPr="00CF77C1">
              <w:rPr>
                <w:lang w:val="sr-Cyrl-RS"/>
              </w:rPr>
              <w:t>(%)</w:t>
            </w:r>
          </w:p>
        </w:tc>
        <w:tc>
          <w:tcPr>
            <w:tcW w:w="855" w:type="dxa"/>
            <w:vAlign w:val="center"/>
          </w:tcPr>
          <w:p w14:paraId="443991C6" w14:textId="77777777" w:rsidR="00945D48" w:rsidRPr="00CF77C1" w:rsidRDefault="00945D48" w:rsidP="0080044B">
            <w:pPr>
              <w:framePr w:hSpace="181" w:wrap="notBeside" w:vAnchor="text" w:hAnchor="text" w:x="12" w:y="1"/>
              <w:jc w:val="center"/>
              <w:rPr>
                <w:lang w:val="sr-Cyrl-RS"/>
              </w:rPr>
            </w:pPr>
            <w:r w:rsidRPr="00CF77C1">
              <w:rPr>
                <w:lang w:val="sr-Cyrl-RS"/>
              </w:rPr>
              <w:t>0,005</w:t>
            </w:r>
          </w:p>
        </w:tc>
        <w:tc>
          <w:tcPr>
            <w:tcW w:w="855" w:type="dxa"/>
            <w:vAlign w:val="center"/>
          </w:tcPr>
          <w:p w14:paraId="6F9A2E6C" w14:textId="77777777" w:rsidR="00945D48" w:rsidRPr="00CF77C1" w:rsidRDefault="00945D48" w:rsidP="0080044B">
            <w:pPr>
              <w:framePr w:hSpace="181" w:wrap="notBeside" w:vAnchor="text" w:hAnchor="text" w:x="12" w:y="1"/>
              <w:jc w:val="center"/>
              <w:rPr>
                <w:lang w:val="sr-Cyrl-RS"/>
              </w:rPr>
            </w:pPr>
            <w:r w:rsidRPr="00CF77C1">
              <w:rPr>
                <w:lang w:val="sr-Cyrl-RS"/>
              </w:rPr>
              <w:t>0,004</w:t>
            </w:r>
          </w:p>
        </w:tc>
        <w:tc>
          <w:tcPr>
            <w:tcW w:w="855" w:type="dxa"/>
            <w:vAlign w:val="center"/>
          </w:tcPr>
          <w:p w14:paraId="08F3C8BE" w14:textId="77777777" w:rsidR="00945D48" w:rsidRPr="00CF77C1" w:rsidRDefault="00945D48" w:rsidP="0080044B">
            <w:pPr>
              <w:framePr w:hSpace="181" w:wrap="notBeside" w:vAnchor="text" w:hAnchor="text" w:x="12" w:y="1"/>
              <w:jc w:val="center"/>
              <w:rPr>
                <w:lang w:val="sr-Cyrl-RS"/>
              </w:rPr>
            </w:pPr>
            <w:r w:rsidRPr="00CF77C1">
              <w:rPr>
                <w:lang w:val="sr-Cyrl-RS"/>
              </w:rPr>
              <w:t>0,004</w:t>
            </w:r>
          </w:p>
        </w:tc>
        <w:tc>
          <w:tcPr>
            <w:tcW w:w="855" w:type="dxa"/>
            <w:vAlign w:val="center"/>
          </w:tcPr>
          <w:p w14:paraId="0B68DCE5" w14:textId="77777777" w:rsidR="00945D48" w:rsidRPr="00CF77C1" w:rsidRDefault="00945D48" w:rsidP="0080044B">
            <w:pPr>
              <w:framePr w:hSpace="181" w:wrap="notBeside" w:vAnchor="text" w:hAnchor="text" w:x="12" w:y="1"/>
              <w:jc w:val="center"/>
              <w:rPr>
                <w:lang w:val="sr-Cyrl-RS"/>
              </w:rPr>
            </w:pPr>
            <w:r w:rsidRPr="00CF77C1">
              <w:rPr>
                <w:lang w:val="sr-Cyrl-RS"/>
              </w:rPr>
              <w:t>0,004</w:t>
            </w:r>
          </w:p>
        </w:tc>
        <w:tc>
          <w:tcPr>
            <w:tcW w:w="855" w:type="dxa"/>
            <w:vAlign w:val="center"/>
          </w:tcPr>
          <w:p w14:paraId="50EEF5B0" w14:textId="77777777" w:rsidR="00945D48" w:rsidRPr="00CF77C1" w:rsidRDefault="00945D48" w:rsidP="0080044B">
            <w:pPr>
              <w:framePr w:hSpace="181" w:wrap="notBeside" w:vAnchor="text" w:hAnchor="text" w:x="12" w:y="1"/>
              <w:jc w:val="center"/>
              <w:rPr>
                <w:lang w:val="sr-Cyrl-RS"/>
              </w:rPr>
            </w:pPr>
            <w:r w:rsidRPr="00CF77C1">
              <w:rPr>
                <w:lang w:val="sr-Cyrl-RS"/>
              </w:rPr>
              <w:t>0,003</w:t>
            </w:r>
          </w:p>
        </w:tc>
        <w:tc>
          <w:tcPr>
            <w:tcW w:w="855" w:type="dxa"/>
            <w:vAlign w:val="center"/>
          </w:tcPr>
          <w:p w14:paraId="7A543920" w14:textId="77777777" w:rsidR="00945D48" w:rsidRPr="00CF77C1" w:rsidRDefault="00945D48" w:rsidP="0080044B">
            <w:pPr>
              <w:framePr w:hSpace="181" w:wrap="notBeside" w:vAnchor="text" w:hAnchor="text" w:x="12" w:y="1"/>
              <w:jc w:val="center"/>
              <w:rPr>
                <w:lang w:val="sr-Cyrl-RS"/>
              </w:rPr>
            </w:pPr>
            <w:r w:rsidRPr="00CF77C1">
              <w:rPr>
                <w:lang w:val="sr-Cyrl-RS"/>
              </w:rPr>
              <w:t>0,003</w:t>
            </w:r>
          </w:p>
        </w:tc>
        <w:tc>
          <w:tcPr>
            <w:tcW w:w="856" w:type="dxa"/>
            <w:vAlign w:val="center"/>
          </w:tcPr>
          <w:p w14:paraId="0C2078D0" w14:textId="77777777" w:rsidR="00945D48" w:rsidRPr="00CF77C1" w:rsidRDefault="00945D48" w:rsidP="0080044B">
            <w:pPr>
              <w:framePr w:hSpace="181" w:wrap="notBeside" w:vAnchor="text" w:hAnchor="text" w:x="12" w:y="1"/>
              <w:jc w:val="center"/>
              <w:rPr>
                <w:lang w:val="sr-Cyrl-RS"/>
              </w:rPr>
            </w:pPr>
            <w:r w:rsidRPr="00CF77C1">
              <w:rPr>
                <w:lang w:val="sr-Cyrl-RS"/>
              </w:rPr>
              <w:t>0,003</w:t>
            </w:r>
          </w:p>
        </w:tc>
      </w:tr>
      <w:tr w:rsidR="00945D48" w:rsidRPr="00CF77C1" w14:paraId="57AB2A22" w14:textId="77777777" w:rsidTr="002E45C2">
        <w:trPr>
          <w:cantSplit/>
        </w:trPr>
        <w:tc>
          <w:tcPr>
            <w:tcW w:w="3499" w:type="dxa"/>
            <w:vAlign w:val="center"/>
          </w:tcPr>
          <w:p w14:paraId="0533F508" w14:textId="77777777" w:rsidR="00945D48" w:rsidRPr="00CF77C1" w:rsidRDefault="00945D48" w:rsidP="0080044B">
            <w:pPr>
              <w:framePr w:hSpace="181" w:wrap="notBeside" w:vAnchor="text" w:hAnchor="text" w:x="12" w:y="1"/>
              <w:jc w:val="left"/>
              <w:rPr>
                <w:lang w:val="sr-Cyrl-RS"/>
              </w:rPr>
            </w:pPr>
            <w:r w:rsidRPr="00CF77C1">
              <w:rPr>
                <w:lang w:val="sr-Cyrl-RS"/>
              </w:rPr>
              <w:t>АIT</w:t>
            </w:r>
            <w:r w:rsidR="00132D06" w:rsidRPr="00CF77C1">
              <w:rPr>
                <w:lang w:val="sr-Cyrl-RS"/>
              </w:rPr>
              <w:t xml:space="preserve"> </w:t>
            </w:r>
            <w:r w:rsidRPr="00CF77C1">
              <w:rPr>
                <w:lang w:val="sr-Cyrl-RS"/>
              </w:rPr>
              <w:t>(минути)</w:t>
            </w:r>
          </w:p>
        </w:tc>
        <w:tc>
          <w:tcPr>
            <w:tcW w:w="855" w:type="dxa"/>
            <w:vAlign w:val="center"/>
          </w:tcPr>
          <w:p w14:paraId="354BDA0C" w14:textId="77777777" w:rsidR="00945D48" w:rsidRPr="00CF77C1" w:rsidRDefault="00945D48" w:rsidP="0080044B">
            <w:pPr>
              <w:framePr w:hSpace="181" w:wrap="notBeside" w:vAnchor="text" w:hAnchor="text" w:x="12" w:y="1"/>
              <w:jc w:val="center"/>
              <w:rPr>
                <w:lang w:val="sr-Cyrl-RS"/>
              </w:rPr>
            </w:pPr>
            <w:r w:rsidRPr="00CF77C1">
              <w:rPr>
                <w:lang w:val="sr-Cyrl-RS"/>
              </w:rPr>
              <w:t>30</w:t>
            </w:r>
          </w:p>
        </w:tc>
        <w:tc>
          <w:tcPr>
            <w:tcW w:w="855" w:type="dxa"/>
            <w:vAlign w:val="center"/>
          </w:tcPr>
          <w:p w14:paraId="39F8C34B" w14:textId="77777777" w:rsidR="00945D48" w:rsidRPr="00CF77C1" w:rsidRDefault="00A72448" w:rsidP="0080044B">
            <w:pPr>
              <w:framePr w:hSpace="181" w:wrap="notBeside" w:vAnchor="text" w:hAnchor="text" w:x="12" w:y="1"/>
              <w:jc w:val="center"/>
              <w:rPr>
                <w:lang w:val="sr-Cyrl-RS"/>
              </w:rPr>
            </w:pPr>
            <w:r w:rsidRPr="00CF77C1">
              <w:rPr>
                <w:lang w:val="sr-Cyrl-RS"/>
              </w:rPr>
              <w:t>29</w:t>
            </w:r>
          </w:p>
        </w:tc>
        <w:tc>
          <w:tcPr>
            <w:tcW w:w="855" w:type="dxa"/>
            <w:vAlign w:val="center"/>
          </w:tcPr>
          <w:p w14:paraId="1768F249" w14:textId="77777777" w:rsidR="00945D48" w:rsidRPr="00CF77C1" w:rsidRDefault="00A72448" w:rsidP="0080044B">
            <w:pPr>
              <w:framePr w:hSpace="181" w:wrap="notBeside" w:vAnchor="text" w:hAnchor="text" w:x="12" w:y="1"/>
              <w:jc w:val="center"/>
              <w:rPr>
                <w:lang w:val="sr-Cyrl-RS"/>
              </w:rPr>
            </w:pPr>
            <w:r w:rsidRPr="00CF77C1">
              <w:rPr>
                <w:lang w:val="sr-Cyrl-RS"/>
              </w:rPr>
              <w:t>28</w:t>
            </w:r>
          </w:p>
        </w:tc>
        <w:tc>
          <w:tcPr>
            <w:tcW w:w="855" w:type="dxa"/>
            <w:vAlign w:val="center"/>
          </w:tcPr>
          <w:p w14:paraId="30238C6C" w14:textId="77777777" w:rsidR="00945D48" w:rsidRPr="00CF77C1" w:rsidRDefault="00A72448" w:rsidP="0080044B">
            <w:pPr>
              <w:framePr w:hSpace="181" w:wrap="notBeside" w:vAnchor="text" w:hAnchor="text" w:x="12" w:y="1"/>
              <w:jc w:val="center"/>
              <w:rPr>
                <w:lang w:val="sr-Cyrl-RS"/>
              </w:rPr>
            </w:pPr>
            <w:r w:rsidRPr="00CF77C1">
              <w:rPr>
                <w:lang w:val="sr-Cyrl-RS"/>
              </w:rPr>
              <w:t>27</w:t>
            </w:r>
          </w:p>
        </w:tc>
        <w:tc>
          <w:tcPr>
            <w:tcW w:w="855" w:type="dxa"/>
            <w:vAlign w:val="center"/>
          </w:tcPr>
          <w:p w14:paraId="5ECEE406" w14:textId="77777777" w:rsidR="00945D48" w:rsidRPr="00CF77C1" w:rsidRDefault="00A72448" w:rsidP="0080044B">
            <w:pPr>
              <w:framePr w:hSpace="181" w:wrap="notBeside" w:vAnchor="text" w:hAnchor="text" w:x="12" w:y="1"/>
              <w:jc w:val="center"/>
              <w:rPr>
                <w:lang w:val="sr-Cyrl-RS"/>
              </w:rPr>
            </w:pPr>
            <w:r w:rsidRPr="00CF77C1">
              <w:rPr>
                <w:lang w:val="sr-Cyrl-RS"/>
              </w:rPr>
              <w:t>25</w:t>
            </w:r>
          </w:p>
        </w:tc>
        <w:tc>
          <w:tcPr>
            <w:tcW w:w="855" w:type="dxa"/>
            <w:vAlign w:val="center"/>
          </w:tcPr>
          <w:p w14:paraId="420E9D63" w14:textId="77777777" w:rsidR="00945D48" w:rsidRPr="00CF77C1" w:rsidRDefault="00A72448" w:rsidP="0080044B">
            <w:pPr>
              <w:framePr w:hSpace="181" w:wrap="notBeside" w:vAnchor="text" w:hAnchor="text" w:x="12" w:y="1"/>
              <w:jc w:val="center"/>
              <w:rPr>
                <w:lang w:val="sr-Cyrl-RS"/>
              </w:rPr>
            </w:pPr>
            <w:r w:rsidRPr="00CF77C1">
              <w:rPr>
                <w:lang w:val="sr-Cyrl-RS"/>
              </w:rPr>
              <w:t>23</w:t>
            </w:r>
          </w:p>
        </w:tc>
        <w:tc>
          <w:tcPr>
            <w:tcW w:w="856" w:type="dxa"/>
            <w:vAlign w:val="center"/>
          </w:tcPr>
          <w:p w14:paraId="45B8A553" w14:textId="77777777" w:rsidR="00945D48" w:rsidRPr="00CF77C1" w:rsidRDefault="00A72448" w:rsidP="0080044B">
            <w:pPr>
              <w:framePr w:hSpace="181" w:wrap="notBeside" w:vAnchor="text" w:hAnchor="text" w:x="12" w:y="1"/>
              <w:jc w:val="center"/>
              <w:rPr>
                <w:lang w:val="sr-Cyrl-RS"/>
              </w:rPr>
            </w:pPr>
            <w:r w:rsidRPr="00CF77C1">
              <w:rPr>
                <w:lang w:val="sr-Cyrl-RS"/>
              </w:rPr>
              <w:t>21</w:t>
            </w:r>
          </w:p>
        </w:tc>
      </w:tr>
      <w:tr w:rsidR="00945D48" w:rsidRPr="00CF77C1" w14:paraId="098A3AC0" w14:textId="77777777" w:rsidTr="002E45C2">
        <w:trPr>
          <w:cantSplit/>
        </w:trPr>
        <w:tc>
          <w:tcPr>
            <w:tcW w:w="3499" w:type="dxa"/>
            <w:vAlign w:val="center"/>
          </w:tcPr>
          <w:p w14:paraId="5C7C310B" w14:textId="77777777" w:rsidR="00945D48" w:rsidRPr="00CF77C1" w:rsidRDefault="00945D48" w:rsidP="0080044B">
            <w:pPr>
              <w:framePr w:hSpace="181" w:wrap="notBeside" w:vAnchor="text" w:hAnchor="text" w:x="12" w:y="1"/>
              <w:jc w:val="left"/>
              <w:rPr>
                <w:lang w:val="sr-Cyrl-RS"/>
              </w:rPr>
            </w:pPr>
            <w:r w:rsidRPr="00CF77C1">
              <w:rPr>
                <w:lang w:val="sr-Cyrl-RS"/>
              </w:rPr>
              <w:t>SAIFI</w:t>
            </w:r>
            <w:r w:rsidR="00132D06" w:rsidRPr="00CF77C1">
              <w:rPr>
                <w:lang w:val="sr-Cyrl-RS"/>
              </w:rPr>
              <w:t xml:space="preserve"> (број п</w:t>
            </w:r>
            <w:r w:rsidRPr="00CF77C1">
              <w:rPr>
                <w:lang w:val="sr-Cyrl-RS"/>
              </w:rPr>
              <w:t>рекида/корисник)</w:t>
            </w:r>
          </w:p>
        </w:tc>
        <w:tc>
          <w:tcPr>
            <w:tcW w:w="855" w:type="dxa"/>
            <w:vAlign w:val="center"/>
          </w:tcPr>
          <w:p w14:paraId="237252E8" w14:textId="77777777" w:rsidR="00945D48" w:rsidRPr="00CF77C1" w:rsidRDefault="00945D48" w:rsidP="0080044B">
            <w:pPr>
              <w:framePr w:hSpace="181" w:wrap="notBeside" w:vAnchor="text" w:hAnchor="text" w:x="12" w:y="1"/>
              <w:jc w:val="center"/>
              <w:rPr>
                <w:lang w:val="sr-Cyrl-RS"/>
              </w:rPr>
            </w:pPr>
            <w:r w:rsidRPr="00CF77C1">
              <w:rPr>
                <w:lang w:val="sr-Cyrl-RS"/>
              </w:rPr>
              <w:t>8,5</w:t>
            </w:r>
          </w:p>
        </w:tc>
        <w:tc>
          <w:tcPr>
            <w:tcW w:w="855" w:type="dxa"/>
            <w:vAlign w:val="center"/>
          </w:tcPr>
          <w:p w14:paraId="73E354F0" w14:textId="77777777" w:rsidR="00945D48" w:rsidRPr="00CF77C1" w:rsidRDefault="00945D48" w:rsidP="0080044B">
            <w:pPr>
              <w:framePr w:hSpace="181" w:wrap="notBeside" w:vAnchor="text" w:hAnchor="text" w:x="12" w:y="1"/>
              <w:jc w:val="center"/>
              <w:rPr>
                <w:lang w:val="sr-Cyrl-RS"/>
              </w:rPr>
            </w:pPr>
            <w:r w:rsidRPr="00CF77C1">
              <w:rPr>
                <w:lang w:val="sr-Cyrl-RS"/>
              </w:rPr>
              <w:t>8,2</w:t>
            </w:r>
          </w:p>
        </w:tc>
        <w:tc>
          <w:tcPr>
            <w:tcW w:w="855" w:type="dxa"/>
            <w:vAlign w:val="center"/>
          </w:tcPr>
          <w:p w14:paraId="733E600A" w14:textId="77777777" w:rsidR="00945D48" w:rsidRPr="00CF77C1" w:rsidRDefault="00945D48" w:rsidP="0080044B">
            <w:pPr>
              <w:framePr w:hSpace="181" w:wrap="notBeside" w:vAnchor="text" w:hAnchor="text" w:x="12" w:y="1"/>
              <w:jc w:val="center"/>
              <w:rPr>
                <w:lang w:val="sr-Cyrl-RS"/>
              </w:rPr>
            </w:pPr>
            <w:r w:rsidRPr="00CF77C1">
              <w:rPr>
                <w:lang w:val="sr-Cyrl-RS"/>
              </w:rPr>
              <w:t>7,9</w:t>
            </w:r>
          </w:p>
        </w:tc>
        <w:tc>
          <w:tcPr>
            <w:tcW w:w="855" w:type="dxa"/>
            <w:vAlign w:val="center"/>
          </w:tcPr>
          <w:p w14:paraId="3AF74C5B" w14:textId="77777777" w:rsidR="00945D48" w:rsidRPr="00CF77C1" w:rsidRDefault="00945D48" w:rsidP="0080044B">
            <w:pPr>
              <w:framePr w:hSpace="181" w:wrap="notBeside" w:vAnchor="text" w:hAnchor="text" w:x="12" w:y="1"/>
              <w:jc w:val="center"/>
              <w:rPr>
                <w:lang w:val="sr-Cyrl-RS"/>
              </w:rPr>
            </w:pPr>
            <w:r w:rsidRPr="00CF77C1">
              <w:rPr>
                <w:lang w:val="sr-Cyrl-RS"/>
              </w:rPr>
              <w:t>7,6</w:t>
            </w:r>
          </w:p>
        </w:tc>
        <w:tc>
          <w:tcPr>
            <w:tcW w:w="855" w:type="dxa"/>
            <w:vAlign w:val="center"/>
          </w:tcPr>
          <w:p w14:paraId="3C39081D" w14:textId="77777777" w:rsidR="00945D48" w:rsidRPr="00CF77C1" w:rsidRDefault="00945D48" w:rsidP="0080044B">
            <w:pPr>
              <w:framePr w:hSpace="181" w:wrap="notBeside" w:vAnchor="text" w:hAnchor="text" w:x="12" w:y="1"/>
              <w:jc w:val="center"/>
              <w:rPr>
                <w:lang w:val="sr-Cyrl-RS"/>
              </w:rPr>
            </w:pPr>
            <w:r w:rsidRPr="00CF77C1">
              <w:rPr>
                <w:lang w:val="sr-Cyrl-RS"/>
              </w:rPr>
              <w:t>7,3</w:t>
            </w:r>
          </w:p>
        </w:tc>
        <w:tc>
          <w:tcPr>
            <w:tcW w:w="855" w:type="dxa"/>
            <w:vAlign w:val="center"/>
          </w:tcPr>
          <w:p w14:paraId="72F91E31" w14:textId="77777777" w:rsidR="00945D48" w:rsidRPr="00CF77C1" w:rsidRDefault="00945D48" w:rsidP="0080044B">
            <w:pPr>
              <w:framePr w:hSpace="181" w:wrap="notBeside" w:vAnchor="text" w:hAnchor="text" w:x="12" w:y="1"/>
              <w:jc w:val="center"/>
              <w:rPr>
                <w:lang w:val="sr-Cyrl-RS"/>
              </w:rPr>
            </w:pPr>
            <w:r w:rsidRPr="00CF77C1">
              <w:rPr>
                <w:lang w:val="sr-Cyrl-RS"/>
              </w:rPr>
              <w:t>7,0</w:t>
            </w:r>
          </w:p>
        </w:tc>
        <w:tc>
          <w:tcPr>
            <w:tcW w:w="856" w:type="dxa"/>
            <w:vAlign w:val="center"/>
          </w:tcPr>
          <w:p w14:paraId="5A083FF3" w14:textId="77777777" w:rsidR="00945D48" w:rsidRPr="00CF77C1" w:rsidRDefault="00945D48" w:rsidP="0080044B">
            <w:pPr>
              <w:framePr w:hSpace="181" w:wrap="notBeside" w:vAnchor="text" w:hAnchor="text" w:x="12" w:y="1"/>
              <w:jc w:val="center"/>
              <w:rPr>
                <w:lang w:val="sr-Cyrl-RS"/>
              </w:rPr>
            </w:pPr>
            <w:r w:rsidRPr="00CF77C1">
              <w:rPr>
                <w:lang w:val="sr-Cyrl-RS"/>
              </w:rPr>
              <w:t>6,7</w:t>
            </w:r>
          </w:p>
        </w:tc>
      </w:tr>
      <w:tr w:rsidR="00945D48" w:rsidRPr="00CF77C1" w14:paraId="3784B3D9" w14:textId="77777777" w:rsidTr="002E45C2">
        <w:trPr>
          <w:cantSplit/>
        </w:trPr>
        <w:tc>
          <w:tcPr>
            <w:tcW w:w="3499" w:type="dxa"/>
            <w:vAlign w:val="center"/>
          </w:tcPr>
          <w:p w14:paraId="16FC99B1" w14:textId="77777777" w:rsidR="00945D48" w:rsidRPr="00CF77C1" w:rsidRDefault="00945D48" w:rsidP="0080044B">
            <w:pPr>
              <w:framePr w:hSpace="181" w:wrap="notBeside" w:vAnchor="text" w:hAnchor="text" w:x="12" w:y="1"/>
              <w:jc w:val="left"/>
              <w:rPr>
                <w:lang w:val="sr-Cyrl-RS"/>
              </w:rPr>
            </w:pPr>
            <w:r w:rsidRPr="00CF77C1">
              <w:rPr>
                <w:lang w:val="sr-Cyrl-RS"/>
              </w:rPr>
              <w:t>SAIDI</w:t>
            </w:r>
            <w:r w:rsidR="00132D06" w:rsidRPr="00CF77C1">
              <w:rPr>
                <w:lang w:val="sr-Cyrl-RS"/>
              </w:rPr>
              <w:t xml:space="preserve"> (</w:t>
            </w:r>
            <w:r w:rsidRPr="00CF77C1">
              <w:rPr>
                <w:lang w:val="sr-Cyrl-RS"/>
              </w:rPr>
              <w:t>минута/корисник)</w:t>
            </w:r>
          </w:p>
        </w:tc>
        <w:tc>
          <w:tcPr>
            <w:tcW w:w="855" w:type="dxa"/>
            <w:vAlign w:val="center"/>
          </w:tcPr>
          <w:p w14:paraId="73A0C8C8" w14:textId="77777777" w:rsidR="00945D48" w:rsidRPr="00CF77C1" w:rsidRDefault="00945D48" w:rsidP="0080044B">
            <w:pPr>
              <w:framePr w:hSpace="181" w:wrap="notBeside" w:vAnchor="text" w:hAnchor="text" w:x="12" w:y="1"/>
              <w:jc w:val="center"/>
              <w:rPr>
                <w:lang w:val="sr-Cyrl-RS"/>
              </w:rPr>
            </w:pPr>
            <w:r w:rsidRPr="00CF77C1">
              <w:rPr>
                <w:lang w:val="sr-Cyrl-RS"/>
              </w:rPr>
              <w:t>850</w:t>
            </w:r>
          </w:p>
        </w:tc>
        <w:tc>
          <w:tcPr>
            <w:tcW w:w="855" w:type="dxa"/>
            <w:vAlign w:val="center"/>
          </w:tcPr>
          <w:p w14:paraId="7A43844F" w14:textId="77777777" w:rsidR="00945D48" w:rsidRPr="00CF77C1" w:rsidRDefault="00945D48" w:rsidP="0080044B">
            <w:pPr>
              <w:framePr w:hSpace="181" w:wrap="notBeside" w:vAnchor="text" w:hAnchor="text" w:x="12" w:y="1"/>
              <w:jc w:val="center"/>
              <w:rPr>
                <w:lang w:val="sr-Cyrl-RS"/>
              </w:rPr>
            </w:pPr>
            <w:r w:rsidRPr="00CF77C1">
              <w:rPr>
                <w:lang w:val="sr-Cyrl-RS"/>
              </w:rPr>
              <w:t>800</w:t>
            </w:r>
          </w:p>
        </w:tc>
        <w:tc>
          <w:tcPr>
            <w:tcW w:w="855" w:type="dxa"/>
            <w:vAlign w:val="center"/>
          </w:tcPr>
          <w:p w14:paraId="0B37BB05" w14:textId="77777777" w:rsidR="00945D48" w:rsidRPr="00CF77C1" w:rsidRDefault="00945D48" w:rsidP="0080044B">
            <w:pPr>
              <w:framePr w:hSpace="181" w:wrap="notBeside" w:vAnchor="text" w:hAnchor="text" w:x="12" w:y="1"/>
              <w:jc w:val="center"/>
              <w:rPr>
                <w:lang w:val="sr-Cyrl-RS"/>
              </w:rPr>
            </w:pPr>
            <w:r w:rsidRPr="00CF77C1">
              <w:rPr>
                <w:lang w:val="sr-Cyrl-RS"/>
              </w:rPr>
              <w:t>750</w:t>
            </w:r>
          </w:p>
        </w:tc>
        <w:tc>
          <w:tcPr>
            <w:tcW w:w="855" w:type="dxa"/>
            <w:vAlign w:val="center"/>
          </w:tcPr>
          <w:p w14:paraId="740E6D14" w14:textId="77777777" w:rsidR="00945D48" w:rsidRPr="00CF77C1" w:rsidRDefault="00A72448" w:rsidP="0080044B">
            <w:pPr>
              <w:framePr w:hSpace="181" w:wrap="notBeside" w:vAnchor="text" w:hAnchor="text" w:x="12" w:y="1"/>
              <w:jc w:val="center"/>
              <w:rPr>
                <w:lang w:val="sr-Cyrl-RS"/>
              </w:rPr>
            </w:pPr>
            <w:r w:rsidRPr="00CF77C1">
              <w:rPr>
                <w:lang w:val="sr-Cyrl-RS"/>
              </w:rPr>
              <w:t>700</w:t>
            </w:r>
          </w:p>
        </w:tc>
        <w:tc>
          <w:tcPr>
            <w:tcW w:w="855" w:type="dxa"/>
            <w:vAlign w:val="center"/>
          </w:tcPr>
          <w:p w14:paraId="687B964B" w14:textId="77777777" w:rsidR="00945D48" w:rsidRPr="00CF77C1" w:rsidRDefault="00A72448" w:rsidP="0080044B">
            <w:pPr>
              <w:framePr w:hSpace="181" w:wrap="notBeside" w:vAnchor="text" w:hAnchor="text" w:x="12" w:y="1"/>
              <w:jc w:val="center"/>
              <w:rPr>
                <w:lang w:val="sr-Cyrl-RS"/>
              </w:rPr>
            </w:pPr>
            <w:r w:rsidRPr="00CF77C1">
              <w:rPr>
                <w:lang w:val="sr-Cyrl-RS"/>
              </w:rPr>
              <w:t>650</w:t>
            </w:r>
          </w:p>
        </w:tc>
        <w:tc>
          <w:tcPr>
            <w:tcW w:w="855" w:type="dxa"/>
            <w:vAlign w:val="center"/>
          </w:tcPr>
          <w:p w14:paraId="6841A92A" w14:textId="77777777" w:rsidR="00945D48" w:rsidRPr="00CF77C1" w:rsidRDefault="00A72448" w:rsidP="0080044B">
            <w:pPr>
              <w:framePr w:hSpace="181" w:wrap="notBeside" w:vAnchor="text" w:hAnchor="text" w:x="12" w:y="1"/>
              <w:jc w:val="center"/>
              <w:rPr>
                <w:lang w:val="sr-Cyrl-RS"/>
              </w:rPr>
            </w:pPr>
            <w:r w:rsidRPr="00CF77C1">
              <w:rPr>
                <w:lang w:val="sr-Cyrl-RS"/>
              </w:rPr>
              <w:t>600</w:t>
            </w:r>
          </w:p>
        </w:tc>
        <w:tc>
          <w:tcPr>
            <w:tcW w:w="856" w:type="dxa"/>
            <w:vAlign w:val="center"/>
          </w:tcPr>
          <w:p w14:paraId="3A039C01" w14:textId="77777777" w:rsidR="00945D48" w:rsidRPr="00CF77C1" w:rsidRDefault="00A72448" w:rsidP="0080044B">
            <w:pPr>
              <w:framePr w:hSpace="181" w:wrap="notBeside" w:vAnchor="text" w:hAnchor="text" w:x="12" w:y="1"/>
              <w:jc w:val="center"/>
              <w:rPr>
                <w:lang w:val="sr-Cyrl-RS"/>
              </w:rPr>
            </w:pPr>
            <w:r w:rsidRPr="00CF77C1">
              <w:rPr>
                <w:lang w:val="sr-Cyrl-RS"/>
              </w:rPr>
              <w:t>550</w:t>
            </w:r>
          </w:p>
        </w:tc>
      </w:tr>
    </w:tbl>
    <w:p w14:paraId="78F44B5E" w14:textId="1B5E7BA0" w:rsidR="00945D48" w:rsidRPr="00CF77C1" w:rsidRDefault="005C650D" w:rsidP="000763D5">
      <w:pPr>
        <w:pStyle w:val="ListParagraph"/>
        <w:spacing w:before="120"/>
        <w:ind w:left="0" w:firstLine="720"/>
        <w:rPr>
          <w:lang w:val="sr-Cyrl-RS"/>
        </w:rPr>
      </w:pPr>
      <w:r w:rsidRPr="00CF77C1">
        <w:rPr>
          <w:lang w:val="sr-Cyrl-RS"/>
        </w:rPr>
        <w:t>Министарство надлежно за послове</w:t>
      </w:r>
      <w:r w:rsidR="00D40E0B" w:rsidRPr="00CF77C1">
        <w:rPr>
          <w:lang w:val="sr-Cyrl-RS"/>
        </w:rPr>
        <w:t xml:space="preserve"> рударства и енергетике сваке године подноси </w:t>
      </w:r>
      <w:r w:rsidR="00D61BC9" w:rsidRPr="00CF77C1">
        <w:rPr>
          <w:lang w:val="sr-Cyrl-RS"/>
        </w:rPr>
        <w:t>и</w:t>
      </w:r>
      <w:r w:rsidR="00D40E0B" w:rsidRPr="00CF77C1">
        <w:rPr>
          <w:lang w:val="sr-Cyrl-RS"/>
        </w:rPr>
        <w:t>звештај</w:t>
      </w:r>
      <w:r w:rsidR="00945D48" w:rsidRPr="00CF77C1">
        <w:rPr>
          <w:lang w:val="sr-Cyrl-RS"/>
        </w:rPr>
        <w:t xml:space="preserve"> о сигурности снабдевања </w:t>
      </w:r>
      <w:r w:rsidR="00D40E0B" w:rsidRPr="00CF77C1">
        <w:rPr>
          <w:lang w:val="sr-Cyrl-RS"/>
        </w:rPr>
        <w:t xml:space="preserve">у оквиру којег су дате вредности индикатора непрекидности испоруке у преносној и дистрибутивној мрежи. Ове вредности прикупља, систематизује и објављује </w:t>
      </w:r>
      <w:r w:rsidR="001065CE">
        <w:rPr>
          <w:lang w:val="sr-Cyrl-RS"/>
        </w:rPr>
        <w:t xml:space="preserve">АЕРС </w:t>
      </w:r>
      <w:r w:rsidR="00D40E0B" w:rsidRPr="00CF77C1">
        <w:rPr>
          <w:lang w:val="sr-Cyrl-RS"/>
        </w:rPr>
        <w:t xml:space="preserve">у оквиру свог извештаја о раду који подноси </w:t>
      </w:r>
      <w:r w:rsidR="00341DA6" w:rsidRPr="00CF77C1">
        <w:rPr>
          <w:lang w:val="sr-Cyrl-RS"/>
        </w:rPr>
        <w:t xml:space="preserve">Народној скупштини и објављује </w:t>
      </w:r>
      <w:r w:rsidR="00D40E0B" w:rsidRPr="00CF77C1">
        <w:rPr>
          <w:lang w:val="sr-Cyrl-RS"/>
        </w:rPr>
        <w:t xml:space="preserve">сваке </w:t>
      </w:r>
      <w:r w:rsidR="00945D48" w:rsidRPr="00CF77C1">
        <w:rPr>
          <w:lang w:val="sr-Cyrl-RS"/>
        </w:rPr>
        <w:t>године.</w:t>
      </w:r>
    </w:p>
    <w:p w14:paraId="4EFC568D" w14:textId="652F0EEE" w:rsidR="00945D48" w:rsidRPr="00CF77C1" w:rsidRDefault="00DE0456" w:rsidP="000763D5">
      <w:pPr>
        <w:keepNext/>
        <w:spacing w:before="120"/>
        <w:ind w:firstLine="720"/>
        <w:rPr>
          <w:lang w:val="sr-Cyrl-RS"/>
        </w:rPr>
      </w:pPr>
      <w:bookmarkStart w:id="18" w:name="EE_Cilj_2"/>
      <w:r w:rsidRPr="00CF77C1">
        <w:rPr>
          <w:lang w:val="sr-Cyrl-RS"/>
        </w:rPr>
        <w:t>Ц.Е.2</w:t>
      </w:r>
      <w:r w:rsidR="000B28E3" w:rsidRPr="00CF77C1">
        <w:rPr>
          <w:lang w:val="sr-Cyrl-RS"/>
        </w:rPr>
        <w:t xml:space="preserve">. </w:t>
      </w:r>
      <w:r w:rsidR="00945D48" w:rsidRPr="00CF77C1">
        <w:rPr>
          <w:lang w:val="sr-Cyrl-RS"/>
        </w:rPr>
        <w:t>Развој тржишта електричне енергије на националном и регионалном нивоу</w:t>
      </w:r>
      <w:bookmarkEnd w:id="18"/>
    </w:p>
    <w:p w14:paraId="295BDBB7" w14:textId="3AEB82FE" w:rsidR="00DC752A" w:rsidRPr="00CF77C1" w:rsidRDefault="00DC752A" w:rsidP="000763D5">
      <w:pPr>
        <w:ind w:firstLine="720"/>
        <w:rPr>
          <w:lang w:val="sr-Cyrl-RS"/>
        </w:rPr>
      </w:pPr>
      <w:r w:rsidRPr="00CF77C1">
        <w:rPr>
          <w:lang w:val="sr-Cyrl-RS"/>
        </w:rPr>
        <w:t>За мерење развијености тржишта електричне енергије користе се следећи индикатори:</w:t>
      </w:r>
    </w:p>
    <w:p w14:paraId="140D1917" w14:textId="2EC22AA1" w:rsidR="00DC752A" w:rsidRPr="00CF77C1" w:rsidRDefault="003050CF" w:rsidP="003E39B4">
      <w:pPr>
        <w:pStyle w:val="ListParagraph"/>
        <w:numPr>
          <w:ilvl w:val="0"/>
          <w:numId w:val="49"/>
        </w:numPr>
        <w:ind w:left="0" w:firstLine="720"/>
        <w:rPr>
          <w:lang w:val="sr-Cyrl-RS"/>
        </w:rPr>
      </w:pPr>
      <w:r w:rsidRPr="00CF77C1">
        <w:rPr>
          <w:lang w:val="sr-Cyrl-RS"/>
        </w:rPr>
        <w:t>м</w:t>
      </w:r>
      <w:r w:rsidR="00DC752A" w:rsidRPr="00CF77C1">
        <w:rPr>
          <w:lang w:val="sr-Cyrl-RS"/>
        </w:rPr>
        <w:t>аксимално учешће три снабдевача са највећим обимом трговине (%) на велепродајном тржишту, које укључује билатерално тржиште и берзу</w:t>
      </w:r>
      <w:r w:rsidR="00AB7B01" w:rsidRPr="00CF77C1">
        <w:rPr>
          <w:lang w:val="sr-Cyrl-RS"/>
        </w:rPr>
        <w:t xml:space="preserve"> (организовано тржиште)</w:t>
      </w:r>
      <w:r w:rsidR="00DC752A" w:rsidRPr="00CF77C1">
        <w:rPr>
          <w:lang w:val="sr-Cyrl-RS"/>
        </w:rPr>
        <w:t xml:space="preserve"> електричне енергије. За сваког снабдевача</w:t>
      </w:r>
      <w:r w:rsidR="00AB7B01" w:rsidRPr="00CF77C1">
        <w:rPr>
          <w:lang w:val="sr-Cyrl-RS"/>
        </w:rPr>
        <w:t>,</w:t>
      </w:r>
      <w:r w:rsidR="00DC752A" w:rsidRPr="00CF77C1">
        <w:rPr>
          <w:lang w:val="sr-Cyrl-RS"/>
        </w:rPr>
        <w:t xml:space="preserve"> учесника на неком од поменута два тржишта</w:t>
      </w:r>
      <w:r w:rsidR="00AB7B01" w:rsidRPr="00CF77C1">
        <w:rPr>
          <w:lang w:val="sr-Cyrl-RS"/>
        </w:rPr>
        <w:t>,</w:t>
      </w:r>
      <w:r w:rsidR="00DC752A" w:rsidRPr="00CF77C1">
        <w:rPr>
          <w:lang w:val="sr-Cyrl-RS"/>
        </w:rPr>
        <w:t xml:space="preserve"> се сумира обим куповине и продаје електричне енергије на оба поменута тржишта</w:t>
      </w:r>
      <w:r w:rsidR="00AB7B01" w:rsidRPr="00CF77C1">
        <w:rPr>
          <w:lang w:val="sr-Cyrl-RS"/>
        </w:rPr>
        <w:t>, а учешће снабдевача се израчунава као проценат тако сумиране енергије у укупном обиму трговине на велепродајном тржишту</w:t>
      </w:r>
      <w:r w:rsidR="00DC752A" w:rsidRPr="00CF77C1">
        <w:rPr>
          <w:lang w:val="sr-Cyrl-RS"/>
        </w:rPr>
        <w:t xml:space="preserve">. Индикатор се прорачунава као сума три највећа учешћа. Прорачун овог индикатора обавља </w:t>
      </w:r>
      <w:r w:rsidR="00BA71A8">
        <w:rPr>
          <w:lang w:val="sr-Cyrl-RS"/>
        </w:rPr>
        <w:t>АЕРС</w:t>
      </w:r>
      <w:r w:rsidR="00BA71A8" w:rsidRPr="00CF77C1">
        <w:rPr>
          <w:lang w:val="sr-Cyrl-RS"/>
        </w:rPr>
        <w:t xml:space="preserve"> </w:t>
      </w:r>
      <w:r w:rsidR="00DC752A" w:rsidRPr="00CF77C1">
        <w:rPr>
          <w:lang w:val="sr-Cyrl-RS"/>
        </w:rPr>
        <w:t>и доставља га министарству надлежном за послове енергетике;</w:t>
      </w:r>
    </w:p>
    <w:p w14:paraId="55883E80" w14:textId="677F55DD" w:rsidR="00DC752A" w:rsidRPr="00CF77C1" w:rsidRDefault="003050CF" w:rsidP="003E39B4">
      <w:pPr>
        <w:pStyle w:val="ListParagraph"/>
        <w:numPr>
          <w:ilvl w:val="0"/>
          <w:numId w:val="49"/>
        </w:numPr>
        <w:ind w:left="0" w:firstLine="720"/>
        <w:rPr>
          <w:lang w:val="sr-Cyrl-RS"/>
        </w:rPr>
      </w:pPr>
      <w:r w:rsidRPr="00CF77C1">
        <w:rPr>
          <w:lang w:val="sr-Cyrl-RS"/>
        </w:rPr>
        <w:t>н</w:t>
      </w:r>
      <w:r w:rsidR="00DC752A" w:rsidRPr="00CF77C1">
        <w:rPr>
          <w:lang w:val="sr-Cyrl-RS"/>
        </w:rPr>
        <w:t xml:space="preserve">иво </w:t>
      </w:r>
      <w:r w:rsidR="00581977">
        <w:rPr>
          <w:lang w:val="sr-Cyrl-RS"/>
        </w:rPr>
        <w:t>концентрисаности</w:t>
      </w:r>
      <w:r w:rsidR="00DC752A" w:rsidRPr="00CF77C1">
        <w:rPr>
          <w:lang w:val="sr-Cyrl-RS"/>
        </w:rPr>
        <w:t xml:space="preserve"> </w:t>
      </w:r>
      <w:r w:rsidR="00AB7B01" w:rsidRPr="00CF77C1">
        <w:rPr>
          <w:lang w:val="sr-Cyrl-RS"/>
        </w:rPr>
        <w:t xml:space="preserve">велепродајног </w:t>
      </w:r>
      <w:r w:rsidR="00DC752A" w:rsidRPr="00CF77C1">
        <w:rPr>
          <w:lang w:val="sr-Cyrl-RS"/>
        </w:rPr>
        <w:t xml:space="preserve">тржишта, </w:t>
      </w:r>
      <w:r w:rsidR="00AB7B01" w:rsidRPr="00CF77C1">
        <w:rPr>
          <w:lang w:val="sr-Cyrl-RS"/>
        </w:rPr>
        <w:t xml:space="preserve">који се одређује </w:t>
      </w:r>
      <w:r w:rsidR="00DC752A" w:rsidRPr="00CF77C1">
        <w:rPr>
          <w:lang w:val="sr-Cyrl-RS"/>
        </w:rPr>
        <w:t>на основу прорачунатог Herfindahl-Hirschmann индексa (HHI</w:t>
      </w:r>
      <w:r w:rsidR="00AB7B01" w:rsidRPr="00CF77C1">
        <w:rPr>
          <w:lang w:val="sr-Cyrl-RS"/>
        </w:rPr>
        <w:t xml:space="preserve">). Овај индекс </w:t>
      </w:r>
      <w:r w:rsidR="00DC752A" w:rsidRPr="00CF77C1">
        <w:rPr>
          <w:lang w:val="sr-Cyrl-RS"/>
        </w:rPr>
        <w:t xml:space="preserve">се прорачунава на основу учешћа свих снабдевача на </w:t>
      </w:r>
      <w:r w:rsidR="00AB7B01" w:rsidRPr="00CF77C1">
        <w:rPr>
          <w:lang w:val="sr-Cyrl-RS"/>
        </w:rPr>
        <w:t>велепродајном тржишту,</w:t>
      </w:r>
      <w:r w:rsidR="00DC752A" w:rsidRPr="00CF77C1">
        <w:rPr>
          <w:lang w:val="sr-Cyrl-RS"/>
        </w:rPr>
        <w:t xml:space="preserve"> као збир квадрата учешћа појединих </w:t>
      </w:r>
      <w:r w:rsidR="00AB7B01" w:rsidRPr="00CF77C1">
        <w:rPr>
          <w:lang w:val="sr-Cyrl-RS"/>
        </w:rPr>
        <w:t>снабдевача</w:t>
      </w:r>
      <w:r w:rsidR="00DC752A" w:rsidRPr="00CF77C1">
        <w:rPr>
          <w:lang w:val="sr-Cyrl-RS"/>
        </w:rPr>
        <w:t xml:space="preserve"> на </w:t>
      </w:r>
      <w:r w:rsidR="00AB7B01" w:rsidRPr="00CF77C1">
        <w:rPr>
          <w:lang w:val="sr-Cyrl-RS"/>
        </w:rPr>
        <w:t>том тржишту. Ш</w:t>
      </w:r>
      <w:r w:rsidR="00DC752A" w:rsidRPr="00CF77C1">
        <w:rPr>
          <w:lang w:val="sr-Cyrl-RS"/>
        </w:rPr>
        <w:t xml:space="preserve">то је вредност </w:t>
      </w:r>
      <w:r w:rsidR="00AB7B01" w:rsidRPr="00CF77C1">
        <w:rPr>
          <w:lang w:val="sr-Cyrl-RS"/>
        </w:rPr>
        <w:t xml:space="preserve">овог индекса </w:t>
      </w:r>
      <w:r w:rsidR="00DC752A" w:rsidRPr="00CF77C1">
        <w:rPr>
          <w:lang w:val="sr-Cyrl-RS"/>
        </w:rPr>
        <w:t xml:space="preserve">мања то је развијенија конкуренција на тржишту. За оцену концентрисаности </w:t>
      </w:r>
      <w:r w:rsidR="00AB7B01" w:rsidRPr="00CF77C1">
        <w:rPr>
          <w:lang w:val="sr-Cyrl-RS"/>
        </w:rPr>
        <w:t xml:space="preserve">велепродајног </w:t>
      </w:r>
      <w:r w:rsidR="00DC752A" w:rsidRPr="00CF77C1">
        <w:rPr>
          <w:lang w:val="sr-Cyrl-RS"/>
        </w:rPr>
        <w:t xml:space="preserve">тржишта се користе границе HHI&lt;1000 - ниско концентрисано, 1001≤HHI&lt;2000 - умерено концентрисано, 2001≤HHI - високо концентрисано. Прорачун овог индикатора обавља </w:t>
      </w:r>
      <w:r w:rsidR="00083E98">
        <w:rPr>
          <w:lang w:val="sr-Cyrl-RS"/>
        </w:rPr>
        <w:t>АЕРС</w:t>
      </w:r>
      <w:r w:rsidR="00083E98" w:rsidRPr="00CF77C1">
        <w:rPr>
          <w:lang w:val="sr-Cyrl-RS"/>
        </w:rPr>
        <w:t xml:space="preserve"> </w:t>
      </w:r>
      <w:r w:rsidR="00DC752A" w:rsidRPr="00CF77C1">
        <w:rPr>
          <w:lang w:val="sr-Cyrl-RS"/>
        </w:rPr>
        <w:t>и доставља га министарству надлежном за послове енергетике;</w:t>
      </w:r>
    </w:p>
    <w:p w14:paraId="66D2A8B6" w14:textId="0AFE47DC" w:rsidR="00DC752A" w:rsidRPr="00CF77C1" w:rsidRDefault="003050CF" w:rsidP="003E39B4">
      <w:pPr>
        <w:pStyle w:val="ListParagraph"/>
        <w:numPr>
          <w:ilvl w:val="0"/>
          <w:numId w:val="49"/>
        </w:numPr>
        <w:ind w:left="0" w:firstLine="720"/>
        <w:rPr>
          <w:lang w:val="sr-Cyrl-RS"/>
        </w:rPr>
      </w:pPr>
      <w:r w:rsidRPr="00CF77C1">
        <w:rPr>
          <w:lang w:val="sr-Cyrl-RS"/>
        </w:rPr>
        <w:t>б</w:t>
      </w:r>
      <w:r w:rsidR="00DC752A" w:rsidRPr="00CF77C1">
        <w:rPr>
          <w:lang w:val="sr-Cyrl-RS"/>
        </w:rPr>
        <w:t xml:space="preserve">рој активних снабдевача на велепродајном тржишту електричне енергије подноси се као директан податак у извештају. </w:t>
      </w:r>
      <w:r w:rsidR="00AB7B01" w:rsidRPr="00CF77C1">
        <w:rPr>
          <w:lang w:val="sr-Cyrl-RS"/>
        </w:rPr>
        <w:t>Вредност</w:t>
      </w:r>
      <w:r w:rsidR="00DC752A" w:rsidRPr="00CF77C1">
        <w:rPr>
          <w:lang w:val="sr-Cyrl-RS"/>
        </w:rPr>
        <w:t xml:space="preserve"> овог индикатора </w:t>
      </w:r>
      <w:r w:rsidR="00AB7B01" w:rsidRPr="00CF77C1">
        <w:rPr>
          <w:lang w:val="sr-Cyrl-RS"/>
        </w:rPr>
        <w:t>обезбеђује</w:t>
      </w:r>
      <w:r w:rsidR="00DC752A" w:rsidRPr="00CF77C1">
        <w:rPr>
          <w:lang w:val="sr-Cyrl-RS"/>
        </w:rPr>
        <w:t xml:space="preserve"> </w:t>
      </w:r>
      <w:r w:rsidR="00FA2A63">
        <w:rPr>
          <w:lang w:val="sr-Cyrl-RS"/>
        </w:rPr>
        <w:t>АЕРС</w:t>
      </w:r>
      <w:r w:rsidR="00FA2A63" w:rsidRPr="00CF77C1">
        <w:rPr>
          <w:lang w:val="sr-Cyrl-RS"/>
        </w:rPr>
        <w:t xml:space="preserve"> </w:t>
      </w:r>
      <w:r w:rsidR="00DC752A" w:rsidRPr="00CF77C1">
        <w:rPr>
          <w:lang w:val="sr-Cyrl-RS"/>
        </w:rPr>
        <w:t>и доставља га министарству надлежном за послове енергетике;</w:t>
      </w:r>
    </w:p>
    <w:p w14:paraId="3A9F43C1" w14:textId="7545B9A6" w:rsidR="00DC752A" w:rsidRPr="00CF77C1" w:rsidRDefault="003050CF" w:rsidP="003E39B4">
      <w:pPr>
        <w:pStyle w:val="ListParagraph"/>
        <w:numPr>
          <w:ilvl w:val="0"/>
          <w:numId w:val="49"/>
        </w:numPr>
        <w:ind w:left="0" w:firstLine="720"/>
        <w:rPr>
          <w:lang w:val="sr-Cyrl-RS"/>
        </w:rPr>
      </w:pPr>
      <w:r w:rsidRPr="00CF77C1">
        <w:rPr>
          <w:lang w:val="sr-Cyrl-RS"/>
        </w:rPr>
        <w:t>б</w:t>
      </w:r>
      <w:r w:rsidR="00DC752A" w:rsidRPr="00CF77C1">
        <w:rPr>
          <w:lang w:val="sr-Cyrl-RS"/>
        </w:rPr>
        <w:t xml:space="preserve">рој активних снабдевача електричном енергијом на малопродајном тржишту подноси се као директан податак у извештају. </w:t>
      </w:r>
      <w:r w:rsidR="00AB7B01" w:rsidRPr="00CF77C1">
        <w:rPr>
          <w:lang w:val="sr-Cyrl-RS"/>
        </w:rPr>
        <w:t>Вредност</w:t>
      </w:r>
      <w:r w:rsidR="00DC752A" w:rsidRPr="00CF77C1">
        <w:rPr>
          <w:lang w:val="sr-Cyrl-RS"/>
        </w:rPr>
        <w:t xml:space="preserve"> овог индикатора </w:t>
      </w:r>
      <w:r w:rsidR="00AB7B01" w:rsidRPr="00CF77C1">
        <w:rPr>
          <w:lang w:val="sr-Cyrl-RS"/>
        </w:rPr>
        <w:t>обезбеђује</w:t>
      </w:r>
      <w:r w:rsidR="00DC752A" w:rsidRPr="00CF77C1">
        <w:rPr>
          <w:lang w:val="sr-Cyrl-RS"/>
        </w:rPr>
        <w:t xml:space="preserve"> </w:t>
      </w:r>
      <w:r w:rsidR="00FA2A63">
        <w:rPr>
          <w:lang w:val="sr-Cyrl-RS"/>
        </w:rPr>
        <w:t>АЕРС</w:t>
      </w:r>
      <w:r w:rsidR="00FA2A63" w:rsidRPr="00CF77C1">
        <w:rPr>
          <w:lang w:val="sr-Cyrl-RS"/>
        </w:rPr>
        <w:t xml:space="preserve"> </w:t>
      </w:r>
      <w:r w:rsidR="00DC752A" w:rsidRPr="00CF77C1">
        <w:rPr>
          <w:lang w:val="sr-Cyrl-RS"/>
        </w:rPr>
        <w:t>и доставља га министарству надлежном за послове енергетике;</w:t>
      </w:r>
    </w:p>
    <w:p w14:paraId="0AF723B3" w14:textId="5749933A" w:rsidR="00DC752A" w:rsidRPr="00CF77C1" w:rsidRDefault="003050CF" w:rsidP="003E39B4">
      <w:pPr>
        <w:pStyle w:val="ListParagraph"/>
        <w:numPr>
          <w:ilvl w:val="0"/>
          <w:numId w:val="49"/>
        </w:numPr>
        <w:ind w:left="0" w:firstLine="720"/>
        <w:rPr>
          <w:lang w:val="sr-Cyrl-RS"/>
        </w:rPr>
      </w:pPr>
      <w:r w:rsidRPr="00CF77C1">
        <w:rPr>
          <w:lang w:val="sr-Cyrl-RS"/>
        </w:rPr>
        <w:t>о</w:t>
      </w:r>
      <w:r w:rsidR="00331229" w:rsidRPr="00CF77C1">
        <w:rPr>
          <w:lang w:val="sr-Cyrl-RS"/>
        </w:rPr>
        <w:t>днос</w:t>
      </w:r>
      <w:r w:rsidR="00DC752A" w:rsidRPr="00CF77C1">
        <w:rPr>
          <w:lang w:val="sr-Cyrl-RS"/>
        </w:rPr>
        <w:t xml:space="preserve"> годишње енергије којом се тргује на берзи и укупне годишње потрошње електричне енергије у </w:t>
      </w:r>
      <w:r w:rsidR="00EC16A1" w:rsidRPr="00CF77C1">
        <w:rPr>
          <w:lang w:val="sr-Cyrl-RS"/>
        </w:rPr>
        <w:t xml:space="preserve">Републици </w:t>
      </w:r>
      <w:r w:rsidR="00DC752A" w:rsidRPr="00CF77C1">
        <w:rPr>
          <w:lang w:val="sr-Cyrl-RS"/>
        </w:rPr>
        <w:t xml:space="preserve">Србији </w:t>
      </w:r>
      <w:r w:rsidR="00331229" w:rsidRPr="00CF77C1">
        <w:rPr>
          <w:lang w:val="sr-Cyrl-RS"/>
        </w:rPr>
        <w:t xml:space="preserve">за чији прорачун податке </w:t>
      </w:r>
      <w:r w:rsidR="00DC752A" w:rsidRPr="00CF77C1">
        <w:rPr>
          <w:lang w:val="sr-Cyrl-RS"/>
        </w:rPr>
        <w:t>обезбеђују SEEPEX (о годишњој трговини на берзи) и ЕМС (о укупној годишњој потрошњи).</w:t>
      </w:r>
    </w:p>
    <w:p w14:paraId="12502B8A" w14:textId="579C97F5" w:rsidR="00AB7B01" w:rsidRPr="00CF77C1" w:rsidRDefault="00AB7B01" w:rsidP="000763D5">
      <w:pPr>
        <w:pStyle w:val="ListParagraph"/>
        <w:spacing w:before="120"/>
        <w:ind w:left="0" w:firstLine="720"/>
        <w:rPr>
          <w:lang w:val="sr-Cyrl-RS"/>
        </w:rPr>
      </w:pPr>
      <w:r w:rsidRPr="00CF77C1">
        <w:rPr>
          <w:lang w:val="sr-Cyrl-RS"/>
        </w:rPr>
        <w:t>На националном нивоу, обезбеђени су услови свим крајњим купцима електричне енергије за приступ тржишту на мало електричне енергије кроз слободан избор снабдевача електричном енергијом. Купци који имају право на гарантовано снабдевање још увек не користе ово право, тако да су снабдевање на слободном тржишту на мало користили купци који су потрошили</w:t>
      </w:r>
      <w:r w:rsidR="001A6268" w:rsidRPr="00CF77C1">
        <w:rPr>
          <w:lang w:val="sr-Cyrl-RS"/>
        </w:rPr>
        <w:t xml:space="preserve"> </w:t>
      </w:r>
      <w:r w:rsidRPr="00CF77C1">
        <w:rPr>
          <w:lang w:val="sr-Cyrl-RS"/>
        </w:rPr>
        <w:t>44% од укупне потрошње крајњих купаца у 2016. години, а остатак купаца има обезбеђено гарантовано снабдевање електричном енергијом по регулисаним ценама (за око 56% од укупне потрошње крајњих купаца у 2016. години). Даљи раст регулисаних цена електричне енергије до тржишног нивоа, требало би да доведе до повећања процента купаца и продате електричне енергије на слободном тржишту на мало електричне енергије, у односу на укупну потрошњу крајњих купаца.</w:t>
      </w:r>
    </w:p>
    <w:p w14:paraId="68DF6201" w14:textId="0EF017FC" w:rsidR="00570309" w:rsidRPr="00CF77C1" w:rsidRDefault="006D58C5" w:rsidP="000763D5">
      <w:pPr>
        <w:ind w:firstLine="720"/>
        <w:rPr>
          <w:lang w:val="sr-Cyrl-RS"/>
        </w:rPr>
      </w:pPr>
      <w:r w:rsidRPr="00CF77C1">
        <w:rPr>
          <w:lang w:val="sr-Cyrl-RS"/>
        </w:rPr>
        <w:t>Ц</w:t>
      </w:r>
      <w:r w:rsidR="00570309" w:rsidRPr="00CF77C1">
        <w:rPr>
          <w:lang w:val="sr-Cyrl-RS"/>
        </w:rPr>
        <w:t xml:space="preserve">иљне вредности </w:t>
      </w:r>
      <w:r w:rsidRPr="00CF77C1">
        <w:rPr>
          <w:lang w:val="sr-Cyrl-RS"/>
        </w:rPr>
        <w:t xml:space="preserve">индикатора приказане су </w:t>
      </w:r>
      <w:r w:rsidR="00570309" w:rsidRPr="00CF77C1">
        <w:rPr>
          <w:lang w:val="sr-Cyrl-RS"/>
        </w:rPr>
        <w:t xml:space="preserve">у </w:t>
      </w:r>
      <w:r w:rsidR="0092145E" w:rsidRPr="00CF77C1">
        <w:rPr>
          <w:lang w:val="sr-Cyrl-RS"/>
        </w:rPr>
        <w:fldChar w:fldCharType="begin"/>
      </w:r>
      <w:r w:rsidR="00570309" w:rsidRPr="00CF77C1">
        <w:rPr>
          <w:lang w:val="sr-Cyrl-RS"/>
        </w:rPr>
        <w:instrText xml:space="preserve"> REF _Ref468111634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2</w:t>
      </w:r>
      <w:r w:rsidR="0092145E" w:rsidRPr="00CF77C1">
        <w:rPr>
          <w:lang w:val="sr-Cyrl-RS"/>
        </w:rPr>
        <w:fldChar w:fldCharType="end"/>
      </w:r>
      <w:r w:rsidRPr="00CF77C1">
        <w:rPr>
          <w:lang w:val="sr-Cyrl-RS"/>
        </w:rPr>
        <w:t>:</w:t>
      </w:r>
    </w:p>
    <w:p w14:paraId="7674138F" w14:textId="061BB80D" w:rsidR="00945D48" w:rsidRPr="00CF77C1" w:rsidRDefault="00D61BC9" w:rsidP="000763D5">
      <w:pPr>
        <w:pStyle w:val="Caption"/>
        <w:ind w:left="11" w:firstLine="709"/>
        <w:rPr>
          <w:b w:val="0"/>
          <w:lang w:val="sr-Cyrl-RS"/>
        </w:rPr>
      </w:pPr>
      <w:bookmarkStart w:id="19" w:name="_Ref468111634"/>
      <w:r w:rsidRPr="00CF77C1">
        <w:rPr>
          <w:b w:val="0"/>
          <w:lang w:val="sr-Cyrl-RS"/>
        </w:rPr>
        <w:t>таб.</w:t>
      </w:r>
      <w:r w:rsidR="00945D48"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w:t>
      </w:r>
      <w:r w:rsidR="0092145E" w:rsidRPr="00CF77C1">
        <w:rPr>
          <w:b w:val="0"/>
          <w:lang w:val="sr-Cyrl-RS"/>
        </w:rPr>
        <w:fldChar w:fldCharType="end"/>
      </w:r>
      <w:bookmarkEnd w:id="19"/>
      <w:r w:rsidR="00945D48" w:rsidRPr="00CF77C1">
        <w:rPr>
          <w:b w:val="0"/>
          <w:lang w:val="sr-Cyrl-RS"/>
        </w:rPr>
        <w:t>: Индикатори развијености тржишта електричне енергије</w:t>
      </w:r>
    </w:p>
    <w:tbl>
      <w:tblPr>
        <w:tblStyle w:val="TableGrid"/>
        <w:tblW w:w="0" w:type="auto"/>
        <w:tblInd w:w="11" w:type="dxa"/>
        <w:tblLayout w:type="fixed"/>
        <w:tblLook w:val="04A0" w:firstRow="1" w:lastRow="0" w:firstColumn="1" w:lastColumn="0" w:noHBand="0" w:noVBand="1"/>
      </w:tblPr>
      <w:tblGrid>
        <w:gridCol w:w="2791"/>
        <w:gridCol w:w="967"/>
        <w:gridCol w:w="967"/>
        <w:gridCol w:w="967"/>
        <w:gridCol w:w="967"/>
        <w:gridCol w:w="967"/>
        <w:gridCol w:w="967"/>
        <w:gridCol w:w="967"/>
      </w:tblGrid>
      <w:tr w:rsidR="00945D48" w:rsidRPr="00CF77C1" w14:paraId="1795925F" w14:textId="77777777" w:rsidTr="00132D06">
        <w:trPr>
          <w:cantSplit/>
          <w:tblHeader/>
        </w:trPr>
        <w:tc>
          <w:tcPr>
            <w:tcW w:w="2791" w:type="dxa"/>
            <w:vAlign w:val="center"/>
          </w:tcPr>
          <w:p w14:paraId="5E1F4FAE" w14:textId="77777777" w:rsidR="00945D48" w:rsidRPr="00CF77C1" w:rsidRDefault="00945D48" w:rsidP="0080044B">
            <w:pPr>
              <w:keepNext/>
              <w:keepLines/>
              <w:jc w:val="center"/>
              <w:rPr>
                <w:lang w:val="sr-Cyrl-RS"/>
              </w:rPr>
            </w:pPr>
            <w:r w:rsidRPr="00CF77C1">
              <w:rPr>
                <w:lang w:val="sr-Cyrl-RS"/>
              </w:rPr>
              <w:t>Мерљиви циљ</w:t>
            </w:r>
          </w:p>
        </w:tc>
        <w:tc>
          <w:tcPr>
            <w:tcW w:w="967" w:type="dxa"/>
            <w:vAlign w:val="center"/>
          </w:tcPr>
          <w:p w14:paraId="7240B46D" w14:textId="77777777" w:rsidR="00945D48" w:rsidRPr="00CF77C1" w:rsidRDefault="00945D48" w:rsidP="0080044B">
            <w:pPr>
              <w:keepNext/>
              <w:keepLines/>
              <w:jc w:val="center"/>
              <w:rPr>
                <w:lang w:val="sr-Cyrl-RS"/>
              </w:rPr>
            </w:pPr>
            <w:r w:rsidRPr="00CF77C1">
              <w:rPr>
                <w:lang w:val="sr-Cyrl-RS"/>
              </w:rPr>
              <w:t>2017.</w:t>
            </w:r>
          </w:p>
        </w:tc>
        <w:tc>
          <w:tcPr>
            <w:tcW w:w="967" w:type="dxa"/>
            <w:vAlign w:val="center"/>
          </w:tcPr>
          <w:p w14:paraId="3756C138" w14:textId="77777777" w:rsidR="00945D48" w:rsidRPr="00CF77C1" w:rsidRDefault="00945D48" w:rsidP="0080044B">
            <w:pPr>
              <w:keepNext/>
              <w:keepLines/>
              <w:jc w:val="center"/>
              <w:rPr>
                <w:lang w:val="sr-Cyrl-RS"/>
              </w:rPr>
            </w:pPr>
            <w:r w:rsidRPr="00CF77C1">
              <w:rPr>
                <w:lang w:val="sr-Cyrl-RS"/>
              </w:rPr>
              <w:t>2018.</w:t>
            </w:r>
          </w:p>
        </w:tc>
        <w:tc>
          <w:tcPr>
            <w:tcW w:w="967" w:type="dxa"/>
            <w:vAlign w:val="center"/>
          </w:tcPr>
          <w:p w14:paraId="163F527E" w14:textId="77777777" w:rsidR="00945D48" w:rsidRPr="00CF77C1" w:rsidRDefault="00945D48" w:rsidP="0080044B">
            <w:pPr>
              <w:keepNext/>
              <w:keepLines/>
              <w:jc w:val="center"/>
              <w:rPr>
                <w:lang w:val="sr-Cyrl-RS"/>
              </w:rPr>
            </w:pPr>
            <w:r w:rsidRPr="00CF77C1">
              <w:rPr>
                <w:lang w:val="sr-Cyrl-RS"/>
              </w:rPr>
              <w:t>2019.</w:t>
            </w:r>
          </w:p>
        </w:tc>
        <w:tc>
          <w:tcPr>
            <w:tcW w:w="967" w:type="dxa"/>
            <w:vAlign w:val="center"/>
          </w:tcPr>
          <w:p w14:paraId="164C7AC0" w14:textId="77777777" w:rsidR="00945D48" w:rsidRPr="00CF77C1" w:rsidRDefault="00945D48" w:rsidP="0080044B">
            <w:pPr>
              <w:keepNext/>
              <w:keepLines/>
              <w:jc w:val="center"/>
              <w:rPr>
                <w:lang w:val="sr-Cyrl-RS"/>
              </w:rPr>
            </w:pPr>
            <w:r w:rsidRPr="00CF77C1">
              <w:rPr>
                <w:lang w:val="sr-Cyrl-RS"/>
              </w:rPr>
              <w:t>2020.</w:t>
            </w:r>
          </w:p>
        </w:tc>
        <w:tc>
          <w:tcPr>
            <w:tcW w:w="967" w:type="dxa"/>
            <w:vAlign w:val="center"/>
          </w:tcPr>
          <w:p w14:paraId="0F0DDC76" w14:textId="77777777" w:rsidR="00945D48" w:rsidRPr="00CF77C1" w:rsidRDefault="00945D48" w:rsidP="0080044B">
            <w:pPr>
              <w:keepNext/>
              <w:keepLines/>
              <w:jc w:val="center"/>
              <w:rPr>
                <w:lang w:val="sr-Cyrl-RS"/>
              </w:rPr>
            </w:pPr>
            <w:r w:rsidRPr="00CF77C1">
              <w:rPr>
                <w:lang w:val="sr-Cyrl-RS"/>
              </w:rPr>
              <w:t>2021.</w:t>
            </w:r>
          </w:p>
        </w:tc>
        <w:tc>
          <w:tcPr>
            <w:tcW w:w="967" w:type="dxa"/>
            <w:vAlign w:val="center"/>
          </w:tcPr>
          <w:p w14:paraId="21CF6400" w14:textId="77777777" w:rsidR="00945D48" w:rsidRPr="00CF77C1" w:rsidRDefault="00945D48" w:rsidP="0080044B">
            <w:pPr>
              <w:keepNext/>
              <w:keepLines/>
              <w:jc w:val="center"/>
              <w:rPr>
                <w:lang w:val="sr-Cyrl-RS"/>
              </w:rPr>
            </w:pPr>
            <w:r w:rsidRPr="00CF77C1">
              <w:rPr>
                <w:lang w:val="sr-Cyrl-RS"/>
              </w:rPr>
              <w:t>2022.</w:t>
            </w:r>
          </w:p>
        </w:tc>
        <w:tc>
          <w:tcPr>
            <w:tcW w:w="967" w:type="dxa"/>
            <w:vAlign w:val="center"/>
          </w:tcPr>
          <w:p w14:paraId="2C3C1244" w14:textId="77777777" w:rsidR="00945D48" w:rsidRPr="00CF77C1" w:rsidRDefault="00945D48" w:rsidP="0080044B">
            <w:pPr>
              <w:keepNext/>
              <w:keepLines/>
              <w:jc w:val="center"/>
              <w:rPr>
                <w:lang w:val="sr-Cyrl-RS"/>
              </w:rPr>
            </w:pPr>
            <w:r w:rsidRPr="00CF77C1">
              <w:rPr>
                <w:lang w:val="sr-Cyrl-RS"/>
              </w:rPr>
              <w:t>2023.</w:t>
            </w:r>
          </w:p>
        </w:tc>
      </w:tr>
      <w:tr w:rsidR="00945D48" w:rsidRPr="00CF77C1" w14:paraId="2B9FE2F6" w14:textId="77777777" w:rsidTr="00132D06">
        <w:trPr>
          <w:cantSplit/>
        </w:trPr>
        <w:tc>
          <w:tcPr>
            <w:tcW w:w="2791" w:type="dxa"/>
            <w:vAlign w:val="center"/>
          </w:tcPr>
          <w:p w14:paraId="256EBFC2" w14:textId="77777777" w:rsidR="00945D48" w:rsidRPr="00CF77C1" w:rsidRDefault="00570309" w:rsidP="0080044B">
            <w:pPr>
              <w:jc w:val="left"/>
              <w:rPr>
                <w:lang w:val="sr-Cyrl-RS"/>
              </w:rPr>
            </w:pPr>
            <w:r w:rsidRPr="00CF77C1">
              <w:rPr>
                <w:lang w:val="sr-Cyrl-RS"/>
              </w:rPr>
              <w:t>Максимално у</w:t>
            </w:r>
            <w:r w:rsidR="00945D48" w:rsidRPr="00CF77C1">
              <w:rPr>
                <w:lang w:val="sr-Cyrl-RS"/>
              </w:rPr>
              <w:t>чешће три снабдевача</w:t>
            </w:r>
            <w:r w:rsidR="00680D6E" w:rsidRPr="00CF77C1">
              <w:rPr>
                <w:lang w:val="sr-Cyrl-RS"/>
              </w:rPr>
              <w:t xml:space="preserve"> на </w:t>
            </w:r>
            <w:r w:rsidRPr="00CF77C1">
              <w:rPr>
                <w:lang w:val="sr-Cyrl-RS"/>
              </w:rPr>
              <w:t>велепродајном тржишту</w:t>
            </w:r>
            <w:r w:rsidR="00945D48" w:rsidRPr="00CF77C1">
              <w:rPr>
                <w:lang w:val="sr-Cyrl-RS"/>
              </w:rPr>
              <w:t xml:space="preserve"> са највећим обимом трговине (%)</w:t>
            </w:r>
          </w:p>
        </w:tc>
        <w:tc>
          <w:tcPr>
            <w:tcW w:w="967" w:type="dxa"/>
            <w:vAlign w:val="center"/>
          </w:tcPr>
          <w:p w14:paraId="24BF2967" w14:textId="77777777" w:rsidR="00945D48" w:rsidRPr="00CF77C1" w:rsidRDefault="00945D48" w:rsidP="0080044B">
            <w:pPr>
              <w:jc w:val="center"/>
              <w:rPr>
                <w:lang w:val="sr-Cyrl-RS"/>
              </w:rPr>
            </w:pPr>
            <w:r w:rsidRPr="00CF77C1">
              <w:rPr>
                <w:lang w:val="sr-Cyrl-RS"/>
              </w:rPr>
              <w:t>≤50</w:t>
            </w:r>
          </w:p>
        </w:tc>
        <w:tc>
          <w:tcPr>
            <w:tcW w:w="967" w:type="dxa"/>
            <w:vAlign w:val="center"/>
          </w:tcPr>
          <w:p w14:paraId="54A42989" w14:textId="77777777" w:rsidR="00945D48" w:rsidRPr="00CF77C1" w:rsidRDefault="00945D48" w:rsidP="0080044B">
            <w:pPr>
              <w:jc w:val="center"/>
              <w:rPr>
                <w:lang w:val="sr-Cyrl-RS"/>
              </w:rPr>
            </w:pPr>
            <w:r w:rsidRPr="00CF77C1">
              <w:rPr>
                <w:lang w:val="sr-Cyrl-RS"/>
              </w:rPr>
              <w:t>≤50</w:t>
            </w:r>
          </w:p>
        </w:tc>
        <w:tc>
          <w:tcPr>
            <w:tcW w:w="967" w:type="dxa"/>
            <w:vAlign w:val="center"/>
          </w:tcPr>
          <w:p w14:paraId="38DA53CC" w14:textId="77777777" w:rsidR="00945D48" w:rsidRPr="00CF77C1" w:rsidRDefault="00945D48" w:rsidP="0080044B">
            <w:pPr>
              <w:jc w:val="center"/>
              <w:rPr>
                <w:lang w:val="sr-Cyrl-RS"/>
              </w:rPr>
            </w:pPr>
            <w:r w:rsidRPr="00CF77C1">
              <w:rPr>
                <w:lang w:val="sr-Cyrl-RS"/>
              </w:rPr>
              <w:t>≤45</w:t>
            </w:r>
          </w:p>
        </w:tc>
        <w:tc>
          <w:tcPr>
            <w:tcW w:w="967" w:type="dxa"/>
            <w:vAlign w:val="center"/>
          </w:tcPr>
          <w:p w14:paraId="2ACD8995" w14:textId="77777777" w:rsidR="00945D48" w:rsidRPr="00CF77C1" w:rsidRDefault="00945D48" w:rsidP="0080044B">
            <w:pPr>
              <w:jc w:val="center"/>
              <w:rPr>
                <w:lang w:val="sr-Cyrl-RS"/>
              </w:rPr>
            </w:pPr>
            <w:r w:rsidRPr="00CF77C1">
              <w:rPr>
                <w:lang w:val="sr-Cyrl-RS"/>
              </w:rPr>
              <w:t>≤45</w:t>
            </w:r>
          </w:p>
        </w:tc>
        <w:tc>
          <w:tcPr>
            <w:tcW w:w="967" w:type="dxa"/>
            <w:vAlign w:val="center"/>
          </w:tcPr>
          <w:p w14:paraId="2A23F61E" w14:textId="77777777" w:rsidR="00945D48" w:rsidRPr="00CF77C1" w:rsidRDefault="00945D48" w:rsidP="0080044B">
            <w:pPr>
              <w:jc w:val="center"/>
              <w:rPr>
                <w:lang w:val="sr-Cyrl-RS"/>
              </w:rPr>
            </w:pPr>
            <w:r w:rsidRPr="00CF77C1">
              <w:rPr>
                <w:lang w:val="sr-Cyrl-RS"/>
              </w:rPr>
              <w:t>≤45</w:t>
            </w:r>
          </w:p>
        </w:tc>
        <w:tc>
          <w:tcPr>
            <w:tcW w:w="967" w:type="dxa"/>
            <w:vAlign w:val="center"/>
          </w:tcPr>
          <w:p w14:paraId="40A5A056" w14:textId="77777777" w:rsidR="00945D48" w:rsidRPr="00CF77C1" w:rsidRDefault="00945D48" w:rsidP="0080044B">
            <w:pPr>
              <w:jc w:val="center"/>
              <w:rPr>
                <w:lang w:val="sr-Cyrl-RS"/>
              </w:rPr>
            </w:pPr>
            <w:r w:rsidRPr="00CF77C1">
              <w:rPr>
                <w:lang w:val="sr-Cyrl-RS"/>
              </w:rPr>
              <w:t>≤40</w:t>
            </w:r>
          </w:p>
        </w:tc>
        <w:tc>
          <w:tcPr>
            <w:tcW w:w="967" w:type="dxa"/>
            <w:vAlign w:val="center"/>
          </w:tcPr>
          <w:p w14:paraId="2D04C900" w14:textId="77777777" w:rsidR="00945D48" w:rsidRPr="00CF77C1" w:rsidRDefault="00945D48" w:rsidP="0080044B">
            <w:pPr>
              <w:jc w:val="center"/>
              <w:rPr>
                <w:lang w:val="sr-Cyrl-RS"/>
              </w:rPr>
            </w:pPr>
            <w:r w:rsidRPr="00CF77C1">
              <w:rPr>
                <w:lang w:val="sr-Cyrl-RS"/>
              </w:rPr>
              <w:t>≤40</w:t>
            </w:r>
          </w:p>
        </w:tc>
      </w:tr>
      <w:tr w:rsidR="00DC752A" w:rsidRPr="00CF77C1" w14:paraId="1884208E" w14:textId="77777777" w:rsidTr="000A4FD5">
        <w:trPr>
          <w:cantSplit/>
        </w:trPr>
        <w:tc>
          <w:tcPr>
            <w:tcW w:w="2791" w:type="dxa"/>
            <w:vAlign w:val="center"/>
          </w:tcPr>
          <w:p w14:paraId="5CE523CC" w14:textId="52B4BDCE" w:rsidR="00DC752A" w:rsidRPr="00CF77C1" w:rsidRDefault="00DC752A" w:rsidP="00DC752A">
            <w:pPr>
              <w:jc w:val="left"/>
              <w:rPr>
                <w:lang w:val="sr-Cyrl-RS"/>
              </w:rPr>
            </w:pPr>
            <w:r w:rsidRPr="00CF77C1">
              <w:rPr>
                <w:lang w:val="sr-Cyrl-RS"/>
              </w:rPr>
              <w:t xml:space="preserve">Ниво концентрисаности </w:t>
            </w:r>
            <w:r w:rsidR="00AB7B01" w:rsidRPr="00CF77C1">
              <w:rPr>
                <w:lang w:val="sr-Cyrl-RS"/>
              </w:rPr>
              <w:t xml:space="preserve">велепродајног </w:t>
            </w:r>
            <w:r w:rsidRPr="00CF77C1">
              <w:rPr>
                <w:lang w:val="sr-Cyrl-RS"/>
              </w:rPr>
              <w:t>тржишта</w:t>
            </w:r>
          </w:p>
        </w:tc>
        <w:tc>
          <w:tcPr>
            <w:tcW w:w="967" w:type="dxa"/>
            <w:vAlign w:val="center"/>
          </w:tcPr>
          <w:p w14:paraId="5D9B4317" w14:textId="77777777" w:rsidR="00DC752A" w:rsidRPr="00CF77C1" w:rsidRDefault="00DC752A" w:rsidP="000A4FD5">
            <w:pPr>
              <w:jc w:val="center"/>
              <w:rPr>
                <w:sz w:val="20"/>
                <w:lang w:val="sr-Cyrl-RS"/>
              </w:rPr>
            </w:pPr>
            <w:r w:rsidRPr="00CF77C1">
              <w:rPr>
                <w:sz w:val="20"/>
                <w:lang w:val="sr-Cyrl-RS"/>
              </w:rPr>
              <w:t>умерено висок</w:t>
            </w:r>
          </w:p>
        </w:tc>
        <w:tc>
          <w:tcPr>
            <w:tcW w:w="967" w:type="dxa"/>
            <w:vAlign w:val="center"/>
          </w:tcPr>
          <w:p w14:paraId="2869BE78" w14:textId="77777777" w:rsidR="00DC752A" w:rsidRPr="00CF77C1" w:rsidRDefault="00DC752A" w:rsidP="000A4FD5">
            <w:pPr>
              <w:jc w:val="center"/>
              <w:rPr>
                <w:sz w:val="20"/>
                <w:lang w:val="sr-Cyrl-RS"/>
              </w:rPr>
            </w:pPr>
            <w:r w:rsidRPr="00CF77C1">
              <w:rPr>
                <w:sz w:val="20"/>
                <w:lang w:val="sr-Cyrl-RS"/>
              </w:rPr>
              <w:t>умерено висок</w:t>
            </w:r>
          </w:p>
        </w:tc>
        <w:tc>
          <w:tcPr>
            <w:tcW w:w="967" w:type="dxa"/>
            <w:vAlign w:val="center"/>
          </w:tcPr>
          <w:p w14:paraId="7BBCD7C2" w14:textId="77777777" w:rsidR="00DC752A" w:rsidRPr="00CF77C1" w:rsidRDefault="00DC752A" w:rsidP="000A4FD5">
            <w:pPr>
              <w:jc w:val="center"/>
              <w:rPr>
                <w:sz w:val="20"/>
                <w:lang w:val="sr-Cyrl-RS"/>
              </w:rPr>
            </w:pPr>
            <w:r w:rsidRPr="00CF77C1">
              <w:rPr>
                <w:sz w:val="20"/>
                <w:lang w:val="sr-Cyrl-RS"/>
              </w:rPr>
              <w:t>средњи</w:t>
            </w:r>
          </w:p>
        </w:tc>
        <w:tc>
          <w:tcPr>
            <w:tcW w:w="967" w:type="dxa"/>
            <w:vAlign w:val="center"/>
          </w:tcPr>
          <w:p w14:paraId="16AE2956" w14:textId="77777777" w:rsidR="00DC752A" w:rsidRPr="00CF77C1" w:rsidRDefault="00DC752A" w:rsidP="000A4FD5">
            <w:pPr>
              <w:jc w:val="center"/>
              <w:rPr>
                <w:sz w:val="20"/>
                <w:lang w:val="sr-Cyrl-RS"/>
              </w:rPr>
            </w:pPr>
            <w:r w:rsidRPr="00CF77C1">
              <w:rPr>
                <w:sz w:val="20"/>
                <w:lang w:val="sr-Cyrl-RS"/>
              </w:rPr>
              <w:t>средњи</w:t>
            </w:r>
          </w:p>
        </w:tc>
        <w:tc>
          <w:tcPr>
            <w:tcW w:w="967" w:type="dxa"/>
            <w:vAlign w:val="center"/>
          </w:tcPr>
          <w:p w14:paraId="32748576" w14:textId="77777777" w:rsidR="00DC752A" w:rsidRPr="00CF77C1" w:rsidRDefault="00DC752A" w:rsidP="000A4FD5">
            <w:pPr>
              <w:jc w:val="center"/>
              <w:rPr>
                <w:sz w:val="20"/>
                <w:lang w:val="sr-Cyrl-RS"/>
              </w:rPr>
            </w:pPr>
            <w:r w:rsidRPr="00CF77C1">
              <w:rPr>
                <w:sz w:val="20"/>
                <w:lang w:val="sr-Cyrl-RS"/>
              </w:rPr>
              <w:t>средњи</w:t>
            </w:r>
          </w:p>
        </w:tc>
        <w:tc>
          <w:tcPr>
            <w:tcW w:w="967" w:type="dxa"/>
            <w:vAlign w:val="center"/>
          </w:tcPr>
          <w:p w14:paraId="3B30C2B4" w14:textId="77777777" w:rsidR="00DC752A" w:rsidRPr="00CF77C1" w:rsidRDefault="00DC752A" w:rsidP="000A4FD5">
            <w:pPr>
              <w:jc w:val="center"/>
              <w:rPr>
                <w:sz w:val="20"/>
                <w:lang w:val="sr-Cyrl-RS"/>
              </w:rPr>
            </w:pPr>
            <w:r w:rsidRPr="00CF77C1">
              <w:rPr>
                <w:sz w:val="20"/>
                <w:lang w:val="sr-Cyrl-RS"/>
              </w:rPr>
              <w:t>низак</w:t>
            </w:r>
          </w:p>
        </w:tc>
        <w:tc>
          <w:tcPr>
            <w:tcW w:w="967" w:type="dxa"/>
            <w:vAlign w:val="center"/>
          </w:tcPr>
          <w:p w14:paraId="58AA4E21" w14:textId="77777777" w:rsidR="00DC752A" w:rsidRPr="00CF77C1" w:rsidRDefault="00DC752A" w:rsidP="000A4FD5">
            <w:pPr>
              <w:jc w:val="center"/>
              <w:rPr>
                <w:sz w:val="20"/>
                <w:lang w:val="sr-Cyrl-RS"/>
              </w:rPr>
            </w:pPr>
            <w:r w:rsidRPr="00CF77C1">
              <w:rPr>
                <w:sz w:val="20"/>
                <w:lang w:val="sr-Cyrl-RS"/>
              </w:rPr>
              <w:t>низак</w:t>
            </w:r>
          </w:p>
        </w:tc>
      </w:tr>
      <w:tr w:rsidR="00945D48" w:rsidRPr="00CF77C1" w14:paraId="32800A02" w14:textId="77777777" w:rsidTr="00132D06">
        <w:trPr>
          <w:cantSplit/>
        </w:trPr>
        <w:tc>
          <w:tcPr>
            <w:tcW w:w="2791" w:type="dxa"/>
            <w:vAlign w:val="center"/>
          </w:tcPr>
          <w:p w14:paraId="2FD2C8AA" w14:textId="77777777" w:rsidR="00945D48" w:rsidRPr="00CF77C1" w:rsidRDefault="00945D48" w:rsidP="0080044B">
            <w:pPr>
              <w:jc w:val="left"/>
              <w:rPr>
                <w:lang w:val="sr-Cyrl-RS"/>
              </w:rPr>
            </w:pPr>
            <w:r w:rsidRPr="00CF77C1">
              <w:rPr>
                <w:lang w:val="sr-Cyrl-RS"/>
              </w:rPr>
              <w:t xml:space="preserve">Број </w:t>
            </w:r>
            <w:r w:rsidR="00570309" w:rsidRPr="00CF77C1">
              <w:rPr>
                <w:lang w:val="sr-Cyrl-RS"/>
              </w:rPr>
              <w:t>активних снабдевача</w:t>
            </w:r>
            <w:r w:rsidR="00680D6E" w:rsidRPr="00CF77C1">
              <w:rPr>
                <w:lang w:val="sr-Cyrl-RS"/>
              </w:rPr>
              <w:t xml:space="preserve"> на </w:t>
            </w:r>
            <w:r w:rsidR="00570309" w:rsidRPr="00CF77C1">
              <w:rPr>
                <w:lang w:val="sr-Cyrl-RS"/>
              </w:rPr>
              <w:t>велепродајном тржишту електричне</w:t>
            </w:r>
            <w:r w:rsidR="00680D6E" w:rsidRPr="00CF77C1">
              <w:rPr>
                <w:lang w:val="sr-Cyrl-RS"/>
              </w:rPr>
              <w:t xml:space="preserve"> енергиј</w:t>
            </w:r>
            <w:r w:rsidR="00570309" w:rsidRPr="00CF77C1">
              <w:rPr>
                <w:lang w:val="sr-Cyrl-RS"/>
              </w:rPr>
              <w:t>е</w:t>
            </w:r>
          </w:p>
        </w:tc>
        <w:tc>
          <w:tcPr>
            <w:tcW w:w="967" w:type="dxa"/>
            <w:vAlign w:val="center"/>
          </w:tcPr>
          <w:p w14:paraId="4468FEAB" w14:textId="77777777" w:rsidR="00945D48" w:rsidRPr="00CF77C1" w:rsidRDefault="00570309" w:rsidP="0080044B">
            <w:pPr>
              <w:jc w:val="center"/>
              <w:rPr>
                <w:lang w:val="sr-Cyrl-RS"/>
              </w:rPr>
            </w:pPr>
            <w:r w:rsidRPr="00CF77C1">
              <w:rPr>
                <w:lang w:val="sr-Cyrl-RS"/>
              </w:rPr>
              <w:t>&gt;</w:t>
            </w:r>
            <w:r w:rsidR="00680D6E" w:rsidRPr="00CF77C1">
              <w:rPr>
                <w:lang w:val="sr-Cyrl-RS"/>
              </w:rPr>
              <w:t>40</w:t>
            </w:r>
          </w:p>
        </w:tc>
        <w:tc>
          <w:tcPr>
            <w:tcW w:w="967" w:type="dxa"/>
            <w:vAlign w:val="center"/>
          </w:tcPr>
          <w:p w14:paraId="0AFEC8F4" w14:textId="77777777" w:rsidR="00945D48" w:rsidRPr="00CF77C1" w:rsidRDefault="00570309" w:rsidP="0080044B">
            <w:pPr>
              <w:jc w:val="center"/>
              <w:rPr>
                <w:lang w:val="sr-Cyrl-RS"/>
              </w:rPr>
            </w:pPr>
            <w:r w:rsidRPr="00CF77C1">
              <w:rPr>
                <w:lang w:val="sr-Cyrl-RS"/>
              </w:rPr>
              <w:t>&gt;40</w:t>
            </w:r>
          </w:p>
        </w:tc>
        <w:tc>
          <w:tcPr>
            <w:tcW w:w="967" w:type="dxa"/>
            <w:vAlign w:val="center"/>
          </w:tcPr>
          <w:p w14:paraId="6B700285" w14:textId="77777777" w:rsidR="00945D48" w:rsidRPr="00CF77C1" w:rsidRDefault="00570309" w:rsidP="0080044B">
            <w:pPr>
              <w:jc w:val="center"/>
              <w:rPr>
                <w:lang w:val="sr-Cyrl-RS"/>
              </w:rPr>
            </w:pPr>
            <w:r w:rsidRPr="00CF77C1">
              <w:rPr>
                <w:lang w:val="sr-Cyrl-RS"/>
              </w:rPr>
              <w:t>&gt;40</w:t>
            </w:r>
          </w:p>
        </w:tc>
        <w:tc>
          <w:tcPr>
            <w:tcW w:w="967" w:type="dxa"/>
            <w:vAlign w:val="center"/>
          </w:tcPr>
          <w:p w14:paraId="431D85E7" w14:textId="77777777" w:rsidR="00945D48" w:rsidRPr="00CF77C1" w:rsidRDefault="00570309" w:rsidP="0080044B">
            <w:pPr>
              <w:jc w:val="center"/>
              <w:rPr>
                <w:lang w:val="sr-Cyrl-RS"/>
              </w:rPr>
            </w:pPr>
            <w:r w:rsidRPr="00CF77C1">
              <w:rPr>
                <w:lang w:val="sr-Cyrl-RS"/>
              </w:rPr>
              <w:t>&gt;40</w:t>
            </w:r>
          </w:p>
        </w:tc>
        <w:tc>
          <w:tcPr>
            <w:tcW w:w="967" w:type="dxa"/>
            <w:vAlign w:val="center"/>
          </w:tcPr>
          <w:p w14:paraId="5EA6C3CF" w14:textId="77777777" w:rsidR="00945D48" w:rsidRPr="00CF77C1" w:rsidRDefault="00570309" w:rsidP="0080044B">
            <w:pPr>
              <w:jc w:val="center"/>
              <w:rPr>
                <w:lang w:val="sr-Cyrl-RS"/>
              </w:rPr>
            </w:pPr>
            <w:r w:rsidRPr="00CF77C1">
              <w:rPr>
                <w:lang w:val="sr-Cyrl-RS"/>
              </w:rPr>
              <w:t>&gt;40</w:t>
            </w:r>
          </w:p>
        </w:tc>
        <w:tc>
          <w:tcPr>
            <w:tcW w:w="967" w:type="dxa"/>
            <w:vAlign w:val="center"/>
          </w:tcPr>
          <w:p w14:paraId="3EB2D4AF" w14:textId="77777777" w:rsidR="00945D48" w:rsidRPr="00CF77C1" w:rsidRDefault="00570309" w:rsidP="0080044B">
            <w:pPr>
              <w:jc w:val="center"/>
              <w:rPr>
                <w:lang w:val="sr-Cyrl-RS"/>
              </w:rPr>
            </w:pPr>
            <w:r w:rsidRPr="00CF77C1">
              <w:rPr>
                <w:lang w:val="sr-Cyrl-RS"/>
              </w:rPr>
              <w:t>&gt;40</w:t>
            </w:r>
          </w:p>
        </w:tc>
        <w:tc>
          <w:tcPr>
            <w:tcW w:w="967" w:type="dxa"/>
            <w:vAlign w:val="center"/>
          </w:tcPr>
          <w:p w14:paraId="6D961A68" w14:textId="77777777" w:rsidR="00945D48" w:rsidRPr="00CF77C1" w:rsidRDefault="00570309" w:rsidP="0080044B">
            <w:pPr>
              <w:jc w:val="center"/>
              <w:rPr>
                <w:lang w:val="sr-Cyrl-RS"/>
              </w:rPr>
            </w:pPr>
            <w:r w:rsidRPr="00CF77C1">
              <w:rPr>
                <w:lang w:val="sr-Cyrl-RS"/>
              </w:rPr>
              <w:t>&gt;40</w:t>
            </w:r>
          </w:p>
        </w:tc>
      </w:tr>
      <w:tr w:rsidR="00680D6E" w:rsidRPr="00CF77C1" w14:paraId="48876633" w14:textId="77777777" w:rsidTr="00132D06">
        <w:trPr>
          <w:cantSplit/>
        </w:trPr>
        <w:tc>
          <w:tcPr>
            <w:tcW w:w="2791" w:type="dxa"/>
            <w:vAlign w:val="center"/>
          </w:tcPr>
          <w:p w14:paraId="750CBCE0" w14:textId="77777777" w:rsidR="00680D6E" w:rsidRPr="00CF77C1" w:rsidRDefault="00680D6E" w:rsidP="0080044B">
            <w:pPr>
              <w:jc w:val="left"/>
              <w:rPr>
                <w:lang w:val="sr-Cyrl-RS"/>
              </w:rPr>
            </w:pPr>
            <w:r w:rsidRPr="00CF77C1">
              <w:rPr>
                <w:lang w:val="sr-Cyrl-RS"/>
              </w:rPr>
              <w:t xml:space="preserve">Број </w:t>
            </w:r>
            <w:r w:rsidR="00570309" w:rsidRPr="00CF77C1">
              <w:rPr>
                <w:lang w:val="sr-Cyrl-RS"/>
              </w:rPr>
              <w:t xml:space="preserve">активних </w:t>
            </w:r>
            <w:r w:rsidRPr="00CF77C1">
              <w:rPr>
                <w:lang w:val="sr-Cyrl-RS"/>
              </w:rPr>
              <w:t>снабдевача електричном енергијом</w:t>
            </w:r>
            <w:r w:rsidR="00570309" w:rsidRPr="00CF77C1">
              <w:rPr>
                <w:lang w:val="sr-Cyrl-RS"/>
              </w:rPr>
              <w:t xml:space="preserve"> на малопродајном тржишту</w:t>
            </w:r>
          </w:p>
        </w:tc>
        <w:tc>
          <w:tcPr>
            <w:tcW w:w="967" w:type="dxa"/>
            <w:vAlign w:val="center"/>
          </w:tcPr>
          <w:p w14:paraId="04B6C887" w14:textId="77777777" w:rsidR="00680D6E" w:rsidRPr="00CF77C1" w:rsidRDefault="00680D6E" w:rsidP="0080044B">
            <w:pPr>
              <w:jc w:val="center"/>
              <w:rPr>
                <w:lang w:val="sr-Cyrl-RS"/>
              </w:rPr>
            </w:pPr>
            <w:r w:rsidRPr="00CF77C1">
              <w:rPr>
                <w:lang w:val="sr-Cyrl-RS"/>
              </w:rPr>
              <w:t>&gt;10</w:t>
            </w:r>
          </w:p>
        </w:tc>
        <w:tc>
          <w:tcPr>
            <w:tcW w:w="967" w:type="dxa"/>
            <w:vAlign w:val="center"/>
          </w:tcPr>
          <w:p w14:paraId="73378CED" w14:textId="77777777" w:rsidR="00680D6E" w:rsidRPr="00CF77C1" w:rsidRDefault="00680D6E" w:rsidP="0080044B">
            <w:pPr>
              <w:jc w:val="center"/>
              <w:rPr>
                <w:lang w:val="sr-Cyrl-RS"/>
              </w:rPr>
            </w:pPr>
            <w:r w:rsidRPr="00CF77C1">
              <w:rPr>
                <w:lang w:val="sr-Cyrl-RS"/>
              </w:rPr>
              <w:t>&gt;10</w:t>
            </w:r>
          </w:p>
        </w:tc>
        <w:tc>
          <w:tcPr>
            <w:tcW w:w="967" w:type="dxa"/>
            <w:vAlign w:val="center"/>
          </w:tcPr>
          <w:p w14:paraId="35264E8B" w14:textId="77777777" w:rsidR="00680D6E" w:rsidRPr="00CF77C1" w:rsidRDefault="00680D6E" w:rsidP="0080044B">
            <w:pPr>
              <w:jc w:val="center"/>
              <w:rPr>
                <w:lang w:val="sr-Cyrl-RS"/>
              </w:rPr>
            </w:pPr>
            <w:r w:rsidRPr="00CF77C1">
              <w:rPr>
                <w:lang w:val="sr-Cyrl-RS"/>
              </w:rPr>
              <w:t>&gt;10</w:t>
            </w:r>
          </w:p>
        </w:tc>
        <w:tc>
          <w:tcPr>
            <w:tcW w:w="967" w:type="dxa"/>
            <w:vAlign w:val="center"/>
          </w:tcPr>
          <w:p w14:paraId="199FFA72" w14:textId="77777777" w:rsidR="00680D6E" w:rsidRPr="00CF77C1" w:rsidRDefault="00680D6E" w:rsidP="0080044B">
            <w:pPr>
              <w:jc w:val="center"/>
              <w:rPr>
                <w:lang w:val="sr-Cyrl-RS"/>
              </w:rPr>
            </w:pPr>
            <w:r w:rsidRPr="00CF77C1">
              <w:rPr>
                <w:lang w:val="sr-Cyrl-RS"/>
              </w:rPr>
              <w:t>&gt;10</w:t>
            </w:r>
          </w:p>
        </w:tc>
        <w:tc>
          <w:tcPr>
            <w:tcW w:w="967" w:type="dxa"/>
            <w:vAlign w:val="center"/>
          </w:tcPr>
          <w:p w14:paraId="2957B9FD" w14:textId="77777777" w:rsidR="00680D6E" w:rsidRPr="00CF77C1" w:rsidRDefault="00680D6E" w:rsidP="0080044B">
            <w:pPr>
              <w:jc w:val="center"/>
              <w:rPr>
                <w:lang w:val="sr-Cyrl-RS"/>
              </w:rPr>
            </w:pPr>
            <w:r w:rsidRPr="00CF77C1">
              <w:rPr>
                <w:lang w:val="sr-Cyrl-RS"/>
              </w:rPr>
              <w:t>&gt;10</w:t>
            </w:r>
          </w:p>
        </w:tc>
        <w:tc>
          <w:tcPr>
            <w:tcW w:w="967" w:type="dxa"/>
            <w:vAlign w:val="center"/>
          </w:tcPr>
          <w:p w14:paraId="2586D8D5" w14:textId="77777777" w:rsidR="00680D6E" w:rsidRPr="00CF77C1" w:rsidRDefault="00680D6E" w:rsidP="0080044B">
            <w:pPr>
              <w:jc w:val="center"/>
              <w:rPr>
                <w:lang w:val="sr-Cyrl-RS"/>
              </w:rPr>
            </w:pPr>
            <w:r w:rsidRPr="00CF77C1">
              <w:rPr>
                <w:lang w:val="sr-Cyrl-RS"/>
              </w:rPr>
              <w:t>&gt;10</w:t>
            </w:r>
          </w:p>
        </w:tc>
        <w:tc>
          <w:tcPr>
            <w:tcW w:w="967" w:type="dxa"/>
            <w:vAlign w:val="center"/>
          </w:tcPr>
          <w:p w14:paraId="41392684" w14:textId="77777777" w:rsidR="00680D6E" w:rsidRPr="00CF77C1" w:rsidRDefault="00680D6E" w:rsidP="0080044B">
            <w:pPr>
              <w:jc w:val="center"/>
              <w:rPr>
                <w:lang w:val="sr-Cyrl-RS"/>
              </w:rPr>
            </w:pPr>
            <w:r w:rsidRPr="00CF77C1">
              <w:rPr>
                <w:lang w:val="sr-Cyrl-RS"/>
              </w:rPr>
              <w:t>&gt;10</w:t>
            </w:r>
          </w:p>
        </w:tc>
      </w:tr>
      <w:tr w:rsidR="000908F5" w:rsidRPr="00CF77C1" w14:paraId="63E1CC6D" w14:textId="77777777" w:rsidTr="000908F5">
        <w:trPr>
          <w:cantSplit/>
        </w:trPr>
        <w:tc>
          <w:tcPr>
            <w:tcW w:w="2791" w:type="dxa"/>
            <w:vAlign w:val="center"/>
          </w:tcPr>
          <w:p w14:paraId="0D68A0FA" w14:textId="77777777" w:rsidR="000908F5" w:rsidRPr="00CF77C1" w:rsidRDefault="000908F5" w:rsidP="0080044B">
            <w:pPr>
              <w:jc w:val="left"/>
              <w:rPr>
                <w:lang w:val="sr-Cyrl-RS"/>
              </w:rPr>
            </w:pPr>
            <w:r w:rsidRPr="00CF77C1">
              <w:rPr>
                <w:lang w:val="sr-Cyrl-RS"/>
              </w:rPr>
              <w:t xml:space="preserve">Однос годишње енергије којом се тргује на берзи </w:t>
            </w:r>
            <w:r w:rsidR="005934B3" w:rsidRPr="00CF77C1">
              <w:rPr>
                <w:lang w:val="sr-Cyrl-RS"/>
              </w:rPr>
              <w:t>и укупне годишње потрошње</w:t>
            </w:r>
            <w:r w:rsidRPr="00CF77C1">
              <w:rPr>
                <w:lang w:val="sr-Cyrl-RS"/>
              </w:rPr>
              <w:t xml:space="preserve"> електричне енергије у Србији</w:t>
            </w:r>
          </w:p>
        </w:tc>
        <w:tc>
          <w:tcPr>
            <w:tcW w:w="967" w:type="dxa"/>
            <w:vAlign w:val="center"/>
          </w:tcPr>
          <w:p w14:paraId="01F44043" w14:textId="20E50313" w:rsidR="000908F5" w:rsidRPr="00CF77C1" w:rsidRDefault="000908F5" w:rsidP="004E5D7C">
            <w:pPr>
              <w:jc w:val="center"/>
              <w:rPr>
                <w:lang w:val="sr-Cyrl-RS"/>
              </w:rPr>
            </w:pPr>
            <w:r w:rsidRPr="00CF77C1">
              <w:rPr>
                <w:lang w:val="sr-Cyrl-RS"/>
              </w:rPr>
              <w:t>&gt;</w:t>
            </w:r>
            <w:r w:rsidR="004E5D7C" w:rsidRPr="00CF77C1">
              <w:rPr>
                <w:lang w:val="sr-Cyrl-RS"/>
              </w:rPr>
              <w:t>2</w:t>
            </w:r>
            <w:r w:rsidRPr="00CF77C1">
              <w:rPr>
                <w:lang w:val="sr-Cyrl-RS"/>
              </w:rPr>
              <w:t>%</w:t>
            </w:r>
          </w:p>
        </w:tc>
        <w:tc>
          <w:tcPr>
            <w:tcW w:w="967" w:type="dxa"/>
            <w:vAlign w:val="center"/>
          </w:tcPr>
          <w:p w14:paraId="1251E89D" w14:textId="67805901" w:rsidR="000908F5" w:rsidRPr="00CF77C1" w:rsidRDefault="000908F5" w:rsidP="004E5D7C">
            <w:pPr>
              <w:jc w:val="center"/>
              <w:rPr>
                <w:lang w:val="sr-Cyrl-RS"/>
              </w:rPr>
            </w:pPr>
            <w:r w:rsidRPr="00CF77C1">
              <w:rPr>
                <w:lang w:val="sr-Cyrl-RS"/>
              </w:rPr>
              <w:t>&gt;</w:t>
            </w:r>
            <w:r w:rsidR="004E5D7C" w:rsidRPr="00CF77C1">
              <w:rPr>
                <w:lang w:val="sr-Cyrl-RS"/>
              </w:rPr>
              <w:t>4</w:t>
            </w:r>
            <w:r w:rsidRPr="00CF77C1">
              <w:rPr>
                <w:lang w:val="sr-Cyrl-RS"/>
              </w:rPr>
              <w:t>%</w:t>
            </w:r>
          </w:p>
        </w:tc>
        <w:tc>
          <w:tcPr>
            <w:tcW w:w="967" w:type="dxa"/>
            <w:vAlign w:val="center"/>
          </w:tcPr>
          <w:p w14:paraId="6B559132" w14:textId="4D700DB6" w:rsidR="000908F5" w:rsidRPr="00CF77C1" w:rsidRDefault="000908F5" w:rsidP="004E5D7C">
            <w:pPr>
              <w:jc w:val="center"/>
              <w:rPr>
                <w:lang w:val="sr-Cyrl-RS"/>
              </w:rPr>
            </w:pPr>
            <w:r w:rsidRPr="00CF77C1">
              <w:rPr>
                <w:lang w:val="sr-Cyrl-RS"/>
              </w:rPr>
              <w:t>&gt;</w:t>
            </w:r>
            <w:r w:rsidR="004E5D7C" w:rsidRPr="00CF77C1">
              <w:rPr>
                <w:lang w:val="sr-Cyrl-RS"/>
              </w:rPr>
              <w:t>6</w:t>
            </w:r>
            <w:r w:rsidRPr="00CF77C1">
              <w:rPr>
                <w:lang w:val="sr-Cyrl-RS"/>
              </w:rPr>
              <w:t>%</w:t>
            </w:r>
          </w:p>
        </w:tc>
        <w:tc>
          <w:tcPr>
            <w:tcW w:w="967" w:type="dxa"/>
            <w:vAlign w:val="center"/>
          </w:tcPr>
          <w:p w14:paraId="4CB02AEB" w14:textId="77777777" w:rsidR="000908F5" w:rsidRPr="00CF77C1" w:rsidRDefault="000908F5" w:rsidP="0080044B">
            <w:pPr>
              <w:jc w:val="center"/>
              <w:rPr>
                <w:lang w:val="sr-Cyrl-RS"/>
              </w:rPr>
            </w:pPr>
            <w:r w:rsidRPr="00CF77C1">
              <w:rPr>
                <w:lang w:val="sr-Cyrl-RS"/>
              </w:rPr>
              <w:t>&gt;8%</w:t>
            </w:r>
          </w:p>
        </w:tc>
        <w:tc>
          <w:tcPr>
            <w:tcW w:w="967" w:type="dxa"/>
            <w:vAlign w:val="center"/>
          </w:tcPr>
          <w:p w14:paraId="1D6B47AC" w14:textId="77777777" w:rsidR="000908F5" w:rsidRPr="00CF77C1" w:rsidRDefault="000908F5" w:rsidP="0080044B">
            <w:pPr>
              <w:jc w:val="center"/>
              <w:rPr>
                <w:lang w:val="sr-Cyrl-RS"/>
              </w:rPr>
            </w:pPr>
            <w:r w:rsidRPr="00CF77C1">
              <w:rPr>
                <w:lang w:val="sr-Cyrl-RS"/>
              </w:rPr>
              <w:t>&gt;9%</w:t>
            </w:r>
          </w:p>
        </w:tc>
        <w:tc>
          <w:tcPr>
            <w:tcW w:w="967" w:type="dxa"/>
            <w:vAlign w:val="center"/>
          </w:tcPr>
          <w:p w14:paraId="37A96435" w14:textId="77777777" w:rsidR="000908F5" w:rsidRPr="00CF77C1" w:rsidRDefault="000908F5" w:rsidP="0080044B">
            <w:pPr>
              <w:jc w:val="center"/>
              <w:rPr>
                <w:lang w:val="sr-Cyrl-RS"/>
              </w:rPr>
            </w:pPr>
            <w:r w:rsidRPr="00CF77C1">
              <w:rPr>
                <w:lang w:val="sr-Cyrl-RS"/>
              </w:rPr>
              <w:t>&gt;10%</w:t>
            </w:r>
          </w:p>
        </w:tc>
        <w:tc>
          <w:tcPr>
            <w:tcW w:w="967" w:type="dxa"/>
            <w:vAlign w:val="center"/>
          </w:tcPr>
          <w:p w14:paraId="78760D1B" w14:textId="77777777" w:rsidR="000908F5" w:rsidRPr="00CF77C1" w:rsidRDefault="000908F5" w:rsidP="0080044B">
            <w:pPr>
              <w:jc w:val="center"/>
              <w:rPr>
                <w:lang w:val="sr-Cyrl-RS"/>
              </w:rPr>
            </w:pPr>
            <w:r w:rsidRPr="00CF77C1">
              <w:rPr>
                <w:lang w:val="sr-Cyrl-RS"/>
              </w:rPr>
              <w:t>&gt;11%</w:t>
            </w:r>
          </w:p>
        </w:tc>
      </w:tr>
    </w:tbl>
    <w:p w14:paraId="686C691B" w14:textId="7A3D054B" w:rsidR="00945D48" w:rsidRPr="00CF77C1" w:rsidRDefault="00DE0456" w:rsidP="000763D5">
      <w:pPr>
        <w:keepNext/>
        <w:spacing w:before="120"/>
        <w:ind w:firstLine="720"/>
        <w:rPr>
          <w:lang w:val="sr-Cyrl-RS"/>
        </w:rPr>
      </w:pPr>
      <w:bookmarkStart w:id="20" w:name="EE_Cilj_3"/>
      <w:r w:rsidRPr="00CF77C1">
        <w:rPr>
          <w:lang w:val="sr-Cyrl-RS"/>
        </w:rPr>
        <w:t>Ц.Е.3</w:t>
      </w:r>
      <w:r w:rsidR="000B28E3" w:rsidRPr="00CF77C1">
        <w:rPr>
          <w:lang w:val="sr-Cyrl-RS"/>
        </w:rPr>
        <w:t xml:space="preserve">. </w:t>
      </w:r>
      <w:r w:rsidR="00945D48" w:rsidRPr="00CF77C1">
        <w:rPr>
          <w:lang w:val="sr-Cyrl-RS"/>
        </w:rPr>
        <w:t>Повећање преносних капацитета/коридора преко Републике Србије који имају регионални и паневропски значај</w:t>
      </w:r>
      <w:bookmarkEnd w:id="20"/>
    </w:p>
    <w:p w14:paraId="22092626" w14:textId="5A2D89A0" w:rsidR="00945D48" w:rsidRPr="00CF77C1" w:rsidRDefault="00945D48" w:rsidP="000763D5">
      <w:pPr>
        <w:keepNext/>
        <w:spacing w:before="120"/>
        <w:ind w:firstLine="720"/>
        <w:rPr>
          <w:lang w:val="sr-Cyrl-RS"/>
        </w:rPr>
      </w:pPr>
      <w:r w:rsidRPr="00CF77C1">
        <w:rPr>
          <w:lang w:val="sr-Cyrl-RS"/>
        </w:rPr>
        <w:t xml:space="preserve">Овај циљ </w:t>
      </w:r>
      <w:r w:rsidR="00F10D3F" w:rsidRPr="00CF77C1">
        <w:rPr>
          <w:lang w:val="sr-Cyrl-RS"/>
        </w:rPr>
        <w:t>у вези</w:t>
      </w:r>
      <w:r w:rsidRPr="00CF77C1">
        <w:rPr>
          <w:lang w:val="sr-Cyrl-RS"/>
        </w:rPr>
        <w:t xml:space="preserve"> </w:t>
      </w:r>
      <w:r w:rsidR="005934B3" w:rsidRPr="00CF77C1">
        <w:rPr>
          <w:lang w:val="sr-Cyrl-RS"/>
        </w:rPr>
        <w:t>са реализацијом</w:t>
      </w:r>
      <w:r w:rsidRPr="00CF77C1">
        <w:rPr>
          <w:lang w:val="sr-Cyrl-RS"/>
        </w:rPr>
        <w:t xml:space="preserve"> изгр</w:t>
      </w:r>
      <w:r w:rsidR="00D61BC9" w:rsidRPr="00CF77C1">
        <w:rPr>
          <w:lang w:val="sr-Cyrl-RS"/>
        </w:rPr>
        <w:t>адње „Трансбалканског коридора</w:t>
      </w:r>
      <w:r w:rsidR="00AD5740" w:rsidRPr="00CF77C1">
        <w:rPr>
          <w:lang w:val="sr-Cyrl-RS"/>
        </w:rPr>
        <w:t>”</w:t>
      </w:r>
      <w:r w:rsidR="00D61BC9" w:rsidRPr="00CF77C1">
        <w:rPr>
          <w:lang w:val="sr-Cyrl-RS"/>
        </w:rPr>
        <w:t xml:space="preserve"> и у</w:t>
      </w:r>
      <w:r w:rsidRPr="00CF77C1">
        <w:rPr>
          <w:lang w:val="sr-Cyrl-RS"/>
        </w:rPr>
        <w:t xml:space="preserve"> том смислу може се дефинисати као повећање капацитета/коридора преко Републике Србије</w:t>
      </w:r>
      <w:r w:rsidR="00F10D3F" w:rsidRPr="00CF77C1">
        <w:rPr>
          <w:lang w:val="sr-Cyrl-RS"/>
        </w:rPr>
        <w:t>,</w:t>
      </w:r>
      <w:r w:rsidRPr="00CF77C1">
        <w:rPr>
          <w:lang w:val="sr-Cyrl-RS"/>
        </w:rPr>
        <w:t xml:space="preserve"> који имају регионални и паневропски значај</w:t>
      </w:r>
      <w:r w:rsidR="00F10D3F" w:rsidRPr="00CF77C1">
        <w:rPr>
          <w:lang w:val="sr-Cyrl-RS"/>
        </w:rPr>
        <w:t>,</w:t>
      </w:r>
      <w:r w:rsidRPr="00CF77C1">
        <w:rPr>
          <w:lang w:val="sr-Cyrl-RS"/>
        </w:rPr>
        <w:t xml:space="preserve"> за </w:t>
      </w:r>
      <w:r w:rsidR="004B42BB" w:rsidRPr="00CF77C1">
        <w:rPr>
          <w:lang w:val="sr-Cyrl-RS"/>
        </w:rPr>
        <w:t>500</w:t>
      </w:r>
      <w:r w:rsidRPr="00CF77C1">
        <w:rPr>
          <w:lang w:val="sr-Cyrl-RS"/>
        </w:rPr>
        <w:t xml:space="preserve"> MW у правцу североисток-југозапад у периоду до 2023. године.</w:t>
      </w:r>
      <w:r w:rsidR="007D7CA9" w:rsidRPr="00CF77C1">
        <w:rPr>
          <w:lang w:val="sr-Cyrl-RS"/>
        </w:rPr>
        <w:t xml:space="preserve"> Извештај о годишњем повећању капацитета подноси ЕМС.</w:t>
      </w:r>
    </w:p>
    <w:p w14:paraId="54094483" w14:textId="79FC1B59" w:rsidR="00945D48" w:rsidRPr="00CF77C1" w:rsidRDefault="00DE0456" w:rsidP="000763D5">
      <w:pPr>
        <w:keepNext/>
        <w:spacing w:before="120"/>
        <w:ind w:firstLine="720"/>
        <w:rPr>
          <w:lang w:val="sr-Cyrl-RS"/>
        </w:rPr>
      </w:pPr>
      <w:bookmarkStart w:id="21" w:name="EE_Cilj_4"/>
      <w:r w:rsidRPr="00CF77C1">
        <w:rPr>
          <w:lang w:val="sr-Cyrl-RS"/>
        </w:rPr>
        <w:t>Ц.Е.4</w:t>
      </w:r>
      <w:r w:rsidR="000B28E3" w:rsidRPr="00CF77C1">
        <w:rPr>
          <w:lang w:val="sr-Cyrl-RS"/>
        </w:rPr>
        <w:t xml:space="preserve">. </w:t>
      </w:r>
      <w:r w:rsidR="00945D48" w:rsidRPr="00CF77C1">
        <w:rPr>
          <w:lang w:val="sr-Cyrl-RS"/>
        </w:rPr>
        <w:t>Смањење губитака у дистрибутивним мрежама</w:t>
      </w:r>
      <w:bookmarkEnd w:id="21"/>
    </w:p>
    <w:p w14:paraId="02964516" w14:textId="4F2A7CF8" w:rsidR="00945D48" w:rsidRPr="00CF77C1" w:rsidRDefault="0013305E" w:rsidP="000763D5">
      <w:pPr>
        <w:keepNext/>
        <w:spacing w:before="120"/>
        <w:ind w:firstLine="720"/>
        <w:rPr>
          <w:lang w:val="sr-Cyrl-RS"/>
        </w:rPr>
      </w:pPr>
      <w:r w:rsidRPr="00CF77C1">
        <w:rPr>
          <w:lang w:val="sr-Cyrl-RS"/>
        </w:rPr>
        <w:t>Ова</w:t>
      </w:r>
      <w:r w:rsidR="00D61BC9" w:rsidRPr="00CF77C1">
        <w:rPr>
          <w:lang w:val="sr-Cyrl-RS"/>
        </w:rPr>
        <w:t>ј</w:t>
      </w:r>
      <w:r w:rsidRPr="00CF77C1">
        <w:rPr>
          <w:lang w:val="sr-Cyrl-RS"/>
        </w:rPr>
        <w:t xml:space="preserve"> циљ је дефинисан </w:t>
      </w:r>
      <w:r w:rsidR="005C650D" w:rsidRPr="00CF77C1">
        <w:rPr>
          <w:lang w:val="sr-Cyrl-RS"/>
        </w:rPr>
        <w:t>стратешким документима</w:t>
      </w:r>
      <w:r w:rsidRPr="00CF77C1">
        <w:rPr>
          <w:lang w:val="sr-Cyrl-RS"/>
        </w:rPr>
        <w:t xml:space="preserve"> </w:t>
      </w:r>
      <w:r w:rsidR="000763D5" w:rsidRPr="00CF77C1">
        <w:rPr>
          <w:lang w:val="sr-Cyrl-RS"/>
        </w:rPr>
        <w:t>ЕПС</w:t>
      </w:r>
      <w:r w:rsidR="005C650D" w:rsidRPr="00CF77C1">
        <w:rPr>
          <w:lang w:val="sr-Cyrl-RS"/>
        </w:rPr>
        <w:t>, у надлежности је оператора дистрибутивног система</w:t>
      </w:r>
      <w:r w:rsidR="00945D48" w:rsidRPr="00CF77C1">
        <w:rPr>
          <w:lang w:val="sr-Cyrl-RS"/>
        </w:rPr>
        <w:t xml:space="preserve"> и </w:t>
      </w:r>
      <w:r w:rsidR="005C650D" w:rsidRPr="00CF77C1">
        <w:rPr>
          <w:lang w:val="sr-Cyrl-RS"/>
        </w:rPr>
        <w:t>приказује се</w:t>
      </w:r>
      <w:r w:rsidR="00945D48" w:rsidRPr="00CF77C1">
        <w:rPr>
          <w:lang w:val="sr-Cyrl-RS"/>
        </w:rPr>
        <w:t xml:space="preserve"> као процентуална вредност губитака електричне енергије у дистрибутивном систему у односу на укупну енергију која се набавља на прагу дистрибутивног система за потребе снабдевања купаца прикључених на дистрибутивни систем.</w:t>
      </w:r>
    </w:p>
    <w:p w14:paraId="59E51B42" w14:textId="36EB2BB3" w:rsidR="00945D48" w:rsidRPr="00CF77C1" w:rsidRDefault="00D61BC9" w:rsidP="000763D5">
      <w:pPr>
        <w:pStyle w:val="Caption"/>
        <w:ind w:firstLine="720"/>
        <w:rPr>
          <w:b w:val="0"/>
          <w:lang w:val="sr-Cyrl-RS"/>
        </w:rPr>
      </w:pPr>
      <w:bookmarkStart w:id="22" w:name="_Ref495483192"/>
      <w:r w:rsidRPr="00CF77C1">
        <w:rPr>
          <w:b w:val="0"/>
          <w:lang w:val="sr-Cyrl-RS"/>
        </w:rPr>
        <w:t>таб.</w:t>
      </w:r>
      <w:r w:rsidR="00945D48"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w:t>
      </w:r>
      <w:r w:rsidR="0092145E" w:rsidRPr="00CF77C1">
        <w:rPr>
          <w:b w:val="0"/>
          <w:lang w:val="sr-Cyrl-RS"/>
        </w:rPr>
        <w:fldChar w:fldCharType="end"/>
      </w:r>
      <w:bookmarkEnd w:id="22"/>
      <w:r w:rsidR="00D40E0B" w:rsidRPr="00CF77C1">
        <w:rPr>
          <w:b w:val="0"/>
          <w:lang w:val="sr-Cyrl-RS"/>
        </w:rPr>
        <w:t>: Индикатор</w:t>
      </w:r>
      <w:r w:rsidR="00945D48" w:rsidRPr="00CF77C1">
        <w:rPr>
          <w:b w:val="0"/>
          <w:lang w:val="sr-Cyrl-RS"/>
        </w:rPr>
        <w:t xml:space="preserve"> </w:t>
      </w:r>
      <w:r w:rsidR="00D40E0B" w:rsidRPr="00CF77C1">
        <w:rPr>
          <w:b w:val="0"/>
          <w:lang w:val="sr-Cyrl-RS"/>
        </w:rPr>
        <w:t>смањења губитака</w:t>
      </w:r>
      <w:r w:rsidR="00945D48" w:rsidRPr="00CF77C1">
        <w:rPr>
          <w:b w:val="0"/>
          <w:lang w:val="sr-Cyrl-RS"/>
        </w:rPr>
        <w:t xml:space="preserve"> у сектору дистрибуције електричне енергије</w:t>
      </w:r>
    </w:p>
    <w:tbl>
      <w:tblPr>
        <w:tblStyle w:val="TableGrid"/>
        <w:tblW w:w="9571" w:type="dxa"/>
        <w:tblLook w:val="04A0" w:firstRow="1" w:lastRow="0" w:firstColumn="1" w:lastColumn="0" w:noHBand="0" w:noVBand="1"/>
      </w:tblPr>
      <w:tblGrid>
        <w:gridCol w:w="2518"/>
        <w:gridCol w:w="1007"/>
        <w:gridCol w:w="1008"/>
        <w:gridCol w:w="1007"/>
        <w:gridCol w:w="1008"/>
        <w:gridCol w:w="1007"/>
        <w:gridCol w:w="1008"/>
        <w:gridCol w:w="1008"/>
      </w:tblGrid>
      <w:tr w:rsidR="00945D48" w:rsidRPr="00CF77C1" w14:paraId="0B58E2FF" w14:textId="77777777" w:rsidTr="00132D06">
        <w:tc>
          <w:tcPr>
            <w:tcW w:w="2518" w:type="dxa"/>
            <w:vAlign w:val="center"/>
          </w:tcPr>
          <w:p w14:paraId="45538AA5" w14:textId="77777777" w:rsidR="00945D48" w:rsidRPr="00CF77C1" w:rsidRDefault="00945D48" w:rsidP="0080044B">
            <w:pPr>
              <w:jc w:val="center"/>
              <w:rPr>
                <w:lang w:val="sr-Cyrl-RS"/>
              </w:rPr>
            </w:pPr>
            <w:r w:rsidRPr="00CF77C1">
              <w:rPr>
                <w:lang w:val="sr-Cyrl-RS"/>
              </w:rPr>
              <w:t>Мерљиви циљ</w:t>
            </w:r>
          </w:p>
        </w:tc>
        <w:tc>
          <w:tcPr>
            <w:tcW w:w="1007" w:type="dxa"/>
            <w:vAlign w:val="center"/>
          </w:tcPr>
          <w:p w14:paraId="30FABA5A" w14:textId="77777777" w:rsidR="00945D48" w:rsidRPr="00CF77C1" w:rsidRDefault="00945D48" w:rsidP="0080044B">
            <w:pPr>
              <w:jc w:val="center"/>
              <w:rPr>
                <w:lang w:val="sr-Cyrl-RS"/>
              </w:rPr>
            </w:pPr>
            <w:r w:rsidRPr="00CF77C1">
              <w:rPr>
                <w:lang w:val="sr-Cyrl-RS"/>
              </w:rPr>
              <w:t>2017.</w:t>
            </w:r>
          </w:p>
        </w:tc>
        <w:tc>
          <w:tcPr>
            <w:tcW w:w="1008" w:type="dxa"/>
            <w:vAlign w:val="center"/>
          </w:tcPr>
          <w:p w14:paraId="1DCBE371" w14:textId="77777777" w:rsidR="00945D48" w:rsidRPr="00CF77C1" w:rsidRDefault="00945D48" w:rsidP="0080044B">
            <w:pPr>
              <w:jc w:val="center"/>
              <w:rPr>
                <w:lang w:val="sr-Cyrl-RS"/>
              </w:rPr>
            </w:pPr>
            <w:r w:rsidRPr="00CF77C1">
              <w:rPr>
                <w:lang w:val="sr-Cyrl-RS"/>
              </w:rPr>
              <w:t>2018.</w:t>
            </w:r>
          </w:p>
        </w:tc>
        <w:tc>
          <w:tcPr>
            <w:tcW w:w="1007" w:type="dxa"/>
            <w:vAlign w:val="center"/>
          </w:tcPr>
          <w:p w14:paraId="31E12A3D" w14:textId="77777777" w:rsidR="00945D48" w:rsidRPr="00CF77C1" w:rsidRDefault="00945D48" w:rsidP="0080044B">
            <w:pPr>
              <w:jc w:val="center"/>
              <w:rPr>
                <w:lang w:val="sr-Cyrl-RS"/>
              </w:rPr>
            </w:pPr>
            <w:r w:rsidRPr="00CF77C1">
              <w:rPr>
                <w:lang w:val="sr-Cyrl-RS"/>
              </w:rPr>
              <w:t>2019.</w:t>
            </w:r>
          </w:p>
        </w:tc>
        <w:tc>
          <w:tcPr>
            <w:tcW w:w="1008" w:type="dxa"/>
            <w:vAlign w:val="center"/>
          </w:tcPr>
          <w:p w14:paraId="261E24E1" w14:textId="77777777" w:rsidR="00945D48" w:rsidRPr="00CF77C1" w:rsidRDefault="00945D48" w:rsidP="0080044B">
            <w:pPr>
              <w:jc w:val="center"/>
              <w:rPr>
                <w:lang w:val="sr-Cyrl-RS"/>
              </w:rPr>
            </w:pPr>
            <w:r w:rsidRPr="00CF77C1">
              <w:rPr>
                <w:lang w:val="sr-Cyrl-RS"/>
              </w:rPr>
              <w:t>2020.</w:t>
            </w:r>
          </w:p>
        </w:tc>
        <w:tc>
          <w:tcPr>
            <w:tcW w:w="1007" w:type="dxa"/>
            <w:vAlign w:val="center"/>
          </w:tcPr>
          <w:p w14:paraId="6D79807C" w14:textId="77777777" w:rsidR="00945D48" w:rsidRPr="00CF77C1" w:rsidRDefault="00945D48" w:rsidP="0080044B">
            <w:pPr>
              <w:jc w:val="center"/>
              <w:rPr>
                <w:lang w:val="sr-Cyrl-RS"/>
              </w:rPr>
            </w:pPr>
            <w:r w:rsidRPr="00CF77C1">
              <w:rPr>
                <w:lang w:val="sr-Cyrl-RS"/>
              </w:rPr>
              <w:t>2021.</w:t>
            </w:r>
          </w:p>
        </w:tc>
        <w:tc>
          <w:tcPr>
            <w:tcW w:w="1008" w:type="dxa"/>
            <w:vAlign w:val="center"/>
          </w:tcPr>
          <w:p w14:paraId="69431074" w14:textId="77777777" w:rsidR="00945D48" w:rsidRPr="00CF77C1" w:rsidRDefault="00945D48" w:rsidP="0080044B">
            <w:pPr>
              <w:jc w:val="center"/>
              <w:rPr>
                <w:lang w:val="sr-Cyrl-RS"/>
              </w:rPr>
            </w:pPr>
            <w:r w:rsidRPr="00CF77C1">
              <w:rPr>
                <w:lang w:val="sr-Cyrl-RS"/>
              </w:rPr>
              <w:t>2022.</w:t>
            </w:r>
          </w:p>
        </w:tc>
        <w:tc>
          <w:tcPr>
            <w:tcW w:w="1008" w:type="dxa"/>
            <w:vAlign w:val="center"/>
          </w:tcPr>
          <w:p w14:paraId="4CDB1246" w14:textId="77777777" w:rsidR="00945D48" w:rsidRPr="00CF77C1" w:rsidRDefault="00945D48" w:rsidP="0080044B">
            <w:pPr>
              <w:jc w:val="center"/>
              <w:rPr>
                <w:lang w:val="sr-Cyrl-RS"/>
              </w:rPr>
            </w:pPr>
            <w:r w:rsidRPr="00CF77C1">
              <w:rPr>
                <w:lang w:val="sr-Cyrl-RS"/>
              </w:rPr>
              <w:t>2023.</w:t>
            </w:r>
          </w:p>
        </w:tc>
      </w:tr>
      <w:tr w:rsidR="00945D48" w:rsidRPr="00CF77C1" w14:paraId="742CA6BB" w14:textId="77777777" w:rsidTr="00132D06">
        <w:tc>
          <w:tcPr>
            <w:tcW w:w="2518" w:type="dxa"/>
            <w:vAlign w:val="center"/>
          </w:tcPr>
          <w:p w14:paraId="6C0902C3" w14:textId="77777777" w:rsidR="00945D48" w:rsidRPr="00CF77C1" w:rsidRDefault="00945D48" w:rsidP="0080044B">
            <w:pPr>
              <w:jc w:val="left"/>
              <w:rPr>
                <w:lang w:val="sr-Cyrl-RS"/>
              </w:rPr>
            </w:pPr>
            <w:r w:rsidRPr="00CF77C1">
              <w:rPr>
                <w:lang w:val="sr-Cyrl-RS"/>
              </w:rPr>
              <w:t>Губици енергије</w:t>
            </w:r>
            <w:r w:rsidR="00132D06" w:rsidRPr="00CF77C1">
              <w:rPr>
                <w:lang w:val="sr-Cyrl-RS"/>
              </w:rPr>
              <w:t xml:space="preserve"> </w:t>
            </w:r>
            <w:r w:rsidRPr="00CF77C1">
              <w:rPr>
                <w:lang w:val="sr-Cyrl-RS"/>
              </w:rPr>
              <w:t>(%)</w:t>
            </w:r>
          </w:p>
        </w:tc>
        <w:tc>
          <w:tcPr>
            <w:tcW w:w="1007" w:type="dxa"/>
            <w:vAlign w:val="center"/>
          </w:tcPr>
          <w:p w14:paraId="30BBE089" w14:textId="77777777" w:rsidR="00945D48" w:rsidRPr="00CF77C1" w:rsidRDefault="00945D48" w:rsidP="0080044B">
            <w:pPr>
              <w:jc w:val="center"/>
              <w:rPr>
                <w:lang w:val="sr-Cyrl-RS"/>
              </w:rPr>
            </w:pPr>
            <w:r w:rsidRPr="00CF77C1">
              <w:rPr>
                <w:lang w:val="sr-Cyrl-RS"/>
              </w:rPr>
              <w:t>12,8</w:t>
            </w:r>
          </w:p>
        </w:tc>
        <w:tc>
          <w:tcPr>
            <w:tcW w:w="1008" w:type="dxa"/>
            <w:vAlign w:val="center"/>
          </w:tcPr>
          <w:p w14:paraId="32A1BE9D" w14:textId="77777777" w:rsidR="00945D48" w:rsidRPr="00CF77C1" w:rsidRDefault="00945D48" w:rsidP="0080044B">
            <w:pPr>
              <w:jc w:val="center"/>
              <w:rPr>
                <w:lang w:val="sr-Cyrl-RS"/>
              </w:rPr>
            </w:pPr>
            <w:r w:rsidRPr="00CF77C1">
              <w:rPr>
                <w:lang w:val="sr-Cyrl-RS"/>
              </w:rPr>
              <w:t>11,9</w:t>
            </w:r>
          </w:p>
        </w:tc>
        <w:tc>
          <w:tcPr>
            <w:tcW w:w="1007" w:type="dxa"/>
            <w:vAlign w:val="center"/>
          </w:tcPr>
          <w:p w14:paraId="021A5485" w14:textId="77777777" w:rsidR="00945D48" w:rsidRPr="00CF77C1" w:rsidRDefault="00945D48" w:rsidP="0080044B">
            <w:pPr>
              <w:jc w:val="center"/>
              <w:rPr>
                <w:lang w:val="sr-Cyrl-RS"/>
              </w:rPr>
            </w:pPr>
            <w:r w:rsidRPr="00CF77C1">
              <w:rPr>
                <w:lang w:val="sr-Cyrl-RS"/>
              </w:rPr>
              <w:t>10,8</w:t>
            </w:r>
          </w:p>
        </w:tc>
        <w:tc>
          <w:tcPr>
            <w:tcW w:w="1008" w:type="dxa"/>
            <w:vAlign w:val="center"/>
          </w:tcPr>
          <w:p w14:paraId="472930BB" w14:textId="77777777" w:rsidR="00945D48" w:rsidRPr="00CF77C1" w:rsidRDefault="00945D48" w:rsidP="0080044B">
            <w:pPr>
              <w:jc w:val="center"/>
              <w:rPr>
                <w:lang w:val="sr-Cyrl-RS"/>
              </w:rPr>
            </w:pPr>
            <w:r w:rsidRPr="00CF77C1">
              <w:rPr>
                <w:lang w:val="sr-Cyrl-RS"/>
              </w:rPr>
              <w:t>10,4</w:t>
            </w:r>
          </w:p>
        </w:tc>
        <w:tc>
          <w:tcPr>
            <w:tcW w:w="1007" w:type="dxa"/>
            <w:vAlign w:val="center"/>
          </w:tcPr>
          <w:p w14:paraId="123F5B8B" w14:textId="77777777" w:rsidR="00945D48" w:rsidRPr="00CF77C1" w:rsidRDefault="00945D48" w:rsidP="0080044B">
            <w:pPr>
              <w:jc w:val="center"/>
              <w:rPr>
                <w:lang w:val="sr-Cyrl-RS"/>
              </w:rPr>
            </w:pPr>
            <w:r w:rsidRPr="00CF77C1">
              <w:rPr>
                <w:lang w:val="sr-Cyrl-RS"/>
              </w:rPr>
              <w:t>10,1</w:t>
            </w:r>
          </w:p>
        </w:tc>
        <w:tc>
          <w:tcPr>
            <w:tcW w:w="1008" w:type="dxa"/>
            <w:vAlign w:val="center"/>
          </w:tcPr>
          <w:p w14:paraId="23A7934D" w14:textId="77777777" w:rsidR="00945D48" w:rsidRPr="00CF77C1" w:rsidRDefault="00945D48" w:rsidP="0080044B">
            <w:pPr>
              <w:jc w:val="center"/>
              <w:rPr>
                <w:lang w:val="sr-Cyrl-RS"/>
              </w:rPr>
            </w:pPr>
            <w:r w:rsidRPr="00CF77C1">
              <w:rPr>
                <w:lang w:val="sr-Cyrl-RS"/>
              </w:rPr>
              <w:t>9,8</w:t>
            </w:r>
          </w:p>
        </w:tc>
        <w:tc>
          <w:tcPr>
            <w:tcW w:w="1008" w:type="dxa"/>
            <w:vAlign w:val="center"/>
          </w:tcPr>
          <w:p w14:paraId="6ECAC677" w14:textId="77777777" w:rsidR="00945D48" w:rsidRPr="00CF77C1" w:rsidRDefault="00945D48" w:rsidP="0080044B">
            <w:pPr>
              <w:jc w:val="center"/>
              <w:rPr>
                <w:lang w:val="sr-Cyrl-RS"/>
              </w:rPr>
            </w:pPr>
            <w:r w:rsidRPr="00CF77C1">
              <w:rPr>
                <w:lang w:val="sr-Cyrl-RS"/>
              </w:rPr>
              <w:t>9,6</w:t>
            </w:r>
          </w:p>
        </w:tc>
      </w:tr>
    </w:tbl>
    <w:p w14:paraId="70055C86" w14:textId="4DF8F246" w:rsidR="00945D48" w:rsidRPr="00CF77C1" w:rsidRDefault="00945D48" w:rsidP="000763D5">
      <w:pPr>
        <w:pStyle w:val="ListParagraph"/>
        <w:spacing w:before="120"/>
        <w:ind w:left="0" w:firstLine="720"/>
        <w:rPr>
          <w:lang w:val="sr-Cyrl-RS"/>
        </w:rPr>
      </w:pPr>
      <w:r w:rsidRPr="00CF77C1">
        <w:rPr>
          <w:lang w:val="sr-Cyrl-RS"/>
        </w:rPr>
        <w:t xml:space="preserve">Годишњи губици електричне енергије у дистрибутивном систем и њихов проценат у односу на укупну енергију која се набавља на прагу дистрибутивног система за потребе снабдевања купаца прикључених на дистрибутивни систем део су </w:t>
      </w:r>
      <w:r w:rsidR="00D61BC9" w:rsidRPr="00CF77C1">
        <w:rPr>
          <w:lang w:val="sr-Cyrl-RS"/>
        </w:rPr>
        <w:t xml:space="preserve">информације </w:t>
      </w:r>
      <w:r w:rsidRPr="00CF77C1">
        <w:rPr>
          <w:lang w:val="sr-Cyrl-RS"/>
        </w:rPr>
        <w:t xml:space="preserve">о остварењу електроенергетског биланса електродистрибуција </w:t>
      </w:r>
      <w:r w:rsidR="00F10D3F" w:rsidRPr="00CF77C1">
        <w:rPr>
          <w:lang w:val="sr-Cyrl-RS"/>
        </w:rPr>
        <w:t xml:space="preserve">Републике </w:t>
      </w:r>
      <w:r w:rsidRPr="00CF77C1">
        <w:rPr>
          <w:lang w:val="sr-Cyrl-RS"/>
        </w:rPr>
        <w:t xml:space="preserve">Србије, </w:t>
      </w:r>
      <w:r w:rsidR="00D61BC9" w:rsidRPr="00CF77C1">
        <w:rPr>
          <w:lang w:val="sr-Cyrl-RS"/>
        </w:rPr>
        <w:t>коју ће</w:t>
      </w:r>
      <w:r w:rsidRPr="00CF77C1">
        <w:rPr>
          <w:lang w:val="sr-Cyrl-RS"/>
        </w:rPr>
        <w:t xml:space="preserve"> у наредном периоду обезбеђивати </w:t>
      </w:r>
      <w:r w:rsidR="00D61BC9" w:rsidRPr="00CF77C1">
        <w:rPr>
          <w:lang w:val="sr-Cyrl-RS"/>
        </w:rPr>
        <w:t xml:space="preserve">оператор </w:t>
      </w:r>
      <w:r w:rsidRPr="00CF77C1">
        <w:rPr>
          <w:lang w:val="sr-Cyrl-RS"/>
        </w:rPr>
        <w:t>дистрибутивног система.</w:t>
      </w:r>
    </w:p>
    <w:p w14:paraId="18BB85FB" w14:textId="420474F4" w:rsidR="00945D48" w:rsidRPr="00CF77C1" w:rsidRDefault="00DE0456" w:rsidP="000763D5">
      <w:pPr>
        <w:keepNext/>
        <w:spacing w:before="120"/>
        <w:ind w:firstLine="720"/>
        <w:rPr>
          <w:lang w:val="sr-Cyrl-RS"/>
        </w:rPr>
      </w:pPr>
      <w:bookmarkStart w:id="23" w:name="EE_Cilj_5"/>
      <w:r w:rsidRPr="00CF77C1">
        <w:rPr>
          <w:lang w:val="sr-Cyrl-RS"/>
        </w:rPr>
        <w:t>Ц.Е.5</w:t>
      </w:r>
      <w:r w:rsidR="000B28E3" w:rsidRPr="00CF77C1">
        <w:rPr>
          <w:lang w:val="sr-Cyrl-RS"/>
        </w:rPr>
        <w:t xml:space="preserve">. </w:t>
      </w:r>
      <w:r w:rsidR="00945D48" w:rsidRPr="00CF77C1">
        <w:rPr>
          <w:lang w:val="sr-Cyrl-RS"/>
        </w:rPr>
        <w:t>Стварање могућности за нето извоз електричне енергије</w:t>
      </w:r>
      <w:bookmarkEnd w:id="23"/>
    </w:p>
    <w:p w14:paraId="6D0FA70D" w14:textId="472E2114" w:rsidR="00945D48" w:rsidRPr="00CF77C1" w:rsidRDefault="00945D48" w:rsidP="000763D5">
      <w:pPr>
        <w:pStyle w:val="ListParagraph"/>
        <w:spacing w:before="120"/>
        <w:ind w:left="0" w:firstLine="720"/>
        <w:rPr>
          <w:lang w:val="sr-Cyrl-RS"/>
        </w:rPr>
      </w:pPr>
      <w:r w:rsidRPr="00CF77C1">
        <w:rPr>
          <w:lang w:val="sr-Cyrl-RS"/>
        </w:rPr>
        <w:t xml:space="preserve">Могућност за нето извоз електричне енергије ствара се уколико је </w:t>
      </w:r>
      <w:r w:rsidR="00D40E0B" w:rsidRPr="00CF77C1">
        <w:rPr>
          <w:lang w:val="sr-Cyrl-RS"/>
        </w:rPr>
        <w:t xml:space="preserve">разлика између извоза </w:t>
      </w:r>
      <w:r w:rsidR="00C367A7" w:rsidRPr="00CF77C1">
        <w:rPr>
          <w:lang w:val="sr-Cyrl-RS"/>
        </w:rPr>
        <w:t xml:space="preserve">и увоза електричне енергије </w:t>
      </w:r>
      <w:r w:rsidR="00680D6E" w:rsidRPr="00CF77C1">
        <w:rPr>
          <w:lang w:val="sr-Cyrl-RS"/>
        </w:rPr>
        <w:t xml:space="preserve">у току једне године </w:t>
      </w:r>
      <w:r w:rsidR="00C367A7" w:rsidRPr="00CF77C1">
        <w:rPr>
          <w:lang w:val="sr-Cyrl-RS"/>
        </w:rPr>
        <w:t xml:space="preserve">позитивна. </w:t>
      </w:r>
      <w:r w:rsidRPr="00CF77C1">
        <w:rPr>
          <w:lang w:val="sr-Cyrl-RS"/>
        </w:rPr>
        <w:t xml:space="preserve">У складу са тим дефинисан је и циљ да разлика </w:t>
      </w:r>
      <w:r w:rsidR="00C367A7" w:rsidRPr="00CF77C1">
        <w:rPr>
          <w:lang w:val="sr-Cyrl-RS"/>
        </w:rPr>
        <w:t>извоза и увоза електричне енергије у годишњем билансу електричне енергије</w:t>
      </w:r>
      <w:r w:rsidRPr="00CF77C1">
        <w:rPr>
          <w:lang w:val="sr-Cyrl-RS"/>
        </w:rPr>
        <w:t xml:space="preserve"> у </w:t>
      </w:r>
      <w:r w:rsidR="00D61BC9" w:rsidRPr="00CF77C1">
        <w:rPr>
          <w:lang w:val="sr-Cyrl-RS"/>
        </w:rPr>
        <w:t>периоду реализације</w:t>
      </w:r>
      <w:r w:rsidRPr="00CF77C1">
        <w:rPr>
          <w:lang w:val="sr-Cyrl-RS"/>
        </w:rPr>
        <w:t xml:space="preserve"> ПОС буде већа од нуле.</w:t>
      </w:r>
    </w:p>
    <w:p w14:paraId="0C8898C2" w14:textId="326C0D68" w:rsidR="002E3868" w:rsidRPr="00CF77C1" w:rsidRDefault="005E1591" w:rsidP="005E1591">
      <w:pPr>
        <w:pStyle w:val="Heading3"/>
        <w:numPr>
          <w:ilvl w:val="0"/>
          <w:numId w:val="0"/>
        </w:numPr>
        <w:ind w:firstLine="720"/>
        <w:rPr>
          <w:b w:val="0"/>
          <w:lang w:val="sr-Cyrl-RS"/>
        </w:rPr>
      </w:pPr>
      <w:bookmarkStart w:id="24" w:name="_Toc463001114"/>
      <w:bookmarkStart w:id="25" w:name="_Toc484260281"/>
      <w:r w:rsidRPr="00CF77C1">
        <w:rPr>
          <w:b w:val="0"/>
          <w:lang w:val="sr-Cyrl-RS"/>
        </w:rPr>
        <w:t xml:space="preserve">3.1.1. </w:t>
      </w:r>
      <w:r w:rsidR="00AC2DD1" w:rsidRPr="00CF77C1">
        <w:rPr>
          <w:b w:val="0"/>
          <w:lang w:val="sr-Cyrl-RS"/>
        </w:rPr>
        <w:t>Преглед</w:t>
      </w:r>
      <w:r w:rsidR="002E3868" w:rsidRPr="00CF77C1">
        <w:rPr>
          <w:b w:val="0"/>
          <w:lang w:val="sr-Cyrl-RS"/>
        </w:rPr>
        <w:t xml:space="preserve"> мера </w:t>
      </w:r>
      <w:r w:rsidR="000A1268" w:rsidRPr="00CF77C1">
        <w:rPr>
          <w:b w:val="0"/>
          <w:lang w:val="sr-Cyrl-RS"/>
        </w:rPr>
        <w:t xml:space="preserve">и активности </w:t>
      </w:r>
      <w:r w:rsidR="002E3868" w:rsidRPr="00CF77C1">
        <w:rPr>
          <w:b w:val="0"/>
          <w:lang w:val="sr-Cyrl-RS"/>
        </w:rPr>
        <w:t>у области електричне енергије</w:t>
      </w:r>
      <w:bookmarkEnd w:id="24"/>
      <w:bookmarkEnd w:id="25"/>
    </w:p>
    <w:p w14:paraId="6F5907D7" w14:textId="0213A2B2" w:rsidR="00A735D5" w:rsidRPr="00CF77C1" w:rsidRDefault="00680D6E" w:rsidP="000763D5">
      <w:pPr>
        <w:ind w:firstLine="720"/>
        <w:rPr>
          <w:lang w:val="sr-Cyrl-RS"/>
        </w:rPr>
      </w:pPr>
      <w:r w:rsidRPr="00CF77C1">
        <w:rPr>
          <w:lang w:val="sr-Cyrl-RS"/>
        </w:rPr>
        <w:t>Ради остварења циљева</w:t>
      </w:r>
      <w:r w:rsidR="00294D88" w:rsidRPr="00CF77C1">
        <w:rPr>
          <w:lang w:val="sr-Cyrl-RS"/>
        </w:rPr>
        <w:t xml:space="preserve"> дефинисаних </w:t>
      </w:r>
      <w:r w:rsidRPr="00CF77C1">
        <w:rPr>
          <w:lang w:val="sr-Cyrl-RS"/>
        </w:rPr>
        <w:t xml:space="preserve">у </w:t>
      </w:r>
      <w:r w:rsidR="00094C27">
        <w:rPr>
          <w:lang w:val="sr-Cyrl-RS"/>
        </w:rPr>
        <w:t>одељку 3.1.</w:t>
      </w:r>
      <w:r w:rsidRPr="00CF77C1">
        <w:rPr>
          <w:lang w:val="sr-Cyrl-RS"/>
        </w:rPr>
        <w:t xml:space="preserve"> </w:t>
      </w:r>
      <w:r w:rsidR="00094C27">
        <w:rPr>
          <w:lang w:val="sr-Cyrl-RS"/>
        </w:rPr>
        <w:t xml:space="preserve">овог поглавља </w:t>
      </w:r>
      <w:r w:rsidRPr="00CF77C1">
        <w:rPr>
          <w:lang w:val="sr-Cyrl-RS"/>
        </w:rPr>
        <w:t>у</w:t>
      </w:r>
      <w:r w:rsidR="003D5876" w:rsidRPr="00CF77C1">
        <w:rPr>
          <w:lang w:val="sr-Cyrl-RS"/>
        </w:rPr>
        <w:t xml:space="preserve"> периоду реализације ПОС реализоваће се </w:t>
      </w:r>
      <w:r w:rsidRPr="00CF77C1">
        <w:rPr>
          <w:lang w:val="sr-Cyrl-RS"/>
        </w:rPr>
        <w:t xml:space="preserve">следеће </w:t>
      </w:r>
      <w:r w:rsidR="003D5876" w:rsidRPr="00CF77C1">
        <w:rPr>
          <w:lang w:val="sr-Cyrl-RS"/>
        </w:rPr>
        <w:t>активности</w:t>
      </w:r>
      <w:r w:rsidR="00577022" w:rsidRPr="00CF77C1">
        <w:rPr>
          <w:lang w:val="sr-Cyrl-RS"/>
        </w:rPr>
        <w:t>: о</w:t>
      </w:r>
      <w:r w:rsidR="00EA6189" w:rsidRPr="00CF77C1">
        <w:rPr>
          <w:lang w:val="sr-Cyrl-RS"/>
        </w:rPr>
        <w:t>безбеђивање</w:t>
      </w:r>
      <w:r w:rsidR="00577022" w:rsidRPr="00CF77C1">
        <w:rPr>
          <w:lang w:val="sr-Cyrl-RS"/>
        </w:rPr>
        <w:t xml:space="preserve"> несметаног и транспарентног функционисања тржишта електри</w:t>
      </w:r>
      <w:r w:rsidR="00341DA6" w:rsidRPr="00CF77C1">
        <w:rPr>
          <w:lang w:val="sr-Cyrl-RS"/>
        </w:rPr>
        <w:t>чне енергије и недискриминаторн</w:t>
      </w:r>
      <w:r w:rsidR="00577022" w:rsidRPr="00CF77C1">
        <w:rPr>
          <w:lang w:val="sr-Cyrl-RS"/>
        </w:rPr>
        <w:t>и приступ свим учесниц</w:t>
      </w:r>
      <w:r w:rsidR="00F10D3F" w:rsidRPr="00CF77C1">
        <w:rPr>
          <w:lang w:val="sr-Cyrl-RS"/>
        </w:rPr>
        <w:t>има на тржишту и</w:t>
      </w:r>
      <w:r w:rsidR="00577022" w:rsidRPr="00CF77C1">
        <w:rPr>
          <w:lang w:val="sr-Cyrl-RS"/>
        </w:rPr>
        <w:t xml:space="preserve"> усклађивање подзаконских аката са Законом о ене</w:t>
      </w:r>
      <w:r w:rsidR="00D61BC9" w:rsidRPr="00CF77C1">
        <w:rPr>
          <w:lang w:val="sr-Cyrl-RS"/>
        </w:rPr>
        <w:t>ргетици (пре свега доношење новог</w:t>
      </w:r>
      <w:r w:rsidR="00577022" w:rsidRPr="00CF77C1">
        <w:rPr>
          <w:lang w:val="sr-Cyrl-RS"/>
        </w:rPr>
        <w:t xml:space="preserve"> </w:t>
      </w:r>
      <w:r w:rsidR="00D61BC9" w:rsidRPr="00CF77C1">
        <w:rPr>
          <w:lang w:val="sr-Cyrl-RS"/>
        </w:rPr>
        <w:t>прописа</w:t>
      </w:r>
      <w:r w:rsidR="00577022" w:rsidRPr="00CF77C1">
        <w:rPr>
          <w:lang w:val="sr-Cyrl-RS"/>
        </w:rPr>
        <w:t xml:space="preserve"> о условима испоруке и снабдевања електричном енергијом). </w:t>
      </w:r>
      <w:r w:rsidR="004149D6" w:rsidRPr="00CF77C1">
        <w:rPr>
          <w:lang w:val="sr-Cyrl-RS"/>
        </w:rPr>
        <w:t>Имајући у виду неизвесност тржишних кретања на тржишту електричне енергије (повећану производњу електричне енергије из обновљивих извора</w:t>
      </w:r>
      <w:r w:rsidR="00A735D5" w:rsidRPr="00CF77C1">
        <w:rPr>
          <w:lang w:val="sr-Cyrl-RS"/>
        </w:rPr>
        <w:t xml:space="preserve"> </w:t>
      </w:r>
      <w:r w:rsidR="004149D6" w:rsidRPr="00CF77C1">
        <w:rPr>
          <w:lang w:val="sr-Cyrl-RS"/>
        </w:rPr>
        <w:t>у појединим европским земљама и очекивану повећану могућност пласмана на тржишту Републике Србије због интеграције тржишта у наредном периоду, неизвесности око трговине CO</w:t>
      </w:r>
      <w:r w:rsidR="004149D6" w:rsidRPr="00CF77C1">
        <w:rPr>
          <w:vertAlign w:val="subscript"/>
          <w:lang w:val="sr-Cyrl-RS"/>
        </w:rPr>
        <w:t>2</w:t>
      </w:r>
      <w:r w:rsidR="004149D6" w:rsidRPr="00CF77C1">
        <w:rPr>
          <w:lang w:val="sr-Cyrl-RS"/>
        </w:rPr>
        <w:t xml:space="preserve"> сертификатима, и сл.),</w:t>
      </w:r>
      <w:r w:rsidR="00A735D5" w:rsidRPr="00CF77C1">
        <w:rPr>
          <w:lang w:val="sr-Cyrl-RS"/>
        </w:rPr>
        <w:t xml:space="preserve"> </w:t>
      </w:r>
      <w:r w:rsidR="004149D6" w:rsidRPr="00CF77C1">
        <w:rPr>
          <w:lang w:val="sr-Cyrl-RS"/>
        </w:rPr>
        <w:t>енергетски субјекти</w:t>
      </w:r>
      <w:r w:rsidR="00A735D5" w:rsidRPr="00CF77C1">
        <w:rPr>
          <w:lang w:val="sr-Cyrl-RS"/>
        </w:rPr>
        <w:t xml:space="preserve"> </w:t>
      </w:r>
      <w:r w:rsidR="004149D6" w:rsidRPr="00CF77C1">
        <w:rPr>
          <w:lang w:val="sr-Cyrl-RS"/>
        </w:rPr>
        <w:t>ће у наредном периоду у оквиру своје пословне политике и у оквиру стратешких и планских докумената</w:t>
      </w:r>
      <w:r w:rsidR="00F10D3F" w:rsidRPr="00CF77C1">
        <w:rPr>
          <w:lang w:val="sr-Cyrl-RS"/>
        </w:rPr>
        <w:t>,</w:t>
      </w:r>
      <w:r w:rsidR="00A735D5" w:rsidRPr="00CF77C1">
        <w:rPr>
          <w:lang w:val="sr-Cyrl-RS"/>
        </w:rPr>
        <w:t xml:space="preserve"> </w:t>
      </w:r>
      <w:r w:rsidR="004149D6" w:rsidRPr="00CF77C1">
        <w:rPr>
          <w:lang w:val="sr-Cyrl-RS"/>
        </w:rPr>
        <w:t xml:space="preserve">посебну пажњу посветити мерама за ублажавање последица тржишних ризика и предвидети средства за реализацију </w:t>
      </w:r>
      <w:r w:rsidR="00A735D5" w:rsidRPr="00CF77C1">
        <w:rPr>
          <w:lang w:val="sr-Cyrl-RS"/>
        </w:rPr>
        <w:t>активности за које су надлежни.</w:t>
      </w:r>
    </w:p>
    <w:p w14:paraId="458EBA3E" w14:textId="3898396F" w:rsidR="003D5876" w:rsidRPr="00CF77C1" w:rsidRDefault="004149D6" w:rsidP="000763D5">
      <w:pPr>
        <w:ind w:firstLine="720"/>
        <w:rPr>
          <w:lang w:val="sr-Cyrl-RS"/>
        </w:rPr>
      </w:pPr>
      <w:r w:rsidRPr="00CF77C1">
        <w:rPr>
          <w:lang w:val="sr-Cyrl-RS"/>
        </w:rPr>
        <w:t>Поред наведеног</w:t>
      </w:r>
      <w:r w:rsidR="005C650D" w:rsidRPr="00CF77C1">
        <w:rPr>
          <w:lang w:val="sr-Cyrl-RS"/>
        </w:rPr>
        <w:t>,</w:t>
      </w:r>
      <w:r w:rsidRPr="00CF77C1">
        <w:rPr>
          <w:lang w:val="sr-Cyrl-RS"/>
        </w:rPr>
        <w:t xml:space="preserve"> </w:t>
      </w:r>
      <w:r w:rsidR="005C650D" w:rsidRPr="00CF77C1">
        <w:rPr>
          <w:lang w:val="sr-Cyrl-RS"/>
        </w:rPr>
        <w:t>министарство надлежно за послове</w:t>
      </w:r>
      <w:r w:rsidRPr="00CF77C1">
        <w:rPr>
          <w:lang w:val="sr-Cyrl-RS"/>
        </w:rPr>
        <w:t xml:space="preserve"> рударства и енергетике предузеће све мере за реализацију активности за које је надлежно и у т</w:t>
      </w:r>
      <w:r w:rsidR="00FE6568">
        <w:rPr>
          <w:lang w:val="sr-Cyrl-RS"/>
        </w:rPr>
        <w:t>у сврху обезбедити средства из б</w:t>
      </w:r>
      <w:r w:rsidRPr="00CF77C1">
        <w:rPr>
          <w:lang w:val="sr-Cyrl-RS"/>
        </w:rPr>
        <w:t>уџета Републике Србије за одговарајућу годину.</w:t>
      </w:r>
    </w:p>
    <w:p w14:paraId="0F8BAF2C" w14:textId="688F7B5B" w:rsidR="000A1268" w:rsidRPr="00CF77C1" w:rsidRDefault="00D61BC9" w:rsidP="000763D5">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w:t>
      </w:r>
      <w:r w:rsidR="0092145E" w:rsidRPr="00CF77C1">
        <w:rPr>
          <w:b w:val="0"/>
          <w:lang w:val="sr-Cyrl-RS"/>
        </w:rPr>
        <w:fldChar w:fldCharType="end"/>
      </w:r>
      <w:r w:rsidRPr="00CF77C1">
        <w:rPr>
          <w:b w:val="0"/>
          <w:lang w:val="sr-Cyrl-RS"/>
        </w:rPr>
        <w:t>: Преглед активности у сектору електроенергетике</w:t>
      </w:r>
    </w:p>
    <w:tbl>
      <w:tblPr>
        <w:tblStyle w:val="TableGrid"/>
        <w:tblW w:w="0" w:type="auto"/>
        <w:tblLook w:val="04A0" w:firstRow="1" w:lastRow="0" w:firstColumn="1" w:lastColumn="0" w:noHBand="0" w:noVBand="1"/>
      </w:tblPr>
      <w:tblGrid>
        <w:gridCol w:w="3406"/>
        <w:gridCol w:w="1548"/>
        <w:gridCol w:w="1834"/>
        <w:gridCol w:w="2608"/>
      </w:tblGrid>
      <w:tr w:rsidR="00AC2DD1" w:rsidRPr="00CF77C1" w14:paraId="33C367FA" w14:textId="77777777" w:rsidTr="00F95FBD">
        <w:trPr>
          <w:cantSplit/>
          <w:tblHeader/>
        </w:trPr>
        <w:tc>
          <w:tcPr>
            <w:tcW w:w="3511" w:type="dxa"/>
            <w:vAlign w:val="center"/>
          </w:tcPr>
          <w:p w14:paraId="7CCBEBDE" w14:textId="77777777" w:rsidR="00AC2DD1" w:rsidRPr="00CF77C1" w:rsidRDefault="00AC2DD1" w:rsidP="0080044B">
            <w:pPr>
              <w:keepNext/>
              <w:jc w:val="center"/>
              <w:rPr>
                <w:lang w:val="sr-Cyrl-RS"/>
              </w:rPr>
            </w:pPr>
            <w:r w:rsidRPr="00CF77C1">
              <w:rPr>
                <w:lang w:val="sr-Cyrl-RS"/>
              </w:rPr>
              <w:t>Активност</w:t>
            </w:r>
          </w:p>
        </w:tc>
        <w:tc>
          <w:tcPr>
            <w:tcW w:w="1559" w:type="dxa"/>
            <w:vAlign w:val="center"/>
          </w:tcPr>
          <w:p w14:paraId="3624AF64" w14:textId="77777777" w:rsidR="00AC2DD1" w:rsidRPr="00CF77C1" w:rsidRDefault="00AC2DD1" w:rsidP="0080044B">
            <w:pPr>
              <w:keepNext/>
              <w:jc w:val="center"/>
              <w:rPr>
                <w:lang w:val="sr-Cyrl-RS"/>
              </w:rPr>
            </w:pPr>
            <w:r w:rsidRPr="00CF77C1">
              <w:rPr>
                <w:lang w:val="sr-Cyrl-RS"/>
              </w:rPr>
              <w:t>Период реализације</w:t>
            </w:r>
          </w:p>
        </w:tc>
        <w:tc>
          <w:tcPr>
            <w:tcW w:w="1843" w:type="dxa"/>
            <w:vAlign w:val="center"/>
          </w:tcPr>
          <w:p w14:paraId="38696007" w14:textId="77777777" w:rsidR="00AC2DD1" w:rsidRPr="00CF77C1" w:rsidRDefault="009E4135" w:rsidP="0080044B">
            <w:pPr>
              <w:keepNext/>
              <w:jc w:val="center"/>
              <w:rPr>
                <w:lang w:val="sr-Cyrl-RS"/>
              </w:rPr>
            </w:pPr>
            <w:r w:rsidRPr="00CF77C1">
              <w:rPr>
                <w:szCs w:val="24"/>
                <w:lang w:val="sr-Cyrl-RS"/>
              </w:rPr>
              <w:t>Одговорни субјекти</w:t>
            </w:r>
          </w:p>
        </w:tc>
        <w:tc>
          <w:tcPr>
            <w:tcW w:w="2658" w:type="dxa"/>
          </w:tcPr>
          <w:p w14:paraId="3D95B812" w14:textId="77777777" w:rsidR="00AC2DD1" w:rsidRPr="00CF77C1" w:rsidRDefault="00AC2DD1" w:rsidP="0080044B">
            <w:pPr>
              <w:keepNext/>
              <w:jc w:val="center"/>
              <w:rPr>
                <w:lang w:val="sr-Cyrl-RS"/>
              </w:rPr>
            </w:pPr>
            <w:r w:rsidRPr="00CF77C1">
              <w:rPr>
                <w:lang w:val="sr-Cyrl-RS"/>
              </w:rPr>
              <w:t>Индикатори реализације</w:t>
            </w:r>
          </w:p>
        </w:tc>
      </w:tr>
      <w:tr w:rsidR="00AC2DD1" w:rsidRPr="00CF77C1" w14:paraId="3511AA51" w14:textId="77777777" w:rsidTr="00F95FBD">
        <w:trPr>
          <w:cantSplit/>
        </w:trPr>
        <w:tc>
          <w:tcPr>
            <w:tcW w:w="3511" w:type="dxa"/>
            <w:vAlign w:val="center"/>
          </w:tcPr>
          <w:p w14:paraId="6A78A8B3" w14:textId="77777777" w:rsidR="00AC2DD1" w:rsidRPr="00CF77C1" w:rsidRDefault="00D61BC9" w:rsidP="0080044B">
            <w:pPr>
              <w:jc w:val="left"/>
              <w:rPr>
                <w:lang w:val="sr-Cyrl-RS"/>
              </w:rPr>
            </w:pPr>
            <w:r w:rsidRPr="00CF77C1">
              <w:rPr>
                <w:lang w:val="sr-Cyrl-RS"/>
              </w:rPr>
              <w:t>Доношење</w:t>
            </w:r>
            <w:r w:rsidR="00AC2DD1" w:rsidRPr="00CF77C1">
              <w:rPr>
                <w:lang w:val="sr-Cyrl-RS"/>
              </w:rPr>
              <w:t xml:space="preserve"> подзаконских аката </w:t>
            </w:r>
            <w:r w:rsidRPr="00CF77C1">
              <w:rPr>
                <w:lang w:val="sr-Cyrl-RS"/>
              </w:rPr>
              <w:t xml:space="preserve">у складу </w:t>
            </w:r>
            <w:r w:rsidR="00AC2DD1" w:rsidRPr="00CF77C1">
              <w:rPr>
                <w:lang w:val="sr-Cyrl-RS"/>
              </w:rPr>
              <w:t>са Законом о енергетици</w:t>
            </w:r>
          </w:p>
        </w:tc>
        <w:tc>
          <w:tcPr>
            <w:tcW w:w="1559" w:type="dxa"/>
            <w:vAlign w:val="center"/>
          </w:tcPr>
          <w:p w14:paraId="31ECD4C9" w14:textId="05AF5191" w:rsidR="00AC2DD1" w:rsidRPr="00CF77C1" w:rsidRDefault="00AC2DD1" w:rsidP="0076559E">
            <w:pPr>
              <w:jc w:val="center"/>
              <w:rPr>
                <w:lang w:val="sr-Cyrl-RS"/>
              </w:rPr>
            </w:pPr>
            <w:r w:rsidRPr="00CF77C1">
              <w:rPr>
                <w:lang w:val="sr-Cyrl-RS"/>
              </w:rPr>
              <w:t>201</w:t>
            </w:r>
            <w:r w:rsidR="0076559E" w:rsidRPr="00CF77C1">
              <w:rPr>
                <w:lang w:val="sr-Cyrl-RS"/>
              </w:rPr>
              <w:t>8</w:t>
            </w:r>
            <w:r w:rsidRPr="00CF77C1">
              <w:rPr>
                <w:lang w:val="sr-Cyrl-RS"/>
              </w:rPr>
              <w:t>.</w:t>
            </w:r>
          </w:p>
        </w:tc>
        <w:tc>
          <w:tcPr>
            <w:tcW w:w="1843" w:type="dxa"/>
            <w:vAlign w:val="center"/>
          </w:tcPr>
          <w:p w14:paraId="65AC033A" w14:textId="4F3A7873" w:rsidR="00AC2DD1" w:rsidRPr="00CF77C1" w:rsidRDefault="000763D5" w:rsidP="0080044B">
            <w:pPr>
              <w:jc w:val="center"/>
              <w:rPr>
                <w:lang w:val="sr-Cyrl-RS"/>
              </w:rPr>
            </w:pPr>
            <w:r w:rsidRPr="00CF77C1">
              <w:rPr>
                <w:lang w:val="sr-Cyrl-RS"/>
              </w:rPr>
              <w:t>м</w:t>
            </w:r>
            <w:r w:rsidR="005C650D" w:rsidRPr="00CF77C1">
              <w:rPr>
                <w:lang w:val="sr-Cyrl-RS"/>
              </w:rPr>
              <w:t>инистарство надлежно за послове</w:t>
            </w:r>
            <w:r w:rsidR="00AC2DD1" w:rsidRPr="00CF77C1">
              <w:rPr>
                <w:lang w:val="sr-Cyrl-RS"/>
              </w:rPr>
              <w:t xml:space="preserve"> рударства и енергетике</w:t>
            </w:r>
          </w:p>
        </w:tc>
        <w:tc>
          <w:tcPr>
            <w:tcW w:w="2658" w:type="dxa"/>
            <w:vAlign w:val="center"/>
          </w:tcPr>
          <w:p w14:paraId="1304AA9B" w14:textId="43C418F3" w:rsidR="00AC2DD1" w:rsidRPr="00CF77C1" w:rsidRDefault="00F95FBD" w:rsidP="005304DE">
            <w:pPr>
              <w:jc w:val="left"/>
              <w:rPr>
                <w:lang w:val="sr-Cyrl-RS"/>
              </w:rPr>
            </w:pPr>
            <w:r w:rsidRPr="00CF77C1">
              <w:rPr>
                <w:lang w:val="sr-Cyrl-RS"/>
              </w:rPr>
              <w:t>Дон</w:t>
            </w:r>
            <w:r w:rsidR="005C650D" w:rsidRPr="00CF77C1">
              <w:rPr>
                <w:lang w:val="sr-Cyrl-RS"/>
              </w:rPr>
              <w:t>ет пропис</w:t>
            </w:r>
            <w:r w:rsidR="00AC2DD1" w:rsidRPr="00CF77C1">
              <w:rPr>
                <w:lang w:val="sr-Cyrl-RS"/>
              </w:rPr>
              <w:t xml:space="preserve"> о условима испоруке и снабдевања електричном енергијом</w:t>
            </w:r>
            <w:r w:rsidR="005934B3" w:rsidRPr="00CF77C1">
              <w:rPr>
                <w:lang w:val="sr-Cyrl-RS"/>
              </w:rPr>
              <w:t>.</w:t>
            </w:r>
            <w:r w:rsidR="005304DE" w:rsidRPr="00CF77C1">
              <w:rPr>
                <w:lang w:val="sr-Cyrl-RS"/>
              </w:rPr>
              <w:t xml:space="preserve"> Ова активност директно утиче на индикаторе непрекидности испоруке преносној и дистрибутивној мрежи приказане у </w:t>
            </w:r>
            <w:r w:rsidR="005304DE" w:rsidRPr="00CF77C1">
              <w:rPr>
                <w:lang w:val="sr-Cyrl-RS"/>
              </w:rPr>
              <w:fldChar w:fldCharType="begin"/>
            </w:r>
            <w:r w:rsidR="005304DE" w:rsidRPr="00CF77C1">
              <w:rPr>
                <w:lang w:val="sr-Cyrl-RS"/>
              </w:rPr>
              <w:instrText xml:space="preserve"> REF _Ref474706340 \h  \* MERGEFORMAT </w:instrText>
            </w:r>
            <w:r w:rsidR="005304DE" w:rsidRPr="00CF77C1">
              <w:rPr>
                <w:lang w:val="sr-Cyrl-RS"/>
              </w:rPr>
            </w:r>
            <w:r w:rsidR="005304DE" w:rsidRPr="00CF77C1">
              <w:rPr>
                <w:lang w:val="sr-Cyrl-RS"/>
              </w:rPr>
              <w:fldChar w:fldCharType="separate"/>
            </w:r>
            <w:r w:rsidR="002D5918" w:rsidRPr="002D5918">
              <w:rPr>
                <w:lang w:val="sr-Cyrl-RS"/>
              </w:rPr>
              <w:t xml:space="preserve">таб. </w:t>
            </w:r>
            <w:r w:rsidR="002D5918" w:rsidRPr="002D5918">
              <w:rPr>
                <w:noProof/>
                <w:lang w:val="sr-Cyrl-RS"/>
              </w:rPr>
              <w:t>1</w:t>
            </w:r>
            <w:r w:rsidR="005304DE" w:rsidRPr="00CF77C1">
              <w:rPr>
                <w:lang w:val="sr-Cyrl-RS"/>
              </w:rPr>
              <w:fldChar w:fldCharType="end"/>
            </w:r>
            <w:r w:rsidR="005304DE" w:rsidRPr="00CF77C1">
              <w:rPr>
                <w:lang w:val="sr-Cyrl-RS"/>
              </w:rPr>
              <w:t xml:space="preserve"> и индикаторе развијености тржишта електричне енергије приказане у </w:t>
            </w:r>
            <w:r w:rsidR="005304DE" w:rsidRPr="00CF77C1">
              <w:rPr>
                <w:lang w:val="sr-Cyrl-RS"/>
              </w:rPr>
              <w:fldChar w:fldCharType="begin"/>
            </w:r>
            <w:r w:rsidR="005304DE" w:rsidRPr="00CF77C1">
              <w:rPr>
                <w:lang w:val="sr-Cyrl-RS"/>
              </w:rPr>
              <w:instrText xml:space="preserve"> REF _Ref468111634 \h  \* MERGEFORMAT </w:instrText>
            </w:r>
            <w:r w:rsidR="005304DE" w:rsidRPr="00CF77C1">
              <w:rPr>
                <w:lang w:val="sr-Cyrl-RS"/>
              </w:rPr>
            </w:r>
            <w:r w:rsidR="005304DE" w:rsidRPr="00CF77C1">
              <w:rPr>
                <w:lang w:val="sr-Cyrl-RS"/>
              </w:rPr>
              <w:fldChar w:fldCharType="separate"/>
            </w:r>
            <w:r w:rsidR="002D5918" w:rsidRPr="002D5918">
              <w:rPr>
                <w:lang w:val="sr-Cyrl-RS"/>
              </w:rPr>
              <w:t>таб. 2</w:t>
            </w:r>
            <w:r w:rsidR="005304DE" w:rsidRPr="00CF77C1">
              <w:rPr>
                <w:lang w:val="sr-Cyrl-RS"/>
              </w:rPr>
              <w:fldChar w:fldCharType="end"/>
            </w:r>
            <w:r w:rsidR="005304DE" w:rsidRPr="00CF77C1">
              <w:rPr>
                <w:lang w:val="sr-Cyrl-RS"/>
              </w:rPr>
              <w:t>.</w:t>
            </w:r>
          </w:p>
        </w:tc>
      </w:tr>
      <w:tr w:rsidR="005C3B01" w:rsidRPr="00CF77C1" w14:paraId="0A690AF1" w14:textId="77777777" w:rsidTr="00A8674F">
        <w:trPr>
          <w:cantSplit/>
        </w:trPr>
        <w:tc>
          <w:tcPr>
            <w:tcW w:w="3511" w:type="dxa"/>
            <w:vAlign w:val="center"/>
          </w:tcPr>
          <w:p w14:paraId="7A449A08" w14:textId="77777777" w:rsidR="005C3B01" w:rsidRPr="00CF77C1" w:rsidRDefault="005C3B01" w:rsidP="00A8674F">
            <w:pPr>
              <w:jc w:val="left"/>
              <w:rPr>
                <w:lang w:val="sr-Cyrl-RS"/>
              </w:rPr>
            </w:pPr>
            <w:r w:rsidRPr="00CF77C1">
              <w:rPr>
                <w:lang w:val="sr-Cyrl-RS"/>
              </w:rPr>
              <w:t>Усаглашавање Правила о праћењу техничких и комерцијалних показатеља и регулисању квалитета испоруке и снабдевања електричном енергијом и природним гасом са захтевима Закона о енергетици</w:t>
            </w:r>
          </w:p>
        </w:tc>
        <w:tc>
          <w:tcPr>
            <w:tcW w:w="1559" w:type="dxa"/>
            <w:vAlign w:val="center"/>
          </w:tcPr>
          <w:p w14:paraId="34D61FF1" w14:textId="77777777" w:rsidR="005C3B01" w:rsidRPr="00CF77C1" w:rsidRDefault="005C3B01" w:rsidP="00A8674F">
            <w:pPr>
              <w:jc w:val="center"/>
              <w:rPr>
                <w:lang w:val="sr-Cyrl-RS"/>
              </w:rPr>
            </w:pPr>
            <w:r w:rsidRPr="00CF77C1">
              <w:rPr>
                <w:lang w:val="sr-Cyrl-RS"/>
              </w:rPr>
              <w:t>2017.</w:t>
            </w:r>
          </w:p>
        </w:tc>
        <w:tc>
          <w:tcPr>
            <w:tcW w:w="1843" w:type="dxa"/>
            <w:vAlign w:val="center"/>
          </w:tcPr>
          <w:p w14:paraId="15941DEC" w14:textId="4751D2A7" w:rsidR="005C3B01" w:rsidRPr="00CF77C1" w:rsidRDefault="006B1098" w:rsidP="00A8674F">
            <w:pPr>
              <w:jc w:val="center"/>
              <w:rPr>
                <w:lang w:val="sr-Cyrl-RS"/>
              </w:rPr>
            </w:pPr>
            <w:r>
              <w:rPr>
                <w:lang w:val="sr-Cyrl-RS"/>
              </w:rPr>
              <w:t>АЕРС</w:t>
            </w:r>
          </w:p>
        </w:tc>
        <w:tc>
          <w:tcPr>
            <w:tcW w:w="2658" w:type="dxa"/>
            <w:vAlign w:val="center"/>
          </w:tcPr>
          <w:p w14:paraId="6E4C9124" w14:textId="4DC2B6DC" w:rsidR="005C3B01" w:rsidRPr="00CF77C1" w:rsidRDefault="004854EB" w:rsidP="00A8674F">
            <w:pPr>
              <w:jc w:val="left"/>
              <w:rPr>
                <w:lang w:val="sr-Cyrl-RS"/>
              </w:rPr>
            </w:pPr>
            <w:r w:rsidRPr="00CF77C1">
              <w:rPr>
                <w:lang w:val="sr-Cyrl-RS"/>
              </w:rPr>
              <w:t>Усаглаш</w:t>
            </w:r>
            <w:r w:rsidR="00A8674F" w:rsidRPr="00CF77C1">
              <w:rPr>
                <w:lang w:val="sr-Cyrl-RS"/>
              </w:rPr>
              <w:t>е</w:t>
            </w:r>
            <w:r w:rsidRPr="00CF77C1">
              <w:rPr>
                <w:lang w:val="sr-Cyrl-RS"/>
              </w:rPr>
              <w:t>на Правила о праћењу техничких и комерцијалних показатеља и регулисању квалитета испоруке и снабдевања електричном енергијом и природним гасом</w:t>
            </w:r>
            <w:r w:rsidR="005304DE" w:rsidRPr="00CF77C1">
              <w:rPr>
                <w:lang w:val="sr-Cyrl-RS"/>
              </w:rPr>
              <w:t xml:space="preserve">. Ова активност директно утиче на индикаторе непрекидности испоруке преносној и дистрибутивној мрежи приказане у </w:t>
            </w:r>
            <w:r w:rsidR="005304DE" w:rsidRPr="00CF77C1">
              <w:rPr>
                <w:lang w:val="sr-Cyrl-RS"/>
              </w:rPr>
              <w:fldChar w:fldCharType="begin"/>
            </w:r>
            <w:r w:rsidR="005304DE" w:rsidRPr="00CF77C1">
              <w:rPr>
                <w:lang w:val="sr-Cyrl-RS"/>
              </w:rPr>
              <w:instrText xml:space="preserve"> REF _Ref474706340 \h  \* MERGEFORMAT </w:instrText>
            </w:r>
            <w:r w:rsidR="005304DE" w:rsidRPr="00CF77C1">
              <w:rPr>
                <w:lang w:val="sr-Cyrl-RS"/>
              </w:rPr>
            </w:r>
            <w:r w:rsidR="005304DE" w:rsidRPr="00CF77C1">
              <w:rPr>
                <w:lang w:val="sr-Cyrl-RS"/>
              </w:rPr>
              <w:fldChar w:fldCharType="separate"/>
            </w:r>
            <w:r w:rsidR="002D5918" w:rsidRPr="002D5918">
              <w:rPr>
                <w:lang w:val="sr-Cyrl-RS"/>
              </w:rPr>
              <w:t xml:space="preserve">таб. </w:t>
            </w:r>
            <w:r w:rsidR="002D5918" w:rsidRPr="002D5918">
              <w:rPr>
                <w:noProof/>
                <w:lang w:val="sr-Cyrl-RS"/>
              </w:rPr>
              <w:t>1</w:t>
            </w:r>
            <w:r w:rsidR="005304DE" w:rsidRPr="00CF77C1">
              <w:rPr>
                <w:lang w:val="sr-Cyrl-RS"/>
              </w:rPr>
              <w:fldChar w:fldCharType="end"/>
            </w:r>
            <w:r w:rsidR="005304DE" w:rsidRPr="00CF77C1">
              <w:rPr>
                <w:lang w:val="sr-Cyrl-RS"/>
              </w:rPr>
              <w:t>.</w:t>
            </w:r>
          </w:p>
        </w:tc>
      </w:tr>
      <w:tr w:rsidR="008F051D" w:rsidRPr="00CF77C1" w14:paraId="5DBAB236" w14:textId="77777777" w:rsidTr="00F95FBD">
        <w:trPr>
          <w:cantSplit/>
        </w:trPr>
        <w:tc>
          <w:tcPr>
            <w:tcW w:w="3511" w:type="dxa"/>
            <w:vAlign w:val="center"/>
          </w:tcPr>
          <w:p w14:paraId="01BFAD23" w14:textId="3550EF2C" w:rsidR="008F051D" w:rsidRPr="00CF77C1" w:rsidRDefault="008F051D" w:rsidP="0080044B">
            <w:pPr>
              <w:jc w:val="left"/>
              <w:rPr>
                <w:lang w:val="sr-Cyrl-RS"/>
              </w:rPr>
            </w:pPr>
            <w:r w:rsidRPr="00CF77C1">
              <w:rPr>
                <w:lang w:val="sr-Cyrl-RS"/>
              </w:rPr>
              <w:t>Обезбеђење правног оквира за вршење процеса сертификације оператора преносног система кроз измену прописа којим се уређује рад Владе, министарстава, рад и пословање јавних предузећа и других прописа неопходних за спровођење процеса сертификације</w:t>
            </w:r>
          </w:p>
        </w:tc>
        <w:tc>
          <w:tcPr>
            <w:tcW w:w="1559" w:type="dxa"/>
            <w:vAlign w:val="center"/>
          </w:tcPr>
          <w:p w14:paraId="3161C4AC" w14:textId="77777777" w:rsidR="008F051D" w:rsidRPr="00CF77C1" w:rsidRDefault="008F051D" w:rsidP="0080044B">
            <w:pPr>
              <w:jc w:val="center"/>
              <w:rPr>
                <w:lang w:val="sr-Cyrl-RS"/>
              </w:rPr>
            </w:pPr>
            <w:r w:rsidRPr="00CF77C1">
              <w:rPr>
                <w:lang w:val="sr-Cyrl-RS"/>
              </w:rPr>
              <w:t>2018.</w:t>
            </w:r>
          </w:p>
        </w:tc>
        <w:tc>
          <w:tcPr>
            <w:tcW w:w="1843" w:type="dxa"/>
            <w:vAlign w:val="center"/>
          </w:tcPr>
          <w:p w14:paraId="0EC2D3BB" w14:textId="4977A8C3" w:rsidR="008F051D" w:rsidRPr="00CF77C1" w:rsidRDefault="000763D5" w:rsidP="000763D5">
            <w:pPr>
              <w:jc w:val="center"/>
              <w:rPr>
                <w:lang w:val="sr-Cyrl-RS"/>
              </w:rPr>
            </w:pPr>
            <w:r w:rsidRPr="00CF77C1">
              <w:rPr>
                <w:lang w:val="sr-Cyrl-RS"/>
              </w:rPr>
              <w:t>Влада</w:t>
            </w:r>
            <w:r w:rsidR="008F051D" w:rsidRPr="00CF77C1">
              <w:rPr>
                <w:lang w:val="sr-Cyrl-RS"/>
              </w:rPr>
              <w:t>, На</w:t>
            </w:r>
            <w:r w:rsidR="00AC627E" w:rsidRPr="00CF77C1">
              <w:rPr>
                <w:lang w:val="sr-Cyrl-RS"/>
              </w:rPr>
              <w:t xml:space="preserve">родна </w:t>
            </w:r>
            <w:r w:rsidR="0007339E" w:rsidRPr="00CF77C1">
              <w:rPr>
                <w:lang w:val="sr-Cyrl-RS"/>
              </w:rPr>
              <w:t>скупштина</w:t>
            </w:r>
            <w:r w:rsidR="008F051D" w:rsidRPr="00CF77C1">
              <w:rPr>
                <w:lang w:val="sr-Cyrl-RS"/>
              </w:rPr>
              <w:t>, министарство надлежно за послове привреде, министарство надлежно за послове рударства и енергетике</w:t>
            </w:r>
          </w:p>
        </w:tc>
        <w:tc>
          <w:tcPr>
            <w:tcW w:w="2658" w:type="dxa"/>
            <w:vAlign w:val="center"/>
          </w:tcPr>
          <w:p w14:paraId="63415DDC" w14:textId="778B2C9F" w:rsidR="008F051D" w:rsidRPr="00CF77C1" w:rsidRDefault="008F051D" w:rsidP="005304DE">
            <w:pPr>
              <w:jc w:val="left"/>
              <w:rPr>
                <w:lang w:val="sr-Cyrl-RS"/>
              </w:rPr>
            </w:pPr>
            <w:r w:rsidRPr="00CF77C1">
              <w:rPr>
                <w:lang w:val="sr-Cyrl-RS"/>
              </w:rPr>
              <w:t>Спроведен поступак сертификације и извршена сертификација оператора преносног система од стране АЕРС.</w:t>
            </w:r>
            <w:r w:rsidR="005304DE" w:rsidRPr="00CF77C1">
              <w:rPr>
                <w:lang w:val="sr-Cyrl-RS"/>
              </w:rPr>
              <w:t xml:space="preserve"> Ова активност директно утиче на индикаторе развијености тржишта електричне енергије приказане у </w:t>
            </w:r>
            <w:r w:rsidR="005304DE" w:rsidRPr="00CF77C1">
              <w:rPr>
                <w:lang w:val="sr-Cyrl-RS"/>
              </w:rPr>
              <w:fldChar w:fldCharType="begin"/>
            </w:r>
            <w:r w:rsidR="005304DE" w:rsidRPr="00CF77C1">
              <w:rPr>
                <w:lang w:val="sr-Cyrl-RS"/>
              </w:rPr>
              <w:instrText xml:space="preserve"> REF _Ref468111634 \h  \* MERGEFORMAT </w:instrText>
            </w:r>
            <w:r w:rsidR="005304DE" w:rsidRPr="00CF77C1">
              <w:rPr>
                <w:lang w:val="sr-Cyrl-RS"/>
              </w:rPr>
            </w:r>
            <w:r w:rsidR="005304DE" w:rsidRPr="00CF77C1">
              <w:rPr>
                <w:lang w:val="sr-Cyrl-RS"/>
              </w:rPr>
              <w:fldChar w:fldCharType="separate"/>
            </w:r>
            <w:r w:rsidR="002D5918" w:rsidRPr="002D5918">
              <w:rPr>
                <w:lang w:val="sr-Cyrl-RS"/>
              </w:rPr>
              <w:t>таб. 2</w:t>
            </w:r>
            <w:r w:rsidR="005304DE" w:rsidRPr="00CF77C1">
              <w:rPr>
                <w:lang w:val="sr-Cyrl-RS"/>
              </w:rPr>
              <w:fldChar w:fldCharType="end"/>
            </w:r>
            <w:r w:rsidR="005304DE" w:rsidRPr="00CF77C1">
              <w:rPr>
                <w:lang w:val="sr-Cyrl-RS"/>
              </w:rPr>
              <w:t>.</w:t>
            </w:r>
          </w:p>
        </w:tc>
      </w:tr>
      <w:tr w:rsidR="00AC2DD1" w:rsidRPr="00CF77C1" w14:paraId="65563D3F" w14:textId="77777777" w:rsidTr="00F95FBD">
        <w:trPr>
          <w:cantSplit/>
        </w:trPr>
        <w:tc>
          <w:tcPr>
            <w:tcW w:w="3511" w:type="dxa"/>
            <w:vAlign w:val="center"/>
          </w:tcPr>
          <w:p w14:paraId="5E53B408" w14:textId="33BF816B" w:rsidR="00AC2DD1" w:rsidRPr="00CF77C1" w:rsidRDefault="009A0002" w:rsidP="0080044B">
            <w:pPr>
              <w:jc w:val="left"/>
              <w:rPr>
                <w:lang w:val="sr-Cyrl-RS"/>
              </w:rPr>
            </w:pPr>
            <w:r w:rsidRPr="00CF77C1">
              <w:rPr>
                <w:lang w:val="sr-Cyrl-RS"/>
              </w:rPr>
              <w:t>П</w:t>
            </w:r>
            <w:r w:rsidR="00AC2DD1" w:rsidRPr="00CF77C1">
              <w:rPr>
                <w:lang w:val="sr-Cyrl-RS"/>
              </w:rPr>
              <w:t xml:space="preserve">реузимање мерних места од стране оператора дистрибутивног система и технолошко унапређење мерне инфраструктуре да би се обезбедило </w:t>
            </w:r>
            <w:r w:rsidR="00F10D3F" w:rsidRPr="00CF77C1">
              <w:rPr>
                <w:lang w:val="sr-Cyrl-RS"/>
              </w:rPr>
              <w:t>несметано функционисање тржишта и</w:t>
            </w:r>
            <w:r w:rsidR="00AC2DD1" w:rsidRPr="00CF77C1">
              <w:rPr>
                <w:lang w:val="sr-Cyrl-RS"/>
              </w:rPr>
              <w:t xml:space="preserve"> обезбедила </w:t>
            </w:r>
            <w:r w:rsidR="00F76366" w:rsidRPr="00CF77C1">
              <w:rPr>
                <w:lang w:val="sr-Cyrl-RS"/>
              </w:rPr>
              <w:t xml:space="preserve">боља </w:t>
            </w:r>
            <w:r w:rsidR="00AC2DD1" w:rsidRPr="00CF77C1">
              <w:rPr>
                <w:lang w:val="sr-Cyrl-RS"/>
              </w:rPr>
              <w:t>понуда на тржишту електричне енергије</w:t>
            </w:r>
          </w:p>
        </w:tc>
        <w:tc>
          <w:tcPr>
            <w:tcW w:w="1559" w:type="dxa"/>
            <w:vAlign w:val="center"/>
          </w:tcPr>
          <w:p w14:paraId="4C2E7EC2" w14:textId="77777777" w:rsidR="00AC2DD1" w:rsidRPr="00CF77C1" w:rsidRDefault="00AC2DD1" w:rsidP="0080044B">
            <w:pPr>
              <w:jc w:val="center"/>
              <w:rPr>
                <w:lang w:val="sr-Cyrl-RS"/>
              </w:rPr>
            </w:pPr>
            <w:r w:rsidRPr="00CF77C1">
              <w:rPr>
                <w:lang w:val="sr-Cyrl-RS"/>
              </w:rPr>
              <w:t>2017-2020.</w:t>
            </w:r>
          </w:p>
        </w:tc>
        <w:tc>
          <w:tcPr>
            <w:tcW w:w="1843" w:type="dxa"/>
            <w:vAlign w:val="center"/>
          </w:tcPr>
          <w:p w14:paraId="2EC1A8E0" w14:textId="1E826B48" w:rsidR="00AC2DD1" w:rsidRPr="00CF77C1" w:rsidRDefault="004149D6" w:rsidP="0080044B">
            <w:pPr>
              <w:jc w:val="center"/>
              <w:rPr>
                <w:lang w:val="sr-Cyrl-RS"/>
              </w:rPr>
            </w:pPr>
            <w:r w:rsidRPr="00CF77C1">
              <w:rPr>
                <w:lang w:val="sr-Cyrl-RS"/>
              </w:rPr>
              <w:t xml:space="preserve">ОДС </w:t>
            </w:r>
            <w:r w:rsidR="006F2099" w:rsidRPr="00CF77C1">
              <w:rPr>
                <w:lang w:val="sr-Cyrl-RS"/>
              </w:rPr>
              <w:t>ЕПС Дистрибуција</w:t>
            </w:r>
            <w:r w:rsidR="00AC2DD1" w:rsidRPr="00CF77C1">
              <w:rPr>
                <w:lang w:val="sr-Cyrl-RS"/>
              </w:rPr>
              <w:t xml:space="preserve">, </w:t>
            </w:r>
            <w:r w:rsidR="006B2777">
              <w:rPr>
                <w:lang w:val="sr-Cyrl-RS"/>
              </w:rPr>
              <w:t>АЕРС</w:t>
            </w:r>
            <w:r w:rsidR="008C1E23" w:rsidRPr="00CF77C1">
              <w:rPr>
                <w:lang w:val="sr-Cyrl-RS"/>
              </w:rPr>
              <w:t xml:space="preserve">, </w:t>
            </w:r>
            <w:r w:rsidR="005C650D" w:rsidRPr="00CF77C1">
              <w:rPr>
                <w:lang w:val="sr-Cyrl-RS"/>
              </w:rPr>
              <w:t>министарство надлежно за послове</w:t>
            </w:r>
            <w:r w:rsidR="008C1E23" w:rsidRPr="00CF77C1">
              <w:rPr>
                <w:lang w:val="sr-Cyrl-RS"/>
              </w:rPr>
              <w:t xml:space="preserve"> рударства и енергетике</w:t>
            </w:r>
          </w:p>
        </w:tc>
        <w:tc>
          <w:tcPr>
            <w:tcW w:w="2658" w:type="dxa"/>
            <w:vAlign w:val="center"/>
          </w:tcPr>
          <w:p w14:paraId="56786F64" w14:textId="5A06F855" w:rsidR="00AC2DD1" w:rsidRPr="00CF77C1" w:rsidRDefault="005C650D" w:rsidP="005304DE">
            <w:pPr>
              <w:jc w:val="left"/>
              <w:rPr>
                <w:lang w:val="sr-Cyrl-RS"/>
              </w:rPr>
            </w:pPr>
            <w:r w:rsidRPr="00CF77C1">
              <w:rPr>
                <w:lang w:val="sr-Cyrl-RS"/>
              </w:rPr>
              <w:t>Извршење обавезе из</w:t>
            </w:r>
            <w:r w:rsidR="00E62843" w:rsidRPr="00CF77C1">
              <w:rPr>
                <w:lang w:val="sr-Cyrl-RS"/>
              </w:rPr>
              <w:t xml:space="preserve"> </w:t>
            </w:r>
            <w:r w:rsidR="002A36AE" w:rsidRPr="00CF77C1">
              <w:rPr>
                <w:lang w:val="sr-Cyrl-RS"/>
              </w:rPr>
              <w:t>Закона о енергетици (чл.</w:t>
            </w:r>
            <w:r w:rsidR="00D61BC9" w:rsidRPr="00CF77C1">
              <w:rPr>
                <w:lang w:val="sr-Cyrl-RS"/>
              </w:rPr>
              <w:t xml:space="preserve"> </w:t>
            </w:r>
            <w:r w:rsidR="000D63E1" w:rsidRPr="00CF77C1">
              <w:rPr>
                <w:lang w:val="sr-Cyrl-RS"/>
              </w:rPr>
              <w:t>136</w:t>
            </w:r>
            <w:r w:rsidR="002A36AE" w:rsidRPr="00CF77C1">
              <w:rPr>
                <w:lang w:val="sr-Cyrl-RS"/>
              </w:rPr>
              <w:t>.</w:t>
            </w:r>
            <w:r w:rsidR="000D63E1" w:rsidRPr="00CF77C1">
              <w:rPr>
                <w:lang w:val="sr-Cyrl-RS"/>
              </w:rPr>
              <w:t xml:space="preserve"> и 404</w:t>
            </w:r>
            <w:r w:rsidR="002A36AE" w:rsidRPr="00CF77C1">
              <w:rPr>
                <w:lang w:val="sr-Cyrl-RS"/>
              </w:rPr>
              <w:t>.</w:t>
            </w:r>
            <w:r w:rsidRPr="00CF77C1">
              <w:rPr>
                <w:lang w:val="sr-Cyrl-RS"/>
              </w:rPr>
              <w:t>)</w:t>
            </w:r>
            <w:r w:rsidR="00DC48EB" w:rsidRPr="00CF77C1">
              <w:rPr>
                <w:lang w:val="sr-Cyrl-RS"/>
              </w:rPr>
              <w:t>.</w:t>
            </w:r>
            <w:r w:rsidR="004B21C8" w:rsidRPr="00CF77C1">
              <w:rPr>
                <w:lang w:val="sr-Cyrl-RS"/>
              </w:rPr>
              <w:t xml:space="preserve"> Индикатори развијености тржишта електричне енергије приказан</w:t>
            </w:r>
            <w:r w:rsidR="005304DE" w:rsidRPr="00CF77C1">
              <w:rPr>
                <w:lang w:val="sr-Cyrl-RS"/>
              </w:rPr>
              <w:t>е</w:t>
            </w:r>
            <w:r w:rsidR="004B21C8" w:rsidRPr="00CF77C1">
              <w:rPr>
                <w:lang w:val="sr-Cyrl-RS"/>
              </w:rPr>
              <w:t xml:space="preserve"> у </w:t>
            </w:r>
            <w:r w:rsidR="004B21C8" w:rsidRPr="00CF77C1">
              <w:rPr>
                <w:lang w:val="sr-Cyrl-RS"/>
              </w:rPr>
              <w:fldChar w:fldCharType="begin"/>
            </w:r>
            <w:r w:rsidR="004B21C8" w:rsidRPr="00CF77C1">
              <w:rPr>
                <w:lang w:val="sr-Cyrl-RS"/>
              </w:rPr>
              <w:instrText xml:space="preserve"> REF _Ref468111634 \h  \* MERGEFORMAT </w:instrText>
            </w:r>
            <w:r w:rsidR="004B21C8" w:rsidRPr="00CF77C1">
              <w:rPr>
                <w:lang w:val="sr-Cyrl-RS"/>
              </w:rPr>
            </w:r>
            <w:r w:rsidR="004B21C8" w:rsidRPr="00CF77C1">
              <w:rPr>
                <w:lang w:val="sr-Cyrl-RS"/>
              </w:rPr>
              <w:fldChar w:fldCharType="separate"/>
            </w:r>
            <w:r w:rsidR="002D5918" w:rsidRPr="002D5918">
              <w:rPr>
                <w:lang w:val="sr-Cyrl-RS"/>
              </w:rPr>
              <w:t>таб. 2</w:t>
            </w:r>
            <w:r w:rsidR="004B21C8" w:rsidRPr="00CF77C1">
              <w:rPr>
                <w:lang w:val="sr-Cyrl-RS"/>
              </w:rPr>
              <w:fldChar w:fldCharType="end"/>
            </w:r>
            <w:r w:rsidR="004B21C8" w:rsidRPr="00CF77C1">
              <w:rPr>
                <w:lang w:val="sr-Cyrl-RS"/>
              </w:rPr>
              <w:t>.</w:t>
            </w:r>
          </w:p>
        </w:tc>
      </w:tr>
      <w:tr w:rsidR="00AC2DD1" w:rsidRPr="00CF77C1" w14:paraId="25A3C7BC" w14:textId="77777777" w:rsidTr="00F95FBD">
        <w:trPr>
          <w:cantSplit/>
        </w:trPr>
        <w:tc>
          <w:tcPr>
            <w:tcW w:w="3511" w:type="dxa"/>
            <w:vAlign w:val="center"/>
          </w:tcPr>
          <w:p w14:paraId="387885A2" w14:textId="77777777" w:rsidR="00AC2DD1" w:rsidRPr="00CF77C1" w:rsidRDefault="002E5A85" w:rsidP="0080044B">
            <w:pPr>
              <w:jc w:val="left"/>
              <w:rPr>
                <w:lang w:val="sr-Cyrl-RS"/>
              </w:rPr>
            </w:pPr>
            <w:r w:rsidRPr="00CF77C1">
              <w:rPr>
                <w:lang w:val="sr-Cyrl-RS"/>
              </w:rPr>
              <w:t>Обезбеђивање несметане, транспарентне и недискриминаторне расподеле прекограничних преносних капацитета путем координисаних алокација преносних капацитета уз придруживање аукционој канцеларији</w:t>
            </w:r>
          </w:p>
        </w:tc>
        <w:tc>
          <w:tcPr>
            <w:tcW w:w="1559" w:type="dxa"/>
            <w:vAlign w:val="center"/>
          </w:tcPr>
          <w:p w14:paraId="02AB7956" w14:textId="77777777" w:rsidR="00AC2DD1" w:rsidRPr="00CF77C1" w:rsidRDefault="00AC2DD1" w:rsidP="0080044B">
            <w:pPr>
              <w:jc w:val="center"/>
              <w:rPr>
                <w:lang w:val="sr-Cyrl-RS"/>
              </w:rPr>
            </w:pPr>
            <w:r w:rsidRPr="00CF77C1">
              <w:rPr>
                <w:lang w:val="sr-Cyrl-RS"/>
              </w:rPr>
              <w:t>2017.</w:t>
            </w:r>
          </w:p>
        </w:tc>
        <w:tc>
          <w:tcPr>
            <w:tcW w:w="1843" w:type="dxa"/>
            <w:vAlign w:val="center"/>
          </w:tcPr>
          <w:p w14:paraId="075A97C9" w14:textId="06258079" w:rsidR="00AC2DD1" w:rsidRPr="00CF77C1" w:rsidRDefault="004149D6" w:rsidP="00D63C31">
            <w:pPr>
              <w:jc w:val="center"/>
              <w:rPr>
                <w:lang w:val="sr-Cyrl-RS"/>
              </w:rPr>
            </w:pPr>
            <w:r w:rsidRPr="00CF77C1">
              <w:rPr>
                <w:lang w:val="sr-Cyrl-RS"/>
              </w:rPr>
              <w:t xml:space="preserve">ОПС </w:t>
            </w:r>
            <w:r w:rsidR="00D63C31" w:rsidRPr="00CF77C1">
              <w:rPr>
                <w:lang w:val="sr-Cyrl-RS"/>
              </w:rPr>
              <w:t>ЕМС</w:t>
            </w:r>
            <w:r w:rsidR="00AC2DD1" w:rsidRPr="00CF77C1">
              <w:rPr>
                <w:lang w:val="sr-Cyrl-RS"/>
              </w:rPr>
              <w:t xml:space="preserve">, </w:t>
            </w:r>
            <w:r w:rsidR="006B2777">
              <w:rPr>
                <w:lang w:val="sr-Cyrl-RS"/>
              </w:rPr>
              <w:t>АЕРС</w:t>
            </w:r>
          </w:p>
        </w:tc>
        <w:tc>
          <w:tcPr>
            <w:tcW w:w="2658" w:type="dxa"/>
            <w:vAlign w:val="center"/>
          </w:tcPr>
          <w:p w14:paraId="397DAEB2" w14:textId="144CAF29" w:rsidR="00AC2DD1" w:rsidRPr="00CF77C1" w:rsidRDefault="00D61BC9" w:rsidP="0080044B">
            <w:pPr>
              <w:jc w:val="left"/>
              <w:rPr>
                <w:lang w:val="sr-Cyrl-RS"/>
              </w:rPr>
            </w:pPr>
            <w:r w:rsidRPr="00CF77C1">
              <w:rPr>
                <w:lang w:val="sr-Cyrl-RS"/>
              </w:rPr>
              <w:t>Индикатори</w:t>
            </w:r>
            <w:r w:rsidR="00AC2DD1" w:rsidRPr="00CF77C1">
              <w:rPr>
                <w:lang w:val="sr-Cyrl-RS"/>
              </w:rPr>
              <w:t xml:space="preserve"> развијеност</w:t>
            </w:r>
            <w:r w:rsidRPr="00CF77C1">
              <w:rPr>
                <w:lang w:val="sr-Cyrl-RS"/>
              </w:rPr>
              <w:t>и</w:t>
            </w:r>
            <w:r w:rsidR="00AC2DD1" w:rsidRPr="00CF77C1">
              <w:rPr>
                <w:lang w:val="sr-Cyrl-RS"/>
              </w:rPr>
              <w:t xml:space="preserve"> тржишта електричне енергије приказани у </w:t>
            </w:r>
            <w:r w:rsidR="000642D2" w:rsidRPr="00CF77C1">
              <w:rPr>
                <w:lang w:val="sr-Cyrl-RS"/>
              </w:rPr>
              <w:fldChar w:fldCharType="begin"/>
            </w:r>
            <w:r w:rsidR="000642D2" w:rsidRPr="00CF77C1">
              <w:rPr>
                <w:lang w:val="sr-Cyrl-RS"/>
              </w:rPr>
              <w:instrText xml:space="preserve"> REF _Ref468111634 \h  \* MERGEFORMAT </w:instrText>
            </w:r>
            <w:r w:rsidR="000642D2" w:rsidRPr="00CF77C1">
              <w:rPr>
                <w:lang w:val="sr-Cyrl-RS"/>
              </w:rPr>
            </w:r>
            <w:r w:rsidR="000642D2" w:rsidRPr="00CF77C1">
              <w:rPr>
                <w:lang w:val="sr-Cyrl-RS"/>
              </w:rPr>
              <w:fldChar w:fldCharType="separate"/>
            </w:r>
            <w:r w:rsidR="002D5918" w:rsidRPr="002D5918">
              <w:rPr>
                <w:lang w:val="sr-Cyrl-RS"/>
              </w:rPr>
              <w:t>таб. 2</w:t>
            </w:r>
            <w:r w:rsidR="000642D2" w:rsidRPr="00CF77C1">
              <w:rPr>
                <w:lang w:val="sr-Cyrl-RS"/>
              </w:rPr>
              <w:fldChar w:fldCharType="end"/>
            </w:r>
            <w:r w:rsidR="00AC2DD1" w:rsidRPr="00CF77C1">
              <w:rPr>
                <w:lang w:val="sr-Cyrl-RS"/>
              </w:rPr>
              <w:t>.</w:t>
            </w:r>
          </w:p>
        </w:tc>
      </w:tr>
      <w:tr w:rsidR="00AC2DD1" w:rsidRPr="00CF77C1" w14:paraId="75760F02" w14:textId="77777777" w:rsidTr="00F95FBD">
        <w:trPr>
          <w:cantSplit/>
        </w:trPr>
        <w:tc>
          <w:tcPr>
            <w:tcW w:w="3511" w:type="dxa"/>
            <w:vAlign w:val="center"/>
          </w:tcPr>
          <w:p w14:paraId="17324321" w14:textId="77777777" w:rsidR="00AC2DD1" w:rsidRPr="00CF77C1" w:rsidRDefault="00B849A5" w:rsidP="0080044B">
            <w:pPr>
              <w:jc w:val="left"/>
              <w:rPr>
                <w:lang w:val="sr-Cyrl-RS"/>
              </w:rPr>
            </w:pPr>
            <w:r w:rsidRPr="00CF77C1">
              <w:rPr>
                <w:lang w:val="sr-Cyrl-RS"/>
              </w:rPr>
              <w:t>У</w:t>
            </w:r>
            <w:r w:rsidR="00AC2DD1" w:rsidRPr="00CF77C1">
              <w:rPr>
                <w:lang w:val="sr-Cyrl-RS"/>
              </w:rPr>
              <w:t>саглашавање мрежних правила оператора преносног и дистрибутивног система сагласно</w:t>
            </w:r>
            <w:r w:rsidR="002E5A85" w:rsidRPr="00CF77C1">
              <w:rPr>
                <w:lang w:val="sr-Cyrl-RS"/>
              </w:rPr>
              <w:t xml:space="preserve"> Закону о енергетици</w:t>
            </w:r>
          </w:p>
        </w:tc>
        <w:tc>
          <w:tcPr>
            <w:tcW w:w="1559" w:type="dxa"/>
            <w:vAlign w:val="center"/>
          </w:tcPr>
          <w:p w14:paraId="7E45F591" w14:textId="77777777" w:rsidR="00AC2DD1" w:rsidRPr="00CF77C1" w:rsidRDefault="00AC2DD1" w:rsidP="0080044B">
            <w:pPr>
              <w:jc w:val="center"/>
              <w:rPr>
                <w:lang w:val="sr-Cyrl-RS"/>
              </w:rPr>
            </w:pPr>
            <w:r w:rsidRPr="00CF77C1">
              <w:rPr>
                <w:lang w:val="sr-Cyrl-RS"/>
              </w:rPr>
              <w:t>2017-2020.</w:t>
            </w:r>
          </w:p>
        </w:tc>
        <w:tc>
          <w:tcPr>
            <w:tcW w:w="1843" w:type="dxa"/>
            <w:vAlign w:val="center"/>
          </w:tcPr>
          <w:p w14:paraId="5CEABECD" w14:textId="7A15F205" w:rsidR="00AC2DD1" w:rsidRPr="00CF77C1" w:rsidRDefault="004149D6" w:rsidP="00D63C31">
            <w:pPr>
              <w:jc w:val="center"/>
              <w:rPr>
                <w:lang w:val="sr-Cyrl-RS"/>
              </w:rPr>
            </w:pPr>
            <w:r w:rsidRPr="00CF77C1">
              <w:rPr>
                <w:lang w:val="sr-Cyrl-RS"/>
              </w:rPr>
              <w:t xml:space="preserve">ОПС </w:t>
            </w:r>
            <w:r w:rsidR="00D63C31" w:rsidRPr="00CF77C1">
              <w:rPr>
                <w:lang w:val="sr-Cyrl-RS"/>
              </w:rPr>
              <w:t>ЕМС</w:t>
            </w:r>
            <w:r w:rsidR="00AC2DD1" w:rsidRPr="00CF77C1">
              <w:rPr>
                <w:lang w:val="sr-Cyrl-RS"/>
              </w:rPr>
              <w:t xml:space="preserve">, </w:t>
            </w:r>
            <w:r w:rsidRPr="00CF77C1">
              <w:rPr>
                <w:lang w:val="sr-Cyrl-RS"/>
              </w:rPr>
              <w:t xml:space="preserve">ОДС </w:t>
            </w:r>
            <w:r w:rsidR="006F2099" w:rsidRPr="00CF77C1">
              <w:rPr>
                <w:lang w:val="sr-Cyrl-RS"/>
              </w:rPr>
              <w:t>ЕПС Дистрибуција</w:t>
            </w:r>
            <w:r w:rsidR="00AC2DD1" w:rsidRPr="00CF77C1">
              <w:rPr>
                <w:lang w:val="sr-Cyrl-RS"/>
              </w:rPr>
              <w:t xml:space="preserve">, </w:t>
            </w:r>
            <w:r w:rsidR="00401D12">
              <w:rPr>
                <w:lang w:val="sr-Cyrl-RS"/>
              </w:rPr>
              <w:t>АЕРС</w:t>
            </w:r>
          </w:p>
        </w:tc>
        <w:tc>
          <w:tcPr>
            <w:tcW w:w="2658" w:type="dxa"/>
            <w:vAlign w:val="center"/>
          </w:tcPr>
          <w:p w14:paraId="34A69384" w14:textId="0EEE45AF" w:rsidR="00AC2DD1" w:rsidRPr="00CF77C1" w:rsidRDefault="00D61BC9" w:rsidP="0080044B">
            <w:pPr>
              <w:jc w:val="left"/>
              <w:rPr>
                <w:lang w:val="sr-Cyrl-RS"/>
              </w:rPr>
            </w:pPr>
            <w:r w:rsidRPr="00CF77C1">
              <w:rPr>
                <w:lang w:val="sr-Cyrl-RS"/>
              </w:rPr>
              <w:t xml:space="preserve">Индикатори развијености тржишта електричне енергије приказани у </w:t>
            </w:r>
            <w:r w:rsidR="000642D2" w:rsidRPr="00CF77C1">
              <w:rPr>
                <w:lang w:val="sr-Cyrl-RS"/>
              </w:rPr>
              <w:fldChar w:fldCharType="begin"/>
            </w:r>
            <w:r w:rsidR="000642D2" w:rsidRPr="00CF77C1">
              <w:rPr>
                <w:lang w:val="sr-Cyrl-RS"/>
              </w:rPr>
              <w:instrText xml:space="preserve"> REF _Ref468111634 \h  \* MERGEFORMAT </w:instrText>
            </w:r>
            <w:r w:rsidR="000642D2" w:rsidRPr="00CF77C1">
              <w:rPr>
                <w:lang w:val="sr-Cyrl-RS"/>
              </w:rPr>
            </w:r>
            <w:r w:rsidR="000642D2" w:rsidRPr="00CF77C1">
              <w:rPr>
                <w:lang w:val="sr-Cyrl-RS"/>
              </w:rPr>
              <w:fldChar w:fldCharType="separate"/>
            </w:r>
            <w:r w:rsidR="002D5918" w:rsidRPr="002D5918">
              <w:rPr>
                <w:lang w:val="sr-Cyrl-RS"/>
              </w:rPr>
              <w:t>таб. 2</w:t>
            </w:r>
            <w:r w:rsidR="000642D2" w:rsidRPr="00CF77C1">
              <w:rPr>
                <w:lang w:val="sr-Cyrl-RS"/>
              </w:rPr>
              <w:fldChar w:fldCharType="end"/>
            </w:r>
            <w:r w:rsidRPr="00CF77C1">
              <w:rPr>
                <w:lang w:val="sr-Cyrl-RS"/>
              </w:rPr>
              <w:t>.</w:t>
            </w:r>
          </w:p>
        </w:tc>
      </w:tr>
      <w:tr w:rsidR="000908F5" w:rsidRPr="00CF77C1" w14:paraId="6977D577" w14:textId="77777777" w:rsidTr="00F95FBD">
        <w:trPr>
          <w:cantSplit/>
        </w:trPr>
        <w:tc>
          <w:tcPr>
            <w:tcW w:w="3511" w:type="dxa"/>
            <w:vAlign w:val="center"/>
          </w:tcPr>
          <w:p w14:paraId="4D2ABAAF" w14:textId="05F8A165" w:rsidR="000908F5" w:rsidRPr="00CF77C1" w:rsidRDefault="000908F5" w:rsidP="00E105E2">
            <w:pPr>
              <w:jc w:val="left"/>
              <w:rPr>
                <w:lang w:val="sr-Cyrl-RS"/>
              </w:rPr>
            </w:pPr>
            <w:r w:rsidRPr="00CF77C1">
              <w:rPr>
                <w:lang w:val="sr-Cyrl-RS"/>
              </w:rPr>
              <w:t>Сп</w:t>
            </w:r>
            <w:r w:rsidR="00E105E2" w:rsidRPr="00CF77C1">
              <w:rPr>
                <w:lang w:val="sr-Cyrl-RS"/>
              </w:rPr>
              <w:t>ајање</w:t>
            </w:r>
            <w:r w:rsidRPr="00CF77C1">
              <w:rPr>
                <w:lang w:val="sr-Cyrl-RS"/>
              </w:rPr>
              <w:t xml:space="preserve"> тржишта (берзе) електричне енергије (market coupling) са тржиштима Црне Горе (1. фаза), 4MM</w:t>
            </w:r>
            <w:r w:rsidR="004149D6" w:rsidRPr="00CF77C1">
              <w:rPr>
                <w:lang w:val="sr-Cyrl-RS"/>
              </w:rPr>
              <w:t>C</w:t>
            </w:r>
            <w:r w:rsidRPr="00CF77C1">
              <w:rPr>
                <w:lang w:val="sr-Cyrl-RS"/>
              </w:rPr>
              <w:t xml:space="preserve"> (тржиштем Мађарске, Румуније, Чешке и Словачке) (2. фаза), Италије</w:t>
            </w:r>
            <w:r w:rsidR="00EC7E28" w:rsidRPr="00CF77C1">
              <w:rPr>
                <w:lang w:val="sr-Cyrl-RS"/>
              </w:rPr>
              <w:t xml:space="preserve"> </w:t>
            </w:r>
            <w:r w:rsidR="00CB6B1A" w:rsidRPr="00CF77C1">
              <w:rPr>
                <w:lang w:val="sr-Cyrl-RS"/>
              </w:rPr>
              <w:t>(3</w:t>
            </w:r>
            <w:r w:rsidRPr="00CF77C1">
              <w:rPr>
                <w:lang w:val="sr-Cyrl-RS"/>
              </w:rPr>
              <w:t>. фаза) и тржиштима Хрватске, Бугарске и Албаније (4. фаза)</w:t>
            </w:r>
          </w:p>
        </w:tc>
        <w:tc>
          <w:tcPr>
            <w:tcW w:w="1559" w:type="dxa"/>
            <w:vAlign w:val="center"/>
          </w:tcPr>
          <w:p w14:paraId="7B48A842" w14:textId="77777777" w:rsidR="000908F5" w:rsidRPr="00CF77C1" w:rsidRDefault="000908F5" w:rsidP="0080044B">
            <w:pPr>
              <w:jc w:val="center"/>
              <w:rPr>
                <w:lang w:val="sr-Cyrl-RS"/>
              </w:rPr>
            </w:pPr>
            <w:r w:rsidRPr="00CF77C1">
              <w:rPr>
                <w:lang w:val="sr-Cyrl-RS"/>
              </w:rPr>
              <w:t>2017. - Црна Гора</w:t>
            </w:r>
          </w:p>
          <w:p w14:paraId="2D6BE044" w14:textId="77777777" w:rsidR="000908F5" w:rsidRPr="00CF77C1" w:rsidRDefault="000908F5" w:rsidP="0080044B">
            <w:pPr>
              <w:jc w:val="center"/>
              <w:rPr>
                <w:lang w:val="sr-Cyrl-RS"/>
              </w:rPr>
            </w:pPr>
            <w:r w:rsidRPr="00CF77C1">
              <w:rPr>
                <w:lang w:val="sr-Cyrl-RS"/>
              </w:rPr>
              <w:t>2018. - 4MM</w:t>
            </w:r>
            <w:r w:rsidR="00D12D5E" w:rsidRPr="00CF77C1">
              <w:rPr>
                <w:lang w:val="sr-Cyrl-RS"/>
              </w:rPr>
              <w:t>C</w:t>
            </w:r>
          </w:p>
          <w:p w14:paraId="1E8766F3" w14:textId="77777777" w:rsidR="000908F5" w:rsidRPr="00CF77C1" w:rsidRDefault="000908F5" w:rsidP="0080044B">
            <w:pPr>
              <w:jc w:val="center"/>
              <w:rPr>
                <w:lang w:val="sr-Cyrl-RS"/>
              </w:rPr>
            </w:pPr>
            <w:r w:rsidRPr="00CF77C1">
              <w:rPr>
                <w:lang w:val="sr-Cyrl-RS"/>
              </w:rPr>
              <w:t>2020. - Италија</w:t>
            </w:r>
          </w:p>
          <w:p w14:paraId="4B852E60" w14:textId="77777777" w:rsidR="000908F5" w:rsidRPr="00CF77C1" w:rsidRDefault="000908F5" w:rsidP="0080044B">
            <w:pPr>
              <w:jc w:val="center"/>
              <w:rPr>
                <w:lang w:val="sr-Cyrl-RS"/>
              </w:rPr>
            </w:pPr>
            <w:r w:rsidRPr="00CF77C1">
              <w:rPr>
                <w:lang w:val="sr-Cyrl-RS"/>
              </w:rPr>
              <w:t>2023. - Хрватска, Бугарска и Албанија</w:t>
            </w:r>
          </w:p>
        </w:tc>
        <w:tc>
          <w:tcPr>
            <w:tcW w:w="1843" w:type="dxa"/>
            <w:vAlign w:val="center"/>
          </w:tcPr>
          <w:p w14:paraId="4F50F842" w14:textId="77777777" w:rsidR="000908F5" w:rsidRPr="00CF77C1" w:rsidRDefault="000908F5" w:rsidP="0080044B">
            <w:pPr>
              <w:jc w:val="center"/>
              <w:rPr>
                <w:lang w:val="sr-Cyrl-RS"/>
              </w:rPr>
            </w:pPr>
            <w:r w:rsidRPr="00CF77C1">
              <w:rPr>
                <w:lang w:val="sr-Cyrl-RS"/>
              </w:rPr>
              <w:t>SEEPEX</w:t>
            </w:r>
          </w:p>
        </w:tc>
        <w:tc>
          <w:tcPr>
            <w:tcW w:w="2658" w:type="dxa"/>
            <w:vAlign w:val="center"/>
          </w:tcPr>
          <w:p w14:paraId="7050DE94" w14:textId="5AAD532F" w:rsidR="000908F5" w:rsidRPr="00CF77C1" w:rsidRDefault="00D61BC9" w:rsidP="00E105E2">
            <w:pPr>
              <w:jc w:val="left"/>
              <w:rPr>
                <w:lang w:val="sr-Cyrl-RS"/>
              </w:rPr>
            </w:pPr>
            <w:r w:rsidRPr="00CF77C1">
              <w:rPr>
                <w:lang w:val="sr-Cyrl-RS"/>
              </w:rPr>
              <w:t xml:space="preserve">Индикатори развијености тржишта електричне енергије приказани у </w:t>
            </w:r>
            <w:r w:rsidR="000642D2" w:rsidRPr="00CF77C1">
              <w:rPr>
                <w:lang w:val="sr-Cyrl-RS"/>
              </w:rPr>
              <w:fldChar w:fldCharType="begin"/>
            </w:r>
            <w:r w:rsidR="000642D2" w:rsidRPr="00CF77C1">
              <w:rPr>
                <w:lang w:val="sr-Cyrl-RS"/>
              </w:rPr>
              <w:instrText xml:space="preserve"> REF _Ref468111634 \h  \* MERGEFORMAT </w:instrText>
            </w:r>
            <w:r w:rsidR="000642D2" w:rsidRPr="00CF77C1">
              <w:rPr>
                <w:lang w:val="sr-Cyrl-RS"/>
              </w:rPr>
            </w:r>
            <w:r w:rsidR="000642D2" w:rsidRPr="00CF77C1">
              <w:rPr>
                <w:lang w:val="sr-Cyrl-RS"/>
              </w:rPr>
              <w:fldChar w:fldCharType="separate"/>
            </w:r>
            <w:r w:rsidR="002D5918" w:rsidRPr="002D5918">
              <w:rPr>
                <w:lang w:val="sr-Cyrl-RS"/>
              </w:rPr>
              <w:t>таб. 2</w:t>
            </w:r>
            <w:r w:rsidR="000642D2" w:rsidRPr="00CF77C1">
              <w:rPr>
                <w:lang w:val="sr-Cyrl-RS"/>
              </w:rPr>
              <w:fldChar w:fldCharType="end"/>
            </w:r>
            <w:r w:rsidRPr="00CF77C1">
              <w:rPr>
                <w:lang w:val="sr-Cyrl-RS"/>
              </w:rPr>
              <w:t>.</w:t>
            </w:r>
            <w:r w:rsidR="000908F5" w:rsidRPr="00CF77C1">
              <w:rPr>
                <w:lang w:val="sr-Cyrl-RS"/>
              </w:rPr>
              <w:t xml:space="preserve"> и завршени процеси </w:t>
            </w:r>
            <w:r w:rsidR="00E105E2" w:rsidRPr="00CF77C1">
              <w:rPr>
                <w:lang w:val="sr-Cyrl-RS"/>
              </w:rPr>
              <w:t>спајања</w:t>
            </w:r>
            <w:r w:rsidR="000908F5" w:rsidRPr="00CF77C1">
              <w:rPr>
                <w:lang w:val="sr-Cyrl-RS"/>
              </w:rPr>
              <w:t xml:space="preserve"> тржишта.</w:t>
            </w:r>
          </w:p>
        </w:tc>
      </w:tr>
      <w:tr w:rsidR="00874658" w:rsidRPr="00CF77C1" w14:paraId="3A236319" w14:textId="77777777" w:rsidTr="00F95FBD">
        <w:trPr>
          <w:cantSplit/>
        </w:trPr>
        <w:tc>
          <w:tcPr>
            <w:tcW w:w="3511" w:type="dxa"/>
            <w:vAlign w:val="center"/>
          </w:tcPr>
          <w:p w14:paraId="35452041" w14:textId="77777777" w:rsidR="00874658" w:rsidRPr="00CF77C1" w:rsidRDefault="00874658" w:rsidP="0080044B">
            <w:pPr>
              <w:jc w:val="left"/>
              <w:rPr>
                <w:lang w:val="sr-Cyrl-RS"/>
              </w:rPr>
            </w:pPr>
            <w:r w:rsidRPr="00CF77C1">
              <w:rPr>
                <w:lang w:val="sr-Cyrl-RS"/>
              </w:rPr>
              <w:t>Доношење подзаконских аката у складу са Законом о ефикасном коришћењу енергије у домену електроенергетике</w:t>
            </w:r>
          </w:p>
        </w:tc>
        <w:tc>
          <w:tcPr>
            <w:tcW w:w="1559" w:type="dxa"/>
            <w:vAlign w:val="center"/>
          </w:tcPr>
          <w:p w14:paraId="37F33847" w14:textId="77777777" w:rsidR="00874658" w:rsidRPr="00CF77C1" w:rsidRDefault="00874658" w:rsidP="0080044B">
            <w:pPr>
              <w:jc w:val="center"/>
              <w:rPr>
                <w:lang w:val="sr-Cyrl-RS"/>
              </w:rPr>
            </w:pPr>
            <w:r w:rsidRPr="00CF77C1">
              <w:rPr>
                <w:lang w:val="sr-Cyrl-RS"/>
              </w:rPr>
              <w:t>2017.</w:t>
            </w:r>
          </w:p>
        </w:tc>
        <w:tc>
          <w:tcPr>
            <w:tcW w:w="1843" w:type="dxa"/>
            <w:vAlign w:val="center"/>
          </w:tcPr>
          <w:p w14:paraId="08C2CD65" w14:textId="5EC8E1AA" w:rsidR="00874658" w:rsidRPr="00CF77C1" w:rsidRDefault="001741AC" w:rsidP="0080044B">
            <w:pPr>
              <w:jc w:val="center"/>
              <w:rPr>
                <w:lang w:val="sr-Cyrl-RS"/>
              </w:rPr>
            </w:pPr>
            <w:r w:rsidRPr="00CF77C1">
              <w:rPr>
                <w:lang w:val="sr-Cyrl-RS"/>
              </w:rPr>
              <w:t>м</w:t>
            </w:r>
            <w:r w:rsidR="005C650D" w:rsidRPr="00CF77C1">
              <w:rPr>
                <w:lang w:val="sr-Cyrl-RS"/>
              </w:rPr>
              <w:t>инистарство надлежно за послове</w:t>
            </w:r>
            <w:r w:rsidR="00874658" w:rsidRPr="00CF77C1">
              <w:rPr>
                <w:lang w:val="sr-Cyrl-RS"/>
              </w:rPr>
              <w:t xml:space="preserve"> рударства и енергетике</w:t>
            </w:r>
          </w:p>
        </w:tc>
        <w:tc>
          <w:tcPr>
            <w:tcW w:w="2658" w:type="dxa"/>
            <w:vAlign w:val="center"/>
          </w:tcPr>
          <w:p w14:paraId="344E47C0" w14:textId="6488F4E4" w:rsidR="00874658" w:rsidRPr="00CF77C1" w:rsidRDefault="00874658" w:rsidP="005304DE">
            <w:pPr>
              <w:jc w:val="left"/>
              <w:rPr>
                <w:lang w:val="sr-Cyrl-RS"/>
              </w:rPr>
            </w:pPr>
            <w:r w:rsidRPr="00CF77C1">
              <w:rPr>
                <w:lang w:val="sr-Cyrl-RS"/>
              </w:rPr>
              <w:t xml:space="preserve">Доношење </w:t>
            </w:r>
            <w:r w:rsidR="00FB613F" w:rsidRPr="00CF77C1">
              <w:rPr>
                <w:lang w:val="sr-Cyrl-RS"/>
              </w:rPr>
              <w:t xml:space="preserve">уредбе </w:t>
            </w:r>
            <w:r w:rsidRPr="00CF77C1">
              <w:rPr>
                <w:lang w:val="sr-Cyrl-RS"/>
              </w:rPr>
              <w:t xml:space="preserve">и </w:t>
            </w:r>
            <w:r w:rsidR="00FB613F" w:rsidRPr="00CF77C1">
              <w:rPr>
                <w:lang w:val="sr-Cyrl-RS"/>
              </w:rPr>
              <w:t xml:space="preserve">правилника </w:t>
            </w:r>
            <w:r w:rsidRPr="00CF77C1">
              <w:rPr>
                <w:lang w:val="sr-Cyrl-RS"/>
              </w:rPr>
              <w:t>којим се прописују минимални захтеви енергетске ефикасности за нова и реконструисана постројења за производњу, пренос и дистрибуцију електричне и топлотне енергије.</w:t>
            </w:r>
            <w:r w:rsidR="005304DE" w:rsidRPr="00CF77C1">
              <w:rPr>
                <w:lang w:val="sr-Cyrl-RS"/>
              </w:rPr>
              <w:t xml:space="preserve"> Ова активност директно утиче на индикаторе смањења губитака у сектору дистрибуције електричне енергије приказане у </w:t>
            </w:r>
            <w:r w:rsidR="005304DE" w:rsidRPr="00CF77C1">
              <w:rPr>
                <w:lang w:val="sr-Cyrl-RS"/>
              </w:rPr>
              <w:fldChar w:fldCharType="begin"/>
            </w:r>
            <w:r w:rsidR="005304DE" w:rsidRPr="00CF77C1">
              <w:rPr>
                <w:lang w:val="sr-Cyrl-RS"/>
              </w:rPr>
              <w:instrText xml:space="preserve"> REF _Ref495483192 \h  \* MERGEFORMAT </w:instrText>
            </w:r>
            <w:r w:rsidR="005304DE" w:rsidRPr="00CF77C1">
              <w:rPr>
                <w:lang w:val="sr-Cyrl-RS"/>
              </w:rPr>
            </w:r>
            <w:r w:rsidR="005304DE" w:rsidRPr="00CF77C1">
              <w:rPr>
                <w:lang w:val="sr-Cyrl-RS"/>
              </w:rPr>
              <w:fldChar w:fldCharType="separate"/>
            </w:r>
            <w:r w:rsidR="002D5918" w:rsidRPr="002D5918">
              <w:rPr>
                <w:lang w:val="sr-Cyrl-RS"/>
              </w:rPr>
              <w:t xml:space="preserve">таб. </w:t>
            </w:r>
            <w:r w:rsidR="002D5918" w:rsidRPr="002D5918">
              <w:rPr>
                <w:noProof/>
                <w:lang w:val="sr-Cyrl-RS"/>
              </w:rPr>
              <w:t>3</w:t>
            </w:r>
            <w:r w:rsidR="005304DE" w:rsidRPr="00CF77C1">
              <w:rPr>
                <w:lang w:val="sr-Cyrl-RS"/>
              </w:rPr>
              <w:fldChar w:fldCharType="end"/>
            </w:r>
            <w:r w:rsidR="005304DE" w:rsidRPr="00CF77C1">
              <w:rPr>
                <w:lang w:val="sr-Cyrl-RS"/>
              </w:rPr>
              <w:t xml:space="preserve"> и реализацију циља </w:t>
            </w:r>
            <w:r w:rsidR="005304DE" w:rsidRPr="00CF77C1">
              <w:rPr>
                <w:lang w:val="sr-Cyrl-RS"/>
              </w:rPr>
              <w:fldChar w:fldCharType="begin"/>
            </w:r>
            <w:r w:rsidR="005304DE" w:rsidRPr="00CF77C1">
              <w:rPr>
                <w:lang w:val="sr-Cyrl-RS"/>
              </w:rPr>
              <w:instrText xml:space="preserve"> REF EE_Cilj_5 \h  \* MERGEFORMAT </w:instrText>
            </w:r>
            <w:r w:rsidR="005304DE" w:rsidRPr="00CF77C1">
              <w:rPr>
                <w:lang w:val="sr-Cyrl-RS"/>
              </w:rPr>
            </w:r>
            <w:r w:rsidR="005304DE" w:rsidRPr="00CF77C1">
              <w:rPr>
                <w:lang w:val="sr-Cyrl-RS"/>
              </w:rPr>
              <w:fldChar w:fldCharType="separate"/>
            </w:r>
            <w:r w:rsidR="002D5918" w:rsidRPr="00CF77C1">
              <w:rPr>
                <w:lang w:val="sr-Cyrl-RS"/>
              </w:rPr>
              <w:t>Ц.Е.5. Стварање могућности за нето извоз електричне енергије</w:t>
            </w:r>
            <w:r w:rsidR="005304DE" w:rsidRPr="00CF77C1">
              <w:rPr>
                <w:lang w:val="sr-Cyrl-RS"/>
              </w:rPr>
              <w:fldChar w:fldCharType="end"/>
            </w:r>
          </w:p>
        </w:tc>
      </w:tr>
      <w:tr w:rsidR="00874658" w:rsidRPr="00CF77C1" w14:paraId="2262CE0C" w14:textId="77777777" w:rsidTr="00F95FBD">
        <w:trPr>
          <w:cantSplit/>
        </w:trPr>
        <w:tc>
          <w:tcPr>
            <w:tcW w:w="3511" w:type="dxa"/>
            <w:vAlign w:val="center"/>
          </w:tcPr>
          <w:p w14:paraId="7A9D8175" w14:textId="77777777" w:rsidR="00874658" w:rsidRPr="00CF77C1" w:rsidRDefault="00874658" w:rsidP="0080044B">
            <w:pPr>
              <w:jc w:val="left"/>
              <w:rPr>
                <w:lang w:val="sr-Cyrl-RS"/>
              </w:rPr>
            </w:pPr>
            <w:r w:rsidRPr="00CF77C1">
              <w:rPr>
                <w:lang w:val="sr-Cyrl-RS"/>
              </w:rPr>
              <w:t>Унапређење енергетске ефикасности у сектору производње електричне енергије кроз унапређење техничке ефикасности парних котлова и турбопостројења</w:t>
            </w:r>
            <w:r w:rsidR="002E5A85" w:rsidRPr="00CF77C1">
              <w:rPr>
                <w:lang w:val="sr-Cyrl-RS"/>
              </w:rPr>
              <w:t xml:space="preserve"> и осталих постројења</w:t>
            </w:r>
            <w:r w:rsidRPr="00CF77C1">
              <w:rPr>
                <w:lang w:val="sr-Cyrl-RS"/>
              </w:rPr>
              <w:t xml:space="preserve"> у складу са мерама прописаних Акционим планом за енергетску ефикасност</w:t>
            </w:r>
          </w:p>
        </w:tc>
        <w:tc>
          <w:tcPr>
            <w:tcW w:w="1559" w:type="dxa"/>
            <w:vAlign w:val="center"/>
          </w:tcPr>
          <w:p w14:paraId="077C5B5F" w14:textId="77777777" w:rsidR="00874658" w:rsidRPr="00CF77C1" w:rsidRDefault="00874658" w:rsidP="0080044B">
            <w:pPr>
              <w:jc w:val="center"/>
              <w:rPr>
                <w:lang w:val="sr-Cyrl-RS"/>
              </w:rPr>
            </w:pPr>
            <w:r w:rsidRPr="00CF77C1">
              <w:rPr>
                <w:lang w:val="sr-Cyrl-RS"/>
              </w:rPr>
              <w:t>2017-2023.</w:t>
            </w:r>
          </w:p>
        </w:tc>
        <w:tc>
          <w:tcPr>
            <w:tcW w:w="1843" w:type="dxa"/>
            <w:vAlign w:val="center"/>
          </w:tcPr>
          <w:p w14:paraId="48C9F459" w14:textId="77777777" w:rsidR="00874658" w:rsidRPr="00CF77C1" w:rsidRDefault="00874658" w:rsidP="0080044B">
            <w:pPr>
              <w:jc w:val="center"/>
              <w:rPr>
                <w:lang w:val="sr-Cyrl-RS"/>
              </w:rPr>
            </w:pPr>
            <w:r w:rsidRPr="00CF77C1">
              <w:rPr>
                <w:lang w:val="sr-Cyrl-RS"/>
              </w:rPr>
              <w:t>ЕПС</w:t>
            </w:r>
          </w:p>
        </w:tc>
        <w:tc>
          <w:tcPr>
            <w:tcW w:w="2658" w:type="dxa"/>
            <w:vAlign w:val="center"/>
          </w:tcPr>
          <w:p w14:paraId="06AFD3F3" w14:textId="2BDFA3E1" w:rsidR="00874658" w:rsidRPr="00CF77C1" w:rsidRDefault="00874658" w:rsidP="0080044B">
            <w:pPr>
              <w:jc w:val="left"/>
              <w:rPr>
                <w:lang w:val="sr-Cyrl-RS"/>
              </w:rPr>
            </w:pPr>
            <w:r w:rsidRPr="00CF77C1">
              <w:rPr>
                <w:lang w:val="sr-Cyrl-RS"/>
              </w:rPr>
              <w:t>Вредности степена корисности нових и реконструисаних термоенергетских постројења у складу са будућом Уредбом о минималним захтевима енергетске ефикасности.</w:t>
            </w:r>
            <w:r w:rsidR="005304DE" w:rsidRPr="00CF77C1">
              <w:rPr>
                <w:lang w:val="sr-Cyrl-RS"/>
              </w:rPr>
              <w:t xml:space="preserve"> Ова активност директно утиче на реализацију циља </w:t>
            </w:r>
            <w:r w:rsidR="005304DE" w:rsidRPr="00CF77C1">
              <w:rPr>
                <w:lang w:val="sr-Cyrl-RS"/>
              </w:rPr>
              <w:fldChar w:fldCharType="begin"/>
            </w:r>
            <w:r w:rsidR="005304DE" w:rsidRPr="00CF77C1">
              <w:rPr>
                <w:lang w:val="sr-Cyrl-RS"/>
              </w:rPr>
              <w:instrText xml:space="preserve"> REF EE_Cilj_5 \h  \* MERGEFORMAT </w:instrText>
            </w:r>
            <w:r w:rsidR="005304DE" w:rsidRPr="00CF77C1">
              <w:rPr>
                <w:lang w:val="sr-Cyrl-RS"/>
              </w:rPr>
            </w:r>
            <w:r w:rsidR="005304DE" w:rsidRPr="00CF77C1">
              <w:rPr>
                <w:lang w:val="sr-Cyrl-RS"/>
              </w:rPr>
              <w:fldChar w:fldCharType="separate"/>
            </w:r>
            <w:r w:rsidR="002D5918" w:rsidRPr="00CF77C1">
              <w:rPr>
                <w:lang w:val="sr-Cyrl-RS"/>
              </w:rPr>
              <w:t>Ц.Е.5. Стварање могућности за нето извоз електричне енергије</w:t>
            </w:r>
            <w:r w:rsidR="005304DE" w:rsidRPr="00CF77C1">
              <w:rPr>
                <w:lang w:val="sr-Cyrl-RS"/>
              </w:rPr>
              <w:fldChar w:fldCharType="end"/>
            </w:r>
          </w:p>
        </w:tc>
      </w:tr>
      <w:tr w:rsidR="00965EBA" w:rsidRPr="00CF77C1" w14:paraId="12D79559" w14:textId="77777777" w:rsidTr="00F95FBD">
        <w:trPr>
          <w:cantSplit/>
        </w:trPr>
        <w:tc>
          <w:tcPr>
            <w:tcW w:w="3511" w:type="dxa"/>
            <w:vAlign w:val="center"/>
          </w:tcPr>
          <w:p w14:paraId="30E65298" w14:textId="035E4B9E" w:rsidR="00965EBA" w:rsidRPr="00CF77C1" w:rsidRDefault="00965EBA" w:rsidP="00965EBA">
            <w:pPr>
              <w:jc w:val="left"/>
              <w:rPr>
                <w:lang w:val="sr-Cyrl-RS"/>
              </w:rPr>
            </w:pPr>
            <w:r w:rsidRPr="00CF77C1">
              <w:rPr>
                <w:lang w:val="sr-Cyrl-RS"/>
              </w:rPr>
              <w:t>Укључивање поступка издавања енергетске дозволе за изградњу објеката за производњу снаге 1 MW и више, или снаге мање од 1 MW који користе воду као примарни енергетски ресурс, објеката за комбиновану производњу електричне и топлотне енергије и директних далековода у електронске услуге Е-портала</w:t>
            </w:r>
          </w:p>
        </w:tc>
        <w:tc>
          <w:tcPr>
            <w:tcW w:w="1559" w:type="dxa"/>
            <w:vAlign w:val="center"/>
          </w:tcPr>
          <w:p w14:paraId="0EFB515C" w14:textId="772F0DF3" w:rsidR="00965EBA" w:rsidRPr="00CF77C1" w:rsidRDefault="00965EBA" w:rsidP="0080044B">
            <w:pPr>
              <w:jc w:val="center"/>
              <w:rPr>
                <w:lang w:val="sr-Cyrl-RS"/>
              </w:rPr>
            </w:pPr>
            <w:r w:rsidRPr="00CF77C1">
              <w:rPr>
                <w:lang w:val="sr-Cyrl-RS"/>
              </w:rPr>
              <w:t>2018.</w:t>
            </w:r>
          </w:p>
        </w:tc>
        <w:tc>
          <w:tcPr>
            <w:tcW w:w="1843" w:type="dxa"/>
            <w:vAlign w:val="center"/>
          </w:tcPr>
          <w:p w14:paraId="5A6CFC7B" w14:textId="069422D0" w:rsidR="00965EBA" w:rsidRPr="00CF77C1" w:rsidRDefault="000763D5" w:rsidP="0080044B">
            <w:pPr>
              <w:jc w:val="center"/>
              <w:rPr>
                <w:lang w:val="sr-Cyrl-RS"/>
              </w:rPr>
            </w:pPr>
            <w:r w:rsidRPr="00CF77C1">
              <w:rPr>
                <w:lang w:val="sr-Cyrl-RS"/>
              </w:rPr>
              <w:t>м</w:t>
            </w:r>
            <w:r w:rsidR="00965EBA" w:rsidRPr="00CF77C1">
              <w:rPr>
                <w:lang w:val="sr-Cyrl-RS"/>
              </w:rPr>
              <w:t xml:space="preserve">инистарство надлежно за послове рударства и енергетике, </w:t>
            </w:r>
            <w:r w:rsidR="00D41EC7" w:rsidRPr="00CF77C1">
              <w:rPr>
                <w:lang w:val="sr-Cyrl-RS"/>
              </w:rPr>
              <w:t>Канцеларија за информационе технологије и електронску управу</w:t>
            </w:r>
            <w:r w:rsidR="00965EBA" w:rsidRPr="00CF77C1">
              <w:rPr>
                <w:lang w:val="sr-Cyrl-RS"/>
              </w:rPr>
              <w:t>, Привредна комора Србије</w:t>
            </w:r>
          </w:p>
        </w:tc>
        <w:tc>
          <w:tcPr>
            <w:tcW w:w="2658" w:type="dxa"/>
            <w:vAlign w:val="center"/>
          </w:tcPr>
          <w:p w14:paraId="221ECE28" w14:textId="4A439678" w:rsidR="00965EBA" w:rsidRPr="00CF77C1" w:rsidRDefault="00965EBA" w:rsidP="005304DE">
            <w:pPr>
              <w:jc w:val="left"/>
              <w:rPr>
                <w:lang w:val="sr-Cyrl-RS"/>
              </w:rPr>
            </w:pPr>
            <w:r w:rsidRPr="00CF77C1">
              <w:rPr>
                <w:lang w:val="sr-Cyrl-RS"/>
              </w:rPr>
              <w:t>Успостављена електронска услуга на порталу Е-управе</w:t>
            </w:r>
            <w:r w:rsidR="005304DE" w:rsidRPr="00CF77C1">
              <w:rPr>
                <w:lang w:val="sr-Cyrl-RS"/>
              </w:rPr>
              <w:t xml:space="preserve">. Ова активност директно утиче на индикаторе развијености тржишта електричне енергије приказане у </w:t>
            </w:r>
            <w:r w:rsidR="005304DE" w:rsidRPr="00CF77C1">
              <w:rPr>
                <w:lang w:val="sr-Cyrl-RS"/>
              </w:rPr>
              <w:fldChar w:fldCharType="begin"/>
            </w:r>
            <w:r w:rsidR="005304DE" w:rsidRPr="00CF77C1">
              <w:rPr>
                <w:lang w:val="sr-Cyrl-RS"/>
              </w:rPr>
              <w:instrText xml:space="preserve"> REF _Ref468111634 \h  \* MERGEFORMAT </w:instrText>
            </w:r>
            <w:r w:rsidR="005304DE" w:rsidRPr="00CF77C1">
              <w:rPr>
                <w:lang w:val="sr-Cyrl-RS"/>
              </w:rPr>
            </w:r>
            <w:r w:rsidR="005304DE" w:rsidRPr="00CF77C1">
              <w:rPr>
                <w:lang w:val="sr-Cyrl-RS"/>
              </w:rPr>
              <w:fldChar w:fldCharType="separate"/>
            </w:r>
            <w:r w:rsidR="002D5918" w:rsidRPr="002D5918">
              <w:rPr>
                <w:lang w:val="sr-Cyrl-RS"/>
              </w:rPr>
              <w:t>таб. 2</w:t>
            </w:r>
            <w:r w:rsidR="005304DE" w:rsidRPr="00CF77C1">
              <w:rPr>
                <w:lang w:val="sr-Cyrl-RS"/>
              </w:rPr>
              <w:fldChar w:fldCharType="end"/>
            </w:r>
            <w:r w:rsidR="00DF4326" w:rsidRPr="00CF77C1">
              <w:rPr>
                <w:lang w:val="sr-Cyrl-RS"/>
              </w:rPr>
              <w:t xml:space="preserve"> и реализацију циља </w:t>
            </w:r>
            <w:r w:rsidR="00DF4326" w:rsidRPr="00CF77C1">
              <w:rPr>
                <w:lang w:val="sr-Cyrl-RS"/>
              </w:rPr>
              <w:fldChar w:fldCharType="begin"/>
            </w:r>
            <w:r w:rsidR="00DF4326" w:rsidRPr="00CF77C1">
              <w:rPr>
                <w:lang w:val="sr-Cyrl-RS"/>
              </w:rPr>
              <w:instrText xml:space="preserve"> REF EE_Cilj_5 \h  \* MERGEFORMAT </w:instrText>
            </w:r>
            <w:r w:rsidR="00DF4326" w:rsidRPr="00CF77C1">
              <w:rPr>
                <w:lang w:val="sr-Cyrl-RS"/>
              </w:rPr>
            </w:r>
            <w:r w:rsidR="00DF4326" w:rsidRPr="00CF77C1">
              <w:rPr>
                <w:lang w:val="sr-Cyrl-RS"/>
              </w:rPr>
              <w:fldChar w:fldCharType="separate"/>
            </w:r>
            <w:r w:rsidR="002D5918" w:rsidRPr="00CF77C1">
              <w:rPr>
                <w:lang w:val="sr-Cyrl-RS"/>
              </w:rPr>
              <w:t>Ц.Е.5. Стварање могућности за нето извоз електричне енергије</w:t>
            </w:r>
            <w:r w:rsidR="00DF4326" w:rsidRPr="00CF77C1">
              <w:rPr>
                <w:lang w:val="sr-Cyrl-RS"/>
              </w:rPr>
              <w:fldChar w:fldCharType="end"/>
            </w:r>
          </w:p>
        </w:tc>
      </w:tr>
      <w:tr w:rsidR="00AD45D9" w:rsidRPr="00CF77C1" w14:paraId="01B497EE" w14:textId="77777777" w:rsidTr="00F95FBD">
        <w:trPr>
          <w:cantSplit/>
        </w:trPr>
        <w:tc>
          <w:tcPr>
            <w:tcW w:w="3511" w:type="dxa"/>
            <w:vAlign w:val="center"/>
          </w:tcPr>
          <w:p w14:paraId="4D2C0489" w14:textId="208BB123" w:rsidR="00AD45D9" w:rsidRPr="00CF77C1" w:rsidRDefault="00AD45D9" w:rsidP="00965EBA">
            <w:pPr>
              <w:jc w:val="left"/>
              <w:rPr>
                <w:lang w:val="sr-Cyrl-RS"/>
              </w:rPr>
            </w:pPr>
            <w:r w:rsidRPr="00CF77C1">
              <w:rPr>
                <w:lang w:val="sr-Cyrl-RS"/>
              </w:rPr>
              <w:t>Израда студије којом би се сагледала потреба увођења једног од модела капацитативног механизма и дефинисали даљи кораци и активности на његовој евентуалној примени</w:t>
            </w:r>
          </w:p>
        </w:tc>
        <w:tc>
          <w:tcPr>
            <w:tcW w:w="1559" w:type="dxa"/>
            <w:vAlign w:val="center"/>
          </w:tcPr>
          <w:p w14:paraId="2CB6ED5D" w14:textId="2A1751ED" w:rsidR="00AD45D9" w:rsidRPr="00CF77C1" w:rsidRDefault="00AD45D9" w:rsidP="0080044B">
            <w:pPr>
              <w:jc w:val="center"/>
              <w:rPr>
                <w:lang w:val="sr-Cyrl-RS"/>
              </w:rPr>
            </w:pPr>
            <w:r w:rsidRPr="00CF77C1">
              <w:rPr>
                <w:lang w:val="sr-Cyrl-RS"/>
              </w:rPr>
              <w:t>2019.</w:t>
            </w:r>
          </w:p>
        </w:tc>
        <w:tc>
          <w:tcPr>
            <w:tcW w:w="1843" w:type="dxa"/>
            <w:vAlign w:val="center"/>
          </w:tcPr>
          <w:p w14:paraId="00BCCA5A" w14:textId="5E9041CB" w:rsidR="00AD45D9" w:rsidRPr="00CF77C1" w:rsidRDefault="000763D5" w:rsidP="0080044B">
            <w:pPr>
              <w:jc w:val="center"/>
              <w:rPr>
                <w:lang w:val="sr-Cyrl-RS"/>
              </w:rPr>
            </w:pPr>
            <w:r w:rsidRPr="00CF77C1">
              <w:rPr>
                <w:lang w:val="sr-Cyrl-RS"/>
              </w:rPr>
              <w:t>м</w:t>
            </w:r>
            <w:r w:rsidR="00AD45D9" w:rsidRPr="00CF77C1">
              <w:rPr>
                <w:lang w:val="sr-Cyrl-RS"/>
              </w:rPr>
              <w:t>инистарство надлежно за послове рударства и енергетике</w:t>
            </w:r>
          </w:p>
        </w:tc>
        <w:tc>
          <w:tcPr>
            <w:tcW w:w="2658" w:type="dxa"/>
            <w:vAlign w:val="center"/>
          </w:tcPr>
          <w:p w14:paraId="65AB8FB2" w14:textId="4A9D7792" w:rsidR="00AD45D9" w:rsidRPr="00CF77C1" w:rsidRDefault="00AD45D9" w:rsidP="0080044B">
            <w:pPr>
              <w:jc w:val="left"/>
              <w:rPr>
                <w:lang w:val="sr-Cyrl-RS"/>
              </w:rPr>
            </w:pPr>
            <w:r w:rsidRPr="00CF77C1">
              <w:rPr>
                <w:lang w:val="sr-Cyrl-RS"/>
              </w:rPr>
              <w:t>Израђена студија у којој су сагледани различити модели примене капацитативног механизма, изабрано оптимално решење и дефинисани даље активности и кораци у његовој примени</w:t>
            </w:r>
            <w:r w:rsidR="005304DE" w:rsidRPr="00CF77C1">
              <w:rPr>
                <w:lang w:val="sr-Cyrl-RS"/>
              </w:rPr>
              <w:t xml:space="preserve">. Ова активност директно утиче на реализацију циља </w:t>
            </w:r>
            <w:r w:rsidR="005304DE" w:rsidRPr="00CF77C1">
              <w:rPr>
                <w:lang w:val="sr-Cyrl-RS"/>
              </w:rPr>
              <w:fldChar w:fldCharType="begin"/>
            </w:r>
            <w:r w:rsidR="005304DE" w:rsidRPr="00CF77C1">
              <w:rPr>
                <w:lang w:val="sr-Cyrl-RS"/>
              </w:rPr>
              <w:instrText xml:space="preserve"> REF EE_Cilj_5 \h  \* MERGEFORMAT </w:instrText>
            </w:r>
            <w:r w:rsidR="005304DE" w:rsidRPr="00CF77C1">
              <w:rPr>
                <w:lang w:val="sr-Cyrl-RS"/>
              </w:rPr>
            </w:r>
            <w:r w:rsidR="005304DE" w:rsidRPr="00CF77C1">
              <w:rPr>
                <w:lang w:val="sr-Cyrl-RS"/>
              </w:rPr>
              <w:fldChar w:fldCharType="separate"/>
            </w:r>
            <w:r w:rsidR="002D5918" w:rsidRPr="00CF77C1">
              <w:rPr>
                <w:lang w:val="sr-Cyrl-RS"/>
              </w:rPr>
              <w:t>Ц.Е.5. Стварање могућности за нето извоз електричне енергије</w:t>
            </w:r>
            <w:r w:rsidR="005304DE" w:rsidRPr="00CF77C1">
              <w:rPr>
                <w:lang w:val="sr-Cyrl-RS"/>
              </w:rPr>
              <w:fldChar w:fldCharType="end"/>
            </w:r>
          </w:p>
        </w:tc>
      </w:tr>
    </w:tbl>
    <w:p w14:paraId="438761C0" w14:textId="3EBBEEF1" w:rsidR="00AC2DD1" w:rsidRPr="00CF77C1" w:rsidRDefault="006F2099" w:rsidP="00656F74">
      <w:pPr>
        <w:ind w:firstLine="720"/>
        <w:rPr>
          <w:lang w:val="sr-Cyrl-RS"/>
        </w:rPr>
      </w:pPr>
      <w:r w:rsidRPr="00CF77C1">
        <w:rPr>
          <w:lang w:val="sr-Cyrl-RS"/>
        </w:rPr>
        <w:t>У складу са одредбама Закона о енергетици планирана</w:t>
      </w:r>
      <w:r w:rsidR="00AC2DD1" w:rsidRPr="00CF77C1">
        <w:rPr>
          <w:lang w:val="sr-Cyrl-RS"/>
        </w:rPr>
        <w:t xml:space="preserve"> је </w:t>
      </w:r>
      <w:r w:rsidRPr="00CF77C1">
        <w:rPr>
          <w:lang w:val="sr-Cyrl-RS"/>
        </w:rPr>
        <w:t>израда и доношење прописа</w:t>
      </w:r>
      <w:r w:rsidR="00AC2DD1" w:rsidRPr="00CF77C1">
        <w:rPr>
          <w:lang w:val="sr-Cyrl-RS"/>
        </w:rPr>
        <w:t xml:space="preserve">, чији је преглед, рок доношења и одговорне институције дат у </w:t>
      </w:r>
      <w:r w:rsidR="000763D5" w:rsidRPr="00CF77C1">
        <w:rPr>
          <w:lang w:val="sr-Cyrl-RS"/>
        </w:rPr>
        <w:t>таб. 5</w:t>
      </w:r>
      <w:r w:rsidR="00AC2DD1" w:rsidRPr="00CF77C1">
        <w:rPr>
          <w:lang w:val="sr-Cyrl-RS"/>
        </w:rPr>
        <w:t>.</w:t>
      </w:r>
    </w:p>
    <w:p w14:paraId="3BBDCFDA" w14:textId="3E150196" w:rsidR="00B350B9" w:rsidRPr="00CF77C1" w:rsidRDefault="00D61BC9" w:rsidP="00656F74">
      <w:pPr>
        <w:pStyle w:val="Caption"/>
        <w:ind w:firstLine="720"/>
        <w:rPr>
          <w:b w:val="0"/>
          <w:lang w:val="sr-Cyrl-RS"/>
        </w:rPr>
      </w:pPr>
      <w:r w:rsidRPr="00CF77C1">
        <w:rPr>
          <w:b w:val="0"/>
          <w:lang w:val="sr-Cyrl-RS"/>
        </w:rPr>
        <w:t>таб.</w:t>
      </w:r>
      <w:r w:rsidR="00B350B9"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5</w:t>
      </w:r>
      <w:r w:rsidR="0092145E" w:rsidRPr="00CF77C1">
        <w:rPr>
          <w:b w:val="0"/>
          <w:lang w:val="sr-Cyrl-RS"/>
        </w:rPr>
        <w:fldChar w:fldCharType="end"/>
      </w:r>
      <w:r w:rsidR="00B350B9" w:rsidRPr="00CF77C1">
        <w:rPr>
          <w:b w:val="0"/>
          <w:lang w:val="sr-Cyrl-RS"/>
        </w:rPr>
        <w:t>: План доношења будућих прописа у области сектора електричне енергије</w:t>
      </w:r>
      <w:r w:rsidR="00656F74" w:rsidRPr="00CF77C1">
        <w:rPr>
          <w:b w:val="0"/>
          <w:lang w:val="sr-Cyrl-R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3260"/>
        <w:gridCol w:w="1560"/>
        <w:gridCol w:w="2233"/>
      </w:tblGrid>
      <w:tr w:rsidR="00B350B9" w:rsidRPr="00CF77C1" w14:paraId="3A200C98" w14:textId="77777777" w:rsidTr="000D63E1">
        <w:trPr>
          <w:cantSplit/>
          <w:tblHeader/>
        </w:trPr>
        <w:tc>
          <w:tcPr>
            <w:tcW w:w="2518" w:type="dxa"/>
            <w:shd w:val="clear" w:color="auto" w:fill="auto"/>
            <w:vAlign w:val="center"/>
          </w:tcPr>
          <w:p w14:paraId="7BDBB482" w14:textId="77777777" w:rsidR="00B350B9" w:rsidRPr="00CF77C1" w:rsidRDefault="00B350B9" w:rsidP="0080044B">
            <w:pPr>
              <w:keepNext/>
              <w:jc w:val="center"/>
              <w:rPr>
                <w:lang w:val="sr-Cyrl-RS"/>
              </w:rPr>
            </w:pPr>
            <w:r w:rsidRPr="00CF77C1">
              <w:rPr>
                <w:lang w:val="sr-Cyrl-RS"/>
              </w:rPr>
              <w:t>Назив будућег прописа</w:t>
            </w:r>
          </w:p>
        </w:tc>
        <w:tc>
          <w:tcPr>
            <w:tcW w:w="3260" w:type="dxa"/>
            <w:shd w:val="clear" w:color="auto" w:fill="auto"/>
            <w:vAlign w:val="center"/>
          </w:tcPr>
          <w:p w14:paraId="36A8E905" w14:textId="77777777" w:rsidR="00B350B9" w:rsidRPr="00CF77C1" w:rsidRDefault="00B350B9" w:rsidP="0080044B">
            <w:pPr>
              <w:keepNext/>
              <w:jc w:val="center"/>
              <w:rPr>
                <w:lang w:val="sr-Cyrl-RS"/>
              </w:rPr>
            </w:pPr>
            <w:r w:rsidRPr="00CF77C1">
              <w:rPr>
                <w:lang w:val="sr-Cyrl-RS"/>
              </w:rPr>
              <w:t>Назив ЕУ прописа према којем се врши усклађивање</w:t>
            </w:r>
          </w:p>
        </w:tc>
        <w:tc>
          <w:tcPr>
            <w:tcW w:w="1560" w:type="dxa"/>
            <w:shd w:val="clear" w:color="auto" w:fill="auto"/>
            <w:vAlign w:val="center"/>
          </w:tcPr>
          <w:p w14:paraId="09004028" w14:textId="77777777" w:rsidR="00B350B9" w:rsidRPr="00CF77C1" w:rsidRDefault="00B350B9" w:rsidP="0080044B">
            <w:pPr>
              <w:keepNext/>
              <w:jc w:val="center"/>
              <w:rPr>
                <w:lang w:val="sr-Cyrl-RS"/>
              </w:rPr>
            </w:pPr>
            <w:r w:rsidRPr="00CF77C1">
              <w:rPr>
                <w:lang w:val="sr-Cyrl-RS"/>
              </w:rPr>
              <w:t>Рок доношења</w:t>
            </w:r>
          </w:p>
        </w:tc>
        <w:tc>
          <w:tcPr>
            <w:tcW w:w="2233" w:type="dxa"/>
            <w:shd w:val="clear" w:color="auto" w:fill="auto"/>
            <w:vAlign w:val="center"/>
          </w:tcPr>
          <w:p w14:paraId="69AA021D" w14:textId="77777777" w:rsidR="00B350B9" w:rsidRPr="00CF77C1" w:rsidRDefault="00B350B9" w:rsidP="0080044B">
            <w:pPr>
              <w:keepNext/>
              <w:jc w:val="center"/>
              <w:rPr>
                <w:lang w:val="sr-Cyrl-RS"/>
              </w:rPr>
            </w:pPr>
            <w:r w:rsidRPr="00CF77C1">
              <w:rPr>
                <w:lang w:val="sr-Cyrl-RS"/>
              </w:rPr>
              <w:t>Одговорне институције</w:t>
            </w:r>
          </w:p>
        </w:tc>
      </w:tr>
      <w:tr w:rsidR="00B350B9" w:rsidRPr="00CF77C1" w14:paraId="31CB23ED" w14:textId="77777777" w:rsidTr="000D63E1">
        <w:trPr>
          <w:cantSplit/>
        </w:trPr>
        <w:tc>
          <w:tcPr>
            <w:tcW w:w="2518" w:type="dxa"/>
            <w:shd w:val="clear" w:color="auto" w:fill="auto"/>
            <w:vAlign w:val="center"/>
          </w:tcPr>
          <w:p w14:paraId="7A8FF8EF" w14:textId="77777777" w:rsidR="00B350B9" w:rsidRPr="00CF77C1" w:rsidRDefault="00B350B9" w:rsidP="0080044B">
            <w:pPr>
              <w:keepLines/>
              <w:jc w:val="left"/>
              <w:rPr>
                <w:lang w:val="sr-Cyrl-RS"/>
              </w:rPr>
            </w:pPr>
            <w:r w:rsidRPr="00CF77C1">
              <w:rPr>
                <w:lang w:val="sr-Cyrl-RS"/>
              </w:rPr>
              <w:t>Уредба о условима испоруке и снабдевања електричном енергијом</w:t>
            </w:r>
          </w:p>
        </w:tc>
        <w:tc>
          <w:tcPr>
            <w:tcW w:w="3260" w:type="dxa"/>
            <w:shd w:val="clear" w:color="auto" w:fill="auto"/>
            <w:vAlign w:val="center"/>
          </w:tcPr>
          <w:p w14:paraId="004DE13D" w14:textId="77777777" w:rsidR="00B350B9" w:rsidRPr="00CF77C1" w:rsidRDefault="00B350B9" w:rsidP="0080044B">
            <w:pPr>
              <w:keepLines/>
              <w:jc w:val="left"/>
              <w:rPr>
                <w:lang w:val="sr-Cyrl-RS"/>
              </w:rPr>
            </w:pPr>
            <w:r w:rsidRPr="00CF77C1">
              <w:rPr>
                <w:lang w:val="sr-Cyrl-RS"/>
              </w:rPr>
              <w:t xml:space="preserve">Директива </w:t>
            </w:r>
            <w:r w:rsidRPr="00CF77C1">
              <w:rPr>
                <w:szCs w:val="24"/>
                <w:lang w:val="sr-Cyrl-RS"/>
              </w:rPr>
              <w:t>2009/72</w:t>
            </w:r>
            <w:r w:rsidR="00D97815" w:rsidRPr="00CF77C1">
              <w:rPr>
                <w:szCs w:val="24"/>
                <w:lang w:val="sr-Cyrl-RS"/>
              </w:rPr>
              <w:t>/ЕЗ</w:t>
            </w:r>
            <w:r w:rsidR="000D63E1" w:rsidRPr="00CF77C1">
              <w:rPr>
                <w:lang w:val="sr-Cyrl-RS"/>
              </w:rPr>
              <w:t xml:space="preserve"> </w:t>
            </w:r>
            <w:r w:rsidR="000D63E1" w:rsidRPr="00CF77C1">
              <w:rPr>
                <w:szCs w:val="24"/>
                <w:lang w:val="sr-Cyrl-RS"/>
              </w:rPr>
              <w:t>у тексту имплементираном према Одлуци Министарског савета ЕЗ D/2011/02/MC-EnC од 6. октобра 2011.</w:t>
            </w:r>
          </w:p>
        </w:tc>
        <w:tc>
          <w:tcPr>
            <w:tcW w:w="1560" w:type="dxa"/>
            <w:shd w:val="clear" w:color="auto" w:fill="auto"/>
            <w:vAlign w:val="center"/>
          </w:tcPr>
          <w:p w14:paraId="46C690BD" w14:textId="003690E2" w:rsidR="00B350B9" w:rsidRPr="00381EB3" w:rsidRDefault="00B701B9" w:rsidP="0080044B">
            <w:pPr>
              <w:keepLines/>
              <w:jc w:val="left"/>
              <w:rPr>
                <w:lang w:val="sr-Latn-CS"/>
              </w:rPr>
            </w:pPr>
            <w:r w:rsidRPr="00381EB3">
              <w:rPr>
                <w:lang w:val="sr-Latn-CS"/>
              </w:rPr>
              <w:t>IV</w:t>
            </w:r>
            <w:r w:rsidRPr="00381EB3">
              <w:rPr>
                <w:lang w:val="sr-Cyrl-RS"/>
              </w:rPr>
              <w:t xml:space="preserve"> квартал 2018</w:t>
            </w:r>
            <w:r w:rsidR="00B350B9" w:rsidRPr="00381EB3">
              <w:rPr>
                <w:lang w:val="sr-Cyrl-RS"/>
              </w:rPr>
              <w:t>. године</w:t>
            </w:r>
          </w:p>
        </w:tc>
        <w:tc>
          <w:tcPr>
            <w:tcW w:w="2233" w:type="dxa"/>
            <w:vMerge w:val="restart"/>
            <w:shd w:val="clear" w:color="auto" w:fill="auto"/>
            <w:vAlign w:val="center"/>
          </w:tcPr>
          <w:p w14:paraId="4AAB899D" w14:textId="6FABC855" w:rsidR="00B350B9" w:rsidRPr="00CF77C1" w:rsidRDefault="000763D5" w:rsidP="0080044B">
            <w:pPr>
              <w:keepLines/>
              <w:jc w:val="left"/>
              <w:rPr>
                <w:lang w:val="sr-Cyrl-RS"/>
              </w:rPr>
            </w:pPr>
            <w:r w:rsidRPr="00CF77C1">
              <w:rPr>
                <w:lang w:val="sr-Cyrl-RS"/>
              </w:rPr>
              <w:t>м</w:t>
            </w:r>
            <w:r w:rsidR="005C650D" w:rsidRPr="00CF77C1">
              <w:rPr>
                <w:lang w:val="sr-Cyrl-RS"/>
              </w:rPr>
              <w:t>инистарство надлежно за послове</w:t>
            </w:r>
            <w:r w:rsidR="00B350B9" w:rsidRPr="00CF77C1">
              <w:rPr>
                <w:lang w:val="sr-Cyrl-RS"/>
              </w:rPr>
              <w:t xml:space="preserve"> рударства и енергетике (Сектор за електроенергетику)</w:t>
            </w:r>
          </w:p>
        </w:tc>
      </w:tr>
      <w:tr w:rsidR="00B350B9" w:rsidRPr="00CF77C1" w14:paraId="6A1BB9CF" w14:textId="77777777" w:rsidTr="000D63E1">
        <w:trPr>
          <w:cantSplit/>
        </w:trPr>
        <w:tc>
          <w:tcPr>
            <w:tcW w:w="2518" w:type="dxa"/>
            <w:shd w:val="clear" w:color="auto" w:fill="auto"/>
            <w:vAlign w:val="center"/>
          </w:tcPr>
          <w:p w14:paraId="592E1768" w14:textId="77777777" w:rsidR="00B350B9" w:rsidRPr="00CF77C1" w:rsidRDefault="006F2099" w:rsidP="0080044B">
            <w:pPr>
              <w:keepLines/>
              <w:jc w:val="left"/>
              <w:rPr>
                <w:lang w:val="sr-Cyrl-RS"/>
              </w:rPr>
            </w:pPr>
            <w:r w:rsidRPr="00CF77C1">
              <w:rPr>
                <w:lang w:val="sr-Cyrl-RS"/>
              </w:rPr>
              <w:t>Технички прописи у области електричне енергије</w:t>
            </w:r>
          </w:p>
        </w:tc>
        <w:tc>
          <w:tcPr>
            <w:tcW w:w="3260" w:type="dxa"/>
            <w:shd w:val="clear" w:color="auto" w:fill="auto"/>
            <w:vAlign w:val="center"/>
          </w:tcPr>
          <w:p w14:paraId="5844E897" w14:textId="77777777" w:rsidR="00B350B9" w:rsidRPr="00CF77C1" w:rsidRDefault="00F51D54" w:rsidP="0080044B">
            <w:pPr>
              <w:keepLines/>
              <w:jc w:val="left"/>
              <w:rPr>
                <w:lang w:val="sr-Cyrl-RS"/>
              </w:rPr>
            </w:pPr>
            <w:r w:rsidRPr="00CF77C1">
              <w:rPr>
                <w:lang w:val="sr-Cyrl-RS"/>
              </w:rPr>
              <w:t>-</w:t>
            </w:r>
          </w:p>
        </w:tc>
        <w:tc>
          <w:tcPr>
            <w:tcW w:w="1560" w:type="dxa"/>
            <w:shd w:val="clear" w:color="auto" w:fill="auto"/>
            <w:vAlign w:val="center"/>
          </w:tcPr>
          <w:p w14:paraId="669BD3B4" w14:textId="77777777" w:rsidR="00B350B9" w:rsidRPr="00CF77C1" w:rsidRDefault="006F2099" w:rsidP="0080044B">
            <w:pPr>
              <w:keepLines/>
              <w:jc w:val="left"/>
              <w:rPr>
                <w:lang w:val="sr-Cyrl-RS"/>
              </w:rPr>
            </w:pPr>
            <w:r w:rsidRPr="00CF77C1">
              <w:rPr>
                <w:lang w:val="sr-Cyrl-RS"/>
              </w:rPr>
              <w:t>IV квартал 2019. године</w:t>
            </w:r>
          </w:p>
        </w:tc>
        <w:tc>
          <w:tcPr>
            <w:tcW w:w="2233" w:type="dxa"/>
            <w:vMerge/>
            <w:shd w:val="clear" w:color="auto" w:fill="auto"/>
            <w:vAlign w:val="center"/>
          </w:tcPr>
          <w:p w14:paraId="03157AFC" w14:textId="77777777" w:rsidR="00B350B9" w:rsidRPr="00CF77C1" w:rsidRDefault="00B350B9" w:rsidP="0080044B">
            <w:pPr>
              <w:keepLines/>
              <w:jc w:val="left"/>
              <w:rPr>
                <w:lang w:val="sr-Cyrl-RS"/>
              </w:rPr>
            </w:pPr>
          </w:p>
        </w:tc>
      </w:tr>
    </w:tbl>
    <w:p w14:paraId="44B4371B" w14:textId="77777777" w:rsidR="00B350B9" w:rsidRPr="00CF77C1" w:rsidRDefault="00B350B9" w:rsidP="0080044B">
      <w:pPr>
        <w:rPr>
          <w:lang w:val="sr-Cyrl-RS"/>
        </w:rPr>
      </w:pPr>
      <w:bookmarkStart w:id="26" w:name="_Toc463001115"/>
    </w:p>
    <w:p w14:paraId="50B2EFC8" w14:textId="7C8E43DE" w:rsidR="002E3868" w:rsidRPr="00CF77C1" w:rsidRDefault="005E1591" w:rsidP="005E1591">
      <w:pPr>
        <w:pStyle w:val="Heading3"/>
        <w:pageBreakBefore/>
        <w:numPr>
          <w:ilvl w:val="0"/>
          <w:numId w:val="0"/>
        </w:numPr>
        <w:tabs>
          <w:tab w:val="left" w:pos="0"/>
        </w:tabs>
        <w:rPr>
          <w:b w:val="0"/>
          <w:lang w:val="sr-Cyrl-RS"/>
        </w:rPr>
      </w:pPr>
      <w:bookmarkStart w:id="27" w:name="_Toc484260282"/>
      <w:r w:rsidRPr="00CF77C1">
        <w:rPr>
          <w:b w:val="0"/>
          <w:lang w:val="sr-Cyrl-RS"/>
        </w:rPr>
        <w:tab/>
        <w:t xml:space="preserve">3.1.2. </w:t>
      </w:r>
      <w:r w:rsidR="002E3868" w:rsidRPr="00CF77C1">
        <w:rPr>
          <w:b w:val="0"/>
          <w:lang w:val="sr-Cyrl-RS"/>
        </w:rPr>
        <w:t>Листа пројеката у области електричне енергије</w:t>
      </w:r>
      <w:bookmarkEnd w:id="26"/>
      <w:bookmarkEnd w:id="27"/>
    </w:p>
    <w:p w14:paraId="7BA5B7D9" w14:textId="236CE4C3" w:rsidR="00C10F3F" w:rsidRPr="00CF77C1" w:rsidRDefault="005E1591" w:rsidP="005E1591">
      <w:pPr>
        <w:pStyle w:val="Heading4"/>
        <w:numPr>
          <w:ilvl w:val="0"/>
          <w:numId w:val="0"/>
        </w:numPr>
        <w:ind w:left="720"/>
        <w:rPr>
          <w:b w:val="0"/>
          <w:lang w:val="sr-Cyrl-RS"/>
        </w:rPr>
      </w:pPr>
      <w:bookmarkStart w:id="28" w:name="_Ref471508189"/>
      <w:bookmarkStart w:id="29" w:name="_Toc484260283"/>
      <w:r w:rsidRPr="00CF77C1">
        <w:rPr>
          <w:b w:val="0"/>
          <w:lang w:val="sr-Cyrl-RS"/>
        </w:rPr>
        <w:t xml:space="preserve">3.1.2.1. </w:t>
      </w:r>
      <w:r w:rsidR="00C10F3F" w:rsidRPr="00CF77C1">
        <w:rPr>
          <w:b w:val="0"/>
          <w:lang w:val="sr-Cyrl-RS"/>
        </w:rPr>
        <w:t>Пројекти у области производње електричне енергије</w:t>
      </w:r>
      <w:bookmarkEnd w:id="28"/>
      <w:bookmarkEnd w:id="29"/>
    </w:p>
    <w:p w14:paraId="1F8B0B20" w14:textId="75E00380" w:rsidR="00553060" w:rsidRPr="00CF77C1" w:rsidRDefault="0025698B" w:rsidP="00656F74">
      <w:pPr>
        <w:ind w:firstLine="720"/>
        <w:rPr>
          <w:lang w:val="sr-Cyrl-RS"/>
        </w:rPr>
      </w:pPr>
      <w:r w:rsidRPr="00CF77C1">
        <w:rPr>
          <w:lang w:val="sr-Cyrl-RS"/>
        </w:rPr>
        <w:t>У области производње електричне енер</w:t>
      </w:r>
      <w:r w:rsidR="00C255D3" w:rsidRPr="00CF77C1">
        <w:rPr>
          <w:lang w:val="sr-Cyrl-RS"/>
        </w:rPr>
        <w:t>гије у периоду реализације ПОС</w:t>
      </w:r>
      <w:r w:rsidRPr="00CF77C1">
        <w:rPr>
          <w:lang w:val="sr-Cyrl-RS"/>
        </w:rPr>
        <w:t xml:space="preserve"> планира се изградња и улазак у погон неколико већих производних капацитета и </w:t>
      </w:r>
      <w:r w:rsidR="00534C3F" w:rsidRPr="00CF77C1">
        <w:rPr>
          <w:lang w:val="sr-Cyrl-RS"/>
        </w:rPr>
        <w:t>повлачење</w:t>
      </w:r>
      <w:r w:rsidRPr="00CF77C1">
        <w:rPr>
          <w:lang w:val="sr-Cyrl-RS"/>
        </w:rPr>
        <w:t xml:space="preserve"> из погона термоенергетских блокова који су</w:t>
      </w:r>
      <w:r w:rsidR="00553060" w:rsidRPr="00CF77C1">
        <w:rPr>
          <w:lang w:val="sr-Cyrl-RS"/>
        </w:rPr>
        <w:t xml:space="preserve"> на крају експлоатационог века.</w:t>
      </w:r>
    </w:p>
    <w:p w14:paraId="343697E1" w14:textId="63845321" w:rsidR="0025698B" w:rsidRPr="00CF77C1" w:rsidRDefault="00C255D3" w:rsidP="00656F74">
      <w:pPr>
        <w:ind w:firstLine="357"/>
        <w:rPr>
          <w:lang w:val="sr-Cyrl-RS"/>
        </w:rPr>
      </w:pPr>
      <w:r w:rsidRPr="00CF77C1">
        <w:rPr>
          <w:lang w:val="sr-Cyrl-RS"/>
        </w:rPr>
        <w:t>У периоду реализације ПОС</w:t>
      </w:r>
      <w:r w:rsidR="001E2058" w:rsidRPr="00CF77C1">
        <w:rPr>
          <w:lang w:val="sr-Cyrl-RS"/>
        </w:rPr>
        <w:t xml:space="preserve"> у</w:t>
      </w:r>
      <w:r w:rsidR="0025698B" w:rsidRPr="00CF77C1">
        <w:rPr>
          <w:lang w:val="sr-Cyrl-RS"/>
        </w:rPr>
        <w:t xml:space="preserve"> погон би требало да уђу следећи </w:t>
      </w:r>
      <w:r w:rsidR="00FF2BF8" w:rsidRPr="00CF77C1">
        <w:rPr>
          <w:lang w:val="sr-Cyrl-RS"/>
        </w:rPr>
        <w:t xml:space="preserve">значајнији производни </w:t>
      </w:r>
      <w:r w:rsidR="0025698B" w:rsidRPr="00CF77C1">
        <w:rPr>
          <w:lang w:val="sr-Cyrl-RS"/>
        </w:rPr>
        <w:t>објекти:</w:t>
      </w:r>
      <w:r w:rsidR="00656F74" w:rsidRPr="00CF77C1">
        <w:rPr>
          <w:lang w:val="sr-Cyrl-RS"/>
        </w:rPr>
        <w:t xml:space="preserve"> </w:t>
      </w:r>
    </w:p>
    <w:p w14:paraId="2D6D50A1" w14:textId="132735E6" w:rsidR="0025698B"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в</w:t>
      </w:r>
      <w:r w:rsidR="001B761F" w:rsidRPr="00CF77C1">
        <w:rPr>
          <w:lang w:val="sr-Cyrl-RS"/>
        </w:rPr>
        <w:t>етроелектрана</w:t>
      </w:r>
      <w:r w:rsidR="00FF2BF8" w:rsidRPr="00CF77C1">
        <w:rPr>
          <w:lang w:val="sr-Cyrl-RS"/>
        </w:rPr>
        <w:t xml:space="preserve"> Алибунар, до краја фебруара 2018. године, инсталисане снаге 42 MW, процењене годишње производње 100,8 GWh;</w:t>
      </w:r>
    </w:p>
    <w:p w14:paraId="55BB0BAD" w14:textId="77777777" w:rsidR="00996434" w:rsidRPr="00CF77C1" w:rsidRDefault="00E37537" w:rsidP="00656F74">
      <w:pPr>
        <w:ind w:firstLine="720"/>
        <w:rPr>
          <w:lang w:val="sr-Cyrl-RS"/>
        </w:rPr>
      </w:pPr>
      <w:r w:rsidRPr="00CF77C1">
        <w:rPr>
          <w:lang w:val="sr-Cyrl-RS"/>
        </w:rPr>
        <w:t>Напомена</w:t>
      </w:r>
      <w:r w:rsidR="00996434" w:rsidRPr="00CF77C1">
        <w:rPr>
          <w:lang w:val="sr-Cyrl-RS"/>
        </w:rPr>
        <w:t xml:space="preserve">: Годишња производња </w:t>
      </w:r>
      <w:r w:rsidR="005934B3" w:rsidRPr="00CF77C1">
        <w:rPr>
          <w:lang w:val="sr-Cyrl-RS"/>
        </w:rPr>
        <w:t xml:space="preserve">за све ветроелектране </w:t>
      </w:r>
      <w:r w:rsidR="00996434" w:rsidRPr="00CF77C1">
        <w:rPr>
          <w:lang w:val="sr-Cyrl-RS"/>
        </w:rPr>
        <w:t xml:space="preserve">је процењена на основу инсталисане (максималне) снаге и процењеног еквивалентног </w:t>
      </w:r>
      <w:r w:rsidR="00A57F11" w:rsidRPr="00CF77C1">
        <w:rPr>
          <w:lang w:val="sr-Cyrl-RS"/>
        </w:rPr>
        <w:t>ефективног времена рада од 2400 сати.</w:t>
      </w:r>
    </w:p>
    <w:p w14:paraId="03BBC7DD" w14:textId="6DCD6254" w:rsidR="00FF2BF8"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в</w:t>
      </w:r>
      <w:r w:rsidR="001B761F" w:rsidRPr="00CF77C1">
        <w:rPr>
          <w:lang w:val="sr-Cyrl-RS"/>
        </w:rPr>
        <w:t>етроелектрана</w:t>
      </w:r>
      <w:r w:rsidR="00FF2BF8" w:rsidRPr="00CF77C1">
        <w:rPr>
          <w:lang w:val="sr-Cyrl-RS"/>
        </w:rPr>
        <w:t xml:space="preserve"> Малибунар, до краја априла 2018. године, инсталисане снаге 8 MW, процењене годишње производње 19,2 GWh;</w:t>
      </w:r>
    </w:p>
    <w:p w14:paraId="55EF1EDC" w14:textId="7ED2E04D" w:rsidR="00FF2BF8"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в</w:t>
      </w:r>
      <w:r w:rsidR="001B761F" w:rsidRPr="00CF77C1">
        <w:rPr>
          <w:lang w:val="sr-Cyrl-RS"/>
        </w:rPr>
        <w:t>етроелектрана</w:t>
      </w:r>
      <w:r w:rsidR="00FF2BF8" w:rsidRPr="00CF77C1">
        <w:rPr>
          <w:lang w:val="sr-Cyrl-RS"/>
        </w:rPr>
        <w:t xml:space="preserve"> Пландиште 1, до краја новембра 2018. године, инсталисане снаге 102</w:t>
      </w:r>
      <w:r w:rsidR="001B761F" w:rsidRPr="00CF77C1">
        <w:rPr>
          <w:lang w:val="sr-Cyrl-RS"/>
        </w:rPr>
        <w:t> </w:t>
      </w:r>
      <w:r w:rsidR="00FF2BF8" w:rsidRPr="00CF77C1">
        <w:rPr>
          <w:lang w:val="sr-Cyrl-RS"/>
        </w:rPr>
        <w:t>MW, процењене годишње производње 244,8 GWh;</w:t>
      </w:r>
    </w:p>
    <w:p w14:paraId="517FB2E4" w14:textId="01A3013F" w:rsidR="00FF2BF8"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в</w:t>
      </w:r>
      <w:r w:rsidR="001B761F" w:rsidRPr="00CF77C1">
        <w:rPr>
          <w:lang w:val="sr-Cyrl-RS"/>
        </w:rPr>
        <w:t>етроелектрана</w:t>
      </w:r>
      <w:r w:rsidR="00FF2BF8" w:rsidRPr="00CF77C1">
        <w:rPr>
          <w:lang w:val="sr-Cyrl-RS"/>
        </w:rPr>
        <w:t xml:space="preserve"> Ковачица, до краја новембра 2018. године, инсталисане снаге 104,5</w:t>
      </w:r>
      <w:r w:rsidR="001B761F" w:rsidRPr="00CF77C1">
        <w:rPr>
          <w:lang w:val="sr-Cyrl-RS"/>
        </w:rPr>
        <w:t> </w:t>
      </w:r>
      <w:r w:rsidR="00FF2BF8" w:rsidRPr="00CF77C1">
        <w:rPr>
          <w:lang w:val="sr-Cyrl-RS"/>
        </w:rPr>
        <w:t>MW, процењене годишње производње 250,8 GWh;</w:t>
      </w:r>
    </w:p>
    <w:p w14:paraId="2AFEADEB" w14:textId="0A893F84" w:rsidR="00FF2BF8"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в</w:t>
      </w:r>
      <w:r w:rsidR="001B761F" w:rsidRPr="00CF77C1">
        <w:rPr>
          <w:lang w:val="sr-Cyrl-RS"/>
        </w:rPr>
        <w:t>етроелектрана</w:t>
      </w:r>
      <w:r w:rsidR="00FF2BF8" w:rsidRPr="00CF77C1">
        <w:rPr>
          <w:lang w:val="sr-Cyrl-RS"/>
        </w:rPr>
        <w:t xml:space="preserve"> Чибук</w:t>
      </w:r>
      <w:r w:rsidR="005A664D" w:rsidRPr="00CF77C1">
        <w:rPr>
          <w:lang w:val="sr-Cyrl-RS"/>
        </w:rPr>
        <w:t xml:space="preserve"> 1</w:t>
      </w:r>
      <w:r w:rsidR="00FF2BF8" w:rsidRPr="00CF77C1">
        <w:rPr>
          <w:lang w:val="sr-Cyrl-RS"/>
        </w:rPr>
        <w:t>, до краја новембра 2018. г</w:t>
      </w:r>
      <w:r w:rsidR="00E105E2" w:rsidRPr="00CF77C1">
        <w:rPr>
          <w:lang w:val="sr-Cyrl-RS"/>
        </w:rPr>
        <w:t>одине, инсталисане снаге 158,46 </w:t>
      </w:r>
      <w:r w:rsidR="00FF2BF8" w:rsidRPr="00CF77C1">
        <w:rPr>
          <w:lang w:val="sr-Cyrl-RS"/>
        </w:rPr>
        <w:t>MW, процењене годишње производње 380,3 GWh;</w:t>
      </w:r>
    </w:p>
    <w:p w14:paraId="7894CD3A" w14:textId="02DF357B" w:rsidR="00FF2BF8"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в</w:t>
      </w:r>
      <w:r w:rsidR="001B761F" w:rsidRPr="00CF77C1">
        <w:rPr>
          <w:lang w:val="sr-Cyrl-RS"/>
        </w:rPr>
        <w:t>етроелектрана</w:t>
      </w:r>
      <w:r w:rsidR="00FF2BF8" w:rsidRPr="00CF77C1">
        <w:rPr>
          <w:lang w:val="sr-Cyrl-RS"/>
        </w:rPr>
        <w:t xml:space="preserve"> Кошава, до краја априла 2019. године, инсталисане снаге </w:t>
      </w:r>
      <w:r w:rsidR="00540125" w:rsidRPr="00CF77C1">
        <w:rPr>
          <w:lang w:val="sr-Cyrl-RS"/>
        </w:rPr>
        <w:t>68</w:t>
      </w:r>
      <w:r w:rsidR="00FF2BF8" w:rsidRPr="00CF77C1">
        <w:rPr>
          <w:lang w:val="sr-Cyrl-RS"/>
        </w:rPr>
        <w:t xml:space="preserve"> MW, процењене годишње производње </w:t>
      </w:r>
      <w:r w:rsidR="00540125" w:rsidRPr="00CF77C1">
        <w:rPr>
          <w:lang w:val="sr-Cyrl-RS"/>
        </w:rPr>
        <w:t>163,2</w:t>
      </w:r>
      <w:r w:rsidR="00FF2BF8" w:rsidRPr="00CF77C1">
        <w:rPr>
          <w:lang w:val="sr-Cyrl-RS"/>
        </w:rPr>
        <w:t xml:space="preserve"> GWh;</w:t>
      </w:r>
    </w:p>
    <w:p w14:paraId="231F4BC4" w14:textId="6407F8B1" w:rsidR="00FE0D9D"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в</w:t>
      </w:r>
      <w:r w:rsidR="001B761F" w:rsidRPr="00CF77C1">
        <w:rPr>
          <w:lang w:val="sr-Cyrl-RS"/>
        </w:rPr>
        <w:t>етроелектрана</w:t>
      </w:r>
      <w:r w:rsidR="00FE0D9D" w:rsidRPr="00CF77C1">
        <w:rPr>
          <w:lang w:val="sr-Cyrl-RS"/>
        </w:rPr>
        <w:t xml:space="preserve"> Костолац, до краја 2020. године, инсталисане снаге </w:t>
      </w:r>
      <w:r w:rsidR="00AC3724" w:rsidRPr="00CF77C1">
        <w:rPr>
          <w:lang w:val="sr-Cyrl-RS"/>
        </w:rPr>
        <w:t>6</w:t>
      </w:r>
      <w:r w:rsidR="000D63E1" w:rsidRPr="00CF77C1">
        <w:rPr>
          <w:lang w:val="sr-Cyrl-RS"/>
        </w:rPr>
        <w:t>6</w:t>
      </w:r>
      <w:r w:rsidR="00FE0D9D" w:rsidRPr="00CF77C1">
        <w:rPr>
          <w:lang w:val="sr-Cyrl-RS"/>
        </w:rPr>
        <w:t xml:space="preserve"> MW, процењене годишње производње </w:t>
      </w:r>
      <w:r w:rsidR="000D63E1" w:rsidRPr="00CF77C1">
        <w:rPr>
          <w:lang w:val="sr-Cyrl-RS"/>
        </w:rPr>
        <w:t>145</w:t>
      </w:r>
      <w:r w:rsidR="00FE0D9D" w:rsidRPr="00CF77C1">
        <w:rPr>
          <w:lang w:val="sr-Cyrl-RS"/>
        </w:rPr>
        <w:t xml:space="preserve"> GWh</w:t>
      </w:r>
      <w:r w:rsidR="0006614C" w:rsidRPr="00CF77C1">
        <w:rPr>
          <w:lang w:val="sr-Cyrl-RS"/>
        </w:rPr>
        <w:t xml:space="preserve"> (овај пројекат је укључен у Јединствену листу приоритетних инфраструктурних пројеката у области енергетике</w:t>
      </w:r>
      <w:r w:rsidR="001B761F" w:rsidRPr="00CF77C1">
        <w:rPr>
          <w:lang w:val="sr-Cyrl-RS"/>
        </w:rPr>
        <w:t xml:space="preserve"> заједно са соларно</w:t>
      </w:r>
      <w:r w:rsidR="0006614C" w:rsidRPr="00CF77C1">
        <w:rPr>
          <w:lang w:val="sr-Cyrl-RS"/>
        </w:rPr>
        <w:t xml:space="preserve">м </w:t>
      </w:r>
      <w:r w:rsidR="001B761F" w:rsidRPr="00CF77C1">
        <w:rPr>
          <w:lang w:val="sr-Cyrl-RS"/>
        </w:rPr>
        <w:t>електраном</w:t>
      </w:r>
      <w:r w:rsidR="0006614C" w:rsidRPr="00CF77C1">
        <w:rPr>
          <w:lang w:val="sr-Cyrl-RS"/>
        </w:rPr>
        <w:t xml:space="preserve"> </w:t>
      </w:r>
      <w:r w:rsidR="000D63E1" w:rsidRPr="00CF77C1">
        <w:rPr>
          <w:lang w:val="sr-Cyrl-RS"/>
        </w:rPr>
        <w:t>Петка у Костолцу, инсталисане снаге 9,9 MW, процењене годишње производње 13 GWh</w:t>
      </w:r>
      <w:r w:rsidR="0006614C" w:rsidRPr="00CF77C1">
        <w:rPr>
          <w:lang w:val="sr-Cyrl-RS"/>
        </w:rPr>
        <w:t>)</w:t>
      </w:r>
      <w:r w:rsidR="00FE0D9D" w:rsidRPr="00CF77C1">
        <w:rPr>
          <w:lang w:val="sr-Cyrl-RS"/>
        </w:rPr>
        <w:t>;</w:t>
      </w:r>
    </w:p>
    <w:p w14:paraId="02AA6012" w14:textId="04E5940D" w:rsidR="0008733F"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п</w:t>
      </w:r>
      <w:r w:rsidR="0008733F" w:rsidRPr="00CF77C1">
        <w:rPr>
          <w:lang w:val="sr-Cyrl-RS"/>
        </w:rPr>
        <w:t xml:space="preserve">арно-гасна ТЕ-ТО Панчево, до краја </w:t>
      </w:r>
      <w:r w:rsidR="00F10D3F" w:rsidRPr="00CF77C1">
        <w:rPr>
          <w:lang w:val="sr-Cyrl-RS"/>
        </w:rPr>
        <w:t>I</w:t>
      </w:r>
      <w:r w:rsidR="0008733F" w:rsidRPr="00CF77C1">
        <w:rPr>
          <w:lang w:val="sr-Cyrl-RS"/>
        </w:rPr>
        <w:t xml:space="preserve"> квартала 2019</w:t>
      </w:r>
      <w:r w:rsidR="00F10D3F" w:rsidRPr="00CF77C1">
        <w:rPr>
          <w:lang w:val="sr-Cyrl-RS"/>
        </w:rPr>
        <w:t>. године, инсталисане снаге 140 </w:t>
      </w:r>
      <w:r w:rsidR="0008733F" w:rsidRPr="00CF77C1">
        <w:rPr>
          <w:lang w:val="sr-Cyrl-RS"/>
        </w:rPr>
        <w:t xml:space="preserve">MW, процењене годишње производње </w:t>
      </w:r>
      <w:r w:rsidR="00031885" w:rsidRPr="00CF77C1">
        <w:rPr>
          <w:lang w:val="sr-Cyrl-RS"/>
        </w:rPr>
        <w:t>910 GWh</w:t>
      </w:r>
      <w:r w:rsidR="004B42BB" w:rsidRPr="00CF77C1">
        <w:rPr>
          <w:lang w:val="sr-Cyrl-RS"/>
        </w:rPr>
        <w:t>. Постоји могућност померања рока који сагледава инвеститор уколико се прикључак услови завршетком прве етапе ТС Панчево 7, с обзиром на инвестициони статус овог објекта</w:t>
      </w:r>
      <w:r w:rsidR="00031885" w:rsidRPr="00CF77C1">
        <w:rPr>
          <w:lang w:val="sr-Cyrl-RS"/>
        </w:rPr>
        <w:t>;</w:t>
      </w:r>
    </w:p>
    <w:p w14:paraId="5D34390D" w14:textId="42AA94A1" w:rsidR="0008733F"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б</w:t>
      </w:r>
      <w:r w:rsidR="0008733F" w:rsidRPr="00CF77C1">
        <w:rPr>
          <w:lang w:val="sr-Cyrl-RS"/>
        </w:rPr>
        <w:t xml:space="preserve">лок Б3 у ТЕ Костолац Б, до краја 2020. године, инсталисане снаге 350 MW, процењене годишње производње </w:t>
      </w:r>
      <w:r w:rsidR="00E17CEA" w:rsidRPr="00CF77C1">
        <w:rPr>
          <w:lang w:val="sr-Cyrl-RS"/>
        </w:rPr>
        <w:t>2200</w:t>
      </w:r>
      <w:r w:rsidR="00F10D3F" w:rsidRPr="00CF77C1">
        <w:rPr>
          <w:lang w:val="sr-Cyrl-RS"/>
        </w:rPr>
        <w:t xml:space="preserve"> GWh.</w:t>
      </w:r>
    </w:p>
    <w:p w14:paraId="377D8F80" w14:textId="59A9EF9F" w:rsidR="0025698B" w:rsidRPr="00CF77C1" w:rsidRDefault="00031885" w:rsidP="00656F74">
      <w:pPr>
        <w:ind w:firstLine="720"/>
        <w:rPr>
          <w:lang w:val="sr-Cyrl-RS"/>
        </w:rPr>
      </w:pPr>
      <w:r w:rsidRPr="00CF77C1">
        <w:rPr>
          <w:lang w:val="sr-Cyrl-RS"/>
        </w:rPr>
        <w:t xml:space="preserve">Дакле, укупна производња електричне енергије из нових капацитета би требало да се повећа за </w:t>
      </w:r>
      <w:r w:rsidR="00FE0D9D" w:rsidRPr="00CF77C1">
        <w:rPr>
          <w:lang w:val="sr-Cyrl-RS"/>
        </w:rPr>
        <w:t>4</w:t>
      </w:r>
      <w:r w:rsidR="00957124" w:rsidRPr="00CF77C1">
        <w:rPr>
          <w:lang w:val="sr-Cyrl-RS"/>
        </w:rPr>
        <w:t>427</w:t>
      </w:r>
      <w:r w:rsidRPr="00CF77C1">
        <w:rPr>
          <w:lang w:val="sr-Cyrl-RS"/>
        </w:rPr>
        <w:t xml:space="preserve"> GWh. На овај начин би се успешно супституисала енер</w:t>
      </w:r>
      <w:r w:rsidR="002A662F" w:rsidRPr="00CF77C1">
        <w:rPr>
          <w:lang w:val="sr-Cyrl-RS"/>
        </w:rPr>
        <w:t>гија производних капацитета чије</w:t>
      </w:r>
      <w:r w:rsidRPr="00CF77C1">
        <w:rPr>
          <w:lang w:val="sr-Cyrl-RS"/>
        </w:rPr>
        <w:t xml:space="preserve"> </w:t>
      </w:r>
      <w:r w:rsidR="002A662F" w:rsidRPr="00CF77C1">
        <w:rPr>
          <w:lang w:val="sr-Cyrl-RS"/>
        </w:rPr>
        <w:t>се повлачење</w:t>
      </w:r>
      <w:r w:rsidRPr="00CF77C1">
        <w:rPr>
          <w:lang w:val="sr-Cyrl-RS"/>
        </w:rPr>
        <w:t xml:space="preserve"> из погона планира због завршетка њиховог експлоатационог века.</w:t>
      </w:r>
    </w:p>
    <w:p w14:paraId="66F701EE" w14:textId="77777777" w:rsidR="00D91645" w:rsidRPr="00CF77C1" w:rsidRDefault="00D91645" w:rsidP="00656F74">
      <w:pPr>
        <w:ind w:firstLine="720"/>
        <w:rPr>
          <w:lang w:val="sr-Cyrl-RS"/>
        </w:rPr>
      </w:pPr>
      <w:r w:rsidRPr="00CF77C1">
        <w:rPr>
          <w:lang w:val="sr-Cyrl-RS"/>
        </w:rPr>
        <w:t xml:space="preserve">Пројекти изградње ветроелектрана, чија је изградња </w:t>
      </w:r>
      <w:r w:rsidR="002727F1" w:rsidRPr="00CF77C1">
        <w:rPr>
          <w:lang w:val="sr-Cyrl-RS"/>
        </w:rPr>
        <w:t>подстакнута увођењем</w:t>
      </w:r>
      <w:r w:rsidRPr="00CF77C1">
        <w:rPr>
          <w:lang w:val="sr-Cyrl-RS"/>
        </w:rPr>
        <w:t xml:space="preserve"> статуса повлашћеног произвођача и подстицаја који се овој врсти производње електричне енергије обезбеђују, биће из тих разлога представљени у поглављу које се односи на област обновљивих извора енергије.</w:t>
      </w:r>
    </w:p>
    <w:p w14:paraId="2D11FEE6" w14:textId="2AAD3808" w:rsidR="002457E1" w:rsidRPr="00CF77C1" w:rsidRDefault="002457E1" w:rsidP="00656F74">
      <w:pPr>
        <w:ind w:firstLine="357"/>
        <w:rPr>
          <w:lang w:val="sr-Cyrl-RS"/>
        </w:rPr>
      </w:pPr>
      <w:r w:rsidRPr="00CF77C1">
        <w:rPr>
          <w:lang w:val="sr-Cyrl-RS"/>
        </w:rPr>
        <w:t>У периоду реализац</w:t>
      </w:r>
      <w:r w:rsidR="00C255D3" w:rsidRPr="00CF77C1">
        <w:rPr>
          <w:lang w:val="sr-Cyrl-RS"/>
        </w:rPr>
        <w:t>ије ПОС</w:t>
      </w:r>
      <w:r w:rsidRPr="00CF77C1">
        <w:rPr>
          <w:lang w:val="sr-Cyrl-RS"/>
        </w:rPr>
        <w:t xml:space="preserve"> планира се наставак ревитализације хидроагрегата, при чему се планира повећање снаге коју </w:t>
      </w:r>
      <w:r w:rsidR="002727F1" w:rsidRPr="00CF77C1">
        <w:rPr>
          <w:lang w:val="sr-Cyrl-RS"/>
        </w:rPr>
        <w:t>предају</w:t>
      </w:r>
      <w:r w:rsidRPr="00CF77C1">
        <w:rPr>
          <w:lang w:val="sr-Cyrl-RS"/>
        </w:rPr>
        <w:t xml:space="preserve"> у преносни систем са следећом динамиком:</w:t>
      </w:r>
    </w:p>
    <w:p w14:paraId="5C4FCEDD" w14:textId="77777777" w:rsidR="00E26B1E" w:rsidRDefault="003050CF" w:rsidP="003E39B4">
      <w:pPr>
        <w:pStyle w:val="ListParagraph"/>
        <w:numPr>
          <w:ilvl w:val="0"/>
          <w:numId w:val="27"/>
        </w:numPr>
        <w:spacing w:before="60" w:after="60"/>
        <w:ind w:left="0" w:firstLine="720"/>
        <w:contextualSpacing w:val="0"/>
        <w:rPr>
          <w:lang w:val="sr-Cyrl-RS"/>
        </w:rPr>
      </w:pPr>
      <w:r w:rsidRPr="00CF77C1">
        <w:rPr>
          <w:lang w:val="sr-Cyrl-RS"/>
        </w:rPr>
        <w:t>а</w:t>
      </w:r>
      <w:r w:rsidR="002457E1" w:rsidRPr="00CF77C1">
        <w:rPr>
          <w:lang w:val="sr-Cyrl-RS"/>
        </w:rPr>
        <w:t xml:space="preserve">грегат Г1 у ХЕ Ђердап 1, са новом </w:t>
      </w:r>
      <w:r w:rsidR="00531C0A" w:rsidRPr="00CF77C1">
        <w:rPr>
          <w:lang w:val="sr-Cyrl-RS"/>
        </w:rPr>
        <w:t xml:space="preserve">инсталисаном </w:t>
      </w:r>
      <w:r w:rsidR="002457E1" w:rsidRPr="00CF77C1">
        <w:rPr>
          <w:lang w:val="sr-Cyrl-RS"/>
        </w:rPr>
        <w:t xml:space="preserve">снагом </w:t>
      </w:r>
      <w:r w:rsidR="00531C0A" w:rsidRPr="00CF77C1">
        <w:rPr>
          <w:lang w:val="sr-Cyrl-RS"/>
        </w:rPr>
        <w:t xml:space="preserve">205 MW, </w:t>
      </w:r>
      <w:r w:rsidRPr="00CF77C1">
        <w:rPr>
          <w:lang w:val="sr-Cyrl-RS"/>
        </w:rPr>
        <w:t>биће у погону од 2017. године;</w:t>
      </w:r>
      <w:r w:rsidR="00E26B1E" w:rsidRPr="00E26B1E">
        <w:rPr>
          <w:lang w:val="sr-Cyrl-RS"/>
        </w:rPr>
        <w:t xml:space="preserve"> </w:t>
      </w:r>
    </w:p>
    <w:p w14:paraId="266C8590" w14:textId="7CBFDD1C" w:rsidR="002457E1" w:rsidRDefault="00E26B1E" w:rsidP="00E26B1E">
      <w:pPr>
        <w:pStyle w:val="ListParagraph"/>
        <w:rPr>
          <w:lang w:val="sr-Cyrl-RS"/>
        </w:rPr>
      </w:pPr>
      <w:r w:rsidRPr="00CF77C1">
        <w:rPr>
          <w:lang w:val="sr-Cyrl-RS"/>
        </w:rPr>
        <w:t>Напомена: Oдобрење за експлоатaцију новом снагом испоручилац даје по завршетку гаранцијских испитивања - важи за сваки од наведених агрегата.</w:t>
      </w:r>
    </w:p>
    <w:p w14:paraId="3CA49D99" w14:textId="0448D492" w:rsidR="00E26B1E" w:rsidRDefault="00E26B1E" w:rsidP="003E39B4">
      <w:pPr>
        <w:pStyle w:val="ListParagraph"/>
        <w:numPr>
          <w:ilvl w:val="0"/>
          <w:numId w:val="27"/>
        </w:numPr>
        <w:spacing w:before="60" w:after="60"/>
        <w:ind w:left="0" w:firstLine="720"/>
        <w:contextualSpacing w:val="0"/>
        <w:rPr>
          <w:lang w:val="sr-Cyrl-RS"/>
        </w:rPr>
      </w:pPr>
      <w:r w:rsidRPr="00CF77C1">
        <w:rPr>
          <w:lang w:val="sr-Cyrl-RS"/>
        </w:rPr>
        <w:t>агрегат Г2 у ХЕ Ђердап 1, са новом инсталисаном снагом 205 MW, биће у погону од 2018. године;</w:t>
      </w:r>
    </w:p>
    <w:p w14:paraId="5FDF8850" w14:textId="621EEA63" w:rsidR="002457E1" w:rsidRDefault="003050CF" w:rsidP="00E26B1E">
      <w:pPr>
        <w:pStyle w:val="ListParagraph"/>
        <w:numPr>
          <w:ilvl w:val="0"/>
          <w:numId w:val="27"/>
        </w:numPr>
        <w:spacing w:before="60" w:after="60"/>
        <w:ind w:left="0" w:firstLine="720"/>
        <w:contextualSpacing w:val="0"/>
        <w:rPr>
          <w:lang w:val="sr-Cyrl-RS"/>
        </w:rPr>
      </w:pPr>
      <w:r w:rsidRPr="00E26B1E">
        <w:rPr>
          <w:lang w:val="sr-Cyrl-RS"/>
        </w:rPr>
        <w:t>а</w:t>
      </w:r>
      <w:r w:rsidR="002457E1" w:rsidRPr="00E26B1E">
        <w:rPr>
          <w:lang w:val="sr-Cyrl-RS"/>
        </w:rPr>
        <w:t xml:space="preserve">грегат Г3 у ХЕ Ђердап 1, </w:t>
      </w:r>
      <w:r w:rsidR="00531C0A" w:rsidRPr="00E26B1E">
        <w:rPr>
          <w:lang w:val="sr-Cyrl-RS"/>
        </w:rPr>
        <w:t xml:space="preserve">са новом инсталисаном снагом 205 MW, биће у погону од </w:t>
      </w:r>
      <w:r w:rsidRPr="00E26B1E">
        <w:rPr>
          <w:lang w:val="sr-Cyrl-RS"/>
        </w:rPr>
        <w:t>2019. године;</w:t>
      </w:r>
    </w:p>
    <w:p w14:paraId="1D7D5156" w14:textId="28EBC29B" w:rsidR="002457E1" w:rsidRDefault="003050CF" w:rsidP="00E26B1E">
      <w:pPr>
        <w:pStyle w:val="ListParagraph"/>
        <w:numPr>
          <w:ilvl w:val="0"/>
          <w:numId w:val="27"/>
        </w:numPr>
        <w:spacing w:before="60" w:after="60"/>
        <w:ind w:left="0" w:firstLine="720"/>
        <w:contextualSpacing w:val="0"/>
        <w:rPr>
          <w:lang w:val="sr-Cyrl-RS"/>
        </w:rPr>
      </w:pPr>
      <w:r w:rsidRPr="00E26B1E">
        <w:rPr>
          <w:lang w:val="sr-Cyrl-RS"/>
        </w:rPr>
        <w:t>а</w:t>
      </w:r>
      <w:r w:rsidR="002457E1" w:rsidRPr="00E26B1E">
        <w:rPr>
          <w:lang w:val="sr-Cyrl-RS"/>
        </w:rPr>
        <w:t xml:space="preserve">грегат Г2 у ХЕ Зворник, са новом </w:t>
      </w:r>
      <w:r w:rsidR="00531C0A" w:rsidRPr="00E26B1E">
        <w:rPr>
          <w:lang w:val="sr-Cyrl-RS"/>
        </w:rPr>
        <w:t xml:space="preserve">инсталисаном </w:t>
      </w:r>
      <w:r w:rsidR="002457E1" w:rsidRPr="00E26B1E">
        <w:rPr>
          <w:lang w:val="sr-Cyrl-RS"/>
        </w:rPr>
        <w:t xml:space="preserve">снагом </w:t>
      </w:r>
      <w:r w:rsidR="00531C0A" w:rsidRPr="00E26B1E">
        <w:rPr>
          <w:lang w:val="sr-Cyrl-RS"/>
        </w:rPr>
        <w:t>31,4</w:t>
      </w:r>
      <w:r w:rsidR="002457E1" w:rsidRPr="00E26B1E">
        <w:rPr>
          <w:lang w:val="sr-Cyrl-RS"/>
        </w:rPr>
        <w:t xml:space="preserve"> MW (уме</w:t>
      </w:r>
      <w:r w:rsidR="00E17CEA" w:rsidRPr="00E26B1E">
        <w:rPr>
          <w:lang w:val="sr-Cyrl-RS"/>
        </w:rPr>
        <w:t>сто 24 MW)</w:t>
      </w:r>
      <w:r w:rsidR="00531C0A" w:rsidRPr="00E26B1E">
        <w:rPr>
          <w:lang w:val="sr-Cyrl-RS"/>
        </w:rPr>
        <w:t>,</w:t>
      </w:r>
      <w:r w:rsidR="00E17CEA" w:rsidRPr="00E26B1E">
        <w:rPr>
          <w:lang w:val="sr-Cyrl-RS"/>
        </w:rPr>
        <w:t xml:space="preserve"> биће у погону од 2017</w:t>
      </w:r>
      <w:r w:rsidRPr="00E26B1E">
        <w:rPr>
          <w:lang w:val="sr-Cyrl-RS"/>
        </w:rPr>
        <w:t>. године;</w:t>
      </w:r>
    </w:p>
    <w:p w14:paraId="6BA615C6" w14:textId="7B7EC961" w:rsidR="002457E1" w:rsidRDefault="003050CF" w:rsidP="00E26B1E">
      <w:pPr>
        <w:pStyle w:val="ListParagraph"/>
        <w:numPr>
          <w:ilvl w:val="0"/>
          <w:numId w:val="27"/>
        </w:numPr>
        <w:spacing w:before="60" w:after="60"/>
        <w:ind w:left="0" w:firstLine="720"/>
        <w:contextualSpacing w:val="0"/>
        <w:rPr>
          <w:lang w:val="sr-Cyrl-RS"/>
        </w:rPr>
      </w:pPr>
      <w:r w:rsidRPr="00E26B1E">
        <w:rPr>
          <w:lang w:val="sr-Cyrl-RS"/>
        </w:rPr>
        <w:t>а</w:t>
      </w:r>
      <w:r w:rsidR="002457E1" w:rsidRPr="00E26B1E">
        <w:rPr>
          <w:lang w:val="sr-Cyrl-RS"/>
        </w:rPr>
        <w:t xml:space="preserve">грегат Г3 у ХЕ Зворник, </w:t>
      </w:r>
      <w:r w:rsidR="00531C0A" w:rsidRPr="00E26B1E">
        <w:rPr>
          <w:lang w:val="sr-Cyrl-RS"/>
        </w:rPr>
        <w:t xml:space="preserve">са новом инсталисаном снагом 31,4 MW (уместо 24 MW), биће у погону од </w:t>
      </w:r>
      <w:r w:rsidR="00E17CEA" w:rsidRPr="00E26B1E">
        <w:rPr>
          <w:lang w:val="sr-Cyrl-RS"/>
        </w:rPr>
        <w:t>2018</w:t>
      </w:r>
      <w:r w:rsidRPr="00E26B1E">
        <w:rPr>
          <w:lang w:val="sr-Cyrl-RS"/>
        </w:rPr>
        <w:t>. године;</w:t>
      </w:r>
    </w:p>
    <w:p w14:paraId="5D9E3C59" w14:textId="453B8BBA" w:rsidR="002457E1" w:rsidRDefault="003050CF" w:rsidP="00E26B1E">
      <w:pPr>
        <w:pStyle w:val="ListParagraph"/>
        <w:numPr>
          <w:ilvl w:val="0"/>
          <w:numId w:val="27"/>
        </w:numPr>
        <w:spacing w:before="60" w:after="60"/>
        <w:ind w:left="0" w:firstLine="720"/>
        <w:contextualSpacing w:val="0"/>
        <w:rPr>
          <w:lang w:val="sr-Cyrl-RS"/>
        </w:rPr>
      </w:pPr>
      <w:r w:rsidRPr="00E26B1E">
        <w:rPr>
          <w:lang w:val="sr-Cyrl-RS"/>
        </w:rPr>
        <w:t>а</w:t>
      </w:r>
      <w:r w:rsidR="002457E1" w:rsidRPr="00E26B1E">
        <w:rPr>
          <w:lang w:val="sr-Cyrl-RS"/>
        </w:rPr>
        <w:t xml:space="preserve">грегат Г4 у ХЕ Зворник, </w:t>
      </w:r>
      <w:r w:rsidR="00531C0A" w:rsidRPr="00E26B1E">
        <w:rPr>
          <w:lang w:val="sr-Cyrl-RS"/>
        </w:rPr>
        <w:t xml:space="preserve">са новом инсталисаном снагом 31,4 MW (уместо 24 MW), биће у погону од </w:t>
      </w:r>
      <w:r w:rsidR="00E17CEA" w:rsidRPr="00E26B1E">
        <w:rPr>
          <w:lang w:val="sr-Cyrl-RS"/>
        </w:rPr>
        <w:t>2019</w:t>
      </w:r>
      <w:r w:rsidRPr="00E26B1E">
        <w:rPr>
          <w:lang w:val="sr-Cyrl-RS"/>
        </w:rPr>
        <w:t>. године;</w:t>
      </w:r>
    </w:p>
    <w:p w14:paraId="1A7E0012" w14:textId="43F38AB0" w:rsidR="002457E1" w:rsidRDefault="003050CF" w:rsidP="00E26B1E">
      <w:pPr>
        <w:pStyle w:val="ListParagraph"/>
        <w:numPr>
          <w:ilvl w:val="0"/>
          <w:numId w:val="27"/>
        </w:numPr>
        <w:spacing w:before="60" w:after="60"/>
        <w:ind w:left="0" w:firstLine="720"/>
        <w:contextualSpacing w:val="0"/>
        <w:rPr>
          <w:lang w:val="sr-Cyrl-RS"/>
        </w:rPr>
      </w:pPr>
      <w:r w:rsidRPr="00E26B1E">
        <w:rPr>
          <w:lang w:val="sr-Cyrl-RS"/>
        </w:rPr>
        <w:t>а</w:t>
      </w:r>
      <w:r w:rsidR="002457E1" w:rsidRPr="00E26B1E">
        <w:rPr>
          <w:lang w:val="sr-Cyrl-RS"/>
        </w:rPr>
        <w:t xml:space="preserve">грегат Г1 у ХЕ Потпећ, са новом </w:t>
      </w:r>
      <w:r w:rsidR="00531C0A" w:rsidRPr="00E26B1E">
        <w:rPr>
          <w:lang w:val="sr-Cyrl-RS"/>
        </w:rPr>
        <w:t xml:space="preserve">инсталисаном </w:t>
      </w:r>
      <w:r w:rsidR="002457E1" w:rsidRPr="00E26B1E">
        <w:rPr>
          <w:lang w:val="sr-Cyrl-RS"/>
        </w:rPr>
        <w:t xml:space="preserve">снагом 19 MW (уместо </w:t>
      </w:r>
      <w:r w:rsidR="00A93946" w:rsidRPr="00E26B1E">
        <w:rPr>
          <w:lang w:val="sr-Cyrl-RS"/>
        </w:rPr>
        <w:t>17 </w:t>
      </w:r>
      <w:r w:rsidR="002457E1" w:rsidRPr="00E26B1E">
        <w:rPr>
          <w:lang w:val="sr-Cyrl-RS"/>
        </w:rPr>
        <w:t>MW)</w:t>
      </w:r>
      <w:r w:rsidR="00531C0A" w:rsidRPr="00E26B1E">
        <w:rPr>
          <w:lang w:val="sr-Cyrl-RS"/>
        </w:rPr>
        <w:t>,</w:t>
      </w:r>
      <w:r w:rsidRPr="00E26B1E">
        <w:rPr>
          <w:lang w:val="sr-Cyrl-RS"/>
        </w:rPr>
        <w:t xml:space="preserve"> биће у погону од 2021. године;</w:t>
      </w:r>
    </w:p>
    <w:p w14:paraId="6ED56EEE" w14:textId="263B2402" w:rsidR="002457E1" w:rsidRDefault="003050CF" w:rsidP="00E26B1E">
      <w:pPr>
        <w:pStyle w:val="ListParagraph"/>
        <w:numPr>
          <w:ilvl w:val="0"/>
          <w:numId w:val="27"/>
        </w:numPr>
        <w:spacing w:before="60" w:after="60"/>
        <w:ind w:left="0" w:firstLine="720"/>
        <w:contextualSpacing w:val="0"/>
        <w:rPr>
          <w:lang w:val="sr-Cyrl-RS"/>
        </w:rPr>
      </w:pPr>
      <w:r w:rsidRPr="00E26B1E">
        <w:rPr>
          <w:lang w:val="sr-Cyrl-RS"/>
        </w:rPr>
        <w:t>а</w:t>
      </w:r>
      <w:r w:rsidR="002457E1" w:rsidRPr="00E26B1E">
        <w:rPr>
          <w:lang w:val="sr-Cyrl-RS"/>
        </w:rPr>
        <w:t xml:space="preserve">грегат Г2 у ХЕ Потпећ, са новом </w:t>
      </w:r>
      <w:r w:rsidR="00531C0A" w:rsidRPr="00E26B1E">
        <w:rPr>
          <w:lang w:val="sr-Cyrl-RS"/>
        </w:rPr>
        <w:t xml:space="preserve">инсталисаном снагом </w:t>
      </w:r>
      <w:r w:rsidR="00A93946" w:rsidRPr="00E26B1E">
        <w:rPr>
          <w:lang w:val="sr-Cyrl-RS"/>
        </w:rPr>
        <w:t>19 MW (уместо 17 </w:t>
      </w:r>
      <w:r w:rsidR="002457E1" w:rsidRPr="00E26B1E">
        <w:rPr>
          <w:lang w:val="sr-Cyrl-RS"/>
        </w:rPr>
        <w:t>MW)</w:t>
      </w:r>
      <w:r w:rsidR="00531C0A" w:rsidRPr="00E26B1E">
        <w:rPr>
          <w:lang w:val="sr-Cyrl-RS"/>
        </w:rPr>
        <w:t>,</w:t>
      </w:r>
      <w:r w:rsidRPr="00E26B1E">
        <w:rPr>
          <w:lang w:val="sr-Cyrl-RS"/>
        </w:rPr>
        <w:t xml:space="preserve"> биће у погону од 2022. године;</w:t>
      </w:r>
    </w:p>
    <w:p w14:paraId="0D0D89BD" w14:textId="29B64841" w:rsidR="002457E1" w:rsidRPr="00E26B1E" w:rsidRDefault="003050CF" w:rsidP="00E26B1E">
      <w:pPr>
        <w:pStyle w:val="ListParagraph"/>
        <w:numPr>
          <w:ilvl w:val="0"/>
          <w:numId w:val="27"/>
        </w:numPr>
        <w:spacing w:before="60" w:after="60"/>
        <w:ind w:left="0" w:firstLine="720"/>
        <w:contextualSpacing w:val="0"/>
        <w:rPr>
          <w:lang w:val="sr-Cyrl-RS"/>
        </w:rPr>
      </w:pPr>
      <w:r w:rsidRPr="00E26B1E">
        <w:rPr>
          <w:lang w:val="sr-Cyrl-RS"/>
        </w:rPr>
        <w:t>а</w:t>
      </w:r>
      <w:r w:rsidR="002457E1" w:rsidRPr="00E26B1E">
        <w:rPr>
          <w:lang w:val="sr-Cyrl-RS"/>
        </w:rPr>
        <w:t xml:space="preserve">грегат Г3 у ХЕ Потпећ, </w:t>
      </w:r>
      <w:r w:rsidR="00531C0A" w:rsidRPr="00E26B1E">
        <w:rPr>
          <w:lang w:val="sr-Cyrl-RS"/>
        </w:rPr>
        <w:t xml:space="preserve">са новом инсталисаном снагом </w:t>
      </w:r>
      <w:r w:rsidR="00A93946" w:rsidRPr="00E26B1E">
        <w:rPr>
          <w:lang w:val="sr-Cyrl-RS"/>
        </w:rPr>
        <w:t>19 MW (уместо 17 </w:t>
      </w:r>
      <w:r w:rsidR="002457E1" w:rsidRPr="00E26B1E">
        <w:rPr>
          <w:lang w:val="sr-Cyrl-RS"/>
        </w:rPr>
        <w:t>MW)</w:t>
      </w:r>
      <w:r w:rsidR="00531C0A" w:rsidRPr="00E26B1E">
        <w:rPr>
          <w:lang w:val="sr-Cyrl-RS"/>
        </w:rPr>
        <w:t>,</w:t>
      </w:r>
      <w:r w:rsidRPr="00E26B1E">
        <w:rPr>
          <w:lang w:val="sr-Cyrl-RS"/>
        </w:rPr>
        <w:t xml:space="preserve"> биће у погону од 2023. године;</w:t>
      </w:r>
    </w:p>
    <w:p w14:paraId="5B69D314" w14:textId="73ADACC9" w:rsidR="00E17CEA" w:rsidRPr="00CF77C1" w:rsidRDefault="003050CF" w:rsidP="003E39B4">
      <w:pPr>
        <w:pStyle w:val="ListParagraph"/>
        <w:numPr>
          <w:ilvl w:val="0"/>
          <w:numId w:val="26"/>
        </w:numPr>
        <w:spacing w:before="60" w:after="60"/>
        <w:ind w:left="0" w:firstLine="720"/>
        <w:contextualSpacing w:val="0"/>
        <w:rPr>
          <w:lang w:val="sr-Cyrl-RS"/>
        </w:rPr>
      </w:pPr>
      <w:r w:rsidRPr="00CF77C1">
        <w:rPr>
          <w:lang w:val="sr-Cyrl-RS"/>
        </w:rPr>
        <w:t>н</w:t>
      </w:r>
      <w:r w:rsidR="00E17CEA" w:rsidRPr="00CF77C1">
        <w:rPr>
          <w:lang w:val="sr-Cyrl-RS"/>
        </w:rPr>
        <w:t xml:space="preserve">ови Агрегат Г4 у ХЕ Потпећ, </w:t>
      </w:r>
      <w:r w:rsidR="00531C0A" w:rsidRPr="00CF77C1">
        <w:rPr>
          <w:lang w:val="sr-Cyrl-RS"/>
        </w:rPr>
        <w:t xml:space="preserve">са новом инсталисаном снагом </w:t>
      </w:r>
      <w:r w:rsidR="00E17CEA" w:rsidRPr="00CF77C1">
        <w:rPr>
          <w:lang w:val="sr-Cyrl-RS"/>
        </w:rPr>
        <w:t>13 MW</w:t>
      </w:r>
      <w:r w:rsidR="00531C0A" w:rsidRPr="00CF77C1">
        <w:rPr>
          <w:lang w:val="sr-Cyrl-RS"/>
        </w:rPr>
        <w:t>,</w:t>
      </w:r>
      <w:r w:rsidR="00E17CEA" w:rsidRPr="00CF77C1">
        <w:rPr>
          <w:lang w:val="sr-Cyrl-RS"/>
        </w:rPr>
        <w:t xml:space="preserve"> биће у погону од 2020. године.</w:t>
      </w:r>
    </w:p>
    <w:p w14:paraId="05D381AF" w14:textId="77777777" w:rsidR="002457E1" w:rsidRPr="00CF77C1" w:rsidRDefault="00E17CEA" w:rsidP="00656F74">
      <w:pPr>
        <w:ind w:firstLine="720"/>
        <w:rPr>
          <w:lang w:val="sr-Cyrl-RS"/>
        </w:rPr>
      </w:pPr>
      <w:r w:rsidRPr="00CF77C1">
        <w:rPr>
          <w:lang w:val="sr-Cyrl-RS"/>
        </w:rPr>
        <w:t>Поред повећања снаге хидроагрегата, производња електричне енергије у хидроелектранама ће и даље највише зависити од хидрологије (дотока</w:t>
      </w:r>
      <w:r w:rsidR="005934B3" w:rsidRPr="00CF77C1">
        <w:rPr>
          <w:lang w:val="sr-Cyrl-RS"/>
        </w:rPr>
        <w:t xml:space="preserve"> воде</w:t>
      </w:r>
      <w:r w:rsidRPr="00CF77C1">
        <w:rPr>
          <w:lang w:val="sr-Cyrl-RS"/>
        </w:rPr>
        <w:t>).</w:t>
      </w:r>
    </w:p>
    <w:p w14:paraId="1E22BAC4" w14:textId="309DD4E2" w:rsidR="000D63E1" w:rsidRPr="00CF77C1" w:rsidRDefault="00C255D3" w:rsidP="00656F74">
      <w:pPr>
        <w:ind w:firstLine="720"/>
        <w:rPr>
          <w:lang w:val="sr-Cyrl-RS"/>
        </w:rPr>
      </w:pPr>
      <w:r w:rsidRPr="00CF77C1">
        <w:rPr>
          <w:lang w:val="sr-Cyrl-RS"/>
        </w:rPr>
        <w:t>У периоду реализације ПОС</w:t>
      </w:r>
      <w:r w:rsidR="000D63E1" w:rsidRPr="00CF77C1">
        <w:rPr>
          <w:lang w:val="sr-Cyrl-RS"/>
        </w:rPr>
        <w:t xml:space="preserve"> планира се ревитализација термо</w:t>
      </w:r>
      <w:r w:rsidR="00E26B1E">
        <w:rPr>
          <w:lang w:val="sr-Cyrl-RS"/>
        </w:rPr>
        <w:t>-</w:t>
      </w:r>
      <w:r w:rsidR="000D63E1" w:rsidRPr="00CF77C1">
        <w:rPr>
          <w:lang w:val="sr-Cyrl-RS"/>
        </w:rPr>
        <w:t>блока А4 у ТЕ Никола Тесла А, при чему се планира повећање инсталисане снаге са 308,5 MW на 335,3 MW од 2018. године.</w:t>
      </w:r>
    </w:p>
    <w:p w14:paraId="1DD36473" w14:textId="61594C47" w:rsidR="002A662F" w:rsidRPr="00CF77C1" w:rsidRDefault="00E17CEA" w:rsidP="00656F74">
      <w:pPr>
        <w:ind w:firstLine="720"/>
        <w:rPr>
          <w:lang w:val="sr-Cyrl-RS"/>
        </w:rPr>
      </w:pPr>
      <w:r w:rsidRPr="00CF77C1">
        <w:rPr>
          <w:lang w:val="sr-Cyrl-RS"/>
        </w:rPr>
        <w:t xml:space="preserve">До краја 2023. године планирано је повлачење из погона </w:t>
      </w:r>
      <w:r w:rsidR="000D63E1" w:rsidRPr="00CF77C1">
        <w:rPr>
          <w:lang w:val="sr-Cyrl-RS"/>
        </w:rPr>
        <w:t>осам</w:t>
      </w:r>
      <w:r w:rsidRPr="00CF77C1">
        <w:rPr>
          <w:lang w:val="sr-Cyrl-RS"/>
        </w:rPr>
        <w:t xml:space="preserve"> термо-блокова (за ТЕ Костолац А1 ће се вршити додатне анализе о исплативости повлачења/реконструкције) укупне билансне снаге </w:t>
      </w:r>
      <w:r w:rsidR="000D63E1" w:rsidRPr="00CF77C1">
        <w:rPr>
          <w:lang w:val="sr-Cyrl-RS"/>
        </w:rPr>
        <w:t>622</w:t>
      </w:r>
      <w:r w:rsidRPr="00CF77C1">
        <w:rPr>
          <w:lang w:val="sr-Cyrl-RS"/>
        </w:rPr>
        <w:t xml:space="preserve"> MW и производње од око </w:t>
      </w:r>
      <w:r w:rsidR="00091B64" w:rsidRPr="00CF77C1">
        <w:rPr>
          <w:lang w:val="sr-Cyrl-RS"/>
        </w:rPr>
        <w:t>1717</w:t>
      </w:r>
      <w:r w:rsidRPr="00CF77C1">
        <w:rPr>
          <w:lang w:val="sr-Cyrl-RS"/>
        </w:rPr>
        <w:t xml:space="preserve"> </w:t>
      </w:r>
      <w:r w:rsidR="00091B64" w:rsidRPr="00CF77C1">
        <w:rPr>
          <w:lang w:val="sr-Cyrl-RS"/>
        </w:rPr>
        <w:t>GWh</w:t>
      </w:r>
      <w:r w:rsidRPr="00CF77C1">
        <w:rPr>
          <w:lang w:val="sr-Cyrl-RS"/>
        </w:rPr>
        <w:t xml:space="preserve">. То значи да </w:t>
      </w:r>
      <w:r w:rsidR="00C255D3" w:rsidRPr="00CF77C1">
        <w:rPr>
          <w:lang w:val="sr-Cyrl-RS"/>
        </w:rPr>
        <w:t>би се до краја реализације ПОС</w:t>
      </w:r>
      <w:r w:rsidRPr="00CF77C1">
        <w:rPr>
          <w:lang w:val="sr-Cyrl-RS"/>
        </w:rPr>
        <w:t xml:space="preserve"> обезбедила додатна електрична енергија у износу </w:t>
      </w:r>
      <w:r w:rsidR="00540125" w:rsidRPr="00CF77C1">
        <w:rPr>
          <w:lang w:val="sr-Cyrl-RS"/>
        </w:rPr>
        <w:t>од око 2</w:t>
      </w:r>
      <w:r w:rsidR="00091B64" w:rsidRPr="00CF77C1">
        <w:rPr>
          <w:lang w:val="sr-Cyrl-RS"/>
        </w:rPr>
        <w:t>,</w:t>
      </w:r>
      <w:r w:rsidR="00957124" w:rsidRPr="00CF77C1">
        <w:rPr>
          <w:lang w:val="sr-Cyrl-RS"/>
        </w:rPr>
        <w:t>71</w:t>
      </w:r>
      <w:r w:rsidRPr="00CF77C1">
        <w:rPr>
          <w:lang w:val="sr-Cyrl-RS"/>
        </w:rPr>
        <w:t xml:space="preserve"> ТWh из домаћих извора</w:t>
      </w:r>
      <w:r w:rsidR="002E5A85" w:rsidRPr="00CF77C1">
        <w:rPr>
          <w:lang w:val="sr-Cyrl-RS"/>
        </w:rPr>
        <w:t>, при чему би производња из нових ТЕ и ТЕ-ТО у потпуности заменила производњу из повучених ТЕ и ТЕ-ТО</w:t>
      </w:r>
      <w:r w:rsidRPr="00CF77C1">
        <w:rPr>
          <w:lang w:val="sr-Cyrl-RS"/>
        </w:rPr>
        <w:t>, чиме би се омогућило испуњење два стратешка циља из области електроенергетике:</w:t>
      </w:r>
    </w:p>
    <w:p w14:paraId="51C142A7" w14:textId="26EEC239" w:rsidR="00E17CEA" w:rsidRPr="00CF77C1" w:rsidRDefault="00E26B1E" w:rsidP="00656F74">
      <w:pPr>
        <w:ind w:firstLine="720"/>
        <w:rPr>
          <w:lang w:val="sr-Cyrl-RS"/>
        </w:rPr>
      </w:pPr>
      <w:r>
        <w:rPr>
          <w:lang w:val="sr-Cyrl-RS"/>
        </w:rPr>
        <w:t>Ц.</w:t>
      </w:r>
      <w:r w:rsidR="005E1591" w:rsidRPr="00CF77C1">
        <w:rPr>
          <w:lang w:val="sr-Cyrl-RS"/>
        </w:rPr>
        <w:t>Е</w:t>
      </w:r>
      <w:r>
        <w:rPr>
          <w:lang w:val="sr-Cyrl-RS"/>
        </w:rPr>
        <w:t>.</w:t>
      </w:r>
      <w:r w:rsidR="005E1591" w:rsidRPr="00CF77C1">
        <w:rPr>
          <w:lang w:val="sr-Cyrl-RS"/>
        </w:rPr>
        <w:t>1. Обезбеђивање сигурног снабдевања електричном енергијом домаћег тржишта</w:t>
      </w:r>
    </w:p>
    <w:p w14:paraId="7E26F2D1" w14:textId="24BD71B6" w:rsidR="002A662F" w:rsidRPr="00CF77C1" w:rsidRDefault="000642D2" w:rsidP="00656F74">
      <w:pPr>
        <w:ind w:firstLine="720"/>
        <w:rPr>
          <w:lang w:val="sr-Cyrl-RS"/>
        </w:rPr>
      </w:pPr>
      <w:r w:rsidRPr="00CF77C1">
        <w:rPr>
          <w:lang w:val="sr-Cyrl-RS"/>
        </w:rPr>
        <w:fldChar w:fldCharType="begin"/>
      </w:r>
      <w:r w:rsidRPr="00CF77C1">
        <w:rPr>
          <w:lang w:val="sr-Cyrl-RS"/>
        </w:rPr>
        <w:instrText xml:space="preserve"> REF EE_Cilj_5 \h  \* MERGEFORMAT </w:instrText>
      </w:r>
      <w:r w:rsidRPr="00CF77C1">
        <w:rPr>
          <w:lang w:val="sr-Cyrl-RS"/>
        </w:rPr>
      </w:r>
      <w:r w:rsidRPr="00CF77C1">
        <w:rPr>
          <w:lang w:val="sr-Cyrl-RS"/>
        </w:rPr>
        <w:fldChar w:fldCharType="separate"/>
      </w:r>
      <w:r w:rsidR="002D5918" w:rsidRPr="00CF77C1">
        <w:rPr>
          <w:lang w:val="sr-Cyrl-RS"/>
        </w:rPr>
        <w:t>Ц.Е.5. Стварање могућности за нето извоз електричне енергије</w:t>
      </w:r>
      <w:r w:rsidRPr="00CF77C1">
        <w:rPr>
          <w:lang w:val="sr-Cyrl-RS"/>
        </w:rPr>
        <w:fldChar w:fldCharType="end"/>
      </w:r>
      <w:r w:rsidR="0044646A" w:rsidRPr="00CF77C1">
        <w:rPr>
          <w:lang w:val="sr-Cyrl-RS"/>
        </w:rPr>
        <w:t xml:space="preserve"> </w:t>
      </w:r>
    </w:p>
    <w:p w14:paraId="373E44E5" w14:textId="628D5561" w:rsidR="00E37537" w:rsidRPr="00CF77C1" w:rsidRDefault="00E37537" w:rsidP="00656F74">
      <w:pPr>
        <w:ind w:firstLine="720"/>
        <w:rPr>
          <w:lang w:val="sr-Cyrl-RS"/>
        </w:rPr>
      </w:pPr>
      <w:r w:rsidRPr="009D7893">
        <w:rPr>
          <w:lang w:val="sr-Cyrl-RS"/>
        </w:rPr>
        <w:t xml:space="preserve">Напомена: Наведени редни бројеви циљева одговарају редним бројевима циљева из </w:t>
      </w:r>
      <w:r w:rsidR="009D7893">
        <w:rPr>
          <w:lang w:val="sr-Cyrl-RS"/>
        </w:rPr>
        <w:t xml:space="preserve">одељка </w:t>
      </w:r>
      <w:r w:rsidR="009D7893" w:rsidRPr="009D7893">
        <w:rPr>
          <w:lang w:val="sr-Cyrl-RS"/>
        </w:rPr>
        <w:t>3.1</w:t>
      </w:r>
      <w:r w:rsidR="009D7893">
        <w:rPr>
          <w:lang w:val="sr-Cyrl-RS"/>
        </w:rPr>
        <w:t>. овог поглавља</w:t>
      </w:r>
      <w:r w:rsidRPr="009D7893">
        <w:rPr>
          <w:lang w:val="sr-Cyrl-RS"/>
        </w:rPr>
        <w:t xml:space="preserve">. Овакав начин нумерације циљева задржан је и </w:t>
      </w:r>
      <w:r w:rsidR="00EC7E28" w:rsidRPr="009D7893">
        <w:rPr>
          <w:lang w:val="sr-Cyrl-RS"/>
        </w:rPr>
        <w:t xml:space="preserve">у </w:t>
      </w:r>
      <w:r w:rsidRPr="009D7893">
        <w:rPr>
          <w:lang w:val="sr-Cyrl-RS"/>
        </w:rPr>
        <w:t>поглављима која се односе на пројекте</w:t>
      </w:r>
      <w:r w:rsidRPr="00CF77C1">
        <w:rPr>
          <w:lang w:val="sr-Cyrl-RS"/>
        </w:rPr>
        <w:t xml:space="preserve"> у области</w:t>
      </w:r>
      <w:r w:rsidR="00EC7E28" w:rsidRPr="00CF77C1">
        <w:rPr>
          <w:lang w:val="sr-Cyrl-RS"/>
        </w:rPr>
        <w:t>ма</w:t>
      </w:r>
      <w:r w:rsidRPr="00CF77C1">
        <w:rPr>
          <w:lang w:val="sr-Cyrl-RS"/>
        </w:rPr>
        <w:t xml:space="preserve"> преноса и дистрибуције електричне енергије.</w:t>
      </w:r>
      <w:r w:rsidR="00CB6B1A" w:rsidRPr="00CF77C1">
        <w:rPr>
          <w:lang w:val="sr-Cyrl-RS"/>
        </w:rPr>
        <w:t xml:space="preserve"> Циљеви су побројани по значају пројекта за њихово остварење (први је наведен циљ за чије испуњење пројекат има највећи значај).</w:t>
      </w:r>
    </w:p>
    <w:p w14:paraId="6AE5E087" w14:textId="72A80BF5" w:rsidR="00E17CEA" w:rsidRPr="00CF77C1" w:rsidRDefault="00E17CEA" w:rsidP="00656F74">
      <w:pPr>
        <w:ind w:firstLine="720"/>
        <w:rPr>
          <w:lang w:val="sr-Cyrl-RS"/>
        </w:rPr>
      </w:pPr>
      <w:r w:rsidRPr="00CF77C1">
        <w:rPr>
          <w:lang w:val="sr-Cyrl-RS"/>
        </w:rPr>
        <w:t xml:space="preserve">Иако </w:t>
      </w:r>
      <w:r w:rsidR="00F10D3F" w:rsidRPr="00CF77C1">
        <w:rPr>
          <w:lang w:val="sr-Cyrl-RS"/>
        </w:rPr>
        <w:t xml:space="preserve">блокови А1 и А2 у ТЕ Никола Тесла А </w:t>
      </w:r>
      <w:r w:rsidRPr="00CF77C1">
        <w:rPr>
          <w:lang w:val="sr-Cyrl-RS"/>
        </w:rPr>
        <w:t>долазе до краја експлоатационог века у</w:t>
      </w:r>
      <w:r w:rsidR="00C255D3" w:rsidRPr="00CF77C1">
        <w:rPr>
          <w:lang w:val="sr-Cyrl-RS"/>
        </w:rPr>
        <w:t xml:space="preserve"> току реализације ПОС</w:t>
      </w:r>
      <w:r w:rsidR="00F10D3F" w:rsidRPr="00CF77C1">
        <w:rPr>
          <w:lang w:val="sr-Cyrl-RS"/>
        </w:rPr>
        <w:t>, прелим</w:t>
      </w:r>
      <w:r w:rsidRPr="00CF77C1">
        <w:rPr>
          <w:lang w:val="sr-Cyrl-RS"/>
        </w:rPr>
        <w:t xml:space="preserve">инарне анализе показују да је најекономичније решење реконструкција блокова А1 и А2 у ТЕ Никола Тесла А уз примену мера за заштиту животне средине и за то су потребна процењена улагања у износу од око 230 милиона </w:t>
      </w:r>
      <w:r w:rsidR="0013305E" w:rsidRPr="00CF77C1">
        <w:rPr>
          <w:lang w:val="sr-Cyrl-RS"/>
        </w:rPr>
        <w:t>€</w:t>
      </w:r>
      <w:r w:rsidRPr="00CF77C1">
        <w:rPr>
          <w:lang w:val="sr-Cyrl-RS"/>
        </w:rPr>
        <w:t>. Коначно решење за статус ових блокова ће се знати након израде детаљније инвестиционо-техничке документације, која је у току.</w:t>
      </w:r>
    </w:p>
    <w:p w14:paraId="0FE384FF" w14:textId="70E1B428" w:rsidR="00E17CEA" w:rsidRPr="00CF77C1" w:rsidRDefault="00E17CEA" w:rsidP="00656F74">
      <w:pPr>
        <w:ind w:firstLine="720"/>
        <w:rPr>
          <w:lang w:val="sr-Cyrl-RS"/>
        </w:rPr>
      </w:pPr>
      <w:r w:rsidRPr="00CF77C1">
        <w:rPr>
          <w:lang w:val="sr-Cyrl-RS"/>
        </w:rPr>
        <w:t xml:space="preserve">Инвестиције потребне за повлачење из погона </w:t>
      </w:r>
      <w:r w:rsidR="00411D7E" w:rsidRPr="00CF77C1">
        <w:rPr>
          <w:lang w:val="sr-Cyrl-RS"/>
        </w:rPr>
        <w:t>пет</w:t>
      </w:r>
      <w:r w:rsidRPr="00CF77C1">
        <w:rPr>
          <w:lang w:val="sr-Cyrl-RS"/>
        </w:rPr>
        <w:t xml:space="preserve"> термо-блок</w:t>
      </w:r>
      <w:r w:rsidR="00411D7E" w:rsidRPr="00CF77C1">
        <w:rPr>
          <w:lang w:val="sr-Cyrl-RS"/>
        </w:rPr>
        <w:t>ов</w:t>
      </w:r>
      <w:r w:rsidRPr="00CF77C1">
        <w:rPr>
          <w:lang w:val="sr-Cyrl-RS"/>
        </w:rPr>
        <w:t>а процењене су на око 26 милиона €.</w:t>
      </w:r>
    </w:p>
    <w:p w14:paraId="2671D81F" w14:textId="19DED98C" w:rsidR="00BD44C7" w:rsidRPr="00CF77C1" w:rsidRDefault="00E17CEA" w:rsidP="00656F74">
      <w:pPr>
        <w:ind w:firstLine="720"/>
        <w:rPr>
          <w:lang w:val="sr-Cyrl-RS"/>
        </w:rPr>
      </w:pPr>
      <w:r w:rsidRPr="00CF77C1">
        <w:rPr>
          <w:lang w:val="sr-Cyrl-RS"/>
        </w:rPr>
        <w:t>У току је израда инвестиционо-техничке документације за статус лока</w:t>
      </w:r>
      <w:r w:rsidR="00EC7E28" w:rsidRPr="00CF77C1">
        <w:rPr>
          <w:lang w:val="sr-Cyrl-RS"/>
        </w:rPr>
        <w:t>ције ТЕ Костолац А. Прелиминарне анализе</w:t>
      </w:r>
      <w:r w:rsidR="007C6D0E">
        <w:rPr>
          <w:lang w:val="sr-Cyrl-RS"/>
        </w:rPr>
        <w:t xml:space="preserve"> показују да термо-</w:t>
      </w:r>
      <w:r w:rsidRPr="00CF77C1">
        <w:rPr>
          <w:lang w:val="sr-Cyrl-RS"/>
        </w:rPr>
        <w:t xml:space="preserve">блок А1 треба повући из погона, а блок А2 реконструисати уз примену мера за заштиту животне средине и за то су потребна инвестициона средства на нивоу од 187 милиона </w:t>
      </w:r>
      <w:r w:rsidR="0013305E" w:rsidRPr="00CF77C1">
        <w:rPr>
          <w:lang w:val="sr-Cyrl-RS"/>
        </w:rPr>
        <w:t>€</w:t>
      </w:r>
      <w:r w:rsidRPr="00CF77C1">
        <w:rPr>
          <w:lang w:val="sr-Cyrl-RS"/>
        </w:rPr>
        <w:t>.</w:t>
      </w:r>
      <w:r w:rsidR="00AE546A" w:rsidRPr="00CF77C1">
        <w:rPr>
          <w:lang w:val="sr-Cyrl-RS"/>
        </w:rPr>
        <w:t xml:space="preserve"> Коначно решење за статус ових блокова ће се знати по окончању израде инвестиционо-техничке документације.</w:t>
      </w:r>
    </w:p>
    <w:p w14:paraId="787CDA8D" w14:textId="4A375397" w:rsidR="00882A54" w:rsidRPr="00CF77C1" w:rsidRDefault="00882A54" w:rsidP="00656F74">
      <w:pPr>
        <w:ind w:firstLine="720"/>
        <w:rPr>
          <w:lang w:val="sr-Cyrl-RS"/>
        </w:rPr>
      </w:pPr>
      <w:r w:rsidRPr="00CF77C1">
        <w:rPr>
          <w:lang w:val="sr-Cyrl-RS"/>
        </w:rPr>
        <w:t>Планира се да реконструисани и нови производни блокови буду реализовани коришћењем саврем</w:t>
      </w:r>
      <w:r w:rsidR="00E26B1E">
        <w:rPr>
          <w:lang w:val="sr-Cyrl-RS"/>
        </w:rPr>
        <w:t>ених технологија које обезбеђују</w:t>
      </w:r>
      <w:r w:rsidRPr="00CF77C1">
        <w:rPr>
          <w:lang w:val="sr-Cyrl-RS"/>
        </w:rPr>
        <w:t xml:space="preserve"> оптималан ниво енергетске ефикасности у сектору производње електричне енергије. Они би заменили старе, енергетски неефикасне термо-блокове који се повлаче из погона.</w:t>
      </w:r>
    </w:p>
    <w:p w14:paraId="68D94363" w14:textId="77777777" w:rsidR="007659B0" w:rsidRPr="00CF77C1" w:rsidRDefault="006F2099" w:rsidP="00656F74">
      <w:pPr>
        <w:ind w:firstLine="720"/>
        <w:rPr>
          <w:lang w:val="sr-Cyrl-RS"/>
        </w:rPr>
      </w:pPr>
      <w:r w:rsidRPr="00CF77C1">
        <w:rPr>
          <w:lang w:val="sr-Cyrl-RS"/>
        </w:rPr>
        <w:t>У</w:t>
      </w:r>
      <w:r w:rsidR="007659B0" w:rsidRPr="00CF77C1">
        <w:rPr>
          <w:lang w:val="sr-Cyrl-RS"/>
        </w:rPr>
        <w:t xml:space="preserve">напређење енергетске ефикасности у сектору производње електричне енергије </w:t>
      </w:r>
      <w:r w:rsidRPr="00CF77C1">
        <w:rPr>
          <w:lang w:val="sr-Cyrl-RS"/>
        </w:rPr>
        <w:t xml:space="preserve">планира се </w:t>
      </w:r>
      <w:r w:rsidR="007659B0" w:rsidRPr="00CF77C1">
        <w:rPr>
          <w:lang w:val="sr-Cyrl-RS"/>
        </w:rPr>
        <w:t xml:space="preserve">кроз унапређење техничке ефикасности парних котлова и турбопостројења. План активности на унапређењу као и вредности индикатора реализације ових активности (степена корисности појединих термо-блокова) ће дефинисати </w:t>
      </w:r>
      <w:r w:rsidR="001B761F" w:rsidRPr="00CF77C1">
        <w:rPr>
          <w:lang w:val="sr-Cyrl-RS"/>
        </w:rPr>
        <w:t>ЕПС</w:t>
      </w:r>
      <w:r w:rsidR="007659B0" w:rsidRPr="00CF77C1">
        <w:rPr>
          <w:lang w:val="sr-Cyrl-RS"/>
        </w:rPr>
        <w:t xml:space="preserve"> кроз свој десетогодишњи план развоја.</w:t>
      </w:r>
    </w:p>
    <w:p w14:paraId="71FB2A04" w14:textId="77777777" w:rsidR="009063C6" w:rsidRPr="00CF77C1" w:rsidRDefault="005C650D" w:rsidP="00656F74">
      <w:pPr>
        <w:ind w:firstLine="720"/>
        <w:rPr>
          <w:lang w:val="sr-Cyrl-RS"/>
        </w:rPr>
      </w:pPr>
      <w:r w:rsidRPr="00CF77C1">
        <w:rPr>
          <w:lang w:val="sr-Cyrl-RS"/>
        </w:rPr>
        <w:t>Министарство надлежно за послове</w:t>
      </w:r>
      <w:r w:rsidR="009063C6" w:rsidRPr="00CF77C1">
        <w:rPr>
          <w:lang w:val="sr-Cyrl-RS"/>
        </w:rPr>
        <w:t xml:space="preserve"> рударства и енергетике припремило је уредбу и правилник којима се прописују минимални захтеви за нова и ревитализована постројења за производњу, пренос и дистрибуцију топлотне и електричне енергије</w:t>
      </w:r>
      <w:r w:rsidR="006A10A8" w:rsidRPr="00CF77C1">
        <w:rPr>
          <w:lang w:val="sr-Cyrl-RS"/>
        </w:rPr>
        <w:t>, што ће бити услов за добијање енергетске и/или грађевинске дозволе</w:t>
      </w:r>
      <w:r w:rsidR="009063C6" w:rsidRPr="00CF77C1">
        <w:rPr>
          <w:lang w:val="sr-Cyrl-RS"/>
        </w:rPr>
        <w:t xml:space="preserve">, </w:t>
      </w:r>
      <w:r w:rsidR="006A10A8" w:rsidRPr="00CF77C1">
        <w:rPr>
          <w:lang w:val="sr-Cyrl-RS"/>
        </w:rPr>
        <w:t xml:space="preserve">а </w:t>
      </w:r>
      <w:r w:rsidR="009063C6" w:rsidRPr="00CF77C1">
        <w:rPr>
          <w:lang w:val="sr-Cyrl-RS"/>
        </w:rPr>
        <w:t>чија ће примена започети у 2017. години.</w:t>
      </w:r>
    </w:p>
    <w:p w14:paraId="4B87E1B9" w14:textId="205F9E0E" w:rsidR="002727F1" w:rsidRPr="00CF77C1" w:rsidRDefault="002727F1" w:rsidP="00656F74">
      <w:pPr>
        <w:ind w:firstLine="720"/>
        <w:rPr>
          <w:lang w:val="sr-Cyrl-RS"/>
        </w:rPr>
      </w:pPr>
      <w:r w:rsidRPr="00CF77C1">
        <w:rPr>
          <w:lang w:val="sr-Cyrl-RS"/>
        </w:rPr>
        <w:t xml:space="preserve">Поред ветроелектрана, које су посебно важне због задовољења циљева у вези са обновљивим изворима енергије, у оквиру различитих сценарија Стратегије развоја енергетике разматран је низ потенцијалних пројеката изградње производних капацитета у електроенергетском сектору који су приказани у </w:t>
      </w:r>
      <w:r w:rsidR="0092145E" w:rsidRPr="00CF77C1">
        <w:rPr>
          <w:lang w:val="sr-Cyrl-RS"/>
        </w:rPr>
        <w:fldChar w:fldCharType="begin"/>
      </w:r>
      <w:r w:rsidRPr="00CF77C1">
        <w:rPr>
          <w:lang w:val="sr-Cyrl-RS"/>
        </w:rPr>
        <w:instrText xml:space="preserve"> REF _Ref475474576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таб. 6</w:t>
      </w:r>
      <w:r w:rsidR="0092145E" w:rsidRPr="00CF77C1">
        <w:rPr>
          <w:lang w:val="sr-Cyrl-RS"/>
        </w:rPr>
        <w:fldChar w:fldCharType="end"/>
      </w:r>
      <w:r w:rsidRPr="00CF77C1">
        <w:rPr>
          <w:lang w:val="sr-Cyrl-RS"/>
        </w:rPr>
        <w:t>.</w:t>
      </w:r>
    </w:p>
    <w:p w14:paraId="36EB633B" w14:textId="3B2ADBD5" w:rsidR="002727F1" w:rsidRPr="00CF77C1" w:rsidRDefault="002727F1" w:rsidP="00656F74">
      <w:pPr>
        <w:pStyle w:val="Caption"/>
        <w:ind w:firstLine="720"/>
        <w:rPr>
          <w:b w:val="0"/>
          <w:lang w:val="sr-Cyrl-RS"/>
        </w:rPr>
      </w:pPr>
      <w:bookmarkStart w:id="30" w:name="_Ref475474576"/>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w:t>
      </w:r>
      <w:r w:rsidR="0092145E" w:rsidRPr="00CF77C1">
        <w:rPr>
          <w:b w:val="0"/>
          <w:lang w:val="sr-Cyrl-RS"/>
        </w:rPr>
        <w:fldChar w:fldCharType="end"/>
      </w:r>
      <w:bookmarkEnd w:id="30"/>
      <w:r w:rsidRPr="00CF77C1">
        <w:rPr>
          <w:b w:val="0"/>
          <w:lang w:val="sr-Cyrl-RS"/>
        </w:rPr>
        <w:t>: Потенцијални пројекти изградње нових производних капацитета у електроенергетском сектору</w:t>
      </w:r>
    </w:p>
    <w:tbl>
      <w:tblPr>
        <w:tblStyle w:val="TableGrid"/>
        <w:tblW w:w="0" w:type="auto"/>
        <w:tblLook w:val="04A0" w:firstRow="1" w:lastRow="0" w:firstColumn="1" w:lastColumn="0" w:noHBand="0" w:noVBand="1"/>
      </w:tblPr>
      <w:tblGrid>
        <w:gridCol w:w="3127"/>
        <w:gridCol w:w="3133"/>
        <w:gridCol w:w="3136"/>
      </w:tblGrid>
      <w:tr w:rsidR="002727F1" w:rsidRPr="00CF77C1" w14:paraId="7820113C" w14:textId="77777777" w:rsidTr="004111F2">
        <w:tc>
          <w:tcPr>
            <w:tcW w:w="3190" w:type="dxa"/>
            <w:vAlign w:val="center"/>
          </w:tcPr>
          <w:p w14:paraId="7F4A8CEC" w14:textId="77777777" w:rsidR="002727F1" w:rsidRPr="00CF77C1" w:rsidRDefault="002727F1" w:rsidP="004111F2">
            <w:pPr>
              <w:jc w:val="center"/>
              <w:rPr>
                <w:lang w:val="sr-Cyrl-RS"/>
              </w:rPr>
            </w:pPr>
            <w:r w:rsidRPr="00CF77C1">
              <w:rPr>
                <w:szCs w:val="24"/>
                <w:lang w:val="sr-Cyrl-RS"/>
              </w:rPr>
              <w:t>Назив пројекта</w:t>
            </w:r>
          </w:p>
        </w:tc>
        <w:tc>
          <w:tcPr>
            <w:tcW w:w="3190" w:type="dxa"/>
            <w:vAlign w:val="center"/>
          </w:tcPr>
          <w:p w14:paraId="6A0D264E" w14:textId="5FA8D8DA" w:rsidR="002727F1" w:rsidRPr="00CF77C1" w:rsidRDefault="00E105E2" w:rsidP="004111F2">
            <w:pPr>
              <w:jc w:val="center"/>
              <w:rPr>
                <w:szCs w:val="24"/>
                <w:lang w:val="sr-Cyrl-RS"/>
              </w:rPr>
            </w:pPr>
            <w:r w:rsidRPr="00CF77C1">
              <w:rPr>
                <w:szCs w:val="24"/>
                <w:lang w:val="sr-Cyrl-RS"/>
              </w:rPr>
              <w:t>Процењена</w:t>
            </w:r>
            <w:r w:rsidR="002727F1" w:rsidRPr="00CF77C1">
              <w:rPr>
                <w:szCs w:val="24"/>
                <w:lang w:val="sr-Cyrl-RS"/>
              </w:rPr>
              <w:t xml:space="preserve"> снага</w:t>
            </w:r>
          </w:p>
          <w:p w14:paraId="15835FD2" w14:textId="77777777" w:rsidR="002727F1" w:rsidRPr="00CF77C1" w:rsidRDefault="002727F1" w:rsidP="004111F2">
            <w:pPr>
              <w:jc w:val="center"/>
              <w:rPr>
                <w:lang w:val="sr-Cyrl-RS"/>
              </w:rPr>
            </w:pPr>
            <w:r w:rsidRPr="00CF77C1">
              <w:rPr>
                <w:szCs w:val="24"/>
                <w:lang w:val="sr-Cyrl-RS"/>
              </w:rPr>
              <w:t>(MW)</w:t>
            </w:r>
          </w:p>
        </w:tc>
        <w:tc>
          <w:tcPr>
            <w:tcW w:w="3191" w:type="dxa"/>
            <w:vAlign w:val="center"/>
          </w:tcPr>
          <w:p w14:paraId="6BFFBAD3" w14:textId="77777777" w:rsidR="002727F1" w:rsidRPr="00CF77C1" w:rsidRDefault="002727F1" w:rsidP="004111F2">
            <w:pPr>
              <w:jc w:val="center"/>
              <w:rPr>
                <w:szCs w:val="24"/>
                <w:lang w:val="sr-Cyrl-RS"/>
              </w:rPr>
            </w:pPr>
            <w:r w:rsidRPr="00CF77C1">
              <w:rPr>
                <w:szCs w:val="24"/>
                <w:lang w:val="sr-Cyrl-RS"/>
              </w:rPr>
              <w:t>Процењена годишња производња</w:t>
            </w:r>
          </w:p>
          <w:p w14:paraId="4CAF320E" w14:textId="77777777" w:rsidR="002727F1" w:rsidRPr="00CF77C1" w:rsidRDefault="002727F1" w:rsidP="004111F2">
            <w:pPr>
              <w:jc w:val="center"/>
              <w:rPr>
                <w:lang w:val="sr-Cyrl-RS"/>
              </w:rPr>
            </w:pPr>
            <w:r w:rsidRPr="00CF77C1">
              <w:rPr>
                <w:szCs w:val="24"/>
                <w:lang w:val="sr-Cyrl-RS"/>
              </w:rPr>
              <w:t>(GWh)</w:t>
            </w:r>
          </w:p>
        </w:tc>
      </w:tr>
      <w:tr w:rsidR="002727F1" w:rsidRPr="00CF77C1" w14:paraId="3CD8E8DE" w14:textId="77777777" w:rsidTr="004111F2">
        <w:tc>
          <w:tcPr>
            <w:tcW w:w="3190" w:type="dxa"/>
            <w:vAlign w:val="center"/>
          </w:tcPr>
          <w:p w14:paraId="014215F3" w14:textId="77777777" w:rsidR="002727F1" w:rsidRPr="00CF77C1" w:rsidRDefault="002727F1" w:rsidP="004111F2">
            <w:pPr>
              <w:rPr>
                <w:lang w:val="sr-Cyrl-RS"/>
              </w:rPr>
            </w:pPr>
            <w:r w:rsidRPr="00CF77C1">
              <w:rPr>
                <w:rFonts w:eastAsia="Trebuchet MS"/>
                <w:lang w:val="sr-Cyrl-RS" w:eastAsia="sr-Cyrl-CS"/>
              </w:rPr>
              <w:t>ТЕНТ Б3</w:t>
            </w:r>
          </w:p>
        </w:tc>
        <w:tc>
          <w:tcPr>
            <w:tcW w:w="3190" w:type="dxa"/>
            <w:vAlign w:val="center"/>
          </w:tcPr>
          <w:p w14:paraId="5F50B529" w14:textId="77777777" w:rsidR="002727F1" w:rsidRPr="00CF77C1" w:rsidRDefault="002727F1" w:rsidP="004111F2">
            <w:pPr>
              <w:jc w:val="center"/>
              <w:rPr>
                <w:lang w:val="sr-Cyrl-RS"/>
              </w:rPr>
            </w:pPr>
            <w:r w:rsidRPr="00CF77C1">
              <w:rPr>
                <w:rFonts w:eastAsia="Trebuchet MS"/>
                <w:lang w:val="sr-Cyrl-RS"/>
              </w:rPr>
              <w:t>750</w:t>
            </w:r>
          </w:p>
        </w:tc>
        <w:tc>
          <w:tcPr>
            <w:tcW w:w="3191" w:type="dxa"/>
            <w:vAlign w:val="center"/>
          </w:tcPr>
          <w:p w14:paraId="3642D457" w14:textId="77777777" w:rsidR="002727F1" w:rsidRPr="00CF77C1" w:rsidRDefault="00531C0A" w:rsidP="004111F2">
            <w:pPr>
              <w:jc w:val="center"/>
              <w:rPr>
                <w:lang w:val="sr-Cyrl-RS"/>
              </w:rPr>
            </w:pPr>
            <w:r w:rsidRPr="00CF77C1">
              <w:rPr>
                <w:lang w:val="sr-Cyrl-RS"/>
              </w:rPr>
              <w:t>54</w:t>
            </w:r>
            <w:r w:rsidR="002727F1" w:rsidRPr="00CF77C1">
              <w:rPr>
                <w:lang w:val="sr-Cyrl-RS"/>
              </w:rPr>
              <w:t>00</w:t>
            </w:r>
          </w:p>
        </w:tc>
      </w:tr>
      <w:tr w:rsidR="002727F1" w:rsidRPr="00CF77C1" w14:paraId="67B81CC7" w14:textId="77777777" w:rsidTr="004111F2">
        <w:tc>
          <w:tcPr>
            <w:tcW w:w="3190" w:type="dxa"/>
            <w:vAlign w:val="center"/>
          </w:tcPr>
          <w:p w14:paraId="686A6FA0" w14:textId="77777777" w:rsidR="002727F1" w:rsidRPr="00CF77C1" w:rsidRDefault="002727F1" w:rsidP="004111F2">
            <w:pPr>
              <w:rPr>
                <w:lang w:val="sr-Cyrl-RS"/>
              </w:rPr>
            </w:pPr>
            <w:r w:rsidRPr="00CF77C1">
              <w:rPr>
                <w:rFonts w:eastAsia="Trebuchet MS"/>
                <w:lang w:val="sr-Cyrl-RS" w:eastAsia="sr-Cyrl-CS"/>
              </w:rPr>
              <w:t>ТЕ Колубара Б</w:t>
            </w:r>
          </w:p>
        </w:tc>
        <w:tc>
          <w:tcPr>
            <w:tcW w:w="3190" w:type="dxa"/>
            <w:vAlign w:val="center"/>
          </w:tcPr>
          <w:p w14:paraId="56494B4E" w14:textId="77777777" w:rsidR="002727F1" w:rsidRPr="00CF77C1" w:rsidRDefault="002727F1" w:rsidP="004111F2">
            <w:pPr>
              <w:jc w:val="center"/>
              <w:rPr>
                <w:lang w:val="sr-Cyrl-RS"/>
              </w:rPr>
            </w:pPr>
            <w:r w:rsidRPr="00CF77C1">
              <w:rPr>
                <w:rFonts w:eastAsia="Trebuchet MS"/>
                <w:lang w:val="sr-Cyrl-RS"/>
              </w:rPr>
              <w:t>750</w:t>
            </w:r>
          </w:p>
        </w:tc>
        <w:tc>
          <w:tcPr>
            <w:tcW w:w="3191" w:type="dxa"/>
            <w:vAlign w:val="center"/>
          </w:tcPr>
          <w:p w14:paraId="54DAC4AE" w14:textId="77777777" w:rsidR="002727F1" w:rsidRPr="00CF77C1" w:rsidRDefault="00531C0A" w:rsidP="004111F2">
            <w:pPr>
              <w:jc w:val="center"/>
              <w:rPr>
                <w:lang w:val="sr-Cyrl-RS"/>
              </w:rPr>
            </w:pPr>
            <w:r w:rsidRPr="00CF77C1">
              <w:rPr>
                <w:lang w:val="sr-Cyrl-RS"/>
              </w:rPr>
              <w:t>51</w:t>
            </w:r>
            <w:r w:rsidR="002727F1" w:rsidRPr="00CF77C1">
              <w:rPr>
                <w:lang w:val="sr-Cyrl-RS"/>
              </w:rPr>
              <w:t>00</w:t>
            </w:r>
          </w:p>
        </w:tc>
      </w:tr>
      <w:tr w:rsidR="002727F1" w:rsidRPr="00CF77C1" w14:paraId="49439147" w14:textId="77777777" w:rsidTr="004111F2">
        <w:tc>
          <w:tcPr>
            <w:tcW w:w="3190" w:type="dxa"/>
            <w:vAlign w:val="center"/>
          </w:tcPr>
          <w:p w14:paraId="1D34E8C5" w14:textId="77777777" w:rsidR="002727F1" w:rsidRPr="00CF77C1" w:rsidRDefault="002727F1" w:rsidP="004111F2">
            <w:pPr>
              <w:rPr>
                <w:lang w:val="sr-Cyrl-RS"/>
              </w:rPr>
            </w:pPr>
            <w:r w:rsidRPr="00CF77C1">
              <w:rPr>
                <w:rFonts w:eastAsia="Trebuchet MS"/>
                <w:lang w:val="sr-Cyrl-RS" w:eastAsia="sr-Cyrl-CS"/>
              </w:rPr>
              <w:t>ТЕ ТО на гас</w:t>
            </w:r>
          </w:p>
        </w:tc>
        <w:tc>
          <w:tcPr>
            <w:tcW w:w="3190" w:type="dxa"/>
            <w:vAlign w:val="center"/>
          </w:tcPr>
          <w:p w14:paraId="11D28551" w14:textId="77777777" w:rsidR="002727F1" w:rsidRPr="00CF77C1" w:rsidRDefault="002727F1" w:rsidP="004111F2">
            <w:pPr>
              <w:jc w:val="center"/>
              <w:rPr>
                <w:lang w:val="sr-Cyrl-RS"/>
              </w:rPr>
            </w:pPr>
            <w:r w:rsidRPr="00CF77C1">
              <w:rPr>
                <w:rFonts w:eastAsia="Trebuchet MS"/>
                <w:lang w:val="sr-Cyrl-RS"/>
              </w:rPr>
              <w:t xml:space="preserve">860 </w:t>
            </w:r>
            <w:r w:rsidRPr="00CF77C1">
              <w:rPr>
                <w:rFonts w:eastAsia="Trebuchet MS"/>
                <w:vertAlign w:val="superscript"/>
                <w:lang w:val="sr-Cyrl-RS"/>
              </w:rPr>
              <w:t>а</w:t>
            </w:r>
          </w:p>
        </w:tc>
        <w:tc>
          <w:tcPr>
            <w:tcW w:w="3191" w:type="dxa"/>
            <w:vAlign w:val="center"/>
          </w:tcPr>
          <w:p w14:paraId="54512D4C" w14:textId="77777777" w:rsidR="002727F1" w:rsidRPr="00CF77C1" w:rsidRDefault="002727F1" w:rsidP="004111F2">
            <w:pPr>
              <w:jc w:val="center"/>
              <w:rPr>
                <w:lang w:val="sr-Cyrl-RS"/>
              </w:rPr>
            </w:pPr>
            <w:r w:rsidRPr="00CF77C1">
              <w:rPr>
                <w:lang w:val="sr-Cyrl-RS"/>
              </w:rPr>
              <w:t>3000</w:t>
            </w:r>
          </w:p>
        </w:tc>
      </w:tr>
      <w:tr w:rsidR="002727F1" w:rsidRPr="00CF77C1" w14:paraId="28905B20" w14:textId="77777777" w:rsidTr="004111F2">
        <w:tc>
          <w:tcPr>
            <w:tcW w:w="3190" w:type="dxa"/>
            <w:vAlign w:val="center"/>
          </w:tcPr>
          <w:p w14:paraId="4029345F" w14:textId="77777777" w:rsidR="002727F1" w:rsidRPr="00CF77C1" w:rsidRDefault="002727F1" w:rsidP="004111F2">
            <w:pPr>
              <w:rPr>
                <w:lang w:val="sr-Cyrl-RS"/>
              </w:rPr>
            </w:pPr>
            <w:r w:rsidRPr="00CF77C1">
              <w:rPr>
                <w:rFonts w:eastAsia="Trebuchet MS"/>
                <w:lang w:val="sr-Cyrl-RS" w:eastAsia="sr-Cyrl-CS"/>
              </w:rPr>
              <w:t>ХЕ Велика Морава</w:t>
            </w:r>
          </w:p>
        </w:tc>
        <w:tc>
          <w:tcPr>
            <w:tcW w:w="3190" w:type="dxa"/>
            <w:vAlign w:val="center"/>
          </w:tcPr>
          <w:p w14:paraId="07CB09B7" w14:textId="77777777" w:rsidR="002727F1" w:rsidRPr="00CF77C1" w:rsidRDefault="002727F1" w:rsidP="004111F2">
            <w:pPr>
              <w:jc w:val="center"/>
              <w:rPr>
                <w:lang w:val="sr-Cyrl-RS"/>
              </w:rPr>
            </w:pPr>
            <w:r w:rsidRPr="00CF77C1">
              <w:rPr>
                <w:rFonts w:eastAsia="Trebuchet MS"/>
                <w:lang w:val="sr-Cyrl-RS"/>
              </w:rPr>
              <w:t xml:space="preserve">147,7 </w:t>
            </w:r>
            <w:r w:rsidRPr="00CF77C1">
              <w:rPr>
                <w:rFonts w:eastAsia="Trebuchet MS"/>
                <w:vertAlign w:val="superscript"/>
                <w:lang w:val="sr-Cyrl-RS"/>
              </w:rPr>
              <w:t>б</w:t>
            </w:r>
          </w:p>
        </w:tc>
        <w:tc>
          <w:tcPr>
            <w:tcW w:w="3191" w:type="dxa"/>
            <w:vAlign w:val="center"/>
          </w:tcPr>
          <w:p w14:paraId="134065DC" w14:textId="77777777" w:rsidR="002727F1" w:rsidRPr="00CF77C1" w:rsidRDefault="002727F1" w:rsidP="004111F2">
            <w:pPr>
              <w:jc w:val="center"/>
              <w:rPr>
                <w:lang w:val="sr-Cyrl-RS"/>
              </w:rPr>
            </w:pPr>
            <w:r w:rsidRPr="00CF77C1">
              <w:rPr>
                <w:lang w:val="sr-Cyrl-RS"/>
              </w:rPr>
              <w:t>650</w:t>
            </w:r>
          </w:p>
        </w:tc>
      </w:tr>
      <w:tr w:rsidR="002727F1" w:rsidRPr="00CF77C1" w14:paraId="326E7AB3" w14:textId="77777777" w:rsidTr="004111F2">
        <w:tc>
          <w:tcPr>
            <w:tcW w:w="3190" w:type="dxa"/>
            <w:vAlign w:val="center"/>
          </w:tcPr>
          <w:p w14:paraId="4504A8ED" w14:textId="77777777" w:rsidR="002727F1" w:rsidRPr="00CF77C1" w:rsidRDefault="002727F1" w:rsidP="004111F2">
            <w:pPr>
              <w:rPr>
                <w:lang w:val="sr-Cyrl-RS"/>
              </w:rPr>
            </w:pPr>
            <w:r w:rsidRPr="00CF77C1">
              <w:rPr>
                <w:rFonts w:eastAsia="Trebuchet MS"/>
                <w:lang w:val="sr-Cyrl-RS" w:eastAsia="sr-Cyrl-CS"/>
              </w:rPr>
              <w:t>ХЕ Западна Морава</w:t>
            </w:r>
          </w:p>
        </w:tc>
        <w:tc>
          <w:tcPr>
            <w:tcW w:w="3190" w:type="dxa"/>
            <w:vAlign w:val="center"/>
          </w:tcPr>
          <w:p w14:paraId="5ED15ED1" w14:textId="77777777" w:rsidR="002727F1" w:rsidRPr="00CF77C1" w:rsidRDefault="002727F1" w:rsidP="004111F2">
            <w:pPr>
              <w:jc w:val="center"/>
              <w:rPr>
                <w:lang w:val="sr-Cyrl-RS"/>
              </w:rPr>
            </w:pPr>
            <w:r w:rsidRPr="00CF77C1">
              <w:rPr>
                <w:rFonts w:eastAsia="Trebuchet MS"/>
                <w:lang w:val="sr-Cyrl-RS"/>
              </w:rPr>
              <w:t xml:space="preserve">66,45 </w:t>
            </w:r>
            <w:r w:rsidRPr="00CF77C1">
              <w:rPr>
                <w:rFonts w:eastAsia="Trebuchet MS"/>
                <w:vertAlign w:val="superscript"/>
                <w:lang w:val="sr-Cyrl-RS"/>
              </w:rPr>
              <w:t>б</w:t>
            </w:r>
          </w:p>
        </w:tc>
        <w:tc>
          <w:tcPr>
            <w:tcW w:w="3191" w:type="dxa"/>
            <w:vAlign w:val="center"/>
          </w:tcPr>
          <w:p w14:paraId="212F6626" w14:textId="77777777" w:rsidR="002727F1" w:rsidRPr="00CF77C1" w:rsidRDefault="002727F1" w:rsidP="004111F2">
            <w:pPr>
              <w:jc w:val="center"/>
              <w:rPr>
                <w:lang w:val="sr-Cyrl-RS"/>
              </w:rPr>
            </w:pPr>
            <w:r w:rsidRPr="00CF77C1">
              <w:rPr>
                <w:lang w:val="sr-Cyrl-RS"/>
              </w:rPr>
              <w:t>297,14</w:t>
            </w:r>
          </w:p>
        </w:tc>
      </w:tr>
      <w:tr w:rsidR="002727F1" w:rsidRPr="00CF77C1" w14:paraId="1A15AE03" w14:textId="77777777" w:rsidTr="004111F2">
        <w:tc>
          <w:tcPr>
            <w:tcW w:w="3190" w:type="dxa"/>
            <w:vAlign w:val="center"/>
          </w:tcPr>
          <w:p w14:paraId="5365F606" w14:textId="77777777" w:rsidR="002727F1" w:rsidRPr="00CF77C1" w:rsidRDefault="002727F1" w:rsidP="004111F2">
            <w:pPr>
              <w:rPr>
                <w:lang w:val="sr-Cyrl-RS"/>
              </w:rPr>
            </w:pPr>
            <w:r w:rsidRPr="00CF77C1">
              <w:rPr>
                <w:rFonts w:eastAsia="Trebuchet MS"/>
                <w:lang w:val="sr-Cyrl-RS" w:eastAsia="sr-Cyrl-CS"/>
              </w:rPr>
              <w:t xml:space="preserve">ХЕ Ибар </w:t>
            </w:r>
            <w:r w:rsidRPr="00CF77C1">
              <w:rPr>
                <w:rFonts w:eastAsia="Trebuchet MS"/>
                <w:vertAlign w:val="superscript"/>
                <w:lang w:val="sr-Cyrl-RS" w:eastAsia="sr-Cyrl-CS"/>
              </w:rPr>
              <w:t>в</w:t>
            </w:r>
          </w:p>
        </w:tc>
        <w:tc>
          <w:tcPr>
            <w:tcW w:w="3190" w:type="dxa"/>
            <w:vAlign w:val="center"/>
          </w:tcPr>
          <w:p w14:paraId="099C2B96" w14:textId="77777777" w:rsidR="002727F1" w:rsidRPr="00CF77C1" w:rsidRDefault="002727F1" w:rsidP="004111F2">
            <w:pPr>
              <w:jc w:val="center"/>
              <w:rPr>
                <w:lang w:val="sr-Cyrl-RS"/>
              </w:rPr>
            </w:pPr>
            <w:r w:rsidRPr="00CF77C1">
              <w:rPr>
                <w:rFonts w:eastAsia="Trebuchet MS"/>
                <w:lang w:val="sr-Cyrl-RS"/>
              </w:rPr>
              <w:t xml:space="preserve">117 </w:t>
            </w:r>
            <w:r w:rsidRPr="00CF77C1">
              <w:rPr>
                <w:rFonts w:eastAsia="Trebuchet MS"/>
                <w:vertAlign w:val="superscript"/>
                <w:lang w:val="sr-Cyrl-RS"/>
              </w:rPr>
              <w:t>б</w:t>
            </w:r>
          </w:p>
        </w:tc>
        <w:tc>
          <w:tcPr>
            <w:tcW w:w="3191" w:type="dxa"/>
            <w:vAlign w:val="center"/>
          </w:tcPr>
          <w:p w14:paraId="4740C015" w14:textId="77777777" w:rsidR="002727F1" w:rsidRPr="00CF77C1" w:rsidRDefault="002727F1" w:rsidP="004111F2">
            <w:pPr>
              <w:jc w:val="center"/>
              <w:rPr>
                <w:lang w:val="sr-Cyrl-RS"/>
              </w:rPr>
            </w:pPr>
            <w:r w:rsidRPr="00CF77C1">
              <w:rPr>
                <w:lang w:val="sr-Cyrl-RS"/>
              </w:rPr>
              <w:t>451</w:t>
            </w:r>
          </w:p>
        </w:tc>
      </w:tr>
      <w:tr w:rsidR="002727F1" w:rsidRPr="00CF77C1" w14:paraId="0EBAE2B2" w14:textId="77777777" w:rsidTr="004111F2">
        <w:tc>
          <w:tcPr>
            <w:tcW w:w="3190" w:type="dxa"/>
            <w:vAlign w:val="center"/>
          </w:tcPr>
          <w:p w14:paraId="4CC16E66" w14:textId="77777777" w:rsidR="002727F1" w:rsidRPr="00CF77C1" w:rsidRDefault="002727F1" w:rsidP="004111F2">
            <w:pPr>
              <w:rPr>
                <w:rFonts w:eastAsia="Trebuchet MS"/>
                <w:lang w:val="sr-Cyrl-RS" w:eastAsia="sr-Cyrl-CS"/>
              </w:rPr>
            </w:pPr>
            <w:r w:rsidRPr="00CF77C1">
              <w:rPr>
                <w:rFonts w:eastAsia="Trebuchet MS"/>
                <w:lang w:val="sr-Cyrl-RS" w:eastAsia="sr-Cyrl-CS"/>
              </w:rPr>
              <w:t xml:space="preserve">ХЕ Средња Дрина </w:t>
            </w:r>
            <w:r w:rsidRPr="00CF77C1">
              <w:rPr>
                <w:rFonts w:eastAsia="Trebuchet MS"/>
                <w:vertAlign w:val="superscript"/>
                <w:lang w:val="sr-Cyrl-RS" w:eastAsia="sr-Cyrl-CS"/>
              </w:rPr>
              <w:t>в</w:t>
            </w:r>
          </w:p>
        </w:tc>
        <w:tc>
          <w:tcPr>
            <w:tcW w:w="3190" w:type="dxa"/>
            <w:vAlign w:val="center"/>
          </w:tcPr>
          <w:p w14:paraId="33B51992" w14:textId="77777777" w:rsidR="002727F1" w:rsidRPr="00CF77C1" w:rsidRDefault="002727F1" w:rsidP="004111F2">
            <w:pPr>
              <w:jc w:val="center"/>
              <w:rPr>
                <w:lang w:val="sr-Cyrl-RS"/>
              </w:rPr>
            </w:pPr>
            <w:r w:rsidRPr="00CF77C1">
              <w:rPr>
                <w:rFonts w:eastAsia="Trebuchet MS"/>
                <w:lang w:val="sr-Cyrl-RS"/>
              </w:rPr>
              <w:t xml:space="preserve">321 </w:t>
            </w:r>
            <w:r w:rsidRPr="00CF77C1">
              <w:rPr>
                <w:rFonts w:eastAsia="Trebuchet MS"/>
                <w:vertAlign w:val="superscript"/>
                <w:lang w:val="sr-Cyrl-RS"/>
              </w:rPr>
              <w:t>б</w:t>
            </w:r>
          </w:p>
        </w:tc>
        <w:tc>
          <w:tcPr>
            <w:tcW w:w="3191" w:type="dxa"/>
            <w:vAlign w:val="center"/>
          </w:tcPr>
          <w:p w14:paraId="45A2B9B3" w14:textId="77777777" w:rsidR="002727F1" w:rsidRPr="00CF77C1" w:rsidRDefault="002727F1" w:rsidP="004111F2">
            <w:pPr>
              <w:jc w:val="center"/>
              <w:rPr>
                <w:lang w:val="sr-Cyrl-RS"/>
              </w:rPr>
            </w:pPr>
            <w:r w:rsidRPr="00CF77C1">
              <w:rPr>
                <w:lang w:val="sr-Cyrl-RS"/>
              </w:rPr>
              <w:t>1445</w:t>
            </w:r>
          </w:p>
        </w:tc>
      </w:tr>
      <w:tr w:rsidR="002727F1" w:rsidRPr="00CF77C1" w14:paraId="1B704814" w14:textId="77777777" w:rsidTr="004111F2">
        <w:tc>
          <w:tcPr>
            <w:tcW w:w="3190" w:type="dxa"/>
            <w:vAlign w:val="center"/>
          </w:tcPr>
          <w:p w14:paraId="329771E6" w14:textId="77777777" w:rsidR="002727F1" w:rsidRPr="00CF77C1" w:rsidRDefault="002727F1" w:rsidP="004111F2">
            <w:pPr>
              <w:rPr>
                <w:rFonts w:eastAsia="Trebuchet MS"/>
                <w:lang w:val="sr-Cyrl-RS" w:eastAsia="sr-Cyrl-CS"/>
              </w:rPr>
            </w:pPr>
            <w:r w:rsidRPr="00CF77C1">
              <w:rPr>
                <w:rFonts w:eastAsia="Trebuchet MS"/>
                <w:lang w:val="sr-Cyrl-RS" w:eastAsia="sr-Cyrl-CS"/>
              </w:rPr>
              <w:t>РХЕ Бистрица</w:t>
            </w:r>
          </w:p>
        </w:tc>
        <w:tc>
          <w:tcPr>
            <w:tcW w:w="3190" w:type="dxa"/>
            <w:vAlign w:val="center"/>
          </w:tcPr>
          <w:p w14:paraId="76F956F9" w14:textId="77777777" w:rsidR="002727F1" w:rsidRPr="00CF77C1" w:rsidRDefault="002727F1" w:rsidP="004111F2">
            <w:pPr>
              <w:jc w:val="center"/>
              <w:rPr>
                <w:lang w:val="sr-Cyrl-RS"/>
              </w:rPr>
            </w:pPr>
            <w:r w:rsidRPr="00CF77C1">
              <w:rPr>
                <w:rFonts w:eastAsia="Trebuchet MS"/>
                <w:lang w:val="sr-Cyrl-RS"/>
              </w:rPr>
              <w:t>680</w:t>
            </w:r>
          </w:p>
        </w:tc>
        <w:tc>
          <w:tcPr>
            <w:tcW w:w="3191" w:type="dxa"/>
            <w:vAlign w:val="center"/>
          </w:tcPr>
          <w:p w14:paraId="568A872A" w14:textId="77777777" w:rsidR="002727F1" w:rsidRPr="00CF77C1" w:rsidRDefault="002727F1" w:rsidP="004111F2">
            <w:pPr>
              <w:jc w:val="center"/>
              <w:rPr>
                <w:lang w:val="sr-Cyrl-RS"/>
              </w:rPr>
            </w:pPr>
            <w:r w:rsidRPr="00CF77C1">
              <w:rPr>
                <w:lang w:val="sr-Cyrl-RS"/>
              </w:rPr>
              <w:t>-</w:t>
            </w:r>
          </w:p>
        </w:tc>
      </w:tr>
      <w:tr w:rsidR="002727F1" w:rsidRPr="00CF77C1" w14:paraId="5AF2D82F" w14:textId="77777777" w:rsidTr="004111F2">
        <w:tc>
          <w:tcPr>
            <w:tcW w:w="3190" w:type="dxa"/>
            <w:vAlign w:val="center"/>
          </w:tcPr>
          <w:p w14:paraId="3D89D75F" w14:textId="77777777" w:rsidR="002727F1" w:rsidRPr="00CF77C1" w:rsidRDefault="002727F1" w:rsidP="004111F2">
            <w:pPr>
              <w:rPr>
                <w:rFonts w:eastAsia="Trebuchet MS"/>
                <w:lang w:val="sr-Cyrl-RS" w:eastAsia="sr-Cyrl-CS"/>
              </w:rPr>
            </w:pPr>
            <w:r w:rsidRPr="00CF77C1">
              <w:rPr>
                <w:rFonts w:eastAsia="Trebuchet MS"/>
                <w:lang w:val="sr-Cyrl-RS" w:eastAsia="sr-Cyrl-CS"/>
              </w:rPr>
              <w:t>РХЕ Ђердап 3 (I фаза)</w:t>
            </w:r>
          </w:p>
        </w:tc>
        <w:tc>
          <w:tcPr>
            <w:tcW w:w="3190" w:type="dxa"/>
            <w:vAlign w:val="center"/>
          </w:tcPr>
          <w:p w14:paraId="6C182283" w14:textId="77777777" w:rsidR="002727F1" w:rsidRPr="00CF77C1" w:rsidRDefault="002727F1" w:rsidP="004111F2">
            <w:pPr>
              <w:jc w:val="center"/>
              <w:rPr>
                <w:lang w:val="sr-Cyrl-RS"/>
              </w:rPr>
            </w:pPr>
            <w:r w:rsidRPr="00CF77C1">
              <w:rPr>
                <w:rFonts w:eastAsia="Trebuchet MS"/>
                <w:lang w:val="sr-Cyrl-RS"/>
              </w:rPr>
              <w:t>600</w:t>
            </w:r>
          </w:p>
        </w:tc>
        <w:tc>
          <w:tcPr>
            <w:tcW w:w="3191" w:type="dxa"/>
            <w:vAlign w:val="center"/>
          </w:tcPr>
          <w:p w14:paraId="74F0F4F9" w14:textId="77777777" w:rsidR="002727F1" w:rsidRPr="00CF77C1" w:rsidRDefault="002727F1" w:rsidP="004111F2">
            <w:pPr>
              <w:jc w:val="center"/>
              <w:rPr>
                <w:lang w:val="sr-Cyrl-RS"/>
              </w:rPr>
            </w:pPr>
            <w:r w:rsidRPr="00CF77C1">
              <w:rPr>
                <w:lang w:val="sr-Cyrl-RS"/>
              </w:rPr>
              <w:t>-</w:t>
            </w:r>
          </w:p>
        </w:tc>
      </w:tr>
    </w:tbl>
    <w:p w14:paraId="315C7A49" w14:textId="77777777" w:rsidR="002727F1" w:rsidRPr="00CF77C1" w:rsidRDefault="002727F1" w:rsidP="00656F74">
      <w:pPr>
        <w:ind w:firstLine="720"/>
        <w:rPr>
          <w:lang w:val="sr-Cyrl-RS"/>
        </w:rPr>
      </w:pPr>
      <w:r w:rsidRPr="00CF77C1">
        <w:rPr>
          <w:lang w:val="sr-Cyrl-RS"/>
        </w:rPr>
        <w:t>а - Укупна снага више ТЕ ТО (Панчево, Београд, Ниш и др.)</w:t>
      </w:r>
    </w:p>
    <w:p w14:paraId="43CC1BFC" w14:textId="77777777" w:rsidR="002727F1" w:rsidRPr="00CF77C1" w:rsidRDefault="002727F1" w:rsidP="00656F74">
      <w:pPr>
        <w:ind w:firstLine="720"/>
        <w:rPr>
          <w:lang w:val="sr-Cyrl-RS"/>
        </w:rPr>
      </w:pPr>
      <w:r w:rsidRPr="00CF77C1">
        <w:rPr>
          <w:lang w:val="sr-Cyrl-RS"/>
        </w:rPr>
        <w:t>б - Укупна снага више каскадних ХЕ</w:t>
      </w:r>
    </w:p>
    <w:p w14:paraId="085A67BE" w14:textId="47DAC472" w:rsidR="002727F1" w:rsidRPr="00CF77C1" w:rsidRDefault="002727F1" w:rsidP="00656F74">
      <w:pPr>
        <w:ind w:firstLine="720"/>
        <w:rPr>
          <w:lang w:val="sr-Cyrl-RS"/>
        </w:rPr>
      </w:pPr>
      <w:r w:rsidRPr="00CF77C1">
        <w:rPr>
          <w:lang w:val="sr-Cyrl-RS"/>
        </w:rPr>
        <w:t>в - Закон о потврђивању Споразума између Владе Републике Србије и Владе Републике Италије о сарадњи у области енергетике</w:t>
      </w:r>
      <w:r w:rsidR="00E105E2" w:rsidRPr="00CF77C1">
        <w:rPr>
          <w:lang w:val="sr-Cyrl-RS"/>
        </w:rPr>
        <w:t xml:space="preserve"> („Службени гласник РС</w:t>
      </w:r>
      <w:r w:rsidR="009A670A" w:rsidRPr="00CF77C1">
        <w:rPr>
          <w:lang w:val="sr-Cyrl-RS"/>
        </w:rPr>
        <w:t xml:space="preserve"> - Међународни уговори</w:t>
      </w:r>
      <w:r w:rsidR="00E26B1E">
        <w:rPr>
          <w:lang w:val="sr-Cyrl-RS"/>
        </w:rPr>
        <w:t>”</w:t>
      </w:r>
      <w:r w:rsidR="00381EB3">
        <w:rPr>
          <w:lang w:val="sr-Cyrl-RS"/>
        </w:rPr>
        <w:t>,</w:t>
      </w:r>
      <w:r w:rsidR="009A670A" w:rsidRPr="00CF77C1">
        <w:rPr>
          <w:lang w:val="sr-Cyrl-RS"/>
        </w:rPr>
        <w:t xml:space="preserve"> број</w:t>
      </w:r>
      <w:r w:rsidR="00E105E2" w:rsidRPr="00CF77C1">
        <w:rPr>
          <w:lang w:val="sr-Cyrl-RS"/>
        </w:rPr>
        <w:t xml:space="preserve"> 7/12)</w:t>
      </w:r>
    </w:p>
    <w:p w14:paraId="0F4AABA8" w14:textId="77777777" w:rsidR="002727F1" w:rsidRPr="00CF77C1" w:rsidRDefault="002727F1" w:rsidP="00656F74">
      <w:pPr>
        <w:ind w:firstLine="720"/>
        <w:rPr>
          <w:lang w:val="sr-Cyrl-RS"/>
        </w:rPr>
      </w:pPr>
      <w:r w:rsidRPr="00CF77C1">
        <w:rPr>
          <w:lang w:val="sr-Cyrl-RS"/>
        </w:rPr>
        <w:t>Поред наведеног, у Републици Србији се разматра могућност покретања пројеката изградње објеката за производњу електричне енергије из отпада.</w:t>
      </w:r>
    </w:p>
    <w:p w14:paraId="51BC44F6" w14:textId="77777777" w:rsidR="00C10F3F" w:rsidRPr="00CF77C1" w:rsidRDefault="00C10F3F" w:rsidP="00656F74">
      <w:pPr>
        <w:pStyle w:val="ListParagraph"/>
        <w:keepNext/>
        <w:numPr>
          <w:ilvl w:val="0"/>
          <w:numId w:val="14"/>
        </w:numPr>
        <w:ind w:left="539" w:firstLine="181"/>
        <w:rPr>
          <w:lang w:val="sr-Cyrl-RS"/>
        </w:rPr>
      </w:pPr>
      <w:bookmarkStart w:id="31" w:name="_Ref476805948"/>
      <w:r w:rsidRPr="00CF77C1">
        <w:rPr>
          <w:lang w:val="sr-Cyrl-RS"/>
        </w:rPr>
        <w:t>Пројекат изградње новог блока у ТЕ Костолац Б3</w:t>
      </w:r>
      <w:bookmarkEnd w:id="31"/>
    </w:p>
    <w:p w14:paraId="3EAE77A5" w14:textId="71F9FC7B" w:rsidR="00C10F3F" w:rsidRPr="00CF77C1" w:rsidRDefault="00C10F3F" w:rsidP="00656F74">
      <w:pPr>
        <w:ind w:firstLine="720"/>
        <w:rPr>
          <w:lang w:val="sr-Cyrl-RS"/>
        </w:rPr>
      </w:pPr>
      <w:r w:rsidRPr="00CF77C1">
        <w:rPr>
          <w:lang w:val="sr-Cyrl-RS"/>
        </w:rPr>
        <w:t xml:space="preserve">Пројекат изградње новог блока у ТЕ Костолац Б3 (ТЕКО Б3 снаге 350 MW) допринеће повећању производних капацитета, а тиме и унапређење енергетске стабилности у Републици Србији. Пројекат обухвата и проширење површинског копа Дрмно, односно повећање производње угља са 9 на 12 </w:t>
      </w:r>
      <w:r w:rsidR="004653CD" w:rsidRPr="00CF77C1">
        <w:rPr>
          <w:lang w:val="sr-Cyrl-RS"/>
        </w:rPr>
        <w:t>милиона тона</w:t>
      </w:r>
      <w:r w:rsidRPr="00CF77C1">
        <w:rPr>
          <w:lang w:val="sr-Cyrl-RS"/>
        </w:rPr>
        <w:t xml:space="preserve"> годишње. Вреднос</w:t>
      </w:r>
      <w:r w:rsidR="00E17CEA" w:rsidRPr="00CF77C1">
        <w:rPr>
          <w:lang w:val="sr-Cyrl-RS"/>
        </w:rPr>
        <w:t>т пројекта ТЕ Костолац</w:t>
      </w:r>
      <w:r w:rsidRPr="00CF77C1">
        <w:rPr>
          <w:lang w:val="sr-Cyrl-RS"/>
        </w:rPr>
        <w:t xml:space="preserve"> Б3 је 715,6 милиона </w:t>
      </w:r>
      <w:r w:rsidR="003F43C8" w:rsidRPr="00CF77C1">
        <w:rPr>
          <w:lang w:val="sr-Cyrl-RS"/>
        </w:rPr>
        <w:t>$</w:t>
      </w:r>
      <w:r w:rsidRPr="00CF77C1">
        <w:rPr>
          <w:lang w:val="sr-Cyrl-RS"/>
        </w:rPr>
        <w:t xml:space="preserve"> (око 81.100 милиона РСД). Пројекат се финансира из два извора: 85% вредности пројекта финан</w:t>
      </w:r>
      <w:r w:rsidR="001B761F" w:rsidRPr="00CF77C1">
        <w:rPr>
          <w:lang w:val="sr-Cyrl-RS"/>
        </w:rPr>
        <w:t>сираће се из зајма кинеске ЕКСИМ</w:t>
      </w:r>
      <w:r w:rsidRPr="00CF77C1">
        <w:rPr>
          <w:lang w:val="sr-Cyrl-RS"/>
        </w:rPr>
        <w:t xml:space="preserve"> банке под преференцијалним условима уз одобрену државну гаранцију, а остатак је обезбеђен из средстава </w:t>
      </w:r>
      <w:r w:rsidR="001B761F" w:rsidRPr="00CF77C1">
        <w:rPr>
          <w:lang w:val="sr-Cyrl-RS"/>
        </w:rPr>
        <w:t>ЕПС</w:t>
      </w:r>
      <w:r w:rsidRPr="00CF77C1">
        <w:rPr>
          <w:lang w:val="sr-Cyrl-RS"/>
        </w:rPr>
        <w:t xml:space="preserve"> (15%). Рок за реализацију пројекта је 58 месеци. Блок ТЕ</w:t>
      </w:r>
      <w:r w:rsidR="00E17CEA" w:rsidRPr="00CF77C1">
        <w:rPr>
          <w:lang w:val="sr-Cyrl-RS"/>
        </w:rPr>
        <w:t xml:space="preserve"> Костолац</w:t>
      </w:r>
      <w:r w:rsidRPr="00CF77C1">
        <w:rPr>
          <w:lang w:val="sr-Cyrl-RS"/>
        </w:rPr>
        <w:t xml:space="preserve"> Б3 задовољава све стандарде </w:t>
      </w:r>
      <w:r w:rsidR="00B061EF" w:rsidRPr="00CF77C1">
        <w:rPr>
          <w:lang w:val="sr-Cyrl-RS"/>
        </w:rPr>
        <w:t xml:space="preserve">заштите животне средине </w:t>
      </w:r>
      <w:r w:rsidRPr="00CF77C1">
        <w:rPr>
          <w:lang w:val="sr-Cyrl-RS"/>
        </w:rPr>
        <w:t>прописане законима Републике Србије. Реализација изградње од изузетне је важности за развој енергетике Републике Србије због поузданог и сигурног снабдевања енергијом и енергентима и успостављања услова за поуздан и безбедан рад и одрживи развој енергетског сектора уопште, што директно утиче на конкурентност и извозну способност српске економије.</w:t>
      </w:r>
    </w:p>
    <w:p w14:paraId="4630CC75" w14:textId="5CF2CA64" w:rsidR="00F057A7" w:rsidRPr="00CF77C1" w:rsidRDefault="00F057A7" w:rsidP="00656F74">
      <w:pPr>
        <w:ind w:firstLine="720"/>
        <w:rPr>
          <w:lang w:val="sr-Cyrl-RS"/>
        </w:rPr>
      </w:pPr>
      <w:r w:rsidRPr="00CF77C1">
        <w:rPr>
          <w:lang w:val="sr-Cyrl-RS"/>
        </w:rPr>
        <w:t xml:space="preserve">Са аспекта унапређења енергетске ефикасности детаљне процене биће познате по изради елабората о енергетској ефикасности. Пошто ће нови термо-блок својом производњом заменити производњу старих термо-блокова ниског степена корисности, претпоставка је да ће се степен корисности производње електричне енергије новог блока повећати за бар </w:t>
      </w:r>
      <w:r w:rsidR="00A70FCB">
        <w:rPr>
          <w:lang w:val="sr-Cyrl-RS"/>
        </w:rPr>
        <w:t>три</w:t>
      </w:r>
      <w:r w:rsidRPr="00CF77C1">
        <w:rPr>
          <w:lang w:val="sr-Cyrl-RS"/>
        </w:rPr>
        <w:t xml:space="preserve"> процентна поена. Дакле, уколико се претпостави да постојећи термо-блокови које ће заменити нови термо-блок имају степен корисности 35% (што је конзервативна претпоставка</w:t>
      </w:r>
      <w:r w:rsidR="00A2072D" w:rsidRPr="00CF77C1">
        <w:rPr>
          <w:lang w:val="sr-Cyrl-RS"/>
        </w:rPr>
        <w:t xml:space="preserve"> јер је у 2015. години просечан степен корисности термо-блокова без утрошка електричне енергије за сопствену потрошњу износио 34,9%</w:t>
      </w:r>
      <w:r w:rsidRPr="00CF77C1">
        <w:rPr>
          <w:lang w:val="sr-Cyrl-RS"/>
        </w:rPr>
        <w:t>), а да ће нови термо-блок имати степен корисности 38% (карактеристике појединих елемената термо-блока су непознате, јер је блок јо</w:t>
      </w:r>
      <w:r w:rsidR="00EC7E28" w:rsidRPr="00CF77C1">
        <w:rPr>
          <w:lang w:val="sr-Cyrl-RS"/>
        </w:rPr>
        <w:t>ш увек предмет пројекто</w:t>
      </w:r>
      <w:r w:rsidRPr="00CF77C1">
        <w:rPr>
          <w:lang w:val="sr-Cyrl-RS"/>
        </w:rPr>
        <w:t xml:space="preserve">вања), на сваки kWh произведене енергије из </w:t>
      </w:r>
      <w:r w:rsidR="006A10A8" w:rsidRPr="00CF77C1">
        <w:rPr>
          <w:lang w:val="sr-Cyrl-RS"/>
        </w:rPr>
        <w:t xml:space="preserve">новог термо-блока </w:t>
      </w:r>
      <w:r w:rsidRPr="00CF77C1">
        <w:rPr>
          <w:lang w:val="sr-Cyrl-RS"/>
        </w:rPr>
        <w:t xml:space="preserve">уштедеће се око 225 Wh примарне енергије. То значи да годишњој производњи од </w:t>
      </w:r>
      <w:r w:rsidR="00FF0E37" w:rsidRPr="00CF77C1">
        <w:rPr>
          <w:lang w:val="sr-Cyrl-RS"/>
        </w:rPr>
        <w:t>2200 </w:t>
      </w:r>
      <w:r w:rsidRPr="00CF77C1">
        <w:rPr>
          <w:lang w:val="sr-Cyrl-RS"/>
        </w:rPr>
        <w:t xml:space="preserve">GWh одговара годишња уштеда примарне енергије од 495 GWh, што чини </w:t>
      </w:r>
      <w:r w:rsidR="00A2072D" w:rsidRPr="00CF77C1">
        <w:rPr>
          <w:lang w:val="sr-Cyrl-RS"/>
        </w:rPr>
        <w:t>око 0,4% примарне производње енергије у 2015. години</w:t>
      </w:r>
      <w:r w:rsidRPr="00CF77C1">
        <w:rPr>
          <w:lang w:val="sr-Cyrl-RS"/>
        </w:rPr>
        <w:t>.</w:t>
      </w:r>
    </w:p>
    <w:p w14:paraId="59208456" w14:textId="77777777" w:rsidR="00126EC4" w:rsidRPr="00CF77C1" w:rsidRDefault="00126EC4" w:rsidP="0080044B">
      <w:pPr>
        <w:rPr>
          <w:lang w:val="sr-Cyrl-RS"/>
        </w:rPr>
      </w:pPr>
    </w:p>
    <w:p w14:paraId="4F81BD4B" w14:textId="77777777" w:rsidR="00C10F3F" w:rsidRPr="00CF77C1" w:rsidRDefault="00C10F3F" w:rsidP="0080044B">
      <w:pPr>
        <w:rPr>
          <w:lang w:val="sr-Cyrl-RS"/>
        </w:rPr>
        <w:sectPr w:rsidR="00C10F3F" w:rsidRPr="00CF77C1" w:rsidSect="001F5B55">
          <w:headerReference w:type="default" r:id="rId8"/>
          <w:footerReference w:type="default" r:id="rId9"/>
          <w:pgSz w:w="11907" w:h="16839" w:code="9"/>
          <w:pgMar w:top="1260" w:right="1377" w:bottom="1134" w:left="1350" w:header="720" w:footer="720" w:gutter="0"/>
          <w:pgNumType w:start="1"/>
          <w:cols w:space="720"/>
          <w:titlePg/>
          <w:docGrid w:linePitch="360"/>
        </w:sectPr>
      </w:pPr>
    </w:p>
    <w:p w14:paraId="3F47CF39" w14:textId="462FD140" w:rsidR="00C10F3F" w:rsidRPr="00CF77C1" w:rsidRDefault="00D61BC9" w:rsidP="00656F74">
      <w:pPr>
        <w:pStyle w:val="Caption"/>
        <w:ind w:firstLine="720"/>
        <w:rPr>
          <w:b w:val="0"/>
          <w:lang w:val="sr-Cyrl-RS"/>
        </w:rPr>
      </w:pPr>
      <w:r w:rsidRPr="00CF77C1">
        <w:rPr>
          <w:b w:val="0"/>
          <w:lang w:val="sr-Cyrl-RS"/>
        </w:rPr>
        <w:t>таб.</w:t>
      </w:r>
      <w:r w:rsidR="00C10F3F"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w:t>
      </w:r>
      <w:r w:rsidR="0092145E" w:rsidRPr="00CF77C1">
        <w:rPr>
          <w:b w:val="0"/>
          <w:lang w:val="sr-Cyrl-RS"/>
        </w:rPr>
        <w:fldChar w:fldCharType="end"/>
      </w:r>
      <w:r w:rsidR="00C10F3F"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126"/>
        <w:gridCol w:w="4253"/>
        <w:gridCol w:w="5748"/>
      </w:tblGrid>
      <w:tr w:rsidR="00C10F3F" w:rsidRPr="00CF77C1" w14:paraId="697DBC78" w14:textId="77777777" w:rsidTr="003D1DC8">
        <w:tc>
          <w:tcPr>
            <w:tcW w:w="2660" w:type="dxa"/>
            <w:shd w:val="clear" w:color="auto" w:fill="auto"/>
            <w:vAlign w:val="center"/>
          </w:tcPr>
          <w:p w14:paraId="40E5838A" w14:textId="77777777" w:rsidR="00C10F3F" w:rsidRPr="00CF77C1" w:rsidRDefault="00C10F3F" w:rsidP="0080044B">
            <w:pPr>
              <w:jc w:val="center"/>
              <w:rPr>
                <w:lang w:val="sr-Cyrl-RS"/>
              </w:rPr>
            </w:pPr>
            <w:r w:rsidRPr="00CF77C1">
              <w:rPr>
                <w:lang w:val="sr-Cyrl-RS"/>
              </w:rPr>
              <w:t>Техничке карактеристике</w:t>
            </w:r>
          </w:p>
        </w:tc>
        <w:tc>
          <w:tcPr>
            <w:tcW w:w="2126" w:type="dxa"/>
            <w:shd w:val="clear" w:color="auto" w:fill="auto"/>
            <w:vAlign w:val="center"/>
          </w:tcPr>
          <w:p w14:paraId="3FF42A10" w14:textId="77777777" w:rsidR="00C10F3F" w:rsidRPr="00CF77C1" w:rsidRDefault="00C10F3F" w:rsidP="0080044B">
            <w:pPr>
              <w:jc w:val="center"/>
              <w:rPr>
                <w:lang w:val="sr-Cyrl-RS"/>
              </w:rPr>
            </w:pPr>
            <w:r w:rsidRPr="00CF77C1">
              <w:rPr>
                <w:lang w:val="sr-Cyrl-RS"/>
              </w:rPr>
              <w:t>Вредност пројекта и извор средстава</w:t>
            </w:r>
          </w:p>
        </w:tc>
        <w:tc>
          <w:tcPr>
            <w:tcW w:w="4253" w:type="dxa"/>
            <w:shd w:val="clear" w:color="auto" w:fill="auto"/>
            <w:vAlign w:val="center"/>
          </w:tcPr>
          <w:p w14:paraId="14FE74FE" w14:textId="77777777" w:rsidR="00C10F3F" w:rsidRPr="00CF77C1" w:rsidRDefault="00C10F3F" w:rsidP="0080044B">
            <w:pPr>
              <w:jc w:val="center"/>
              <w:rPr>
                <w:lang w:val="sr-Cyrl-RS"/>
              </w:rPr>
            </w:pPr>
            <w:r w:rsidRPr="00CF77C1">
              <w:rPr>
                <w:lang w:val="sr-Cyrl-RS"/>
              </w:rPr>
              <w:t>Опис ефеката реализације</w:t>
            </w:r>
          </w:p>
        </w:tc>
        <w:tc>
          <w:tcPr>
            <w:tcW w:w="5748" w:type="dxa"/>
            <w:shd w:val="clear" w:color="auto" w:fill="auto"/>
            <w:vAlign w:val="center"/>
          </w:tcPr>
          <w:p w14:paraId="00DAEB33" w14:textId="77777777" w:rsidR="00C10F3F" w:rsidRPr="00CF77C1" w:rsidRDefault="00C10F3F" w:rsidP="0080044B">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C10F3F" w:rsidRPr="00CF77C1" w14:paraId="17AED5DC" w14:textId="77777777" w:rsidTr="003D1DC8">
        <w:tc>
          <w:tcPr>
            <w:tcW w:w="2660" w:type="dxa"/>
            <w:shd w:val="clear" w:color="auto" w:fill="auto"/>
            <w:vAlign w:val="center"/>
          </w:tcPr>
          <w:p w14:paraId="17B44999" w14:textId="77777777" w:rsidR="00C10F3F" w:rsidRPr="00CF77C1" w:rsidRDefault="00C10F3F" w:rsidP="0080044B">
            <w:pPr>
              <w:jc w:val="left"/>
              <w:rPr>
                <w:lang w:val="sr-Cyrl-RS"/>
              </w:rPr>
            </w:pPr>
            <w:r w:rsidRPr="00CF77C1">
              <w:rPr>
                <w:lang w:val="sr-Cyrl-RS"/>
              </w:rPr>
              <w:t xml:space="preserve">ТЕ Костолац Б3 350 MW </w:t>
            </w:r>
          </w:p>
        </w:tc>
        <w:tc>
          <w:tcPr>
            <w:tcW w:w="2126" w:type="dxa"/>
            <w:shd w:val="clear" w:color="auto" w:fill="auto"/>
            <w:vAlign w:val="center"/>
          </w:tcPr>
          <w:p w14:paraId="7A783723" w14:textId="77777777" w:rsidR="00C10F3F" w:rsidRPr="00CF77C1" w:rsidRDefault="00C10F3F" w:rsidP="0080044B">
            <w:pPr>
              <w:jc w:val="left"/>
              <w:rPr>
                <w:lang w:val="sr-Cyrl-RS"/>
              </w:rPr>
            </w:pPr>
            <w:r w:rsidRPr="00CF77C1">
              <w:rPr>
                <w:lang w:val="sr-Cyrl-RS"/>
              </w:rPr>
              <w:t>715,6 милиона $</w:t>
            </w:r>
          </w:p>
          <w:p w14:paraId="70E841A2" w14:textId="77777777" w:rsidR="00C10F3F" w:rsidRPr="00CF77C1" w:rsidRDefault="00C10F3F" w:rsidP="0080044B">
            <w:pPr>
              <w:jc w:val="left"/>
              <w:rPr>
                <w:lang w:val="sr-Cyrl-RS"/>
              </w:rPr>
            </w:pPr>
            <w:r w:rsidRPr="00CF77C1">
              <w:rPr>
                <w:lang w:val="sr-Cyrl-RS"/>
              </w:rPr>
              <w:t xml:space="preserve">(85% из кредита кинеске ЕКСИМ банке, а 15% из сопствених средстава </w:t>
            </w:r>
            <w:r w:rsidR="001B761F" w:rsidRPr="00CF77C1">
              <w:rPr>
                <w:lang w:val="sr-Cyrl-RS"/>
              </w:rPr>
              <w:t>ЕПС</w:t>
            </w:r>
            <w:r w:rsidRPr="00CF77C1">
              <w:rPr>
                <w:lang w:val="sr-Cyrl-RS"/>
              </w:rPr>
              <w:t>)</w:t>
            </w:r>
          </w:p>
        </w:tc>
        <w:tc>
          <w:tcPr>
            <w:tcW w:w="4253" w:type="dxa"/>
            <w:shd w:val="clear" w:color="auto" w:fill="auto"/>
            <w:vAlign w:val="center"/>
          </w:tcPr>
          <w:p w14:paraId="192AD0E0" w14:textId="35E3CE8F" w:rsidR="00C10F3F" w:rsidRPr="00CF77C1" w:rsidRDefault="00E17CEA" w:rsidP="007C6D0E">
            <w:pPr>
              <w:jc w:val="left"/>
              <w:rPr>
                <w:lang w:val="sr-Cyrl-RS"/>
              </w:rPr>
            </w:pPr>
            <w:r w:rsidRPr="00CF77C1">
              <w:rPr>
                <w:lang w:val="sr-Cyrl-RS"/>
              </w:rPr>
              <w:t>Повећање инстал</w:t>
            </w:r>
            <w:r w:rsidR="00EB74AD">
              <w:rPr>
                <w:lang w:val="sr-Cyrl-RS"/>
              </w:rPr>
              <w:t>исане снаге термоелектрана ЕПС</w:t>
            </w:r>
            <w:r w:rsidRPr="00CF77C1">
              <w:rPr>
                <w:lang w:val="sr-Cyrl-RS"/>
              </w:rPr>
              <w:t xml:space="preserve"> за 350 MW, односно годишње производње која се пласира у преносни систем за око 2200 GWh. Производња овог термо</w:t>
            </w:r>
            <w:r w:rsidR="007C6D0E">
              <w:rPr>
                <w:lang w:val="sr-Cyrl-RS"/>
              </w:rPr>
              <w:t>-</w:t>
            </w:r>
            <w:r w:rsidRPr="00CF77C1">
              <w:rPr>
                <w:lang w:val="sr-Cyrl-RS"/>
              </w:rPr>
              <w:t>блока ће надоместити производњу капацитета</w:t>
            </w:r>
            <w:r w:rsidR="00BD44C7" w:rsidRPr="00CF77C1">
              <w:rPr>
                <w:lang w:val="sr-Cyrl-RS"/>
              </w:rPr>
              <w:t xml:space="preserve"> </w:t>
            </w:r>
            <w:r w:rsidRPr="00CF77C1">
              <w:rPr>
                <w:lang w:val="sr-Cyrl-RS"/>
              </w:rPr>
              <w:t>чије је повлачење из погона планирано до 2023. године што ће уз изградњу осталих капацитета из ОИЕ обезбедити сигурност снабдевања електричном енергијом купаца на подручју Републике Србије.</w:t>
            </w:r>
          </w:p>
        </w:tc>
        <w:tc>
          <w:tcPr>
            <w:tcW w:w="5748" w:type="dxa"/>
            <w:shd w:val="clear" w:color="auto" w:fill="auto"/>
            <w:vAlign w:val="center"/>
          </w:tcPr>
          <w:p w14:paraId="1A9BDFF1" w14:textId="77777777" w:rsidR="00C10F3F" w:rsidRPr="00CF77C1" w:rsidRDefault="00C10F3F" w:rsidP="0080044B">
            <w:pPr>
              <w:spacing w:before="20" w:after="20"/>
              <w:jc w:val="left"/>
              <w:rPr>
                <w:lang w:val="sr-Cyrl-RS"/>
              </w:rPr>
            </w:pPr>
            <w:r w:rsidRPr="00CF77C1">
              <w:rPr>
                <w:lang w:val="sr-Cyrl-RS"/>
              </w:rPr>
              <w:t>Годишња производња електричне енергије која се пласира у преносни систем: 2</w:t>
            </w:r>
            <w:r w:rsidR="00FF0E37" w:rsidRPr="00CF77C1">
              <w:rPr>
                <w:lang w:val="sr-Cyrl-RS"/>
              </w:rPr>
              <w:t>20</w:t>
            </w:r>
            <w:r w:rsidRPr="00CF77C1">
              <w:rPr>
                <w:lang w:val="sr-Cyrl-RS"/>
              </w:rPr>
              <w:t>0 GWh;</w:t>
            </w:r>
          </w:p>
          <w:p w14:paraId="68EAEDBA" w14:textId="77777777" w:rsidR="00C10F3F" w:rsidRPr="00CF77C1" w:rsidRDefault="00C10F3F" w:rsidP="0080044B">
            <w:pPr>
              <w:spacing w:before="20" w:after="20"/>
              <w:jc w:val="left"/>
              <w:rPr>
                <w:lang w:val="sr-Cyrl-RS"/>
              </w:rPr>
            </w:pPr>
            <w:r w:rsidRPr="00CF77C1">
              <w:rPr>
                <w:lang w:val="sr-Cyrl-RS"/>
              </w:rPr>
              <w:t xml:space="preserve">Вредност пласиране енергије према регулисаним ценама електричне енергије из 2015. године: </w:t>
            </w:r>
            <w:r w:rsidR="00FF0E37" w:rsidRPr="00CF77C1">
              <w:rPr>
                <w:lang w:val="sr-Cyrl-RS"/>
              </w:rPr>
              <w:t>14</w:t>
            </w:r>
            <w:r w:rsidRPr="00CF77C1">
              <w:rPr>
                <w:lang w:val="sr-Cyrl-RS"/>
              </w:rPr>
              <w:t>.</w:t>
            </w:r>
            <w:r w:rsidR="00FF0E37" w:rsidRPr="00CF77C1">
              <w:rPr>
                <w:lang w:val="sr-Cyrl-RS"/>
              </w:rPr>
              <w:t>762</w:t>
            </w:r>
            <w:r w:rsidRPr="00CF77C1">
              <w:rPr>
                <w:lang w:val="sr-Cyrl-RS"/>
              </w:rPr>
              <w:t xml:space="preserve"> милиона РСД (</w:t>
            </w:r>
            <w:r w:rsidR="00FF0E37" w:rsidRPr="00CF77C1">
              <w:rPr>
                <w:lang w:val="sr-Cyrl-RS"/>
              </w:rPr>
              <w:t>135,5</w:t>
            </w:r>
            <w:r w:rsidRPr="00CF77C1">
              <w:rPr>
                <w:lang w:val="sr-Cyrl-RS"/>
              </w:rPr>
              <w:t xml:space="preserve"> милиона $ према регулисаним ценама електричне енергије из 2015. године).</w:t>
            </w:r>
          </w:p>
        </w:tc>
      </w:tr>
    </w:tbl>
    <w:p w14:paraId="294F11DE" w14:textId="44D7805B" w:rsidR="00C10F3F" w:rsidRPr="00CF77C1" w:rsidRDefault="00D61BC9" w:rsidP="0080044B">
      <w:pPr>
        <w:pStyle w:val="Caption"/>
        <w:rPr>
          <w:b w:val="0"/>
          <w:lang w:val="sr-Cyrl-RS"/>
        </w:rPr>
      </w:pPr>
      <w:r w:rsidRPr="00CF77C1">
        <w:rPr>
          <w:b w:val="0"/>
          <w:lang w:val="sr-Cyrl-RS"/>
        </w:rPr>
        <w:t>таб.</w:t>
      </w:r>
      <w:r w:rsidR="00C10F3F"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w:t>
      </w:r>
      <w:r w:rsidR="0092145E" w:rsidRPr="00CF77C1">
        <w:rPr>
          <w:b w:val="0"/>
          <w:lang w:val="sr-Cyrl-RS"/>
        </w:rPr>
        <w:fldChar w:fldCharType="end"/>
      </w:r>
      <w:r w:rsidR="00C10F3F"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371"/>
        <w:gridCol w:w="4819"/>
      </w:tblGrid>
      <w:tr w:rsidR="00C10F3F" w:rsidRPr="00CF77C1" w14:paraId="5B77E1E8" w14:textId="77777777" w:rsidTr="003D1DC8">
        <w:trPr>
          <w:cantSplit/>
          <w:tblHeader/>
        </w:trPr>
        <w:tc>
          <w:tcPr>
            <w:tcW w:w="2660" w:type="dxa"/>
            <w:shd w:val="clear" w:color="auto" w:fill="auto"/>
            <w:vAlign w:val="center"/>
          </w:tcPr>
          <w:p w14:paraId="596D4D49" w14:textId="77777777" w:rsidR="00C10F3F" w:rsidRPr="00CF77C1" w:rsidRDefault="00C10F3F" w:rsidP="0080044B">
            <w:pPr>
              <w:jc w:val="center"/>
              <w:rPr>
                <w:lang w:val="sr-Cyrl-RS"/>
              </w:rPr>
            </w:pPr>
            <w:r w:rsidRPr="00CF77C1">
              <w:rPr>
                <w:lang w:val="sr-Cyrl-RS"/>
              </w:rPr>
              <w:t>Пројекат</w:t>
            </w:r>
          </w:p>
        </w:tc>
        <w:tc>
          <w:tcPr>
            <w:tcW w:w="7371" w:type="dxa"/>
            <w:shd w:val="clear" w:color="auto" w:fill="auto"/>
            <w:vAlign w:val="center"/>
          </w:tcPr>
          <w:p w14:paraId="513AC8FA" w14:textId="69C32886" w:rsidR="00C10F3F" w:rsidRPr="00CF77C1" w:rsidRDefault="00C10F3F" w:rsidP="0080044B">
            <w:pPr>
              <w:jc w:val="center"/>
              <w:rPr>
                <w:lang w:val="sr-Cyrl-RS"/>
              </w:rPr>
            </w:pPr>
            <w:r w:rsidRPr="00CF77C1">
              <w:rPr>
                <w:lang w:val="sr-Cyrl-RS"/>
              </w:rPr>
              <w:t>Статус пројекта</w:t>
            </w:r>
            <w:r w:rsidR="00C255D3" w:rsidRPr="00CF77C1">
              <w:rPr>
                <w:lang w:val="sr-Cyrl-RS"/>
              </w:rPr>
              <w:t xml:space="preserve"> у току израде ПОС</w:t>
            </w:r>
          </w:p>
        </w:tc>
        <w:tc>
          <w:tcPr>
            <w:tcW w:w="4819" w:type="dxa"/>
            <w:shd w:val="clear" w:color="auto" w:fill="auto"/>
            <w:vAlign w:val="center"/>
          </w:tcPr>
          <w:p w14:paraId="573D0865" w14:textId="77777777" w:rsidR="00C10F3F" w:rsidRPr="00CF77C1" w:rsidRDefault="00C10F3F" w:rsidP="0080044B">
            <w:pPr>
              <w:jc w:val="center"/>
              <w:rPr>
                <w:lang w:val="sr-Cyrl-RS"/>
              </w:rPr>
            </w:pPr>
            <w:r w:rsidRPr="00CF77C1">
              <w:rPr>
                <w:lang w:val="sr-Cyrl-RS"/>
              </w:rPr>
              <w:t>Недостајућа планска и техничка документација</w:t>
            </w:r>
          </w:p>
        </w:tc>
      </w:tr>
      <w:tr w:rsidR="00C10F3F" w:rsidRPr="00CF77C1" w14:paraId="372B27D1" w14:textId="77777777" w:rsidTr="003D1DC8">
        <w:trPr>
          <w:cantSplit/>
        </w:trPr>
        <w:tc>
          <w:tcPr>
            <w:tcW w:w="2660" w:type="dxa"/>
            <w:shd w:val="clear" w:color="auto" w:fill="auto"/>
            <w:vAlign w:val="center"/>
          </w:tcPr>
          <w:p w14:paraId="21226B9B" w14:textId="77777777" w:rsidR="00C10F3F" w:rsidRPr="00CF77C1" w:rsidRDefault="00607D00" w:rsidP="0080044B">
            <w:pPr>
              <w:jc w:val="left"/>
              <w:rPr>
                <w:lang w:val="sr-Cyrl-RS"/>
              </w:rPr>
            </w:pPr>
            <w:r w:rsidRPr="00CF77C1">
              <w:rPr>
                <w:lang w:val="sr-Cyrl-RS"/>
              </w:rPr>
              <w:t>Пројекат изградње новог блока у ТЕ Костолац Б3</w:t>
            </w:r>
          </w:p>
        </w:tc>
        <w:tc>
          <w:tcPr>
            <w:tcW w:w="7371" w:type="dxa"/>
            <w:shd w:val="clear" w:color="auto" w:fill="auto"/>
            <w:vAlign w:val="center"/>
          </w:tcPr>
          <w:p w14:paraId="4086E97B" w14:textId="658BCA23" w:rsidR="00C10F3F" w:rsidRPr="00CF77C1" w:rsidRDefault="00E17CEA" w:rsidP="003902E4">
            <w:pPr>
              <w:jc w:val="left"/>
              <w:rPr>
                <w:lang w:val="sr-Cyrl-RS"/>
              </w:rPr>
            </w:pPr>
            <w:r w:rsidRPr="00CF77C1">
              <w:rPr>
                <w:lang w:val="sr-Cyrl-RS"/>
              </w:rPr>
              <w:t xml:space="preserve">Завршен је Идejни прojeкат и дoбиjeнa je сaглaснoст </w:t>
            </w:r>
            <w:r w:rsidR="003902E4" w:rsidRPr="00CF77C1">
              <w:rPr>
                <w:lang w:val="sr-Cyrl-RS"/>
              </w:rPr>
              <w:t xml:space="preserve">Рeвизиoнe </w:t>
            </w:r>
            <w:r w:rsidRPr="00CF77C1">
              <w:rPr>
                <w:lang w:val="sr-Cyrl-RS"/>
              </w:rPr>
              <w:t xml:space="preserve">кoмисиje 2014. гoдине, </w:t>
            </w:r>
            <w:r w:rsidR="006F2099" w:rsidRPr="00CF77C1">
              <w:rPr>
                <w:lang w:val="sr-Cyrl-RS"/>
              </w:rPr>
              <w:t>у току је</w:t>
            </w:r>
            <w:r w:rsidRPr="00CF77C1">
              <w:rPr>
                <w:lang w:val="sr-Cyrl-RS"/>
              </w:rPr>
              <w:t xml:space="preserve"> измeна и дoпуна Идejнoг прojeктa, услeд измeњених услова од стране кинeског партнера. У току је изрaдa и прeглeд Прojeктa зa грaђeвинску дoзвoлу.</w:t>
            </w:r>
          </w:p>
        </w:tc>
        <w:tc>
          <w:tcPr>
            <w:tcW w:w="4819" w:type="dxa"/>
            <w:shd w:val="clear" w:color="auto" w:fill="auto"/>
            <w:vAlign w:val="center"/>
          </w:tcPr>
          <w:p w14:paraId="12B7FB2A" w14:textId="3909170A" w:rsidR="00C10F3F" w:rsidRPr="00CF77C1" w:rsidRDefault="00FF6C39" w:rsidP="002F3502">
            <w:pPr>
              <w:jc w:val="left"/>
              <w:rPr>
                <w:lang w:val="sr-Cyrl-RS"/>
              </w:rPr>
            </w:pPr>
            <w:r w:rsidRPr="00CF77C1">
              <w:rPr>
                <w:lang w:val="sr-Cyrl-RS"/>
              </w:rPr>
              <w:t>Студија процене утицаја на животну средину, п</w:t>
            </w:r>
            <w:r w:rsidR="00607D00" w:rsidRPr="00CF77C1">
              <w:rPr>
                <w:lang w:val="sr-Cyrl-RS"/>
              </w:rPr>
              <w:t>ројекат за грађевинску дозволу</w:t>
            </w:r>
            <w:r w:rsidRPr="00CF77C1">
              <w:rPr>
                <w:lang w:val="sr-Cyrl-RS"/>
              </w:rPr>
              <w:t>, грађевинска дозвола, пројекат за извођење (грађевински, машински, електро и информационо-комуникациони део), пројекат изведеног стања, употребна дозвола.</w:t>
            </w:r>
          </w:p>
        </w:tc>
      </w:tr>
    </w:tbl>
    <w:p w14:paraId="0DA34130" w14:textId="77777777" w:rsidR="00C10F3F" w:rsidRPr="00CF77C1" w:rsidRDefault="0091260E" w:rsidP="00656F74">
      <w:pPr>
        <w:ind w:firstLine="720"/>
        <w:rPr>
          <w:lang w:val="sr-Cyrl-RS"/>
        </w:rPr>
      </w:pPr>
      <w:r w:rsidRPr="00CF77C1">
        <w:rPr>
          <w:lang w:val="sr-Cyrl-RS"/>
        </w:rPr>
        <w:t>Индикатор реализације овог пројекта је проценат реализације термин плана усаглашеног са извођачем по кварталима (и годинама).</w:t>
      </w:r>
    </w:p>
    <w:p w14:paraId="4B08941F" w14:textId="20544BD6" w:rsidR="00C10F3F" w:rsidRPr="00CF77C1" w:rsidRDefault="00D61BC9" w:rsidP="00656F74">
      <w:pPr>
        <w:pStyle w:val="Caption"/>
        <w:ind w:firstLine="720"/>
        <w:rPr>
          <w:b w:val="0"/>
          <w:lang w:val="sr-Cyrl-RS"/>
        </w:rPr>
      </w:pPr>
      <w:r w:rsidRPr="00CF77C1">
        <w:rPr>
          <w:b w:val="0"/>
          <w:lang w:val="sr-Cyrl-RS"/>
        </w:rPr>
        <w:t>таб.</w:t>
      </w:r>
      <w:r w:rsidR="00C10F3F"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w:t>
      </w:r>
      <w:r w:rsidR="0092145E" w:rsidRPr="00CF77C1">
        <w:rPr>
          <w:b w:val="0"/>
          <w:lang w:val="sr-Cyrl-RS"/>
        </w:rPr>
        <w:fldChar w:fldCharType="end"/>
      </w:r>
      <w:r w:rsidR="00C10F3F" w:rsidRPr="00CF77C1">
        <w:rPr>
          <w:b w:val="0"/>
          <w:lang w:val="sr-Cyrl-RS"/>
        </w:rPr>
        <w:t>: Динамика реализације активн</w:t>
      </w:r>
      <w:r w:rsidR="00C255D3" w:rsidRPr="00CF77C1">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2409"/>
        <w:gridCol w:w="972"/>
        <w:gridCol w:w="972"/>
        <w:gridCol w:w="972"/>
        <w:gridCol w:w="972"/>
        <w:gridCol w:w="972"/>
        <w:gridCol w:w="972"/>
        <w:gridCol w:w="972"/>
      </w:tblGrid>
      <w:tr w:rsidR="00C10F3F" w:rsidRPr="00CF77C1" w14:paraId="28432824" w14:textId="77777777" w:rsidTr="002F3502">
        <w:trPr>
          <w:tblHeader/>
        </w:trPr>
        <w:tc>
          <w:tcPr>
            <w:tcW w:w="5637" w:type="dxa"/>
            <w:shd w:val="clear" w:color="auto" w:fill="auto"/>
            <w:vAlign w:val="center"/>
          </w:tcPr>
          <w:p w14:paraId="23274041" w14:textId="77777777" w:rsidR="00C10F3F" w:rsidRPr="00CF77C1" w:rsidRDefault="00C10F3F" w:rsidP="002F3502">
            <w:pPr>
              <w:framePr w:hSpace="181" w:wrap="notBeside" w:vAnchor="text" w:hAnchor="text" w:y="1"/>
              <w:jc w:val="center"/>
              <w:rPr>
                <w:lang w:val="sr-Cyrl-RS"/>
              </w:rPr>
            </w:pPr>
            <w:r w:rsidRPr="00CF77C1">
              <w:rPr>
                <w:lang w:val="sr-Cyrl-RS"/>
              </w:rPr>
              <w:t>Пројекат:</w:t>
            </w:r>
          </w:p>
          <w:p w14:paraId="33D8D308" w14:textId="77777777" w:rsidR="00C10F3F" w:rsidRPr="00CF77C1" w:rsidRDefault="00EA6189" w:rsidP="002F3502">
            <w:pPr>
              <w:framePr w:hSpace="181" w:wrap="notBeside" w:vAnchor="text" w:hAnchor="text" w:y="1"/>
              <w:jc w:val="center"/>
              <w:rPr>
                <w:lang w:val="sr-Cyrl-RS"/>
              </w:rPr>
            </w:pPr>
            <w:r w:rsidRPr="00CF77C1">
              <w:rPr>
                <w:lang w:val="sr-Cyrl-RS"/>
              </w:rPr>
              <w:t>Пројекат изградње новог блока у ТЕ Костолац Б3</w:t>
            </w:r>
          </w:p>
        </w:tc>
        <w:tc>
          <w:tcPr>
            <w:tcW w:w="2409" w:type="dxa"/>
            <w:shd w:val="clear" w:color="auto" w:fill="auto"/>
            <w:vAlign w:val="center"/>
          </w:tcPr>
          <w:p w14:paraId="2024B672" w14:textId="77777777" w:rsidR="00C10F3F" w:rsidRPr="00CF77C1" w:rsidRDefault="00DD69C2" w:rsidP="002F3502">
            <w:pPr>
              <w:framePr w:hSpace="181" w:wrap="notBeside" w:vAnchor="text" w:hAnchor="text" w:y="1"/>
              <w:jc w:val="center"/>
              <w:rPr>
                <w:lang w:val="sr-Cyrl-RS"/>
              </w:rPr>
            </w:pPr>
            <w:r w:rsidRPr="00CF77C1">
              <w:rPr>
                <w:lang w:val="sr-Cyrl-RS"/>
              </w:rPr>
              <w:t>Одговорни субјекат</w:t>
            </w:r>
          </w:p>
        </w:tc>
        <w:tc>
          <w:tcPr>
            <w:tcW w:w="972" w:type="dxa"/>
            <w:shd w:val="clear" w:color="auto" w:fill="auto"/>
            <w:vAlign w:val="center"/>
          </w:tcPr>
          <w:p w14:paraId="3B77F367" w14:textId="77777777" w:rsidR="00C10F3F" w:rsidRPr="00CF77C1" w:rsidRDefault="00C10F3F" w:rsidP="002F3502">
            <w:pPr>
              <w:framePr w:hSpace="181" w:wrap="notBeside" w:vAnchor="text" w:hAnchor="text" w:y="1"/>
              <w:jc w:val="center"/>
              <w:rPr>
                <w:lang w:val="sr-Cyrl-RS"/>
              </w:rPr>
            </w:pPr>
            <w:r w:rsidRPr="00CF77C1">
              <w:rPr>
                <w:lang w:val="sr-Cyrl-RS"/>
              </w:rPr>
              <w:t>2017.</w:t>
            </w:r>
          </w:p>
        </w:tc>
        <w:tc>
          <w:tcPr>
            <w:tcW w:w="972" w:type="dxa"/>
            <w:shd w:val="clear" w:color="auto" w:fill="auto"/>
            <w:vAlign w:val="center"/>
          </w:tcPr>
          <w:p w14:paraId="03C194E8" w14:textId="77777777" w:rsidR="00C10F3F" w:rsidRPr="00CF77C1" w:rsidRDefault="00C10F3F" w:rsidP="002F3502">
            <w:pPr>
              <w:framePr w:hSpace="181" w:wrap="notBeside" w:vAnchor="text" w:hAnchor="text" w:y="1"/>
              <w:jc w:val="center"/>
              <w:rPr>
                <w:lang w:val="sr-Cyrl-RS"/>
              </w:rPr>
            </w:pPr>
            <w:r w:rsidRPr="00CF77C1">
              <w:rPr>
                <w:lang w:val="sr-Cyrl-RS"/>
              </w:rPr>
              <w:t>2018.</w:t>
            </w:r>
          </w:p>
        </w:tc>
        <w:tc>
          <w:tcPr>
            <w:tcW w:w="972" w:type="dxa"/>
            <w:shd w:val="clear" w:color="auto" w:fill="auto"/>
            <w:vAlign w:val="center"/>
          </w:tcPr>
          <w:p w14:paraId="347A3DA2" w14:textId="77777777" w:rsidR="00C10F3F" w:rsidRPr="00CF77C1" w:rsidRDefault="00C10F3F" w:rsidP="002F3502">
            <w:pPr>
              <w:framePr w:hSpace="181" w:wrap="notBeside" w:vAnchor="text" w:hAnchor="text" w:y="1"/>
              <w:jc w:val="center"/>
              <w:rPr>
                <w:lang w:val="sr-Cyrl-RS"/>
              </w:rPr>
            </w:pPr>
            <w:r w:rsidRPr="00CF77C1">
              <w:rPr>
                <w:lang w:val="sr-Cyrl-RS"/>
              </w:rPr>
              <w:t>2019.</w:t>
            </w:r>
          </w:p>
        </w:tc>
        <w:tc>
          <w:tcPr>
            <w:tcW w:w="972" w:type="dxa"/>
            <w:shd w:val="clear" w:color="auto" w:fill="auto"/>
            <w:vAlign w:val="center"/>
          </w:tcPr>
          <w:p w14:paraId="509B2FEA" w14:textId="77777777" w:rsidR="00C10F3F" w:rsidRPr="00CF77C1" w:rsidRDefault="00C10F3F" w:rsidP="002F3502">
            <w:pPr>
              <w:framePr w:hSpace="181" w:wrap="notBeside" w:vAnchor="text" w:hAnchor="text" w:y="1"/>
              <w:jc w:val="center"/>
              <w:rPr>
                <w:lang w:val="sr-Cyrl-RS"/>
              </w:rPr>
            </w:pPr>
            <w:r w:rsidRPr="00CF77C1">
              <w:rPr>
                <w:lang w:val="sr-Cyrl-RS"/>
              </w:rPr>
              <w:t>2020.</w:t>
            </w:r>
          </w:p>
        </w:tc>
        <w:tc>
          <w:tcPr>
            <w:tcW w:w="972" w:type="dxa"/>
            <w:shd w:val="clear" w:color="auto" w:fill="auto"/>
            <w:vAlign w:val="center"/>
          </w:tcPr>
          <w:p w14:paraId="6C8A0975" w14:textId="77777777" w:rsidR="00C10F3F" w:rsidRPr="00CF77C1" w:rsidRDefault="00C10F3F" w:rsidP="002F3502">
            <w:pPr>
              <w:framePr w:hSpace="181" w:wrap="notBeside" w:vAnchor="text" w:hAnchor="text" w:y="1"/>
              <w:jc w:val="center"/>
              <w:rPr>
                <w:lang w:val="sr-Cyrl-RS"/>
              </w:rPr>
            </w:pPr>
            <w:r w:rsidRPr="00CF77C1">
              <w:rPr>
                <w:lang w:val="sr-Cyrl-RS"/>
              </w:rPr>
              <w:t>2021.</w:t>
            </w:r>
          </w:p>
        </w:tc>
        <w:tc>
          <w:tcPr>
            <w:tcW w:w="972" w:type="dxa"/>
            <w:shd w:val="clear" w:color="auto" w:fill="auto"/>
            <w:vAlign w:val="center"/>
          </w:tcPr>
          <w:p w14:paraId="0699CB76" w14:textId="77777777" w:rsidR="00C10F3F" w:rsidRPr="00CF77C1" w:rsidRDefault="00C10F3F" w:rsidP="002F3502">
            <w:pPr>
              <w:framePr w:hSpace="181" w:wrap="notBeside" w:vAnchor="text" w:hAnchor="text" w:y="1"/>
              <w:jc w:val="center"/>
              <w:rPr>
                <w:lang w:val="sr-Cyrl-RS"/>
              </w:rPr>
            </w:pPr>
            <w:r w:rsidRPr="00CF77C1">
              <w:rPr>
                <w:lang w:val="sr-Cyrl-RS"/>
              </w:rPr>
              <w:t>2022.</w:t>
            </w:r>
          </w:p>
        </w:tc>
        <w:tc>
          <w:tcPr>
            <w:tcW w:w="972" w:type="dxa"/>
            <w:shd w:val="clear" w:color="auto" w:fill="auto"/>
            <w:vAlign w:val="center"/>
          </w:tcPr>
          <w:p w14:paraId="551F2E61" w14:textId="77777777" w:rsidR="00C10F3F" w:rsidRPr="00CF77C1" w:rsidRDefault="00C10F3F" w:rsidP="002F3502">
            <w:pPr>
              <w:framePr w:hSpace="181" w:wrap="notBeside" w:vAnchor="text" w:hAnchor="text" w:y="1"/>
              <w:jc w:val="center"/>
              <w:rPr>
                <w:lang w:val="sr-Cyrl-RS"/>
              </w:rPr>
            </w:pPr>
            <w:r w:rsidRPr="00CF77C1">
              <w:rPr>
                <w:lang w:val="sr-Cyrl-RS"/>
              </w:rPr>
              <w:t>2023.</w:t>
            </w:r>
          </w:p>
        </w:tc>
      </w:tr>
      <w:tr w:rsidR="00C10F3F" w:rsidRPr="00CF77C1" w14:paraId="08277247" w14:textId="77777777" w:rsidTr="002F3502">
        <w:tc>
          <w:tcPr>
            <w:tcW w:w="5637" w:type="dxa"/>
            <w:shd w:val="clear" w:color="auto" w:fill="auto"/>
            <w:vAlign w:val="center"/>
          </w:tcPr>
          <w:p w14:paraId="3367ABF2" w14:textId="77777777" w:rsidR="00C10F3F" w:rsidRPr="00CF77C1" w:rsidRDefault="00C10F3F" w:rsidP="002F3502">
            <w:pPr>
              <w:framePr w:hSpace="181" w:wrap="notBeside" w:vAnchor="text" w:hAnchor="text" w:y="1"/>
              <w:spacing w:before="20" w:after="20"/>
              <w:jc w:val="left"/>
              <w:rPr>
                <w:lang w:val="sr-Cyrl-RS"/>
              </w:rPr>
            </w:pPr>
            <w:r w:rsidRPr="00CF77C1">
              <w:rPr>
                <w:lang w:val="sr-Cyrl-RS"/>
              </w:rPr>
              <w:t>Организациони и послови руковођења пројектом</w:t>
            </w:r>
          </w:p>
        </w:tc>
        <w:tc>
          <w:tcPr>
            <w:tcW w:w="2409" w:type="dxa"/>
            <w:vMerge w:val="restart"/>
            <w:shd w:val="clear" w:color="auto" w:fill="auto"/>
            <w:vAlign w:val="center"/>
          </w:tcPr>
          <w:p w14:paraId="2B3C259A" w14:textId="77777777" w:rsidR="00C10F3F" w:rsidRPr="00CF77C1" w:rsidRDefault="001B761F" w:rsidP="002F3502">
            <w:pPr>
              <w:framePr w:hSpace="181" w:wrap="notBeside" w:vAnchor="text" w:hAnchor="text" w:y="1"/>
              <w:spacing w:before="20" w:after="20"/>
              <w:jc w:val="left"/>
              <w:rPr>
                <w:lang w:val="sr-Cyrl-RS"/>
              </w:rPr>
            </w:pPr>
            <w:r w:rsidRPr="00CF77C1">
              <w:rPr>
                <w:lang w:val="sr-Cyrl-RS"/>
              </w:rPr>
              <w:t>ЕПС</w:t>
            </w:r>
            <w:r w:rsidR="00FF6C39" w:rsidRPr="00CF77C1">
              <w:rPr>
                <w:lang w:val="sr-Cyrl-RS"/>
              </w:rPr>
              <w:t xml:space="preserve">, </w:t>
            </w:r>
            <w:r w:rsidR="005C650D" w:rsidRPr="00CF77C1">
              <w:rPr>
                <w:lang w:val="sr-Cyrl-RS"/>
              </w:rPr>
              <w:t>министарство надлежно за послове</w:t>
            </w:r>
            <w:r w:rsidR="00B83E14" w:rsidRPr="00CF77C1">
              <w:rPr>
                <w:lang w:val="sr-Cyrl-RS"/>
              </w:rPr>
              <w:t xml:space="preserve"> рударства и енергетике</w:t>
            </w:r>
          </w:p>
        </w:tc>
        <w:tc>
          <w:tcPr>
            <w:tcW w:w="972" w:type="dxa"/>
            <w:shd w:val="clear" w:color="auto" w:fill="auto"/>
            <w:vAlign w:val="center"/>
          </w:tcPr>
          <w:p w14:paraId="3D7B51BF"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3EFBED32"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61C764B7" w14:textId="77777777" w:rsidR="00C10F3F" w:rsidRPr="00CF77C1" w:rsidRDefault="002A662F"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396F9A3F" w14:textId="77777777" w:rsidR="00C10F3F" w:rsidRPr="00CF77C1" w:rsidRDefault="002A662F"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097D2D98"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224AD75E"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2C34FF00" w14:textId="77777777" w:rsidR="00C10F3F" w:rsidRPr="00CF77C1" w:rsidRDefault="00C10F3F" w:rsidP="002F3502">
            <w:pPr>
              <w:framePr w:hSpace="181" w:wrap="notBeside" w:vAnchor="text" w:hAnchor="text" w:y="1"/>
              <w:spacing w:before="20" w:after="20"/>
              <w:jc w:val="center"/>
              <w:rPr>
                <w:lang w:val="sr-Cyrl-RS"/>
              </w:rPr>
            </w:pPr>
          </w:p>
        </w:tc>
      </w:tr>
      <w:tr w:rsidR="00C10F3F" w:rsidRPr="00CF77C1" w14:paraId="232DE9C1" w14:textId="77777777" w:rsidTr="002F3502">
        <w:tc>
          <w:tcPr>
            <w:tcW w:w="5637" w:type="dxa"/>
            <w:shd w:val="clear" w:color="auto" w:fill="auto"/>
            <w:vAlign w:val="center"/>
          </w:tcPr>
          <w:p w14:paraId="6C57C803" w14:textId="77777777" w:rsidR="00C10F3F" w:rsidRPr="00CF77C1" w:rsidRDefault="00C10F3F" w:rsidP="002F3502">
            <w:pPr>
              <w:framePr w:hSpace="181" w:wrap="notBeside" w:vAnchor="text" w:hAnchor="text" w:y="1"/>
              <w:spacing w:before="20" w:after="20"/>
              <w:jc w:val="left"/>
              <w:rPr>
                <w:lang w:val="sr-Cyrl-RS"/>
              </w:rPr>
            </w:pPr>
            <w:r w:rsidRPr="00CF77C1">
              <w:rPr>
                <w:lang w:val="sr-Cyrl-RS"/>
              </w:rPr>
              <w:t>Припрема техничке документације</w:t>
            </w:r>
          </w:p>
        </w:tc>
        <w:tc>
          <w:tcPr>
            <w:tcW w:w="2409" w:type="dxa"/>
            <w:vMerge/>
            <w:shd w:val="clear" w:color="auto" w:fill="auto"/>
          </w:tcPr>
          <w:p w14:paraId="7EA0FA18" w14:textId="77777777" w:rsidR="00C10F3F" w:rsidRPr="00CF77C1" w:rsidRDefault="00C10F3F" w:rsidP="002F3502">
            <w:pPr>
              <w:framePr w:hSpace="181" w:wrap="notBeside" w:vAnchor="text" w:hAnchor="text" w:y="1"/>
              <w:spacing w:before="20" w:after="20"/>
              <w:rPr>
                <w:lang w:val="sr-Cyrl-RS"/>
              </w:rPr>
            </w:pPr>
          </w:p>
        </w:tc>
        <w:tc>
          <w:tcPr>
            <w:tcW w:w="972" w:type="dxa"/>
            <w:shd w:val="clear" w:color="auto" w:fill="auto"/>
            <w:vAlign w:val="center"/>
          </w:tcPr>
          <w:p w14:paraId="00A77737"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33951C46"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7A6A721C"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60A888DB"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3C971259"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0AA7C38A"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61054B7D" w14:textId="77777777" w:rsidR="00C10F3F" w:rsidRPr="00CF77C1" w:rsidRDefault="00C10F3F" w:rsidP="002F3502">
            <w:pPr>
              <w:framePr w:hSpace="181" w:wrap="notBeside" w:vAnchor="text" w:hAnchor="text" w:y="1"/>
              <w:spacing w:before="20" w:after="20"/>
              <w:jc w:val="center"/>
              <w:rPr>
                <w:lang w:val="sr-Cyrl-RS"/>
              </w:rPr>
            </w:pPr>
          </w:p>
        </w:tc>
      </w:tr>
      <w:tr w:rsidR="00C10F3F" w:rsidRPr="00CF77C1" w14:paraId="144567AA" w14:textId="77777777" w:rsidTr="002F3502">
        <w:tc>
          <w:tcPr>
            <w:tcW w:w="5637" w:type="dxa"/>
            <w:shd w:val="clear" w:color="auto" w:fill="auto"/>
            <w:vAlign w:val="center"/>
          </w:tcPr>
          <w:p w14:paraId="336D67CE" w14:textId="77777777" w:rsidR="00C10F3F" w:rsidRPr="00CF77C1" w:rsidRDefault="00C10F3F" w:rsidP="002F3502">
            <w:pPr>
              <w:keepNext/>
              <w:keepLines/>
              <w:framePr w:hSpace="181" w:wrap="notBeside" w:vAnchor="text" w:hAnchor="text" w:y="1"/>
              <w:spacing w:before="20" w:after="20"/>
              <w:jc w:val="left"/>
              <w:rPr>
                <w:lang w:val="sr-Cyrl-RS"/>
              </w:rPr>
            </w:pPr>
            <w:r w:rsidRPr="00CF77C1">
              <w:rPr>
                <w:lang w:val="sr-Cyrl-RS"/>
              </w:rPr>
              <w:t>Студија утицаја на животну средину и друштво</w:t>
            </w:r>
          </w:p>
        </w:tc>
        <w:tc>
          <w:tcPr>
            <w:tcW w:w="2409" w:type="dxa"/>
            <w:vMerge/>
            <w:shd w:val="clear" w:color="auto" w:fill="auto"/>
          </w:tcPr>
          <w:p w14:paraId="073429BF" w14:textId="77777777" w:rsidR="00C10F3F" w:rsidRPr="00CF77C1" w:rsidRDefault="00C10F3F" w:rsidP="002F3502">
            <w:pPr>
              <w:keepNext/>
              <w:keepLines/>
              <w:framePr w:hSpace="181" w:wrap="notBeside" w:vAnchor="text" w:hAnchor="text" w:y="1"/>
              <w:spacing w:before="20" w:after="20"/>
              <w:rPr>
                <w:lang w:val="sr-Cyrl-RS"/>
              </w:rPr>
            </w:pPr>
          </w:p>
        </w:tc>
        <w:tc>
          <w:tcPr>
            <w:tcW w:w="972" w:type="dxa"/>
            <w:shd w:val="clear" w:color="auto" w:fill="auto"/>
            <w:vAlign w:val="center"/>
          </w:tcPr>
          <w:p w14:paraId="77324B0B"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5F75C9D9" w14:textId="77777777" w:rsidR="00C10F3F" w:rsidRPr="00CF77C1" w:rsidRDefault="00C10F3F" w:rsidP="002F3502">
            <w:pPr>
              <w:keepNext/>
              <w:keepLines/>
              <w:framePr w:hSpace="181" w:wrap="notBeside" w:vAnchor="text" w:hAnchor="text" w:y="1"/>
              <w:spacing w:before="20" w:after="20"/>
              <w:jc w:val="center"/>
              <w:rPr>
                <w:lang w:val="sr-Cyrl-RS"/>
              </w:rPr>
            </w:pPr>
          </w:p>
        </w:tc>
        <w:tc>
          <w:tcPr>
            <w:tcW w:w="972" w:type="dxa"/>
            <w:shd w:val="clear" w:color="auto" w:fill="auto"/>
            <w:vAlign w:val="center"/>
          </w:tcPr>
          <w:p w14:paraId="44CD768E" w14:textId="77777777" w:rsidR="00C10F3F" w:rsidRPr="00CF77C1" w:rsidRDefault="00C10F3F" w:rsidP="002F3502">
            <w:pPr>
              <w:keepNext/>
              <w:keepLines/>
              <w:framePr w:hSpace="181" w:wrap="notBeside" w:vAnchor="text" w:hAnchor="text" w:y="1"/>
              <w:spacing w:before="20" w:after="20"/>
              <w:jc w:val="center"/>
              <w:rPr>
                <w:lang w:val="sr-Cyrl-RS"/>
              </w:rPr>
            </w:pPr>
          </w:p>
        </w:tc>
        <w:tc>
          <w:tcPr>
            <w:tcW w:w="972" w:type="dxa"/>
            <w:shd w:val="clear" w:color="auto" w:fill="auto"/>
            <w:vAlign w:val="center"/>
          </w:tcPr>
          <w:p w14:paraId="1949EE92" w14:textId="77777777" w:rsidR="00C10F3F" w:rsidRPr="00CF77C1" w:rsidRDefault="00C10F3F" w:rsidP="002F3502">
            <w:pPr>
              <w:keepNext/>
              <w:keepLines/>
              <w:framePr w:hSpace="181" w:wrap="notBeside" w:vAnchor="text" w:hAnchor="text" w:y="1"/>
              <w:spacing w:before="20" w:after="20"/>
              <w:jc w:val="center"/>
              <w:rPr>
                <w:lang w:val="sr-Cyrl-RS"/>
              </w:rPr>
            </w:pPr>
          </w:p>
        </w:tc>
        <w:tc>
          <w:tcPr>
            <w:tcW w:w="972" w:type="dxa"/>
            <w:shd w:val="clear" w:color="auto" w:fill="auto"/>
            <w:vAlign w:val="center"/>
          </w:tcPr>
          <w:p w14:paraId="4452075E" w14:textId="77777777" w:rsidR="00C10F3F" w:rsidRPr="00CF77C1" w:rsidRDefault="00C10F3F" w:rsidP="002F3502">
            <w:pPr>
              <w:keepNext/>
              <w:keepLines/>
              <w:framePr w:hSpace="181" w:wrap="notBeside" w:vAnchor="text" w:hAnchor="text" w:y="1"/>
              <w:spacing w:before="20" w:after="20"/>
              <w:jc w:val="center"/>
              <w:rPr>
                <w:lang w:val="sr-Cyrl-RS"/>
              </w:rPr>
            </w:pPr>
          </w:p>
        </w:tc>
        <w:tc>
          <w:tcPr>
            <w:tcW w:w="972" w:type="dxa"/>
            <w:shd w:val="clear" w:color="auto" w:fill="auto"/>
            <w:vAlign w:val="center"/>
          </w:tcPr>
          <w:p w14:paraId="19F1810F" w14:textId="77777777" w:rsidR="00C10F3F" w:rsidRPr="00CF77C1" w:rsidRDefault="00C10F3F" w:rsidP="002F3502">
            <w:pPr>
              <w:keepNext/>
              <w:keepLines/>
              <w:framePr w:hSpace="181" w:wrap="notBeside" w:vAnchor="text" w:hAnchor="text" w:y="1"/>
              <w:spacing w:before="20" w:after="20"/>
              <w:jc w:val="center"/>
              <w:rPr>
                <w:lang w:val="sr-Cyrl-RS"/>
              </w:rPr>
            </w:pPr>
          </w:p>
        </w:tc>
        <w:tc>
          <w:tcPr>
            <w:tcW w:w="972" w:type="dxa"/>
            <w:shd w:val="clear" w:color="auto" w:fill="auto"/>
            <w:vAlign w:val="center"/>
          </w:tcPr>
          <w:p w14:paraId="60F0E31B" w14:textId="77777777" w:rsidR="00C10F3F" w:rsidRPr="00CF77C1" w:rsidRDefault="00C10F3F" w:rsidP="002F3502">
            <w:pPr>
              <w:keepNext/>
              <w:keepLines/>
              <w:framePr w:hSpace="181" w:wrap="notBeside" w:vAnchor="text" w:hAnchor="text" w:y="1"/>
              <w:spacing w:before="20" w:after="20"/>
              <w:jc w:val="center"/>
              <w:rPr>
                <w:lang w:val="sr-Cyrl-RS"/>
              </w:rPr>
            </w:pPr>
          </w:p>
        </w:tc>
      </w:tr>
      <w:tr w:rsidR="00C10F3F" w:rsidRPr="00CF77C1" w14:paraId="43E07EA3" w14:textId="77777777" w:rsidTr="002F3502">
        <w:tc>
          <w:tcPr>
            <w:tcW w:w="5637" w:type="dxa"/>
            <w:shd w:val="clear" w:color="auto" w:fill="auto"/>
            <w:vAlign w:val="center"/>
          </w:tcPr>
          <w:p w14:paraId="45A6AAF7" w14:textId="77777777" w:rsidR="00C10F3F" w:rsidRPr="00CF77C1" w:rsidRDefault="00C10F3F" w:rsidP="002F3502">
            <w:pPr>
              <w:framePr w:hSpace="181" w:wrap="notBeside" w:vAnchor="text" w:hAnchor="text" w:y="1"/>
              <w:spacing w:before="20" w:after="20"/>
              <w:jc w:val="left"/>
              <w:rPr>
                <w:lang w:val="sr-Cyrl-RS"/>
              </w:rPr>
            </w:pPr>
            <w:r w:rsidRPr="00CF77C1">
              <w:rPr>
                <w:lang w:val="sr-Cyrl-RS"/>
              </w:rPr>
              <w:t>Дозволе</w:t>
            </w:r>
          </w:p>
        </w:tc>
        <w:tc>
          <w:tcPr>
            <w:tcW w:w="2409" w:type="dxa"/>
            <w:vMerge/>
            <w:shd w:val="clear" w:color="auto" w:fill="auto"/>
          </w:tcPr>
          <w:p w14:paraId="25F9A724" w14:textId="77777777" w:rsidR="00C10F3F" w:rsidRPr="00CF77C1" w:rsidRDefault="00C10F3F" w:rsidP="002F3502">
            <w:pPr>
              <w:framePr w:hSpace="181" w:wrap="notBeside" w:vAnchor="text" w:hAnchor="text" w:y="1"/>
              <w:spacing w:before="20" w:after="20"/>
              <w:rPr>
                <w:lang w:val="sr-Cyrl-RS"/>
              </w:rPr>
            </w:pPr>
          </w:p>
        </w:tc>
        <w:tc>
          <w:tcPr>
            <w:tcW w:w="972" w:type="dxa"/>
            <w:shd w:val="clear" w:color="auto" w:fill="auto"/>
            <w:vAlign w:val="center"/>
          </w:tcPr>
          <w:p w14:paraId="758DC8A5"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5B576776"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43290E15"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190E0AE8"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4AC52080"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077CAD83"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55193A5A" w14:textId="77777777" w:rsidR="00C10F3F" w:rsidRPr="00CF77C1" w:rsidRDefault="00C10F3F" w:rsidP="002F3502">
            <w:pPr>
              <w:framePr w:hSpace="181" w:wrap="notBeside" w:vAnchor="text" w:hAnchor="text" w:y="1"/>
              <w:spacing w:before="20" w:after="20"/>
              <w:jc w:val="center"/>
              <w:rPr>
                <w:lang w:val="sr-Cyrl-RS"/>
              </w:rPr>
            </w:pPr>
          </w:p>
        </w:tc>
      </w:tr>
      <w:tr w:rsidR="00C10F3F" w:rsidRPr="00CF77C1" w14:paraId="51B230E1" w14:textId="77777777" w:rsidTr="002F3502">
        <w:tc>
          <w:tcPr>
            <w:tcW w:w="5637" w:type="dxa"/>
            <w:shd w:val="clear" w:color="auto" w:fill="auto"/>
            <w:vAlign w:val="center"/>
          </w:tcPr>
          <w:p w14:paraId="16671B4B" w14:textId="77777777" w:rsidR="00C10F3F" w:rsidRPr="00CF77C1" w:rsidRDefault="00C10F3F" w:rsidP="002F3502">
            <w:pPr>
              <w:framePr w:hSpace="181" w:wrap="notBeside" w:vAnchor="text" w:hAnchor="text" w:y="1"/>
              <w:spacing w:before="20" w:after="20"/>
              <w:jc w:val="left"/>
              <w:rPr>
                <w:lang w:val="sr-Cyrl-RS"/>
              </w:rPr>
            </w:pPr>
            <w:r w:rsidRPr="00CF77C1">
              <w:rPr>
                <w:lang w:val="sr-Cyrl-RS"/>
              </w:rPr>
              <w:t>Реализација градње и пуштање у пробни рад</w:t>
            </w:r>
          </w:p>
        </w:tc>
        <w:tc>
          <w:tcPr>
            <w:tcW w:w="2409" w:type="dxa"/>
            <w:vMerge/>
            <w:shd w:val="clear" w:color="auto" w:fill="auto"/>
          </w:tcPr>
          <w:p w14:paraId="0C8ECB30" w14:textId="77777777" w:rsidR="00C10F3F" w:rsidRPr="00CF77C1" w:rsidRDefault="00C10F3F" w:rsidP="002F3502">
            <w:pPr>
              <w:framePr w:hSpace="181" w:wrap="notBeside" w:vAnchor="text" w:hAnchor="text" w:y="1"/>
              <w:spacing w:before="20" w:after="20"/>
              <w:rPr>
                <w:lang w:val="sr-Cyrl-RS"/>
              </w:rPr>
            </w:pPr>
          </w:p>
        </w:tc>
        <w:tc>
          <w:tcPr>
            <w:tcW w:w="972" w:type="dxa"/>
            <w:shd w:val="clear" w:color="auto" w:fill="auto"/>
            <w:vAlign w:val="center"/>
          </w:tcPr>
          <w:p w14:paraId="5D15BA17"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2590F367"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44D6713D" w14:textId="77777777" w:rsidR="00C10F3F" w:rsidRPr="00CF77C1" w:rsidRDefault="00FF6C39"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71C2FB30" w14:textId="77777777" w:rsidR="00C10F3F" w:rsidRPr="00CF77C1" w:rsidRDefault="002A662F" w:rsidP="002F3502">
            <w:pPr>
              <w:framePr w:hSpace="181" w:wrap="notBeside" w:vAnchor="text" w:hAnchor="text" w:y="1"/>
              <w:spacing w:before="20" w:after="20"/>
              <w:jc w:val="center"/>
              <w:rPr>
                <w:lang w:val="sr-Cyrl-RS"/>
              </w:rPr>
            </w:pPr>
            <w:r w:rsidRPr="00CF77C1">
              <w:rPr>
                <w:lang w:val="sr-Cyrl-RS"/>
              </w:rPr>
              <w:t>x</w:t>
            </w:r>
          </w:p>
        </w:tc>
        <w:tc>
          <w:tcPr>
            <w:tcW w:w="972" w:type="dxa"/>
            <w:shd w:val="clear" w:color="auto" w:fill="auto"/>
            <w:vAlign w:val="center"/>
          </w:tcPr>
          <w:p w14:paraId="602B4BF5"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780DE904" w14:textId="77777777" w:rsidR="00C10F3F" w:rsidRPr="00CF77C1" w:rsidRDefault="00C10F3F" w:rsidP="002F3502">
            <w:pPr>
              <w:framePr w:hSpace="181" w:wrap="notBeside" w:vAnchor="text" w:hAnchor="text" w:y="1"/>
              <w:spacing w:before="20" w:after="20"/>
              <w:jc w:val="center"/>
              <w:rPr>
                <w:lang w:val="sr-Cyrl-RS"/>
              </w:rPr>
            </w:pPr>
          </w:p>
        </w:tc>
        <w:tc>
          <w:tcPr>
            <w:tcW w:w="972" w:type="dxa"/>
            <w:shd w:val="clear" w:color="auto" w:fill="auto"/>
            <w:vAlign w:val="center"/>
          </w:tcPr>
          <w:p w14:paraId="48B137B0" w14:textId="77777777" w:rsidR="00C10F3F" w:rsidRPr="00CF77C1" w:rsidRDefault="00C10F3F" w:rsidP="002F3502">
            <w:pPr>
              <w:framePr w:hSpace="181" w:wrap="notBeside" w:vAnchor="text" w:hAnchor="text" w:y="1"/>
              <w:spacing w:before="20" w:after="20"/>
              <w:jc w:val="center"/>
              <w:rPr>
                <w:lang w:val="sr-Cyrl-RS"/>
              </w:rPr>
            </w:pPr>
          </w:p>
        </w:tc>
      </w:tr>
    </w:tbl>
    <w:p w14:paraId="3C0A0EB1" w14:textId="77777777" w:rsidR="00C10F3F" w:rsidRPr="00CF77C1" w:rsidRDefault="00C10F3F" w:rsidP="0080044B">
      <w:pPr>
        <w:rPr>
          <w:lang w:val="sr-Cyrl-RS"/>
        </w:rPr>
      </w:pPr>
    </w:p>
    <w:p w14:paraId="68E265CE" w14:textId="77777777" w:rsidR="00C10F3F" w:rsidRPr="00CF77C1" w:rsidRDefault="00C10F3F" w:rsidP="0080044B">
      <w:pPr>
        <w:rPr>
          <w:lang w:val="sr-Cyrl-RS"/>
        </w:rPr>
        <w:sectPr w:rsidR="00C10F3F" w:rsidRPr="00CF77C1" w:rsidSect="00017454">
          <w:headerReference w:type="default" r:id="rId10"/>
          <w:footerReference w:type="even" r:id="rId11"/>
          <w:footerReference w:type="default" r:id="rId12"/>
          <w:pgSz w:w="16839" w:h="11907" w:orient="landscape" w:code="9"/>
          <w:pgMar w:top="1418" w:right="1134" w:bottom="1134" w:left="1134" w:header="1004" w:footer="720" w:gutter="0"/>
          <w:cols w:space="720"/>
          <w:docGrid w:linePitch="360"/>
        </w:sectPr>
      </w:pPr>
    </w:p>
    <w:p w14:paraId="506870F1" w14:textId="303FC351" w:rsidR="00096A0D" w:rsidRPr="00CF77C1" w:rsidRDefault="005E1591" w:rsidP="005E1591">
      <w:pPr>
        <w:pStyle w:val="Heading4"/>
        <w:numPr>
          <w:ilvl w:val="0"/>
          <w:numId w:val="0"/>
        </w:numPr>
        <w:ind w:left="998" w:hanging="278"/>
        <w:rPr>
          <w:b w:val="0"/>
          <w:lang w:val="sr-Cyrl-RS"/>
        </w:rPr>
      </w:pPr>
      <w:bookmarkStart w:id="32" w:name="_Toc484260284"/>
      <w:r w:rsidRPr="00CF77C1">
        <w:rPr>
          <w:b w:val="0"/>
          <w:lang w:val="sr-Cyrl-RS"/>
        </w:rPr>
        <w:t xml:space="preserve">3.1.2.2. </w:t>
      </w:r>
      <w:r w:rsidR="00096A0D" w:rsidRPr="00CF77C1">
        <w:rPr>
          <w:b w:val="0"/>
          <w:lang w:val="sr-Cyrl-RS"/>
        </w:rPr>
        <w:t>Пројекти у области преноса електричне енергије</w:t>
      </w:r>
      <w:bookmarkEnd w:id="32"/>
      <w:r w:rsidRPr="00CF77C1">
        <w:rPr>
          <w:b w:val="0"/>
          <w:lang w:val="sr-Cyrl-RS"/>
        </w:rPr>
        <w:t xml:space="preserve"> </w:t>
      </w:r>
    </w:p>
    <w:p w14:paraId="51C1B6F9" w14:textId="77777777" w:rsidR="003D1DC8" w:rsidRPr="00CF77C1" w:rsidRDefault="003D1DC8" w:rsidP="007C78D3">
      <w:pPr>
        <w:ind w:firstLine="720"/>
        <w:rPr>
          <w:lang w:val="sr-Cyrl-RS"/>
        </w:rPr>
      </w:pPr>
      <w:r w:rsidRPr="00CF77C1">
        <w:rPr>
          <w:lang w:val="sr-Cyrl-RS"/>
        </w:rPr>
        <w:t>Пројекти у области преноса електричне енергије могу се поделити у две групе:</w:t>
      </w:r>
    </w:p>
    <w:p w14:paraId="0F955E1A" w14:textId="36D37569" w:rsidR="003D1DC8" w:rsidRPr="00CF77C1" w:rsidRDefault="003D1DC8" w:rsidP="004F1407">
      <w:pPr>
        <w:pStyle w:val="ListParagraph"/>
        <w:numPr>
          <w:ilvl w:val="0"/>
          <w:numId w:val="55"/>
        </w:numPr>
        <w:spacing w:before="60" w:after="60"/>
        <w:ind w:left="0" w:firstLine="720"/>
        <w:rPr>
          <w:lang w:val="sr-Cyrl-RS"/>
        </w:rPr>
      </w:pPr>
      <w:r w:rsidRPr="00CF77C1">
        <w:rPr>
          <w:lang w:val="sr-Cyrl-RS"/>
        </w:rPr>
        <w:t>Пројекти појачања веза преносно</w:t>
      </w:r>
      <w:r w:rsidR="00EA6189" w:rsidRPr="00CF77C1">
        <w:rPr>
          <w:lang w:val="sr-Cyrl-RS"/>
        </w:rPr>
        <w:t>г система</w:t>
      </w:r>
      <w:r w:rsidR="00EC16A1" w:rsidRPr="00CF77C1">
        <w:rPr>
          <w:lang w:val="sr-Cyrl-RS"/>
        </w:rPr>
        <w:t xml:space="preserve"> Републике</w:t>
      </w:r>
      <w:r w:rsidR="00EA6189" w:rsidRPr="00CF77C1">
        <w:rPr>
          <w:lang w:val="sr-Cyrl-RS"/>
        </w:rPr>
        <w:t xml:space="preserve"> Србије са су</w:t>
      </w:r>
      <w:r w:rsidRPr="00CF77C1">
        <w:rPr>
          <w:lang w:val="sr-Cyrl-RS"/>
        </w:rPr>
        <w:t>седним преносним системима и даље интеграције преносног система Републике Срб</w:t>
      </w:r>
      <w:r w:rsidR="00A273F0" w:rsidRPr="00CF77C1">
        <w:rPr>
          <w:lang w:val="sr-Cyrl-RS"/>
        </w:rPr>
        <w:t xml:space="preserve">ије у регионалну интерконекцију. Ови пројекти </w:t>
      </w:r>
      <w:r w:rsidR="004F1407">
        <w:rPr>
          <w:lang w:val="sr-Cyrl-RS"/>
        </w:rPr>
        <w:t>омогућавају</w:t>
      </w:r>
      <w:r w:rsidR="00A273F0" w:rsidRPr="00CF77C1">
        <w:rPr>
          <w:lang w:val="sr-Cyrl-RS"/>
        </w:rPr>
        <w:t xml:space="preserve"> реализацију следећих стратешких циљева у области електроенергетике</w:t>
      </w:r>
      <w:r w:rsidR="00B061EF" w:rsidRPr="00CF77C1">
        <w:rPr>
          <w:lang w:val="sr-Cyrl-RS"/>
        </w:rPr>
        <w:t xml:space="preserve"> (циљеви су наведени по редоследу величине утицаја пројекта)</w:t>
      </w:r>
      <w:r w:rsidR="00A273F0" w:rsidRPr="00CF77C1">
        <w:rPr>
          <w:lang w:val="sr-Cyrl-RS"/>
        </w:rPr>
        <w:t>:</w:t>
      </w:r>
    </w:p>
    <w:p w14:paraId="7047D7A5" w14:textId="3B44F5F2" w:rsidR="000B28E3" w:rsidRPr="00CF77C1" w:rsidRDefault="000642D2" w:rsidP="001741AC">
      <w:pPr>
        <w:ind w:firstLine="720"/>
        <w:rPr>
          <w:lang w:val="sr-Cyrl-RS"/>
        </w:rPr>
      </w:pPr>
      <w:r w:rsidRPr="00CF77C1">
        <w:rPr>
          <w:lang w:val="sr-Cyrl-RS"/>
        </w:rPr>
        <w:fldChar w:fldCharType="begin"/>
      </w:r>
      <w:r w:rsidRPr="00CF77C1">
        <w:rPr>
          <w:lang w:val="sr-Cyrl-RS"/>
        </w:rPr>
        <w:instrText xml:space="preserve"> REF EE_Cilj_2 \h  \* MERGEFORMAT </w:instrText>
      </w:r>
      <w:r w:rsidRPr="00CF77C1">
        <w:rPr>
          <w:lang w:val="sr-Cyrl-RS"/>
        </w:rPr>
      </w:r>
      <w:r w:rsidRPr="00CF77C1">
        <w:rPr>
          <w:lang w:val="sr-Cyrl-RS"/>
        </w:rPr>
        <w:fldChar w:fldCharType="separate"/>
      </w:r>
      <w:r w:rsidR="002D5918" w:rsidRPr="00CF77C1">
        <w:rPr>
          <w:lang w:val="sr-Cyrl-RS"/>
        </w:rPr>
        <w:t>Ц.Е.2. Развој тржишта електричне енергије на националном и регионалном нивоу</w:t>
      </w:r>
      <w:r w:rsidRPr="00CF77C1">
        <w:rPr>
          <w:lang w:val="sr-Cyrl-RS"/>
        </w:rPr>
        <w:fldChar w:fldCharType="end"/>
      </w:r>
    </w:p>
    <w:p w14:paraId="0F28CABB" w14:textId="398797B6" w:rsidR="000B28E3" w:rsidRPr="00CF77C1" w:rsidRDefault="000642D2" w:rsidP="001741AC">
      <w:pPr>
        <w:ind w:firstLine="720"/>
        <w:rPr>
          <w:lang w:val="sr-Cyrl-RS"/>
        </w:rPr>
      </w:pPr>
      <w:r w:rsidRPr="00CF77C1">
        <w:rPr>
          <w:lang w:val="sr-Cyrl-RS"/>
        </w:rPr>
        <w:fldChar w:fldCharType="begin"/>
      </w:r>
      <w:r w:rsidRPr="00CF77C1">
        <w:rPr>
          <w:lang w:val="sr-Cyrl-RS"/>
        </w:rPr>
        <w:instrText xml:space="preserve"> REF EE_Cilj_3 \h  \* MERGEFORMAT </w:instrText>
      </w:r>
      <w:r w:rsidRPr="00CF77C1">
        <w:rPr>
          <w:lang w:val="sr-Cyrl-RS"/>
        </w:rPr>
      </w:r>
      <w:r w:rsidRPr="00CF77C1">
        <w:rPr>
          <w:lang w:val="sr-Cyrl-RS"/>
        </w:rPr>
        <w:fldChar w:fldCharType="separate"/>
      </w:r>
      <w:r w:rsidR="002D5918" w:rsidRPr="00CF77C1">
        <w:rPr>
          <w:lang w:val="sr-Cyrl-RS"/>
        </w:rPr>
        <w:t>Ц.Е.3. Повећање преносних капацитета/коридора преко Републике Србије који имају регионални и паневропски значај</w:t>
      </w:r>
      <w:r w:rsidRPr="00CF77C1">
        <w:rPr>
          <w:lang w:val="sr-Cyrl-RS"/>
        </w:rPr>
        <w:fldChar w:fldCharType="end"/>
      </w:r>
    </w:p>
    <w:p w14:paraId="2AF63017" w14:textId="1CDBB552" w:rsidR="000B28E3" w:rsidRPr="00CF77C1" w:rsidRDefault="000642D2" w:rsidP="001741AC">
      <w:pPr>
        <w:ind w:firstLine="720"/>
        <w:rPr>
          <w:lang w:val="sr-Cyrl-RS"/>
        </w:rPr>
      </w:pPr>
      <w:r w:rsidRPr="00CF77C1">
        <w:rPr>
          <w:lang w:val="sr-Cyrl-RS"/>
        </w:rPr>
        <w:fldChar w:fldCharType="begin"/>
      </w:r>
      <w:r w:rsidRPr="00CF77C1">
        <w:rPr>
          <w:lang w:val="sr-Cyrl-RS"/>
        </w:rPr>
        <w:instrText xml:space="preserve"> REF EE_Cilj_5 \h  \* MERGEFORMAT </w:instrText>
      </w:r>
      <w:r w:rsidRPr="00CF77C1">
        <w:rPr>
          <w:lang w:val="sr-Cyrl-RS"/>
        </w:rPr>
      </w:r>
      <w:r w:rsidRPr="00CF77C1">
        <w:rPr>
          <w:lang w:val="sr-Cyrl-RS"/>
        </w:rPr>
        <w:fldChar w:fldCharType="separate"/>
      </w:r>
      <w:r w:rsidR="002D5918" w:rsidRPr="00CF77C1">
        <w:rPr>
          <w:lang w:val="sr-Cyrl-RS"/>
        </w:rPr>
        <w:t>Ц.Е.5. Стварање могућности за нето извоз електричне енергије</w:t>
      </w:r>
      <w:r w:rsidRPr="00CF77C1">
        <w:rPr>
          <w:lang w:val="sr-Cyrl-RS"/>
        </w:rPr>
        <w:fldChar w:fldCharType="end"/>
      </w:r>
    </w:p>
    <w:p w14:paraId="419FB91F" w14:textId="6DBD7B6C" w:rsidR="000B28E3" w:rsidRPr="00CF77C1" w:rsidRDefault="000642D2" w:rsidP="001741AC">
      <w:pPr>
        <w:ind w:firstLine="720"/>
        <w:rPr>
          <w:lang w:val="sr-Cyrl-RS"/>
        </w:rPr>
      </w:pPr>
      <w:r w:rsidRPr="00CF77C1">
        <w:rPr>
          <w:lang w:val="sr-Cyrl-RS"/>
        </w:rPr>
        <w:fldChar w:fldCharType="begin"/>
      </w:r>
      <w:r w:rsidRPr="00CF77C1">
        <w:rPr>
          <w:lang w:val="sr-Cyrl-RS"/>
        </w:rPr>
        <w:instrText xml:space="preserve"> REF EE_Cilj_1 \h  \* MERGEFORMAT </w:instrText>
      </w:r>
      <w:r w:rsidRPr="00CF77C1">
        <w:rPr>
          <w:lang w:val="sr-Cyrl-RS"/>
        </w:rPr>
      </w:r>
      <w:r w:rsidRPr="00CF77C1">
        <w:rPr>
          <w:lang w:val="sr-Cyrl-RS"/>
        </w:rPr>
        <w:fldChar w:fldCharType="separate"/>
      </w:r>
      <w:r w:rsidR="002D5918" w:rsidRPr="00CF77C1">
        <w:rPr>
          <w:lang w:val="sr-Cyrl-RS"/>
        </w:rPr>
        <w:t>Ц.Е.1. Обезбеђивање сигурног снабдевања електричном енергијом домаћег тржишта</w:t>
      </w:r>
      <w:r w:rsidRPr="00CF77C1">
        <w:rPr>
          <w:lang w:val="sr-Cyrl-RS"/>
        </w:rPr>
        <w:fldChar w:fldCharType="end"/>
      </w:r>
    </w:p>
    <w:p w14:paraId="278DC124" w14:textId="77777777" w:rsidR="003D1DC8" w:rsidRPr="00CF77C1" w:rsidRDefault="003D1DC8" w:rsidP="003E39B4">
      <w:pPr>
        <w:pStyle w:val="ListParagraph"/>
        <w:numPr>
          <w:ilvl w:val="0"/>
          <w:numId w:val="55"/>
        </w:numPr>
        <w:spacing w:before="60" w:after="60"/>
        <w:ind w:left="0" w:firstLine="720"/>
        <w:rPr>
          <w:lang w:val="sr-Cyrl-RS"/>
        </w:rPr>
      </w:pPr>
      <w:r w:rsidRPr="00CF77C1">
        <w:rPr>
          <w:lang w:val="sr-Cyrl-RS"/>
        </w:rPr>
        <w:t xml:space="preserve">Пројекти даљег развоја и реконструкције постојеће мреже напонског нивоа </w:t>
      </w:r>
      <w:r w:rsidR="00996434" w:rsidRPr="00CF77C1">
        <w:rPr>
          <w:lang w:val="sr-Cyrl-RS"/>
        </w:rPr>
        <w:t xml:space="preserve">110 kV </w:t>
      </w:r>
      <w:r w:rsidRPr="00CF77C1">
        <w:rPr>
          <w:lang w:val="sr-Cyrl-RS"/>
        </w:rPr>
        <w:t>ради обезбеђења сигурног напајања корисника преносног система.</w:t>
      </w:r>
      <w:r w:rsidR="00A273F0" w:rsidRPr="00CF77C1">
        <w:rPr>
          <w:lang w:val="sr-Cyrl-RS"/>
        </w:rPr>
        <w:t xml:space="preserve"> Ови пројекти омогућују реализацију следећих стратешких циљева у области електроенергетике:</w:t>
      </w:r>
    </w:p>
    <w:p w14:paraId="0437449E" w14:textId="46529A9C" w:rsidR="000B28E3" w:rsidRPr="00CF77C1" w:rsidRDefault="000642D2" w:rsidP="001741AC">
      <w:pPr>
        <w:ind w:firstLine="720"/>
        <w:rPr>
          <w:lang w:val="sr-Cyrl-RS"/>
        </w:rPr>
      </w:pPr>
      <w:r w:rsidRPr="00CF77C1">
        <w:rPr>
          <w:lang w:val="sr-Cyrl-RS"/>
        </w:rPr>
        <w:fldChar w:fldCharType="begin"/>
      </w:r>
      <w:r w:rsidRPr="00CF77C1">
        <w:rPr>
          <w:lang w:val="sr-Cyrl-RS"/>
        </w:rPr>
        <w:instrText xml:space="preserve"> REF EE_Cilj_1 \h  \* MERGEFORMAT </w:instrText>
      </w:r>
      <w:r w:rsidRPr="00CF77C1">
        <w:rPr>
          <w:lang w:val="sr-Cyrl-RS"/>
        </w:rPr>
      </w:r>
      <w:r w:rsidRPr="00CF77C1">
        <w:rPr>
          <w:lang w:val="sr-Cyrl-RS"/>
        </w:rPr>
        <w:fldChar w:fldCharType="separate"/>
      </w:r>
      <w:r w:rsidR="002D5918" w:rsidRPr="00CF77C1">
        <w:rPr>
          <w:lang w:val="sr-Cyrl-RS"/>
        </w:rPr>
        <w:t>Ц.Е.1. Обезбеђивање сигурног снабдевања електричном енергијом домаћег тржишта</w:t>
      </w:r>
      <w:r w:rsidRPr="00CF77C1">
        <w:rPr>
          <w:lang w:val="sr-Cyrl-RS"/>
        </w:rPr>
        <w:fldChar w:fldCharType="end"/>
      </w:r>
    </w:p>
    <w:p w14:paraId="57502043" w14:textId="3FFF9EE6" w:rsidR="000B28E3" w:rsidRPr="00CF77C1" w:rsidRDefault="000642D2" w:rsidP="007C78D3">
      <w:pPr>
        <w:ind w:left="360" w:firstLine="360"/>
        <w:rPr>
          <w:lang w:val="sr-Cyrl-RS"/>
        </w:rPr>
      </w:pPr>
      <w:r w:rsidRPr="00CF77C1">
        <w:rPr>
          <w:lang w:val="sr-Cyrl-RS"/>
        </w:rPr>
        <w:fldChar w:fldCharType="begin"/>
      </w:r>
      <w:r w:rsidRPr="00CF77C1">
        <w:rPr>
          <w:lang w:val="sr-Cyrl-RS"/>
        </w:rPr>
        <w:instrText xml:space="preserve"> REF EE_Cilj_2 \h  \* MERGEFORMAT </w:instrText>
      </w:r>
      <w:r w:rsidRPr="00CF77C1">
        <w:rPr>
          <w:lang w:val="sr-Cyrl-RS"/>
        </w:rPr>
      </w:r>
      <w:r w:rsidRPr="00CF77C1">
        <w:rPr>
          <w:lang w:val="sr-Cyrl-RS"/>
        </w:rPr>
        <w:fldChar w:fldCharType="separate"/>
      </w:r>
      <w:r w:rsidR="002D5918" w:rsidRPr="00CF77C1">
        <w:rPr>
          <w:lang w:val="sr-Cyrl-RS"/>
        </w:rPr>
        <w:t>Ц.Е.2. Развој тржишта електричне енергије на националном и регионалном нивоу</w:t>
      </w:r>
      <w:r w:rsidRPr="00CF77C1">
        <w:rPr>
          <w:lang w:val="sr-Cyrl-RS"/>
        </w:rPr>
        <w:fldChar w:fldCharType="end"/>
      </w:r>
    </w:p>
    <w:p w14:paraId="37F29364" w14:textId="489A2D2E" w:rsidR="003D1DC8" w:rsidRPr="00CF77C1" w:rsidRDefault="003D1DC8" w:rsidP="007C78D3">
      <w:pPr>
        <w:ind w:firstLine="720"/>
        <w:rPr>
          <w:lang w:val="sr-Cyrl-RS"/>
        </w:rPr>
      </w:pPr>
      <w:r w:rsidRPr="00CF77C1">
        <w:rPr>
          <w:lang w:val="sr-Cyrl-RS"/>
        </w:rPr>
        <w:t>У прву групу пројеката спада пројекат „Трансбалкански коридор</w:t>
      </w:r>
      <w:r w:rsidR="00AD5740" w:rsidRPr="00CF77C1">
        <w:rPr>
          <w:lang w:val="sr-Cyrl-RS"/>
        </w:rPr>
        <w:t>”</w:t>
      </w:r>
      <w:r w:rsidRPr="00CF77C1">
        <w:rPr>
          <w:lang w:val="sr-Cyrl-RS"/>
        </w:rPr>
        <w:t xml:space="preserve"> који је у фази реализације и који има </w:t>
      </w:r>
      <w:r w:rsidR="00D47859" w:rsidRPr="00CF77C1">
        <w:rPr>
          <w:lang w:val="sr-Cyrl-RS"/>
        </w:rPr>
        <w:t xml:space="preserve">претежно </w:t>
      </w:r>
      <w:r w:rsidRPr="00CF77C1">
        <w:rPr>
          <w:lang w:val="sr-Cyrl-RS"/>
        </w:rPr>
        <w:t xml:space="preserve">регионални карактер. Другу групу пројеката чине пројекти реконструкције постојећих водова 110 kV који су на крају експлоатационог века, као и изградње нових водова којима се решавају проблеми несигурног, радијалног напајања појединих </w:t>
      </w:r>
      <w:r w:rsidR="00996434" w:rsidRPr="00CF77C1">
        <w:rPr>
          <w:lang w:val="sr-Cyrl-RS"/>
        </w:rPr>
        <w:t>трансформаторских станица</w:t>
      </w:r>
      <w:r w:rsidRPr="00CF77C1">
        <w:rPr>
          <w:lang w:val="sr-Cyrl-RS"/>
        </w:rPr>
        <w:t xml:space="preserve"> 110/X kV.</w:t>
      </w:r>
    </w:p>
    <w:p w14:paraId="700D3021" w14:textId="475DC72B" w:rsidR="002E3868" w:rsidRPr="00CF77C1" w:rsidRDefault="00096A0D" w:rsidP="007C78D3">
      <w:pPr>
        <w:pStyle w:val="ListParagraph"/>
        <w:keepNext/>
        <w:numPr>
          <w:ilvl w:val="0"/>
          <w:numId w:val="14"/>
        </w:numPr>
        <w:ind w:left="539" w:firstLine="181"/>
        <w:rPr>
          <w:lang w:val="sr-Cyrl-RS"/>
        </w:rPr>
      </w:pPr>
      <w:bookmarkStart w:id="33" w:name="_Ref476805981"/>
      <w:r w:rsidRPr="00CF77C1">
        <w:rPr>
          <w:lang w:val="sr-Cyrl-RS"/>
        </w:rPr>
        <w:t>Пројекат</w:t>
      </w:r>
      <w:r w:rsidR="002E3868" w:rsidRPr="00CF77C1">
        <w:rPr>
          <w:lang w:val="sr-Cyrl-RS"/>
        </w:rPr>
        <w:t xml:space="preserve"> </w:t>
      </w:r>
      <w:r w:rsidRPr="00CF77C1">
        <w:rPr>
          <w:lang w:val="sr-Cyrl-RS"/>
        </w:rPr>
        <w:t>„</w:t>
      </w:r>
      <w:r w:rsidR="002E3868" w:rsidRPr="00CF77C1">
        <w:rPr>
          <w:lang w:val="sr-Cyrl-RS"/>
        </w:rPr>
        <w:t>Трансбалкански коридор</w:t>
      </w:r>
      <w:r w:rsidR="00AD5740" w:rsidRPr="00CF77C1">
        <w:rPr>
          <w:lang w:val="sr-Cyrl-RS"/>
        </w:rPr>
        <w:t>”</w:t>
      </w:r>
      <w:bookmarkEnd w:id="33"/>
    </w:p>
    <w:p w14:paraId="44FC42CC" w14:textId="27879428" w:rsidR="00C64E23" w:rsidRPr="00CF77C1" w:rsidRDefault="00C64E23" w:rsidP="007C78D3">
      <w:pPr>
        <w:ind w:firstLine="720"/>
        <w:rPr>
          <w:lang w:val="sr-Cyrl-RS"/>
        </w:rPr>
      </w:pPr>
      <w:r w:rsidRPr="00CF77C1">
        <w:rPr>
          <w:lang w:val="sr-Cyrl-RS"/>
        </w:rPr>
        <w:t>Пројекат „Трансбалкански коридор</w:t>
      </w:r>
      <w:r w:rsidR="00AD5740" w:rsidRPr="00CF77C1">
        <w:rPr>
          <w:lang w:val="sr-Cyrl-RS"/>
        </w:rPr>
        <w:t>”</w:t>
      </w:r>
      <w:r w:rsidRPr="00CF77C1">
        <w:rPr>
          <w:lang w:val="sr-Cyrl-RS"/>
        </w:rPr>
        <w:t xml:space="preserve"> налази се на </w:t>
      </w:r>
      <w:r w:rsidR="00F0139B" w:rsidRPr="00CF77C1">
        <w:rPr>
          <w:lang w:val="sr-Cyrl-RS"/>
        </w:rPr>
        <w:t>Јединственој листи инфраструктурних пројеката, Приоритетној листи инфраструктурних енергетских пројеката (PECI листи), Листи пројеката од заједничког интереса (PCI лис</w:t>
      </w:r>
      <w:r w:rsidR="00C3571E" w:rsidRPr="00CF77C1">
        <w:rPr>
          <w:lang w:val="sr-Cyrl-RS"/>
        </w:rPr>
        <w:t>ти) (секција Решица - Панчево),</w:t>
      </w:r>
      <w:r w:rsidR="00F0139B" w:rsidRPr="00CF77C1">
        <w:rPr>
          <w:lang w:val="sr-Cyrl-RS"/>
        </w:rPr>
        <w:t xml:space="preserve"> Листи пројеката инвестиционог оквира Западног Балкана (WBIF листи)</w:t>
      </w:r>
      <w:r w:rsidR="00C3571E" w:rsidRPr="00CF77C1">
        <w:rPr>
          <w:lang w:val="sr-Cyrl-RS"/>
        </w:rPr>
        <w:t xml:space="preserve"> и Листи пројеката у оквиру иницијативе Западни Балкан 6 (WB6 листи)</w:t>
      </w:r>
      <w:r w:rsidR="00996434" w:rsidRPr="00CF77C1">
        <w:rPr>
          <w:lang w:val="sr-Cyrl-RS"/>
        </w:rPr>
        <w:t xml:space="preserve"> </w:t>
      </w:r>
      <w:r w:rsidR="00C3571E" w:rsidRPr="00CF77C1">
        <w:rPr>
          <w:lang w:val="sr-Cyrl-RS"/>
        </w:rPr>
        <w:t xml:space="preserve">(секција Крагујевац 2 - Краљево 3 и доградња ТС Краљево 3) </w:t>
      </w:r>
      <w:r w:rsidR="00996434" w:rsidRPr="00CF77C1">
        <w:rPr>
          <w:lang w:val="sr-Cyrl-RS"/>
        </w:rPr>
        <w:t>и састоји се из две фазе</w:t>
      </w:r>
      <w:r w:rsidRPr="00CF77C1">
        <w:rPr>
          <w:lang w:val="sr-Cyrl-RS"/>
        </w:rPr>
        <w:t>.</w:t>
      </w:r>
    </w:p>
    <w:p w14:paraId="1C9B59AA" w14:textId="30CCE5AD" w:rsidR="002E3868" w:rsidRPr="00CF77C1" w:rsidRDefault="002E3868" w:rsidP="007C78D3">
      <w:pPr>
        <w:ind w:firstLine="720"/>
        <w:rPr>
          <w:lang w:val="sr-Cyrl-RS"/>
        </w:rPr>
      </w:pPr>
      <w:r w:rsidRPr="00CF77C1">
        <w:rPr>
          <w:lang w:val="sr-Cyrl-RS"/>
        </w:rPr>
        <w:t>Пројекат „Трансбалкански коридор - фаза 1</w:t>
      </w:r>
      <w:r w:rsidR="00AD5740" w:rsidRPr="00CF77C1">
        <w:rPr>
          <w:lang w:val="sr-Cyrl-RS"/>
        </w:rPr>
        <w:t>”</w:t>
      </w:r>
      <w:r w:rsidRPr="00CF77C1">
        <w:rPr>
          <w:lang w:val="sr-Cyrl-RS"/>
        </w:rPr>
        <w:t xml:space="preserve"> састоји се из </w:t>
      </w:r>
      <w:r w:rsidR="007C74F2" w:rsidRPr="00CF77C1">
        <w:rPr>
          <w:lang w:val="sr-Cyrl-RS"/>
        </w:rPr>
        <w:t>четири</w:t>
      </w:r>
      <w:r w:rsidRPr="00CF77C1">
        <w:rPr>
          <w:lang w:val="sr-Cyrl-RS"/>
        </w:rPr>
        <w:t xml:space="preserve"> </w:t>
      </w:r>
      <w:r w:rsidR="007C74F2" w:rsidRPr="00CF77C1">
        <w:rPr>
          <w:lang w:val="sr-Cyrl-RS"/>
        </w:rPr>
        <w:t>секције</w:t>
      </w:r>
      <w:r w:rsidRPr="00CF77C1">
        <w:rPr>
          <w:lang w:val="sr-Cyrl-RS"/>
        </w:rPr>
        <w:t>:</w:t>
      </w:r>
    </w:p>
    <w:p w14:paraId="0ECB8229" w14:textId="1E2FC97D" w:rsidR="002E3868" w:rsidRPr="00CF77C1" w:rsidRDefault="005E1591" w:rsidP="003E39B4">
      <w:pPr>
        <w:pStyle w:val="ListParagraph"/>
        <w:numPr>
          <w:ilvl w:val="0"/>
          <w:numId w:val="25"/>
        </w:numPr>
        <w:spacing w:before="60" w:after="60"/>
        <w:ind w:left="357" w:firstLine="363"/>
        <w:rPr>
          <w:lang w:val="sr-Cyrl-RS"/>
        </w:rPr>
      </w:pPr>
      <w:r w:rsidRPr="00CF77C1">
        <w:rPr>
          <w:lang w:val="sr-Cyrl-RS"/>
        </w:rPr>
        <w:t>и</w:t>
      </w:r>
      <w:r w:rsidR="00996434" w:rsidRPr="00CF77C1">
        <w:rPr>
          <w:lang w:val="sr-Cyrl-RS"/>
        </w:rPr>
        <w:t>зградња</w:t>
      </w:r>
      <w:r w:rsidR="002E3868" w:rsidRPr="00CF77C1">
        <w:rPr>
          <w:lang w:val="sr-Cyrl-RS"/>
        </w:rPr>
        <w:t xml:space="preserve"> </w:t>
      </w:r>
      <w:r w:rsidR="00D05EFF" w:rsidRPr="00CF77C1">
        <w:rPr>
          <w:lang w:val="sr-Cyrl-RS"/>
        </w:rPr>
        <w:t xml:space="preserve">двоструког далековода </w:t>
      </w:r>
      <w:r w:rsidR="002E3868" w:rsidRPr="00CF77C1">
        <w:rPr>
          <w:lang w:val="sr-Cyrl-RS"/>
        </w:rPr>
        <w:t xml:space="preserve">400 kV </w:t>
      </w:r>
      <w:r w:rsidR="00D05EFF" w:rsidRPr="00CF77C1">
        <w:rPr>
          <w:lang w:val="sr-Cyrl-RS"/>
        </w:rPr>
        <w:t xml:space="preserve">ТС </w:t>
      </w:r>
      <w:r w:rsidR="002E3868" w:rsidRPr="00CF77C1">
        <w:rPr>
          <w:lang w:val="sr-Cyrl-RS"/>
        </w:rPr>
        <w:t xml:space="preserve">Панчево </w:t>
      </w:r>
      <w:r w:rsidR="00D05EFF" w:rsidRPr="00CF77C1">
        <w:rPr>
          <w:lang w:val="sr-Cyrl-RS"/>
        </w:rPr>
        <w:t xml:space="preserve">2 </w:t>
      </w:r>
      <w:r w:rsidR="002E3868" w:rsidRPr="00CF77C1">
        <w:rPr>
          <w:lang w:val="sr-Cyrl-RS"/>
        </w:rPr>
        <w:t xml:space="preserve">- </w:t>
      </w:r>
      <w:r w:rsidR="00D05EFF" w:rsidRPr="00CF77C1">
        <w:rPr>
          <w:lang w:val="sr-Cyrl-RS"/>
        </w:rPr>
        <w:t xml:space="preserve">ТС </w:t>
      </w:r>
      <w:r w:rsidR="002E3868" w:rsidRPr="00CF77C1">
        <w:rPr>
          <w:lang w:val="sr-Cyrl-RS"/>
        </w:rPr>
        <w:t>Решица;</w:t>
      </w:r>
    </w:p>
    <w:p w14:paraId="304D2999" w14:textId="24E5AA37" w:rsidR="007C74F2" w:rsidRPr="00CF77C1" w:rsidRDefault="005E1591" w:rsidP="003E39B4">
      <w:pPr>
        <w:pStyle w:val="ListParagraph"/>
        <w:numPr>
          <w:ilvl w:val="0"/>
          <w:numId w:val="25"/>
        </w:numPr>
        <w:spacing w:before="60" w:after="60"/>
        <w:ind w:left="357" w:firstLine="363"/>
        <w:rPr>
          <w:lang w:val="sr-Cyrl-RS"/>
        </w:rPr>
      </w:pPr>
      <w:r w:rsidRPr="00CF77C1">
        <w:rPr>
          <w:lang w:val="sr-Cyrl-RS"/>
        </w:rPr>
        <w:t>и</w:t>
      </w:r>
      <w:r w:rsidR="00996434" w:rsidRPr="00CF77C1">
        <w:rPr>
          <w:lang w:val="sr-Cyrl-RS"/>
        </w:rPr>
        <w:t>зградња</w:t>
      </w:r>
      <w:r w:rsidR="007C74F2" w:rsidRPr="00CF77C1">
        <w:rPr>
          <w:lang w:val="sr-Cyrl-RS"/>
        </w:rPr>
        <w:t xml:space="preserve"> </w:t>
      </w:r>
      <w:r w:rsidR="00996434" w:rsidRPr="00CF77C1">
        <w:rPr>
          <w:lang w:val="sr-Cyrl-RS"/>
        </w:rPr>
        <w:t xml:space="preserve">далековода </w:t>
      </w:r>
      <w:r w:rsidR="007C74F2" w:rsidRPr="00CF77C1">
        <w:rPr>
          <w:lang w:val="sr-Cyrl-RS"/>
        </w:rPr>
        <w:t xml:space="preserve">400 kV </w:t>
      </w:r>
      <w:r w:rsidR="00D05EFF" w:rsidRPr="00CF77C1">
        <w:rPr>
          <w:lang w:val="sr-Cyrl-RS"/>
        </w:rPr>
        <w:t xml:space="preserve">ТС </w:t>
      </w:r>
      <w:r w:rsidR="007C74F2" w:rsidRPr="00CF77C1">
        <w:rPr>
          <w:lang w:val="sr-Cyrl-RS"/>
        </w:rPr>
        <w:t xml:space="preserve">Крагујевац </w:t>
      </w:r>
      <w:r w:rsidR="00D05EFF" w:rsidRPr="00CF77C1">
        <w:rPr>
          <w:lang w:val="sr-Cyrl-RS"/>
        </w:rPr>
        <w:t xml:space="preserve">2 </w:t>
      </w:r>
      <w:r w:rsidR="007C74F2" w:rsidRPr="00CF77C1">
        <w:rPr>
          <w:lang w:val="sr-Cyrl-RS"/>
        </w:rPr>
        <w:t xml:space="preserve">- </w:t>
      </w:r>
      <w:r w:rsidR="00D05EFF" w:rsidRPr="00CF77C1">
        <w:rPr>
          <w:lang w:val="sr-Cyrl-RS"/>
        </w:rPr>
        <w:t xml:space="preserve">ТС </w:t>
      </w:r>
      <w:r w:rsidR="007C74F2" w:rsidRPr="00CF77C1">
        <w:rPr>
          <w:lang w:val="sr-Cyrl-RS"/>
        </w:rPr>
        <w:t>Краљево</w:t>
      </w:r>
      <w:r w:rsidR="00D05EFF" w:rsidRPr="00CF77C1">
        <w:rPr>
          <w:lang w:val="sr-Cyrl-RS"/>
        </w:rPr>
        <w:t xml:space="preserve"> 3</w:t>
      </w:r>
      <w:r w:rsidR="007C74F2" w:rsidRPr="00CF77C1">
        <w:rPr>
          <w:lang w:val="sr-Cyrl-RS"/>
        </w:rPr>
        <w:t>;</w:t>
      </w:r>
    </w:p>
    <w:p w14:paraId="1B41B018" w14:textId="2D2C3D99" w:rsidR="002E3868" w:rsidRPr="00CF77C1" w:rsidRDefault="005E1591" w:rsidP="003E39B4">
      <w:pPr>
        <w:pStyle w:val="ListParagraph"/>
        <w:numPr>
          <w:ilvl w:val="0"/>
          <w:numId w:val="25"/>
        </w:numPr>
        <w:spacing w:before="60" w:after="60"/>
        <w:ind w:left="357" w:firstLine="363"/>
        <w:rPr>
          <w:lang w:val="sr-Cyrl-RS"/>
        </w:rPr>
      </w:pPr>
      <w:r w:rsidRPr="00CF77C1">
        <w:rPr>
          <w:lang w:val="sr-Cyrl-RS"/>
        </w:rPr>
        <w:t>и</w:t>
      </w:r>
      <w:r w:rsidR="00996434" w:rsidRPr="00CF77C1">
        <w:rPr>
          <w:lang w:val="sr-Cyrl-RS"/>
        </w:rPr>
        <w:t>зградња</w:t>
      </w:r>
      <w:r w:rsidR="002E3868" w:rsidRPr="00CF77C1">
        <w:rPr>
          <w:lang w:val="sr-Cyrl-RS"/>
        </w:rPr>
        <w:t xml:space="preserve"> </w:t>
      </w:r>
      <w:r w:rsidR="00D05EFF" w:rsidRPr="00CF77C1">
        <w:rPr>
          <w:lang w:val="sr-Cyrl-RS"/>
        </w:rPr>
        <w:t xml:space="preserve">двоструког далековода </w:t>
      </w:r>
      <w:r w:rsidR="002E3868" w:rsidRPr="00CF77C1">
        <w:rPr>
          <w:lang w:val="sr-Cyrl-RS"/>
        </w:rPr>
        <w:t xml:space="preserve">400 kV </w:t>
      </w:r>
      <w:r w:rsidR="00C24610" w:rsidRPr="00CF77C1">
        <w:rPr>
          <w:lang w:val="sr-Cyrl-RS"/>
        </w:rPr>
        <w:t>ТС</w:t>
      </w:r>
      <w:r w:rsidR="00D05EFF" w:rsidRPr="00CF77C1">
        <w:rPr>
          <w:lang w:val="sr-Cyrl-RS"/>
        </w:rPr>
        <w:t xml:space="preserve"> </w:t>
      </w:r>
      <w:r w:rsidR="002E3868" w:rsidRPr="00CF77C1">
        <w:rPr>
          <w:lang w:val="sr-Cyrl-RS"/>
        </w:rPr>
        <w:t xml:space="preserve">Обреновац - </w:t>
      </w:r>
      <w:r w:rsidR="004B42BB" w:rsidRPr="00CF77C1">
        <w:rPr>
          <w:lang w:val="sr-Cyrl-RS"/>
        </w:rPr>
        <w:t>ТС</w:t>
      </w:r>
      <w:r w:rsidR="00D05EFF" w:rsidRPr="00CF77C1">
        <w:rPr>
          <w:lang w:val="sr-Cyrl-RS"/>
        </w:rPr>
        <w:t xml:space="preserve"> </w:t>
      </w:r>
      <w:r w:rsidR="002E3868" w:rsidRPr="00CF77C1">
        <w:rPr>
          <w:lang w:val="sr-Cyrl-RS"/>
        </w:rPr>
        <w:t>Бајина Башта;</w:t>
      </w:r>
    </w:p>
    <w:p w14:paraId="420D5692" w14:textId="009CDE56" w:rsidR="002E3868" w:rsidRPr="00CF77C1" w:rsidRDefault="005E1591" w:rsidP="003E39B4">
      <w:pPr>
        <w:pStyle w:val="ListParagraph"/>
        <w:numPr>
          <w:ilvl w:val="0"/>
          <w:numId w:val="25"/>
        </w:numPr>
        <w:spacing w:before="60" w:after="60"/>
        <w:ind w:left="0" w:firstLine="720"/>
        <w:rPr>
          <w:lang w:val="sr-Cyrl-RS"/>
        </w:rPr>
      </w:pPr>
      <w:r w:rsidRPr="00CF77C1">
        <w:rPr>
          <w:lang w:val="sr-Cyrl-RS"/>
        </w:rPr>
        <w:t>и</w:t>
      </w:r>
      <w:r w:rsidR="00996434" w:rsidRPr="00CF77C1">
        <w:rPr>
          <w:lang w:val="sr-Cyrl-RS"/>
        </w:rPr>
        <w:t>зградња</w:t>
      </w:r>
      <w:r w:rsidR="002E3868" w:rsidRPr="00CF77C1">
        <w:rPr>
          <w:lang w:val="sr-Cyrl-RS"/>
        </w:rPr>
        <w:t xml:space="preserve"> регионалне интерконекције </w:t>
      </w:r>
      <w:r w:rsidR="00996434" w:rsidRPr="00CF77C1">
        <w:rPr>
          <w:lang w:val="sr-Cyrl-RS"/>
        </w:rPr>
        <w:t xml:space="preserve">400 kV </w:t>
      </w:r>
      <w:r w:rsidR="00EC16A1" w:rsidRPr="00CF77C1">
        <w:rPr>
          <w:lang w:val="sr-Cyrl-RS"/>
        </w:rPr>
        <w:t xml:space="preserve">Република </w:t>
      </w:r>
      <w:r w:rsidR="002E3868" w:rsidRPr="00CF77C1">
        <w:rPr>
          <w:lang w:val="sr-Cyrl-RS"/>
        </w:rPr>
        <w:t xml:space="preserve">Србија - Босна и Херцеговина - Црна Гора кроз изградњу </w:t>
      </w:r>
      <w:r w:rsidR="00D05EFF" w:rsidRPr="00CF77C1">
        <w:rPr>
          <w:lang w:val="sr-Cyrl-RS"/>
        </w:rPr>
        <w:t xml:space="preserve">двоструког далековода </w:t>
      </w:r>
      <w:r w:rsidR="002E3868" w:rsidRPr="00CF77C1">
        <w:rPr>
          <w:lang w:val="sr-Cyrl-RS"/>
        </w:rPr>
        <w:t xml:space="preserve">400 kV </w:t>
      </w:r>
      <w:r w:rsidR="004B42BB" w:rsidRPr="00CF77C1">
        <w:rPr>
          <w:lang w:val="sr-Cyrl-RS"/>
        </w:rPr>
        <w:t>ТС</w:t>
      </w:r>
      <w:r w:rsidR="00D05EFF" w:rsidRPr="00CF77C1">
        <w:rPr>
          <w:lang w:val="sr-Cyrl-RS"/>
        </w:rPr>
        <w:t xml:space="preserve"> </w:t>
      </w:r>
      <w:r w:rsidR="002E3868" w:rsidRPr="00CF77C1">
        <w:rPr>
          <w:lang w:val="sr-Cyrl-RS"/>
        </w:rPr>
        <w:t>Бајина Башта - ТЕ Пљевља - ХЕ Вишеград на коју би се перспективно прикључила будућа РХЕ Бистрица.</w:t>
      </w:r>
    </w:p>
    <w:p w14:paraId="74E5DC06" w14:textId="347562BE" w:rsidR="00D41B60" w:rsidRPr="00CF77C1" w:rsidRDefault="00D41B60" w:rsidP="007C78D3">
      <w:pPr>
        <w:ind w:firstLine="720"/>
        <w:rPr>
          <w:lang w:val="sr-Cyrl-RS"/>
        </w:rPr>
      </w:pPr>
      <w:r w:rsidRPr="00CF77C1">
        <w:rPr>
          <w:lang w:val="sr-Cyrl-RS"/>
        </w:rPr>
        <w:t>Пројекат „Трансбалкански коридор - фаза 2” обухвата више пројеката изградње нових електроенергетских водова 400 kV. Тек након завршетка прве фазе, а на основу комплетиране планске и техничке документације, донеће се одлука о приоритетима пројеката у оквиру фазе 2.</w:t>
      </w:r>
      <w:r w:rsidR="007C78D3" w:rsidRPr="00CF77C1">
        <w:rPr>
          <w:lang w:val="sr-Cyrl-RS"/>
        </w:rPr>
        <w:t xml:space="preserve"> </w:t>
      </w:r>
    </w:p>
    <w:p w14:paraId="3136CD37" w14:textId="3F5FD774" w:rsidR="00D41B60" w:rsidRPr="00CF77C1" w:rsidRDefault="00604373" w:rsidP="007C78D3">
      <w:pPr>
        <w:ind w:firstLine="720"/>
        <w:rPr>
          <w:lang w:val="sr-Cyrl-RS"/>
        </w:rPr>
      </w:pPr>
      <w:r w:rsidRPr="00CF77C1">
        <w:rPr>
          <w:lang w:val="sr-Cyrl-RS"/>
        </w:rPr>
        <w:t xml:space="preserve">Планира </w:t>
      </w:r>
      <w:r w:rsidR="00C255D3" w:rsidRPr="00CF77C1">
        <w:rPr>
          <w:lang w:val="sr-Cyrl-RS"/>
        </w:rPr>
        <w:t>се да се током реализације ПОС</w:t>
      </w:r>
      <w:r w:rsidRPr="00CF77C1">
        <w:rPr>
          <w:lang w:val="sr-Cyrl-RS"/>
        </w:rPr>
        <w:t xml:space="preserve"> заврши изградња секција 1 и 2 фазе 1 пројекта, а изградња секција 3 и 4 исте фазе уз услов да се обезбеде извори финансирања за те две секције.</w:t>
      </w:r>
    </w:p>
    <w:p w14:paraId="1E6B7459" w14:textId="4D603CDF" w:rsidR="00D41B60" w:rsidRPr="00CF77C1" w:rsidRDefault="00D41B60" w:rsidP="004C168D">
      <w:pPr>
        <w:ind w:firstLine="720"/>
        <w:rPr>
          <w:lang w:val="sr-Cyrl-RS"/>
        </w:rPr>
      </w:pPr>
      <w:r w:rsidRPr="00CF77C1">
        <w:rPr>
          <w:lang w:val="sr-Cyrl-RS"/>
        </w:rPr>
        <w:t>За једну секцију фазе 2 пројекта у току је израда претходне студије оправданости, тако да још увек не постоје расположиви по</w:t>
      </w:r>
      <w:r w:rsidR="00DB371C">
        <w:rPr>
          <w:lang w:val="sr-Cyrl-RS"/>
        </w:rPr>
        <w:t>даци о коначним техничким карак</w:t>
      </w:r>
      <w:r w:rsidRPr="00CF77C1">
        <w:rPr>
          <w:lang w:val="sr-Cyrl-RS"/>
        </w:rPr>
        <w:t>теристикама и ефектима изградње далековода.</w:t>
      </w:r>
    </w:p>
    <w:p w14:paraId="4CC2B367" w14:textId="4E502D47" w:rsidR="002E3868" w:rsidRPr="00CF77C1" w:rsidRDefault="004B42BB" w:rsidP="00DE11F0">
      <w:pPr>
        <w:ind w:firstLine="720"/>
        <w:rPr>
          <w:lang w:val="sr-Cyrl-RS"/>
        </w:rPr>
      </w:pPr>
      <w:r w:rsidRPr="00CF77C1">
        <w:rPr>
          <w:lang w:val="sr-Cyrl-RS"/>
        </w:rPr>
        <w:t xml:space="preserve">Збир ефеката смањења губитака због </w:t>
      </w:r>
      <w:r w:rsidR="009927CD" w:rsidRPr="00CF77C1">
        <w:rPr>
          <w:lang w:val="sr-Cyrl-RS"/>
        </w:rPr>
        <w:t>реализације свих пројеката износи 202,3 GWh годишње, што чини око 0,2% финалне потрошње енергије (за енергетске и неенергетске сврхе) у 2015. години. Међутим, збирни ефекат реализације свих пројеката је мањи због промене базног стања у односу на које су прорачуни рађени. У сваком случају, збирни ефекат није мањи од 130,4 GWh годишње (максимални ефекат појединачног пројекта)</w:t>
      </w:r>
      <w:r w:rsidR="00EC7E28" w:rsidRPr="00CF77C1">
        <w:rPr>
          <w:lang w:val="sr-Cyrl-RS"/>
        </w:rPr>
        <w:t>,</w:t>
      </w:r>
      <w:r w:rsidR="009927CD" w:rsidRPr="00CF77C1">
        <w:rPr>
          <w:lang w:val="sr-Cyrl-RS"/>
        </w:rPr>
        <w:t xml:space="preserve"> што чини око 0,13</w:t>
      </w:r>
      <w:r w:rsidR="00A2072D" w:rsidRPr="00CF77C1">
        <w:rPr>
          <w:lang w:val="sr-Cyrl-RS"/>
        </w:rPr>
        <w:t>% финалне потрошње енергије (за енергетске и неенергетске сврхе) у 2015. години.</w:t>
      </w:r>
    </w:p>
    <w:p w14:paraId="2F4A2AD9" w14:textId="0FA469D5" w:rsidR="00C3571E" w:rsidRPr="00CF77C1" w:rsidRDefault="00C3571E" w:rsidP="004C168D">
      <w:pPr>
        <w:ind w:firstLine="720"/>
        <w:rPr>
          <w:lang w:val="sr-Cyrl-RS"/>
        </w:rPr>
      </w:pPr>
      <w:r w:rsidRPr="00CF77C1">
        <w:rPr>
          <w:lang w:val="sr-Cyrl-RS"/>
        </w:rPr>
        <w:t>До промена у односу на претходно сагледане вредности пројекта „Трансбалкански коридор - фаза 1”</w:t>
      </w:r>
      <w:r w:rsidR="001877CE" w:rsidRPr="00CF77C1">
        <w:rPr>
          <w:lang w:val="sr-Cyrl-RS"/>
        </w:rPr>
        <w:t xml:space="preserve"> </w:t>
      </w:r>
      <w:r w:rsidRPr="00CF77C1">
        <w:rPr>
          <w:lang w:val="sr-Cyrl-RS"/>
        </w:rPr>
        <w:t xml:space="preserve">у Јединственој листи инфраструктурних пројеката, односно </w:t>
      </w:r>
      <w:r w:rsidR="008436AE" w:rsidRPr="00CF77C1">
        <w:rPr>
          <w:lang w:val="sr-Cyrl-RS"/>
        </w:rPr>
        <w:fldChar w:fldCharType="begin"/>
      </w:r>
      <w:r w:rsidR="008436AE" w:rsidRPr="00CF77C1">
        <w:rPr>
          <w:lang w:val="sr-Cyrl-RS"/>
        </w:rPr>
        <w:instrText xml:space="preserve"> REF _Ref478730171 \h </w:instrText>
      </w:r>
      <w:r w:rsidR="0077363A" w:rsidRPr="00CF77C1">
        <w:rPr>
          <w:lang w:val="sr-Cyrl-RS"/>
        </w:rPr>
        <w:instrText xml:space="preserve"> \* MERGEFORMAT </w:instrText>
      </w:r>
      <w:r w:rsidR="008436AE" w:rsidRPr="00CF77C1">
        <w:rPr>
          <w:lang w:val="sr-Cyrl-RS"/>
        </w:rPr>
      </w:r>
      <w:r w:rsidR="008436AE" w:rsidRPr="00CF77C1">
        <w:rPr>
          <w:lang w:val="sr-Cyrl-RS"/>
        </w:rPr>
        <w:fldChar w:fldCharType="separate"/>
      </w:r>
      <w:r w:rsidR="002D5918" w:rsidRPr="002D5918">
        <w:rPr>
          <w:lang w:val="sr-Cyrl-RS"/>
        </w:rPr>
        <w:t xml:space="preserve">таб. </w:t>
      </w:r>
      <w:r w:rsidR="002D5918" w:rsidRPr="002D5918">
        <w:rPr>
          <w:noProof/>
          <w:lang w:val="sr-Cyrl-RS"/>
        </w:rPr>
        <w:t>129</w:t>
      </w:r>
      <w:r w:rsidR="008436AE" w:rsidRPr="00CF77C1">
        <w:rPr>
          <w:lang w:val="sr-Cyrl-RS"/>
        </w:rPr>
        <w:fldChar w:fldCharType="end"/>
      </w:r>
      <w:r w:rsidR="00C255D3" w:rsidRPr="00CF77C1">
        <w:rPr>
          <w:lang w:val="sr-Cyrl-RS"/>
        </w:rPr>
        <w:t xml:space="preserve"> ПОС</w:t>
      </w:r>
      <w:r w:rsidRPr="00CF77C1">
        <w:rPr>
          <w:lang w:val="sr-Cyrl-RS"/>
        </w:rPr>
        <w:t>, дошло је због закључивања уговора за кредит и донацију за секцију 2, чиме је одређена коначна вредност инвестиције као и прецизнијег сагледавања трошкова за секције 3 и 4, због потребе попуњавања апликације за добијање инвестиционог гранта.</w:t>
      </w:r>
    </w:p>
    <w:p w14:paraId="6469666F" w14:textId="77777777" w:rsidR="002E3868" w:rsidRPr="00CF77C1" w:rsidRDefault="002E3868" w:rsidP="0080044B">
      <w:pPr>
        <w:rPr>
          <w:lang w:val="sr-Cyrl-RS"/>
        </w:rPr>
        <w:sectPr w:rsidR="002E3868" w:rsidRPr="00CF77C1" w:rsidSect="004C168D">
          <w:headerReference w:type="default" r:id="rId13"/>
          <w:footerReference w:type="default" r:id="rId14"/>
          <w:pgSz w:w="11907" w:h="16839" w:code="9"/>
          <w:pgMar w:top="1134" w:right="1287" w:bottom="1134" w:left="1350" w:header="720" w:footer="720" w:gutter="0"/>
          <w:cols w:space="720"/>
          <w:docGrid w:linePitch="360"/>
        </w:sectPr>
      </w:pPr>
    </w:p>
    <w:p w14:paraId="3A8B9F5E" w14:textId="3D63BB23" w:rsidR="002E3868" w:rsidRPr="00CF77C1" w:rsidRDefault="00D61BC9" w:rsidP="0080044B">
      <w:pPr>
        <w:pStyle w:val="Caption"/>
        <w:rPr>
          <w:b w:val="0"/>
          <w:lang w:val="sr-Cyrl-RS"/>
        </w:rPr>
      </w:pPr>
      <w:r w:rsidRPr="00CF77C1">
        <w:rPr>
          <w:b w:val="0"/>
          <w:lang w:val="sr-Cyrl-RS"/>
        </w:rPr>
        <w:t>таб.</w:t>
      </w:r>
      <w:r w:rsidR="002E3868"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w:t>
      </w:r>
      <w:r w:rsidR="0092145E" w:rsidRPr="00CF77C1">
        <w:rPr>
          <w:b w:val="0"/>
          <w:lang w:val="sr-Cyrl-RS"/>
        </w:rPr>
        <w:fldChar w:fldCharType="end"/>
      </w:r>
      <w:r w:rsidR="002E3868"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693"/>
        <w:gridCol w:w="3969"/>
        <w:gridCol w:w="5890"/>
      </w:tblGrid>
      <w:tr w:rsidR="00C24610" w:rsidRPr="00CF77C1" w14:paraId="2599AC90" w14:textId="77777777" w:rsidTr="00D41B60">
        <w:tc>
          <w:tcPr>
            <w:tcW w:w="2235" w:type="dxa"/>
            <w:shd w:val="clear" w:color="auto" w:fill="auto"/>
            <w:vAlign w:val="center"/>
          </w:tcPr>
          <w:p w14:paraId="196DBA55" w14:textId="77777777" w:rsidR="002E3868" w:rsidRPr="00CF77C1" w:rsidRDefault="002E3868" w:rsidP="0080044B">
            <w:pPr>
              <w:jc w:val="center"/>
              <w:rPr>
                <w:sz w:val="22"/>
                <w:szCs w:val="22"/>
                <w:lang w:val="sr-Cyrl-RS"/>
              </w:rPr>
            </w:pPr>
            <w:r w:rsidRPr="00CF77C1">
              <w:rPr>
                <w:sz w:val="22"/>
                <w:szCs w:val="22"/>
                <w:lang w:val="sr-Cyrl-RS"/>
              </w:rPr>
              <w:t>Техничке карактеристике</w:t>
            </w:r>
          </w:p>
        </w:tc>
        <w:tc>
          <w:tcPr>
            <w:tcW w:w="2693" w:type="dxa"/>
            <w:shd w:val="clear" w:color="auto" w:fill="auto"/>
            <w:vAlign w:val="center"/>
          </w:tcPr>
          <w:p w14:paraId="219218E9" w14:textId="77777777" w:rsidR="002E3868" w:rsidRPr="00CF77C1" w:rsidRDefault="002E3868" w:rsidP="0080044B">
            <w:pPr>
              <w:jc w:val="center"/>
              <w:rPr>
                <w:sz w:val="22"/>
                <w:szCs w:val="22"/>
                <w:lang w:val="sr-Cyrl-RS"/>
              </w:rPr>
            </w:pPr>
            <w:r w:rsidRPr="00CF77C1">
              <w:rPr>
                <w:sz w:val="22"/>
                <w:szCs w:val="22"/>
                <w:lang w:val="sr-Cyrl-RS"/>
              </w:rPr>
              <w:t>Вредност пројекта и извор средстава</w:t>
            </w:r>
          </w:p>
        </w:tc>
        <w:tc>
          <w:tcPr>
            <w:tcW w:w="3969" w:type="dxa"/>
            <w:shd w:val="clear" w:color="auto" w:fill="auto"/>
            <w:vAlign w:val="center"/>
          </w:tcPr>
          <w:p w14:paraId="7CD267CD" w14:textId="77777777" w:rsidR="002E3868" w:rsidRPr="00CF77C1" w:rsidRDefault="002E3868" w:rsidP="0080044B">
            <w:pPr>
              <w:jc w:val="center"/>
              <w:rPr>
                <w:sz w:val="22"/>
                <w:szCs w:val="22"/>
                <w:lang w:val="sr-Cyrl-RS"/>
              </w:rPr>
            </w:pPr>
            <w:r w:rsidRPr="00CF77C1">
              <w:rPr>
                <w:sz w:val="22"/>
                <w:szCs w:val="22"/>
                <w:lang w:val="sr-Cyrl-RS"/>
              </w:rPr>
              <w:t>Опис ефеката реализације</w:t>
            </w:r>
          </w:p>
        </w:tc>
        <w:tc>
          <w:tcPr>
            <w:tcW w:w="5890" w:type="dxa"/>
            <w:shd w:val="clear" w:color="auto" w:fill="auto"/>
            <w:vAlign w:val="center"/>
          </w:tcPr>
          <w:p w14:paraId="2EE5166A" w14:textId="77777777" w:rsidR="002E3868" w:rsidRPr="00CF77C1" w:rsidRDefault="002E3868" w:rsidP="0080044B">
            <w:pPr>
              <w:jc w:val="center"/>
              <w:rPr>
                <w:sz w:val="22"/>
                <w:szCs w:val="22"/>
                <w:lang w:val="sr-Cyrl-RS"/>
              </w:rPr>
            </w:pPr>
            <w:r w:rsidRPr="00CF77C1">
              <w:rPr>
                <w:sz w:val="22"/>
                <w:szCs w:val="22"/>
                <w:lang w:val="sr-Cyrl-RS"/>
              </w:rPr>
              <w:t>Валоризовани просечни годишњи ефекти реализације на основу расположиве документације</w:t>
            </w:r>
            <w:r w:rsidR="002727F1" w:rsidRPr="00CF77C1">
              <w:rPr>
                <w:sz w:val="22"/>
                <w:szCs w:val="22"/>
                <w:lang w:val="sr-Cyrl-RS"/>
              </w:rPr>
              <w:t xml:space="preserve"> (вредности су преузете из одговарајућих студија)</w:t>
            </w:r>
          </w:p>
        </w:tc>
      </w:tr>
      <w:tr w:rsidR="00C24610" w:rsidRPr="00CF77C1" w14:paraId="561FE398" w14:textId="77777777" w:rsidTr="00D41B60">
        <w:tc>
          <w:tcPr>
            <w:tcW w:w="2235" w:type="dxa"/>
            <w:shd w:val="clear" w:color="auto" w:fill="auto"/>
            <w:vAlign w:val="center"/>
          </w:tcPr>
          <w:p w14:paraId="137DD1CE" w14:textId="77777777" w:rsidR="002E3868" w:rsidRPr="00CF77C1" w:rsidRDefault="00D05EFF" w:rsidP="0080044B">
            <w:pPr>
              <w:jc w:val="left"/>
              <w:rPr>
                <w:sz w:val="22"/>
                <w:szCs w:val="22"/>
                <w:lang w:val="sr-Cyrl-RS"/>
              </w:rPr>
            </w:pPr>
            <w:r w:rsidRPr="00CF77C1">
              <w:rPr>
                <w:sz w:val="22"/>
                <w:szCs w:val="22"/>
                <w:lang w:val="sr-Cyrl-RS"/>
              </w:rPr>
              <w:t xml:space="preserve">двоструки далековод </w:t>
            </w:r>
            <w:r w:rsidR="00C24610" w:rsidRPr="00CF77C1">
              <w:rPr>
                <w:sz w:val="22"/>
                <w:szCs w:val="22"/>
                <w:lang w:val="sr-Cyrl-RS"/>
              </w:rPr>
              <w:t>400 </w:t>
            </w:r>
            <w:r w:rsidR="002E3868" w:rsidRPr="00CF77C1">
              <w:rPr>
                <w:sz w:val="22"/>
                <w:szCs w:val="22"/>
                <w:lang w:val="sr-Cyrl-RS"/>
              </w:rPr>
              <w:t xml:space="preserve">kV </w:t>
            </w:r>
            <w:r w:rsidR="00C24610" w:rsidRPr="00CF77C1">
              <w:rPr>
                <w:sz w:val="22"/>
                <w:szCs w:val="22"/>
                <w:lang w:val="sr-Cyrl-RS"/>
              </w:rPr>
              <w:t xml:space="preserve">ТС </w:t>
            </w:r>
            <w:r w:rsidR="002E3868" w:rsidRPr="00CF77C1">
              <w:rPr>
                <w:sz w:val="22"/>
                <w:szCs w:val="22"/>
                <w:lang w:val="sr-Cyrl-RS"/>
              </w:rPr>
              <w:t xml:space="preserve">Панчево </w:t>
            </w:r>
            <w:r w:rsidR="00C24610" w:rsidRPr="00CF77C1">
              <w:rPr>
                <w:sz w:val="22"/>
                <w:szCs w:val="22"/>
                <w:lang w:val="sr-Cyrl-RS"/>
              </w:rPr>
              <w:t xml:space="preserve">2 </w:t>
            </w:r>
            <w:r w:rsidR="002E3868" w:rsidRPr="00CF77C1">
              <w:rPr>
                <w:sz w:val="22"/>
                <w:szCs w:val="22"/>
                <w:lang w:val="sr-Cyrl-RS"/>
              </w:rPr>
              <w:t>- Решица - 65 km</w:t>
            </w:r>
          </w:p>
        </w:tc>
        <w:tc>
          <w:tcPr>
            <w:tcW w:w="2693" w:type="dxa"/>
            <w:shd w:val="clear" w:color="auto" w:fill="auto"/>
            <w:vAlign w:val="center"/>
          </w:tcPr>
          <w:p w14:paraId="5CE675DF" w14:textId="2F532840" w:rsidR="002E3868" w:rsidRPr="00CF77C1" w:rsidRDefault="00F1645E" w:rsidP="0080044B">
            <w:pPr>
              <w:jc w:val="left"/>
              <w:rPr>
                <w:sz w:val="22"/>
                <w:szCs w:val="22"/>
                <w:lang w:val="sr-Cyrl-RS"/>
              </w:rPr>
            </w:pPr>
            <w:r w:rsidRPr="00CF77C1">
              <w:rPr>
                <w:sz w:val="22"/>
                <w:szCs w:val="22"/>
                <w:lang w:val="sr-Cyrl-RS"/>
              </w:rPr>
              <w:t>25,</w:t>
            </w:r>
            <w:r w:rsidR="00272C75" w:rsidRPr="00CF77C1">
              <w:rPr>
                <w:sz w:val="22"/>
                <w:szCs w:val="22"/>
                <w:lang w:val="sr-Cyrl-RS"/>
              </w:rPr>
              <w:t>6</w:t>
            </w:r>
            <w:r w:rsidR="002E3868" w:rsidRPr="00CF77C1">
              <w:rPr>
                <w:sz w:val="22"/>
                <w:szCs w:val="22"/>
                <w:lang w:val="sr-Cyrl-RS"/>
              </w:rPr>
              <w:t xml:space="preserve"> милиона </w:t>
            </w:r>
            <w:r w:rsidR="006510C8" w:rsidRPr="00CF77C1">
              <w:rPr>
                <w:sz w:val="22"/>
                <w:szCs w:val="22"/>
                <w:lang w:val="sr-Cyrl-RS"/>
              </w:rPr>
              <w:t>€</w:t>
            </w:r>
          </w:p>
          <w:p w14:paraId="1044C208" w14:textId="6DB72C21" w:rsidR="002E3868" w:rsidRPr="00CF77C1" w:rsidRDefault="002E3868" w:rsidP="00F10D3F">
            <w:pPr>
              <w:jc w:val="left"/>
              <w:rPr>
                <w:sz w:val="22"/>
                <w:szCs w:val="22"/>
                <w:lang w:val="sr-Cyrl-RS"/>
              </w:rPr>
            </w:pPr>
            <w:r w:rsidRPr="00CF77C1">
              <w:rPr>
                <w:sz w:val="22"/>
                <w:szCs w:val="22"/>
                <w:lang w:val="sr-Cyrl-RS"/>
              </w:rPr>
              <w:t xml:space="preserve">(сопствена средства </w:t>
            </w:r>
            <w:r w:rsidR="001741AC" w:rsidRPr="00CF77C1">
              <w:rPr>
                <w:sz w:val="22"/>
                <w:szCs w:val="22"/>
                <w:lang w:val="sr-Cyrl-RS"/>
              </w:rPr>
              <w:t>ЕМС</w:t>
            </w:r>
            <w:r w:rsidRPr="00CF77C1">
              <w:rPr>
                <w:sz w:val="22"/>
                <w:szCs w:val="22"/>
                <w:lang w:val="sr-Cyrl-RS"/>
              </w:rPr>
              <w:t>)</w:t>
            </w:r>
          </w:p>
        </w:tc>
        <w:tc>
          <w:tcPr>
            <w:tcW w:w="3969" w:type="dxa"/>
            <w:vMerge w:val="restart"/>
            <w:shd w:val="clear" w:color="auto" w:fill="auto"/>
            <w:vAlign w:val="center"/>
          </w:tcPr>
          <w:p w14:paraId="38D47477" w14:textId="558E3F4F" w:rsidR="002E3868" w:rsidRPr="00CF77C1" w:rsidRDefault="000662B0" w:rsidP="00F10D3F">
            <w:pPr>
              <w:spacing w:before="0" w:after="0"/>
              <w:jc w:val="left"/>
              <w:rPr>
                <w:sz w:val="22"/>
                <w:szCs w:val="22"/>
                <w:lang w:val="sr-Cyrl-RS"/>
              </w:rPr>
            </w:pPr>
            <w:r w:rsidRPr="00CF77C1">
              <w:rPr>
                <w:sz w:val="22"/>
                <w:szCs w:val="22"/>
                <w:lang w:val="sr-Cyrl-RS"/>
              </w:rPr>
              <w:t>Унапређење укупног и нето преносног капацитета интерконе</w:t>
            </w:r>
            <w:r w:rsidR="00DE11F0">
              <w:rPr>
                <w:sz w:val="22"/>
                <w:szCs w:val="22"/>
                <w:lang w:val="sr-Cyrl-RS"/>
              </w:rPr>
              <w:t>к</w:t>
            </w:r>
            <w:r w:rsidRPr="00CF77C1">
              <w:rPr>
                <w:sz w:val="22"/>
                <w:szCs w:val="22"/>
                <w:lang w:val="sr-Cyrl-RS"/>
              </w:rPr>
              <w:t xml:space="preserve">ције између </w:t>
            </w:r>
            <w:r w:rsidR="00EC16A1" w:rsidRPr="00CF77C1">
              <w:rPr>
                <w:sz w:val="22"/>
                <w:szCs w:val="22"/>
                <w:lang w:val="sr-Cyrl-RS"/>
              </w:rPr>
              <w:t xml:space="preserve">Републике </w:t>
            </w:r>
            <w:r w:rsidRPr="00CF77C1">
              <w:rPr>
                <w:sz w:val="22"/>
                <w:szCs w:val="22"/>
                <w:lang w:val="sr-Cyrl-RS"/>
              </w:rPr>
              <w:t>Србије и Румуније, олакшавање прикључења будућих великих ветро</w:t>
            </w:r>
            <w:r w:rsidR="004D5112" w:rsidRPr="00CF77C1">
              <w:rPr>
                <w:sz w:val="22"/>
                <w:szCs w:val="22"/>
                <w:lang w:val="sr-Cyrl-RS"/>
              </w:rPr>
              <w:t>електрана</w:t>
            </w:r>
            <w:r w:rsidRPr="00CF77C1">
              <w:rPr>
                <w:sz w:val="22"/>
                <w:szCs w:val="22"/>
                <w:lang w:val="sr-Cyrl-RS"/>
              </w:rPr>
              <w:t xml:space="preserve"> на подручју јужног Баната и прикључења будуће ТС 400/110 kV Вршац, превођење преносне мреже у западној Србији на 400 kV кроз постепено преузимање функције преко 500 km 220 kV водова</w:t>
            </w:r>
            <w:r w:rsidR="00C101AE" w:rsidRPr="00CF77C1">
              <w:rPr>
                <w:sz w:val="22"/>
                <w:szCs w:val="22"/>
                <w:lang w:val="sr-Cyrl-RS"/>
              </w:rPr>
              <w:t xml:space="preserve"> у овој зони</w:t>
            </w:r>
            <w:r w:rsidR="00F10D3F" w:rsidRPr="00CF77C1">
              <w:rPr>
                <w:sz w:val="22"/>
                <w:szCs w:val="22"/>
                <w:lang w:val="sr-Cyrl-RS"/>
              </w:rPr>
              <w:t xml:space="preserve"> </w:t>
            </w:r>
            <w:r w:rsidRPr="00CF77C1">
              <w:rPr>
                <w:sz w:val="22"/>
                <w:szCs w:val="22"/>
                <w:lang w:val="sr-Cyrl-RS"/>
              </w:rPr>
              <w:t>чија је старост преко 50 година</w:t>
            </w:r>
            <w:r w:rsidR="00F10D3F" w:rsidRPr="00CF77C1">
              <w:rPr>
                <w:sz w:val="22"/>
                <w:szCs w:val="22"/>
                <w:lang w:val="sr-Cyrl-RS"/>
              </w:rPr>
              <w:t xml:space="preserve"> и предвиђени су за повлачење из употребе</w:t>
            </w:r>
            <w:r w:rsidRPr="00CF77C1">
              <w:rPr>
                <w:sz w:val="22"/>
                <w:szCs w:val="22"/>
                <w:lang w:val="sr-Cyrl-RS"/>
              </w:rPr>
              <w:t xml:space="preserve">, уз смањење губитака, повећање капацитета водова који омогућују пумпни режим РХЕ Бајина Башта, повећање преносног капацитета преносне мреже </w:t>
            </w:r>
            <w:r w:rsidR="00C94D50" w:rsidRPr="00CF77C1">
              <w:rPr>
                <w:sz w:val="22"/>
                <w:szCs w:val="22"/>
                <w:lang w:val="sr-Cyrl-RS"/>
              </w:rPr>
              <w:t xml:space="preserve">у Републици Србији </w:t>
            </w:r>
            <w:r w:rsidRPr="00CF77C1">
              <w:rPr>
                <w:sz w:val="22"/>
                <w:szCs w:val="22"/>
                <w:lang w:val="sr-Cyrl-RS"/>
              </w:rPr>
              <w:t>у правцу исток-запад, и север-југоисток и олакшање пласмана јефтиније електричне енергије из југоисточ</w:t>
            </w:r>
            <w:r w:rsidR="00EC7E28" w:rsidRPr="00CF77C1">
              <w:rPr>
                <w:sz w:val="22"/>
                <w:szCs w:val="22"/>
                <w:lang w:val="sr-Cyrl-RS"/>
              </w:rPr>
              <w:t>н</w:t>
            </w:r>
            <w:r w:rsidRPr="00CF77C1">
              <w:rPr>
                <w:sz w:val="22"/>
                <w:szCs w:val="22"/>
                <w:lang w:val="sr-Cyrl-RS"/>
              </w:rPr>
              <w:t xml:space="preserve">е Европе у Италију чиме се </w:t>
            </w:r>
            <w:r w:rsidR="00C94D50" w:rsidRPr="00CF77C1">
              <w:rPr>
                <w:sz w:val="22"/>
                <w:szCs w:val="22"/>
                <w:lang w:val="sr-Cyrl-RS"/>
              </w:rPr>
              <w:t>у Републици Србији</w:t>
            </w:r>
            <w:r w:rsidR="005B3750" w:rsidRPr="00CF77C1">
              <w:rPr>
                <w:sz w:val="22"/>
                <w:szCs w:val="22"/>
                <w:lang w:val="sr-Cyrl-RS"/>
              </w:rPr>
              <w:t>:</w:t>
            </w:r>
            <w:r w:rsidR="00C94D50" w:rsidRPr="00CF77C1">
              <w:rPr>
                <w:sz w:val="22"/>
                <w:szCs w:val="22"/>
                <w:lang w:val="sr-Cyrl-RS"/>
              </w:rPr>
              <w:t xml:space="preserve"> </w:t>
            </w:r>
            <w:r w:rsidRPr="00CF77C1">
              <w:rPr>
                <w:sz w:val="22"/>
                <w:szCs w:val="22"/>
                <w:lang w:val="sr-Cyrl-RS"/>
              </w:rPr>
              <w:t xml:space="preserve">повећава сигурност напајања </w:t>
            </w:r>
            <w:r w:rsidR="00C94D50" w:rsidRPr="00CF77C1">
              <w:rPr>
                <w:sz w:val="22"/>
                <w:szCs w:val="22"/>
                <w:lang w:val="sr-Cyrl-RS"/>
              </w:rPr>
              <w:t>купаца</w:t>
            </w:r>
            <w:r w:rsidRPr="00CF77C1">
              <w:rPr>
                <w:sz w:val="22"/>
                <w:szCs w:val="22"/>
                <w:lang w:val="sr-Cyrl-RS"/>
              </w:rPr>
              <w:t xml:space="preserve"> електричном енергијом, омогућава прикључење обновљивих извора електричне енергије и обезбеђује боља интеграција тржишта електричне енергије, а </w:t>
            </w:r>
            <w:r w:rsidR="00C94D50" w:rsidRPr="00CF77C1">
              <w:rPr>
                <w:sz w:val="22"/>
                <w:szCs w:val="22"/>
                <w:lang w:val="sr-Cyrl-RS"/>
              </w:rPr>
              <w:t>обезбедиће се и услови за прикључење</w:t>
            </w:r>
            <w:r w:rsidRPr="00CF77C1">
              <w:rPr>
                <w:sz w:val="22"/>
                <w:szCs w:val="22"/>
                <w:lang w:val="sr-Cyrl-RS"/>
              </w:rPr>
              <w:t xml:space="preserve"> будуће РХЕ Бистрица на 400 kV мрежу.</w:t>
            </w:r>
          </w:p>
        </w:tc>
        <w:tc>
          <w:tcPr>
            <w:tcW w:w="5890" w:type="dxa"/>
            <w:shd w:val="clear" w:color="auto" w:fill="auto"/>
            <w:vAlign w:val="center"/>
          </w:tcPr>
          <w:p w14:paraId="4984BE9D" w14:textId="77777777" w:rsidR="002E3868" w:rsidRPr="00CF77C1" w:rsidRDefault="00F1645E" w:rsidP="0080044B">
            <w:pPr>
              <w:spacing w:before="20" w:after="20"/>
              <w:jc w:val="left"/>
              <w:rPr>
                <w:sz w:val="22"/>
                <w:szCs w:val="22"/>
                <w:lang w:val="sr-Cyrl-RS"/>
              </w:rPr>
            </w:pPr>
            <w:r w:rsidRPr="00CF77C1">
              <w:rPr>
                <w:sz w:val="22"/>
                <w:szCs w:val="22"/>
                <w:lang w:val="sr-Cyrl-RS"/>
              </w:rPr>
              <w:t>5,</w:t>
            </w:r>
            <w:r w:rsidR="002E3868" w:rsidRPr="00CF77C1">
              <w:rPr>
                <w:sz w:val="22"/>
                <w:szCs w:val="22"/>
                <w:lang w:val="sr-Cyrl-RS"/>
              </w:rPr>
              <w:t xml:space="preserve">1 милиона </w:t>
            </w:r>
            <w:r w:rsidR="006510C8" w:rsidRPr="00CF77C1">
              <w:rPr>
                <w:sz w:val="22"/>
                <w:szCs w:val="22"/>
                <w:lang w:val="sr-Cyrl-RS"/>
              </w:rPr>
              <w:t>€</w:t>
            </w:r>
            <w:r w:rsidR="003F43C8" w:rsidRPr="00CF77C1">
              <w:rPr>
                <w:sz w:val="22"/>
                <w:szCs w:val="22"/>
                <w:lang w:val="sr-Cyrl-RS"/>
              </w:rPr>
              <w:t xml:space="preserve"> (смањење губитака 0,</w:t>
            </w:r>
            <w:r w:rsidR="002E3868" w:rsidRPr="00CF77C1">
              <w:rPr>
                <w:sz w:val="22"/>
                <w:szCs w:val="22"/>
                <w:lang w:val="sr-Cyrl-RS"/>
              </w:rPr>
              <w:t xml:space="preserve">6 милиона </w:t>
            </w:r>
            <w:r w:rsidR="006510C8" w:rsidRPr="00CF77C1">
              <w:rPr>
                <w:sz w:val="22"/>
                <w:szCs w:val="22"/>
                <w:lang w:val="sr-Cyrl-RS"/>
              </w:rPr>
              <w:t>€</w:t>
            </w:r>
            <w:r w:rsidR="002E3868" w:rsidRPr="00CF77C1">
              <w:rPr>
                <w:sz w:val="22"/>
                <w:szCs w:val="22"/>
                <w:lang w:val="sr-Cyrl-RS"/>
              </w:rPr>
              <w:t xml:space="preserve"> и повећање преносног капа</w:t>
            </w:r>
            <w:r w:rsidR="003F43C8" w:rsidRPr="00CF77C1">
              <w:rPr>
                <w:sz w:val="22"/>
                <w:szCs w:val="22"/>
                <w:lang w:val="sr-Cyrl-RS"/>
              </w:rPr>
              <w:t>цитета 4,</w:t>
            </w:r>
            <w:r w:rsidR="002E3868" w:rsidRPr="00CF77C1">
              <w:rPr>
                <w:sz w:val="22"/>
                <w:szCs w:val="22"/>
                <w:lang w:val="sr-Cyrl-RS"/>
              </w:rPr>
              <w:t xml:space="preserve">5 милиона </w:t>
            </w:r>
            <w:r w:rsidR="006510C8" w:rsidRPr="00CF77C1">
              <w:rPr>
                <w:sz w:val="22"/>
                <w:szCs w:val="22"/>
                <w:lang w:val="sr-Cyrl-RS"/>
              </w:rPr>
              <w:t>€</w:t>
            </w:r>
            <w:r w:rsidR="002E3868" w:rsidRPr="00CF77C1">
              <w:rPr>
                <w:sz w:val="22"/>
                <w:szCs w:val="22"/>
                <w:lang w:val="sr-Cyrl-RS"/>
              </w:rPr>
              <w:t>)</w:t>
            </w:r>
            <w:r w:rsidR="002C16FB" w:rsidRPr="00CF77C1">
              <w:rPr>
                <w:sz w:val="22"/>
                <w:szCs w:val="22"/>
                <w:lang w:val="sr-Cyrl-RS"/>
              </w:rPr>
              <w:t>;</w:t>
            </w:r>
          </w:p>
          <w:p w14:paraId="04916E85" w14:textId="77777777" w:rsidR="002E3868" w:rsidRPr="00CF77C1" w:rsidRDefault="006510C8" w:rsidP="0080044B">
            <w:pPr>
              <w:spacing w:before="20" w:after="20"/>
              <w:jc w:val="left"/>
              <w:rPr>
                <w:sz w:val="22"/>
                <w:szCs w:val="22"/>
                <w:lang w:val="sr-Cyrl-RS"/>
              </w:rPr>
            </w:pPr>
            <w:r w:rsidRPr="00CF77C1">
              <w:rPr>
                <w:sz w:val="22"/>
                <w:szCs w:val="22"/>
                <w:lang w:val="sr-Cyrl-RS"/>
              </w:rPr>
              <w:t>С</w:t>
            </w:r>
            <w:r w:rsidR="003F43C8" w:rsidRPr="00CF77C1">
              <w:rPr>
                <w:sz w:val="22"/>
                <w:szCs w:val="22"/>
                <w:lang w:val="sr-Cyrl-RS"/>
              </w:rPr>
              <w:t>мањење губитака: 13,</w:t>
            </w:r>
            <w:r w:rsidR="002E3868" w:rsidRPr="00CF77C1">
              <w:rPr>
                <w:sz w:val="22"/>
                <w:szCs w:val="22"/>
                <w:lang w:val="sr-Cyrl-RS"/>
              </w:rPr>
              <w:t>3 GWh</w:t>
            </w:r>
            <w:r w:rsidR="00C24610" w:rsidRPr="00CF77C1">
              <w:rPr>
                <w:sz w:val="22"/>
                <w:szCs w:val="22"/>
                <w:lang w:val="sr-Cyrl-RS"/>
              </w:rPr>
              <w:t xml:space="preserve"> </w:t>
            </w:r>
            <w:r w:rsidRPr="00CF77C1">
              <w:rPr>
                <w:sz w:val="22"/>
                <w:szCs w:val="22"/>
                <w:lang w:val="sr-Cyrl-RS"/>
              </w:rPr>
              <w:t xml:space="preserve">годишње </w:t>
            </w:r>
            <w:r w:rsidR="00C24610" w:rsidRPr="00CF77C1">
              <w:rPr>
                <w:sz w:val="22"/>
                <w:szCs w:val="22"/>
                <w:lang w:val="sr-Cyrl-RS"/>
              </w:rPr>
              <w:t>(око 1,4% у одн</w:t>
            </w:r>
            <w:r w:rsidRPr="00CF77C1">
              <w:rPr>
                <w:sz w:val="22"/>
                <w:szCs w:val="22"/>
                <w:lang w:val="sr-Cyrl-RS"/>
              </w:rPr>
              <w:t>осу на садашњу вредност губитака у преносном систему</w:t>
            </w:r>
            <w:r w:rsidR="00C24610" w:rsidRPr="00CF77C1">
              <w:rPr>
                <w:sz w:val="22"/>
                <w:szCs w:val="22"/>
                <w:lang w:val="sr-Cyrl-RS"/>
              </w:rPr>
              <w:t>)</w:t>
            </w:r>
            <w:r w:rsidR="002E3868" w:rsidRPr="00CF77C1">
              <w:rPr>
                <w:sz w:val="22"/>
                <w:szCs w:val="22"/>
                <w:lang w:val="sr-Cyrl-RS"/>
              </w:rPr>
              <w:t>;</w:t>
            </w:r>
          </w:p>
          <w:p w14:paraId="5A49A3DB" w14:textId="77777777" w:rsidR="002E3868" w:rsidRPr="00CF77C1" w:rsidRDefault="002E3868" w:rsidP="0080044B">
            <w:pPr>
              <w:spacing w:before="20" w:after="20"/>
              <w:jc w:val="left"/>
              <w:rPr>
                <w:sz w:val="22"/>
                <w:szCs w:val="22"/>
                <w:lang w:val="sr-Cyrl-RS"/>
              </w:rPr>
            </w:pPr>
            <w:r w:rsidRPr="00CF77C1">
              <w:rPr>
                <w:sz w:val="22"/>
                <w:szCs w:val="22"/>
                <w:lang w:val="sr-Cyrl-RS"/>
              </w:rPr>
              <w:t>Смањење емисије CO</w:t>
            </w:r>
            <w:r w:rsidRPr="00CF77C1">
              <w:rPr>
                <w:sz w:val="22"/>
                <w:szCs w:val="22"/>
                <w:vertAlign w:val="subscript"/>
                <w:lang w:val="sr-Cyrl-RS"/>
              </w:rPr>
              <w:t>2</w:t>
            </w:r>
            <w:r w:rsidR="00EC7E28" w:rsidRPr="00CF77C1">
              <w:rPr>
                <w:sz w:val="22"/>
                <w:szCs w:val="22"/>
                <w:lang w:val="sr-Cyrl-RS"/>
              </w:rPr>
              <w:t xml:space="preserve"> ≈ 11000 t годишње (процена).</w:t>
            </w:r>
          </w:p>
        </w:tc>
      </w:tr>
      <w:tr w:rsidR="00C24610" w:rsidRPr="00CF77C1" w14:paraId="24BB382A" w14:textId="77777777" w:rsidTr="00D41B60">
        <w:tc>
          <w:tcPr>
            <w:tcW w:w="2235" w:type="dxa"/>
            <w:shd w:val="clear" w:color="auto" w:fill="auto"/>
            <w:vAlign w:val="center"/>
          </w:tcPr>
          <w:p w14:paraId="206B32A9" w14:textId="77777777" w:rsidR="000662B0" w:rsidRPr="00CF77C1" w:rsidRDefault="00996434" w:rsidP="0080044B">
            <w:pPr>
              <w:jc w:val="left"/>
              <w:rPr>
                <w:sz w:val="22"/>
                <w:szCs w:val="22"/>
                <w:lang w:val="sr-Cyrl-RS"/>
              </w:rPr>
            </w:pPr>
            <w:r w:rsidRPr="00CF77C1">
              <w:rPr>
                <w:sz w:val="22"/>
                <w:szCs w:val="22"/>
                <w:lang w:val="sr-Cyrl-RS"/>
              </w:rPr>
              <w:t>далеко</w:t>
            </w:r>
            <w:r w:rsidR="00D05EFF" w:rsidRPr="00CF77C1">
              <w:rPr>
                <w:sz w:val="22"/>
                <w:szCs w:val="22"/>
                <w:lang w:val="sr-Cyrl-RS"/>
              </w:rPr>
              <w:t xml:space="preserve">вод </w:t>
            </w:r>
            <w:r w:rsidR="000662B0" w:rsidRPr="00CF77C1">
              <w:rPr>
                <w:sz w:val="22"/>
                <w:szCs w:val="22"/>
                <w:lang w:val="sr-Cyrl-RS"/>
              </w:rPr>
              <w:t xml:space="preserve">400 kV </w:t>
            </w:r>
            <w:r w:rsidRPr="00CF77C1">
              <w:rPr>
                <w:sz w:val="22"/>
                <w:szCs w:val="22"/>
                <w:lang w:val="sr-Cyrl-RS"/>
              </w:rPr>
              <w:t>ТС </w:t>
            </w:r>
            <w:r w:rsidR="00EA6189" w:rsidRPr="00CF77C1">
              <w:rPr>
                <w:sz w:val="22"/>
                <w:szCs w:val="22"/>
                <w:lang w:val="sr-Cyrl-RS"/>
              </w:rPr>
              <w:t>Крагујевац</w:t>
            </w:r>
            <w:r w:rsidR="000662B0" w:rsidRPr="00CF77C1">
              <w:rPr>
                <w:sz w:val="22"/>
                <w:szCs w:val="22"/>
                <w:lang w:val="sr-Cyrl-RS"/>
              </w:rPr>
              <w:t xml:space="preserve"> </w:t>
            </w:r>
            <w:r w:rsidR="00D05EFF" w:rsidRPr="00CF77C1">
              <w:rPr>
                <w:sz w:val="22"/>
                <w:szCs w:val="22"/>
                <w:lang w:val="sr-Cyrl-RS"/>
              </w:rPr>
              <w:t xml:space="preserve">2 </w:t>
            </w:r>
            <w:r w:rsidR="000662B0" w:rsidRPr="00CF77C1">
              <w:rPr>
                <w:sz w:val="22"/>
                <w:szCs w:val="22"/>
                <w:lang w:val="sr-Cyrl-RS"/>
              </w:rPr>
              <w:t xml:space="preserve">- </w:t>
            </w:r>
            <w:r w:rsidRPr="00CF77C1">
              <w:rPr>
                <w:sz w:val="22"/>
                <w:szCs w:val="22"/>
                <w:lang w:val="sr-Cyrl-RS"/>
              </w:rPr>
              <w:t>ТС </w:t>
            </w:r>
            <w:r w:rsidR="000662B0" w:rsidRPr="00CF77C1">
              <w:rPr>
                <w:sz w:val="22"/>
                <w:szCs w:val="22"/>
                <w:lang w:val="sr-Cyrl-RS"/>
              </w:rPr>
              <w:t xml:space="preserve">Краљево </w:t>
            </w:r>
            <w:r w:rsidR="00D05EFF" w:rsidRPr="00CF77C1">
              <w:rPr>
                <w:sz w:val="22"/>
                <w:szCs w:val="22"/>
                <w:lang w:val="sr-Cyrl-RS"/>
              </w:rPr>
              <w:t xml:space="preserve">3 </w:t>
            </w:r>
            <w:r w:rsidR="000662B0" w:rsidRPr="00CF77C1">
              <w:rPr>
                <w:sz w:val="22"/>
                <w:szCs w:val="22"/>
                <w:lang w:val="sr-Cyrl-RS"/>
              </w:rPr>
              <w:t>- 60 km</w:t>
            </w:r>
          </w:p>
        </w:tc>
        <w:tc>
          <w:tcPr>
            <w:tcW w:w="2693" w:type="dxa"/>
            <w:shd w:val="clear" w:color="auto" w:fill="auto"/>
            <w:vAlign w:val="center"/>
          </w:tcPr>
          <w:p w14:paraId="4B833B36" w14:textId="34F47C49" w:rsidR="000662B0" w:rsidRPr="00CF77C1" w:rsidRDefault="000662B0" w:rsidP="0080044B">
            <w:pPr>
              <w:jc w:val="left"/>
              <w:rPr>
                <w:sz w:val="22"/>
                <w:szCs w:val="22"/>
                <w:lang w:val="sr-Cyrl-RS"/>
              </w:rPr>
            </w:pPr>
            <w:r w:rsidRPr="00CF77C1">
              <w:rPr>
                <w:sz w:val="22"/>
                <w:szCs w:val="22"/>
                <w:lang w:val="sr-Cyrl-RS"/>
              </w:rPr>
              <w:t>2</w:t>
            </w:r>
            <w:r w:rsidR="00272C75" w:rsidRPr="00CF77C1">
              <w:rPr>
                <w:sz w:val="22"/>
                <w:szCs w:val="22"/>
                <w:lang w:val="sr-Cyrl-RS"/>
              </w:rPr>
              <w:t>9,6</w:t>
            </w:r>
            <w:r w:rsidRPr="00CF77C1">
              <w:rPr>
                <w:sz w:val="22"/>
                <w:szCs w:val="22"/>
                <w:lang w:val="sr-Cyrl-RS"/>
              </w:rPr>
              <w:t xml:space="preserve"> милиона </w:t>
            </w:r>
            <w:r w:rsidR="006510C8" w:rsidRPr="00CF77C1">
              <w:rPr>
                <w:sz w:val="22"/>
                <w:szCs w:val="22"/>
                <w:lang w:val="sr-Cyrl-RS"/>
              </w:rPr>
              <w:t>€</w:t>
            </w:r>
          </w:p>
          <w:p w14:paraId="04835AD7" w14:textId="49C9C0D0" w:rsidR="000662B0" w:rsidRPr="00CF77C1" w:rsidRDefault="000662B0" w:rsidP="00272C75">
            <w:pPr>
              <w:jc w:val="left"/>
              <w:rPr>
                <w:sz w:val="22"/>
                <w:szCs w:val="22"/>
                <w:lang w:val="sr-Cyrl-RS"/>
              </w:rPr>
            </w:pPr>
            <w:r w:rsidRPr="00CF77C1">
              <w:rPr>
                <w:sz w:val="22"/>
                <w:szCs w:val="22"/>
                <w:lang w:val="sr-Cyrl-RS"/>
              </w:rPr>
              <w:t xml:space="preserve">(од </w:t>
            </w:r>
            <w:r w:rsidR="00F1645E" w:rsidRPr="00CF77C1">
              <w:rPr>
                <w:sz w:val="22"/>
                <w:szCs w:val="22"/>
                <w:lang w:val="sr-Cyrl-RS"/>
              </w:rPr>
              <w:t xml:space="preserve">тога: </w:t>
            </w:r>
            <w:r w:rsidR="00272C75" w:rsidRPr="00CF77C1">
              <w:rPr>
                <w:sz w:val="22"/>
                <w:szCs w:val="22"/>
                <w:lang w:val="sr-Cyrl-RS"/>
              </w:rPr>
              <w:t>8</w:t>
            </w:r>
            <w:r w:rsidR="00EA6189" w:rsidRPr="00CF77C1">
              <w:rPr>
                <w:sz w:val="22"/>
                <w:szCs w:val="22"/>
                <w:lang w:val="sr-Cyrl-RS"/>
              </w:rPr>
              <w:t xml:space="preserve"> </w:t>
            </w:r>
            <w:r w:rsidRPr="00CF77C1">
              <w:rPr>
                <w:sz w:val="22"/>
                <w:szCs w:val="22"/>
                <w:lang w:val="sr-Cyrl-RS"/>
              </w:rPr>
              <w:t xml:space="preserve">милиона </w:t>
            </w:r>
            <w:r w:rsidR="006510C8" w:rsidRPr="00CF77C1">
              <w:rPr>
                <w:sz w:val="22"/>
                <w:szCs w:val="22"/>
                <w:lang w:val="sr-Cyrl-RS"/>
              </w:rPr>
              <w:t>€</w:t>
            </w:r>
            <w:r w:rsidRPr="00CF77C1">
              <w:rPr>
                <w:sz w:val="22"/>
                <w:szCs w:val="22"/>
                <w:lang w:val="sr-Cyrl-RS"/>
              </w:rPr>
              <w:t xml:space="preserve"> сопствена средства </w:t>
            </w:r>
            <w:r w:rsidR="001741AC" w:rsidRPr="00CF77C1">
              <w:rPr>
                <w:sz w:val="22"/>
                <w:szCs w:val="22"/>
                <w:lang w:val="sr-Cyrl-RS"/>
              </w:rPr>
              <w:t>ЕМС</w:t>
            </w:r>
            <w:r w:rsidR="00F1645E" w:rsidRPr="00CF77C1">
              <w:rPr>
                <w:sz w:val="22"/>
                <w:szCs w:val="22"/>
                <w:lang w:val="sr-Cyrl-RS"/>
              </w:rPr>
              <w:t>, 6,</w:t>
            </w:r>
            <w:r w:rsidRPr="00CF77C1">
              <w:rPr>
                <w:sz w:val="22"/>
                <w:szCs w:val="22"/>
                <w:lang w:val="sr-Cyrl-RS"/>
              </w:rPr>
              <w:t xml:space="preserve">6 милиона </w:t>
            </w:r>
            <w:r w:rsidR="006510C8" w:rsidRPr="00CF77C1">
              <w:rPr>
                <w:sz w:val="22"/>
                <w:szCs w:val="22"/>
                <w:lang w:val="sr-Cyrl-RS"/>
              </w:rPr>
              <w:t>€</w:t>
            </w:r>
            <w:r w:rsidRPr="00CF77C1">
              <w:rPr>
                <w:sz w:val="22"/>
                <w:szCs w:val="22"/>
                <w:lang w:val="sr-Cyrl-RS"/>
              </w:rPr>
              <w:t xml:space="preserve"> донација преко WBIF,</w:t>
            </w:r>
            <w:r w:rsidR="002C16FB" w:rsidRPr="00CF77C1">
              <w:rPr>
                <w:sz w:val="22"/>
                <w:szCs w:val="22"/>
                <w:lang w:val="sr-Cyrl-RS"/>
              </w:rPr>
              <w:t xml:space="preserve"> </w:t>
            </w:r>
            <w:r w:rsidRPr="00CF77C1">
              <w:rPr>
                <w:sz w:val="22"/>
                <w:szCs w:val="22"/>
                <w:lang w:val="sr-Cyrl-RS"/>
              </w:rPr>
              <w:t xml:space="preserve">15 милиона </w:t>
            </w:r>
            <w:r w:rsidR="006510C8" w:rsidRPr="00CF77C1">
              <w:rPr>
                <w:sz w:val="22"/>
                <w:szCs w:val="22"/>
                <w:lang w:val="sr-Cyrl-RS"/>
              </w:rPr>
              <w:t>€</w:t>
            </w:r>
            <w:r w:rsidRPr="00CF77C1">
              <w:rPr>
                <w:sz w:val="22"/>
                <w:szCs w:val="22"/>
                <w:lang w:val="sr-Cyrl-RS"/>
              </w:rPr>
              <w:t xml:space="preserve"> кредит KfW)</w:t>
            </w:r>
          </w:p>
        </w:tc>
        <w:tc>
          <w:tcPr>
            <w:tcW w:w="3969" w:type="dxa"/>
            <w:vMerge/>
            <w:shd w:val="clear" w:color="auto" w:fill="auto"/>
            <w:vAlign w:val="center"/>
          </w:tcPr>
          <w:p w14:paraId="3E40A3E0" w14:textId="77777777" w:rsidR="000662B0" w:rsidRPr="00CF77C1" w:rsidRDefault="000662B0" w:rsidP="0080044B">
            <w:pPr>
              <w:jc w:val="left"/>
              <w:rPr>
                <w:sz w:val="22"/>
                <w:szCs w:val="22"/>
                <w:lang w:val="sr-Cyrl-RS"/>
              </w:rPr>
            </w:pPr>
          </w:p>
        </w:tc>
        <w:tc>
          <w:tcPr>
            <w:tcW w:w="5890" w:type="dxa"/>
            <w:shd w:val="clear" w:color="auto" w:fill="auto"/>
            <w:vAlign w:val="center"/>
          </w:tcPr>
          <w:p w14:paraId="50DBA3F0" w14:textId="77777777" w:rsidR="000662B0" w:rsidRPr="00CF77C1" w:rsidRDefault="003F43C8" w:rsidP="0080044B">
            <w:pPr>
              <w:spacing w:before="20" w:after="20"/>
              <w:jc w:val="left"/>
              <w:rPr>
                <w:sz w:val="22"/>
                <w:szCs w:val="22"/>
                <w:lang w:val="sr-Cyrl-RS"/>
              </w:rPr>
            </w:pPr>
            <w:r w:rsidRPr="00CF77C1">
              <w:rPr>
                <w:sz w:val="22"/>
                <w:szCs w:val="22"/>
                <w:lang w:val="sr-Cyrl-RS"/>
              </w:rPr>
              <w:t>0,</w:t>
            </w:r>
            <w:r w:rsidR="000662B0" w:rsidRPr="00CF77C1">
              <w:rPr>
                <w:sz w:val="22"/>
                <w:szCs w:val="22"/>
                <w:lang w:val="sr-Cyrl-RS"/>
              </w:rPr>
              <w:t xml:space="preserve">38 милиона </w:t>
            </w:r>
            <w:r w:rsidR="006510C8" w:rsidRPr="00CF77C1">
              <w:rPr>
                <w:sz w:val="22"/>
                <w:szCs w:val="22"/>
                <w:lang w:val="sr-Cyrl-RS"/>
              </w:rPr>
              <w:t>€</w:t>
            </w:r>
            <w:r w:rsidR="000662B0" w:rsidRPr="00CF77C1">
              <w:rPr>
                <w:sz w:val="22"/>
                <w:szCs w:val="22"/>
                <w:lang w:val="sr-Cyrl-RS"/>
              </w:rPr>
              <w:t xml:space="preserve"> (смањење губитака)</w:t>
            </w:r>
            <w:r w:rsidR="002C16FB" w:rsidRPr="00CF77C1">
              <w:rPr>
                <w:sz w:val="22"/>
                <w:szCs w:val="22"/>
                <w:lang w:val="sr-Cyrl-RS"/>
              </w:rPr>
              <w:t>;</w:t>
            </w:r>
          </w:p>
          <w:p w14:paraId="152D06AE" w14:textId="77777777" w:rsidR="000662B0" w:rsidRPr="00CF77C1" w:rsidRDefault="006510C8" w:rsidP="0080044B">
            <w:pPr>
              <w:spacing w:before="20" w:after="20"/>
              <w:jc w:val="left"/>
              <w:rPr>
                <w:sz w:val="22"/>
                <w:szCs w:val="22"/>
                <w:lang w:val="sr-Cyrl-RS"/>
              </w:rPr>
            </w:pPr>
            <w:r w:rsidRPr="00CF77C1">
              <w:rPr>
                <w:sz w:val="22"/>
                <w:szCs w:val="22"/>
                <w:lang w:val="sr-Cyrl-RS"/>
              </w:rPr>
              <w:t>С</w:t>
            </w:r>
            <w:r w:rsidR="000662B0" w:rsidRPr="00CF77C1">
              <w:rPr>
                <w:sz w:val="22"/>
                <w:szCs w:val="22"/>
                <w:lang w:val="sr-Cyrl-RS"/>
              </w:rPr>
              <w:t>мањење губитака: 7 GWh</w:t>
            </w:r>
            <w:r w:rsidR="00C24610" w:rsidRPr="00CF77C1">
              <w:rPr>
                <w:sz w:val="22"/>
                <w:szCs w:val="22"/>
                <w:lang w:val="sr-Cyrl-RS"/>
              </w:rPr>
              <w:t xml:space="preserve"> </w:t>
            </w:r>
            <w:r w:rsidRPr="00CF77C1">
              <w:rPr>
                <w:sz w:val="22"/>
                <w:szCs w:val="22"/>
                <w:lang w:val="sr-Cyrl-RS"/>
              </w:rPr>
              <w:t xml:space="preserve">годишње </w:t>
            </w:r>
            <w:r w:rsidR="00C24610" w:rsidRPr="00CF77C1">
              <w:rPr>
                <w:sz w:val="22"/>
                <w:szCs w:val="22"/>
                <w:lang w:val="sr-Cyrl-RS"/>
              </w:rPr>
              <w:t>(око 0,8% у односу на садашњу вредност губитака</w:t>
            </w:r>
            <w:r w:rsidRPr="00CF77C1">
              <w:rPr>
                <w:sz w:val="22"/>
                <w:szCs w:val="22"/>
                <w:lang w:val="sr-Cyrl-RS"/>
              </w:rPr>
              <w:t xml:space="preserve"> у преносном систему</w:t>
            </w:r>
            <w:r w:rsidR="00C24610" w:rsidRPr="00CF77C1">
              <w:rPr>
                <w:sz w:val="22"/>
                <w:szCs w:val="22"/>
                <w:lang w:val="sr-Cyrl-RS"/>
              </w:rPr>
              <w:t>)</w:t>
            </w:r>
            <w:r w:rsidR="000662B0" w:rsidRPr="00CF77C1">
              <w:rPr>
                <w:sz w:val="22"/>
                <w:szCs w:val="22"/>
                <w:lang w:val="sr-Cyrl-RS"/>
              </w:rPr>
              <w:t>;</w:t>
            </w:r>
          </w:p>
          <w:p w14:paraId="7B66088A" w14:textId="77777777" w:rsidR="000662B0" w:rsidRPr="00CF77C1" w:rsidRDefault="000662B0" w:rsidP="0080044B">
            <w:pPr>
              <w:spacing w:before="20" w:after="20"/>
              <w:jc w:val="left"/>
              <w:rPr>
                <w:sz w:val="22"/>
                <w:szCs w:val="22"/>
                <w:lang w:val="sr-Cyrl-RS"/>
              </w:rPr>
            </w:pPr>
            <w:r w:rsidRPr="00CF77C1">
              <w:rPr>
                <w:sz w:val="22"/>
                <w:szCs w:val="22"/>
                <w:lang w:val="sr-Cyrl-RS"/>
              </w:rPr>
              <w:t>Смањење емисије CO</w:t>
            </w:r>
            <w:r w:rsidRPr="00CF77C1">
              <w:rPr>
                <w:sz w:val="22"/>
                <w:szCs w:val="22"/>
                <w:vertAlign w:val="subscript"/>
                <w:lang w:val="sr-Cyrl-RS"/>
              </w:rPr>
              <w:t>2</w:t>
            </w:r>
            <w:r w:rsidR="00EC7E28" w:rsidRPr="00CF77C1">
              <w:rPr>
                <w:sz w:val="22"/>
                <w:szCs w:val="22"/>
                <w:lang w:val="sr-Cyrl-RS"/>
              </w:rPr>
              <w:t xml:space="preserve"> ≈ 4077 t годишње (процена).</w:t>
            </w:r>
          </w:p>
          <w:p w14:paraId="14629357" w14:textId="77777777" w:rsidR="000662B0" w:rsidRPr="00CF77C1" w:rsidRDefault="000662B0" w:rsidP="0080044B">
            <w:pPr>
              <w:spacing w:before="20" w:after="20"/>
              <w:jc w:val="left"/>
              <w:rPr>
                <w:sz w:val="22"/>
                <w:szCs w:val="22"/>
                <w:lang w:val="sr-Cyrl-RS"/>
              </w:rPr>
            </w:pPr>
          </w:p>
        </w:tc>
      </w:tr>
      <w:tr w:rsidR="00D41B60" w:rsidRPr="00CF77C1" w14:paraId="090DCF66" w14:textId="77777777" w:rsidTr="00D41B60">
        <w:tc>
          <w:tcPr>
            <w:tcW w:w="2235" w:type="dxa"/>
            <w:shd w:val="clear" w:color="auto" w:fill="auto"/>
            <w:vAlign w:val="center"/>
          </w:tcPr>
          <w:p w14:paraId="3D6668A4" w14:textId="77777777" w:rsidR="00D41B60" w:rsidRPr="00CF77C1" w:rsidRDefault="00D41B60" w:rsidP="0080044B">
            <w:pPr>
              <w:jc w:val="left"/>
              <w:rPr>
                <w:sz w:val="22"/>
                <w:szCs w:val="22"/>
                <w:lang w:val="sr-Cyrl-RS"/>
              </w:rPr>
            </w:pPr>
            <w:r w:rsidRPr="00CF77C1">
              <w:rPr>
                <w:sz w:val="22"/>
                <w:szCs w:val="22"/>
                <w:lang w:val="sr-Cyrl-RS"/>
              </w:rPr>
              <w:t>двоструки далековод 400 kV ТС Обреновац - ТС Бајина Башта - 111 km</w:t>
            </w:r>
          </w:p>
        </w:tc>
        <w:tc>
          <w:tcPr>
            <w:tcW w:w="2693" w:type="dxa"/>
            <w:shd w:val="clear" w:color="auto" w:fill="auto"/>
            <w:vAlign w:val="center"/>
          </w:tcPr>
          <w:p w14:paraId="5180148F" w14:textId="09B9C781" w:rsidR="00D41B60" w:rsidRPr="00CF77C1" w:rsidRDefault="00DE55ED" w:rsidP="00A8674F">
            <w:pPr>
              <w:jc w:val="left"/>
              <w:rPr>
                <w:sz w:val="22"/>
                <w:szCs w:val="22"/>
                <w:lang w:val="sr-Cyrl-RS"/>
              </w:rPr>
            </w:pPr>
            <w:r w:rsidRPr="00CF77C1">
              <w:rPr>
                <w:sz w:val="22"/>
                <w:szCs w:val="22"/>
                <w:lang w:val="sr-Cyrl-RS"/>
              </w:rPr>
              <w:t>66,75</w:t>
            </w:r>
            <w:r w:rsidR="00D41B60" w:rsidRPr="00CF77C1">
              <w:rPr>
                <w:sz w:val="22"/>
                <w:szCs w:val="22"/>
                <w:lang w:val="sr-Cyrl-RS"/>
              </w:rPr>
              <w:t xml:space="preserve"> милиона €</w:t>
            </w:r>
          </w:p>
          <w:p w14:paraId="6F384E59" w14:textId="39A1898B" w:rsidR="00D41B60" w:rsidRPr="00CF77C1" w:rsidRDefault="00D41B60" w:rsidP="0080044B">
            <w:pPr>
              <w:jc w:val="left"/>
              <w:rPr>
                <w:sz w:val="22"/>
                <w:szCs w:val="22"/>
                <w:lang w:val="sr-Cyrl-RS"/>
              </w:rPr>
            </w:pPr>
            <w:r w:rsidRPr="00CF77C1">
              <w:rPr>
                <w:sz w:val="22"/>
                <w:szCs w:val="22"/>
                <w:lang w:val="sr-Cyrl-RS"/>
              </w:rPr>
              <w:t>(аплицирано за 26% из претприступних ЕУ фондова, преостали износ би се обезбедио већим делом из кредитне линије (64%) и мањим делом из сопствених средстава (10%))</w:t>
            </w:r>
          </w:p>
        </w:tc>
        <w:tc>
          <w:tcPr>
            <w:tcW w:w="3969" w:type="dxa"/>
            <w:vMerge/>
            <w:shd w:val="clear" w:color="auto" w:fill="auto"/>
            <w:vAlign w:val="center"/>
          </w:tcPr>
          <w:p w14:paraId="5E22ADBB" w14:textId="77777777" w:rsidR="00D41B60" w:rsidRPr="00CF77C1" w:rsidRDefault="00D41B60" w:rsidP="0080044B">
            <w:pPr>
              <w:jc w:val="left"/>
              <w:rPr>
                <w:sz w:val="22"/>
                <w:szCs w:val="22"/>
                <w:lang w:val="sr-Cyrl-RS"/>
              </w:rPr>
            </w:pPr>
          </w:p>
        </w:tc>
        <w:tc>
          <w:tcPr>
            <w:tcW w:w="5890" w:type="dxa"/>
            <w:shd w:val="clear" w:color="auto" w:fill="auto"/>
            <w:vAlign w:val="center"/>
          </w:tcPr>
          <w:p w14:paraId="736FD372" w14:textId="77777777" w:rsidR="00D41B60" w:rsidRPr="00CF77C1" w:rsidRDefault="00D41B60" w:rsidP="0080044B">
            <w:pPr>
              <w:spacing w:before="20" w:after="20"/>
              <w:jc w:val="left"/>
              <w:rPr>
                <w:sz w:val="22"/>
                <w:szCs w:val="22"/>
                <w:lang w:val="sr-Cyrl-RS"/>
              </w:rPr>
            </w:pPr>
            <w:r w:rsidRPr="00CF77C1">
              <w:rPr>
                <w:sz w:val="22"/>
                <w:szCs w:val="22"/>
                <w:lang w:val="sr-Cyrl-RS"/>
              </w:rPr>
              <w:t>9,8 милиона € (смањење губитака 7,8 милиона €, смањење емисије CO</w:t>
            </w:r>
            <w:r w:rsidRPr="00CF77C1">
              <w:rPr>
                <w:sz w:val="22"/>
                <w:szCs w:val="22"/>
                <w:vertAlign w:val="subscript"/>
                <w:lang w:val="sr-Cyrl-RS"/>
              </w:rPr>
              <w:t>2</w:t>
            </w:r>
            <w:r w:rsidRPr="00CF77C1">
              <w:rPr>
                <w:sz w:val="22"/>
                <w:szCs w:val="22"/>
                <w:lang w:val="sr-Cyrl-RS"/>
              </w:rPr>
              <w:t xml:space="preserve"> 1,3 милиона € и повећање преносног капацитета 0,7 милиона €)</w:t>
            </w:r>
          </w:p>
          <w:p w14:paraId="240FA790" w14:textId="77777777" w:rsidR="00D41B60" w:rsidRPr="00CF77C1" w:rsidRDefault="00D41B60" w:rsidP="0080044B">
            <w:pPr>
              <w:spacing w:before="20" w:after="20"/>
              <w:jc w:val="left"/>
              <w:rPr>
                <w:sz w:val="22"/>
                <w:szCs w:val="22"/>
                <w:lang w:val="sr-Cyrl-RS"/>
              </w:rPr>
            </w:pPr>
            <w:r w:rsidRPr="00CF77C1">
              <w:rPr>
                <w:sz w:val="22"/>
                <w:szCs w:val="22"/>
                <w:lang w:val="sr-Cyrl-RS"/>
              </w:rPr>
              <w:t>Смањење губитака: 130,4 GWh годишње (око 14% у односу на садашњу вредност губитака у преносном систему);</w:t>
            </w:r>
          </w:p>
          <w:p w14:paraId="079C0F91" w14:textId="77777777" w:rsidR="00D41B60" w:rsidRPr="00CF77C1" w:rsidRDefault="00D41B60" w:rsidP="0080044B">
            <w:pPr>
              <w:spacing w:before="20" w:after="20"/>
              <w:jc w:val="left"/>
              <w:rPr>
                <w:sz w:val="22"/>
                <w:szCs w:val="22"/>
                <w:lang w:val="sr-Cyrl-RS"/>
              </w:rPr>
            </w:pPr>
            <w:r w:rsidRPr="00CF77C1">
              <w:rPr>
                <w:sz w:val="22"/>
                <w:szCs w:val="22"/>
                <w:lang w:val="sr-Cyrl-RS"/>
              </w:rPr>
              <w:t>Смањење емисије CO</w:t>
            </w:r>
            <w:r w:rsidRPr="00CF77C1">
              <w:rPr>
                <w:sz w:val="22"/>
                <w:szCs w:val="22"/>
                <w:vertAlign w:val="subscript"/>
                <w:lang w:val="sr-Cyrl-RS"/>
              </w:rPr>
              <w:t>2</w:t>
            </w:r>
            <w:r w:rsidRPr="00CF77C1">
              <w:rPr>
                <w:sz w:val="22"/>
                <w:szCs w:val="22"/>
                <w:lang w:val="sr-Cyrl-RS"/>
              </w:rPr>
              <w:t xml:space="preserve"> ≈ 108500 t годишње (процена).</w:t>
            </w:r>
          </w:p>
        </w:tc>
      </w:tr>
      <w:tr w:rsidR="00D41B60" w:rsidRPr="00CF77C1" w14:paraId="474C87F1" w14:textId="77777777" w:rsidTr="00D41B60">
        <w:tc>
          <w:tcPr>
            <w:tcW w:w="2235" w:type="dxa"/>
            <w:shd w:val="clear" w:color="auto" w:fill="auto"/>
            <w:vAlign w:val="center"/>
          </w:tcPr>
          <w:p w14:paraId="71DA257D" w14:textId="424A028C" w:rsidR="00D41B60" w:rsidRPr="00CF77C1" w:rsidRDefault="00D41B60" w:rsidP="0080044B">
            <w:pPr>
              <w:jc w:val="left"/>
              <w:rPr>
                <w:sz w:val="22"/>
                <w:szCs w:val="22"/>
                <w:lang w:val="sr-Cyrl-RS"/>
              </w:rPr>
            </w:pPr>
            <w:r w:rsidRPr="00CF77C1">
              <w:rPr>
                <w:sz w:val="22"/>
                <w:szCs w:val="22"/>
                <w:lang w:val="sr-Cyrl-RS"/>
              </w:rPr>
              <w:t>двоструки далековод 400 kV који повезује ТС Бајина Башта, ТЕ Пљевља и ХЕ Вишеград - 84 km</w:t>
            </w:r>
          </w:p>
        </w:tc>
        <w:tc>
          <w:tcPr>
            <w:tcW w:w="2693" w:type="dxa"/>
            <w:shd w:val="clear" w:color="auto" w:fill="auto"/>
            <w:vAlign w:val="center"/>
          </w:tcPr>
          <w:p w14:paraId="2B5507C2" w14:textId="76348500" w:rsidR="00D41B60" w:rsidRPr="001F5B55" w:rsidRDefault="00DE55ED" w:rsidP="00A8674F">
            <w:pPr>
              <w:jc w:val="left"/>
              <w:rPr>
                <w:sz w:val="20"/>
                <w:szCs w:val="22"/>
                <w:lang w:val="sr-Cyrl-RS"/>
              </w:rPr>
            </w:pPr>
            <w:r w:rsidRPr="001F5B55">
              <w:rPr>
                <w:sz w:val="20"/>
                <w:szCs w:val="22"/>
                <w:lang w:val="sr-Cyrl-RS"/>
              </w:rPr>
              <w:t>41,8</w:t>
            </w:r>
            <w:r w:rsidR="00D41B60" w:rsidRPr="001F5B55">
              <w:rPr>
                <w:sz w:val="20"/>
                <w:szCs w:val="22"/>
                <w:lang w:val="sr-Cyrl-RS"/>
              </w:rPr>
              <w:t xml:space="preserve"> милиона €</w:t>
            </w:r>
          </w:p>
          <w:p w14:paraId="34D7D94F" w14:textId="78176076" w:rsidR="00D41B60" w:rsidRPr="001F5B55" w:rsidRDefault="00D41B60" w:rsidP="0080044B">
            <w:pPr>
              <w:jc w:val="left"/>
              <w:rPr>
                <w:sz w:val="20"/>
                <w:szCs w:val="22"/>
                <w:lang w:val="sr-Cyrl-RS"/>
              </w:rPr>
            </w:pPr>
            <w:r w:rsidRPr="001F5B55">
              <w:rPr>
                <w:sz w:val="20"/>
                <w:szCs w:val="22"/>
                <w:lang w:val="sr-Cyrl-RS"/>
              </w:rPr>
              <w:t>(аплицирано за 26% из претприступних ЕУ фондова, преостали износ би се обезбедио већим делом из кредитне линије (64%) и мањим делом из сопствених средстава (10%))</w:t>
            </w:r>
          </w:p>
        </w:tc>
        <w:tc>
          <w:tcPr>
            <w:tcW w:w="3969" w:type="dxa"/>
            <w:vMerge/>
            <w:shd w:val="clear" w:color="auto" w:fill="auto"/>
            <w:vAlign w:val="center"/>
          </w:tcPr>
          <w:p w14:paraId="57B86E16" w14:textId="77777777" w:rsidR="00D41B60" w:rsidRPr="00CF77C1" w:rsidRDefault="00D41B60" w:rsidP="0080044B">
            <w:pPr>
              <w:jc w:val="left"/>
              <w:rPr>
                <w:sz w:val="22"/>
                <w:szCs w:val="22"/>
                <w:lang w:val="sr-Cyrl-RS"/>
              </w:rPr>
            </w:pPr>
          </w:p>
        </w:tc>
        <w:tc>
          <w:tcPr>
            <w:tcW w:w="5890" w:type="dxa"/>
            <w:shd w:val="clear" w:color="auto" w:fill="auto"/>
            <w:vAlign w:val="center"/>
          </w:tcPr>
          <w:p w14:paraId="59641948" w14:textId="77777777" w:rsidR="00D41B60" w:rsidRPr="00CF77C1" w:rsidRDefault="00D41B60" w:rsidP="0080044B">
            <w:pPr>
              <w:spacing w:before="20" w:after="20"/>
              <w:jc w:val="left"/>
              <w:rPr>
                <w:sz w:val="22"/>
                <w:szCs w:val="22"/>
                <w:lang w:val="sr-Cyrl-RS"/>
              </w:rPr>
            </w:pPr>
            <w:r w:rsidRPr="00CF77C1">
              <w:rPr>
                <w:sz w:val="22"/>
                <w:szCs w:val="22"/>
                <w:lang w:val="sr-Cyrl-RS"/>
              </w:rPr>
              <w:t>6,4 милиона € (појединачни ефекти нису дати у расположивој документацији);</w:t>
            </w:r>
          </w:p>
          <w:p w14:paraId="702AD072" w14:textId="77777777" w:rsidR="00D41B60" w:rsidRPr="00CF77C1" w:rsidRDefault="00D41B60" w:rsidP="0080044B">
            <w:pPr>
              <w:spacing w:before="20" w:after="20"/>
              <w:jc w:val="left"/>
              <w:rPr>
                <w:sz w:val="22"/>
                <w:szCs w:val="22"/>
                <w:lang w:val="sr-Cyrl-RS"/>
              </w:rPr>
            </w:pPr>
            <w:r w:rsidRPr="00CF77C1">
              <w:rPr>
                <w:sz w:val="22"/>
                <w:szCs w:val="22"/>
                <w:lang w:val="sr-Cyrl-RS"/>
              </w:rPr>
              <w:t>Смањење губитака: 51,6 GWh годишње (око 5,5% у односу на садашњу вредност губитака у преносном систему);</w:t>
            </w:r>
          </w:p>
          <w:p w14:paraId="358B97D5" w14:textId="77777777" w:rsidR="00D41B60" w:rsidRPr="00CF77C1" w:rsidRDefault="00D41B60" w:rsidP="0080044B">
            <w:pPr>
              <w:spacing w:before="20" w:after="20"/>
              <w:jc w:val="left"/>
              <w:rPr>
                <w:sz w:val="22"/>
                <w:szCs w:val="22"/>
                <w:lang w:val="sr-Cyrl-RS"/>
              </w:rPr>
            </w:pPr>
            <w:r w:rsidRPr="00CF77C1">
              <w:rPr>
                <w:sz w:val="22"/>
                <w:szCs w:val="22"/>
                <w:lang w:val="sr-Cyrl-RS"/>
              </w:rPr>
              <w:t>Смањење емисије CO</w:t>
            </w:r>
            <w:r w:rsidRPr="00CF77C1">
              <w:rPr>
                <w:sz w:val="22"/>
                <w:szCs w:val="22"/>
                <w:vertAlign w:val="subscript"/>
                <w:lang w:val="sr-Cyrl-RS"/>
              </w:rPr>
              <w:t>2</w:t>
            </w:r>
            <w:r w:rsidRPr="00CF77C1">
              <w:rPr>
                <w:sz w:val="22"/>
                <w:szCs w:val="22"/>
                <w:lang w:val="sr-Cyrl-RS"/>
              </w:rPr>
              <w:t xml:space="preserve"> ≈ 42900 t годишње (процена).</w:t>
            </w:r>
          </w:p>
        </w:tc>
      </w:tr>
    </w:tbl>
    <w:p w14:paraId="5E07FFEA" w14:textId="126602E9" w:rsidR="002E3868" w:rsidRPr="00CF77C1" w:rsidRDefault="00D61BC9" w:rsidP="0080044B">
      <w:pPr>
        <w:pStyle w:val="Caption"/>
        <w:rPr>
          <w:b w:val="0"/>
          <w:lang w:val="sr-Cyrl-RS"/>
        </w:rPr>
      </w:pPr>
      <w:r w:rsidRPr="00CF77C1">
        <w:rPr>
          <w:b w:val="0"/>
          <w:lang w:val="sr-Cyrl-RS"/>
        </w:rPr>
        <w:t>таб.</w:t>
      </w:r>
      <w:r w:rsidR="002E3868"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w:t>
      </w:r>
      <w:r w:rsidR="0092145E" w:rsidRPr="00CF77C1">
        <w:rPr>
          <w:b w:val="0"/>
          <w:lang w:val="sr-Cyrl-RS"/>
        </w:rPr>
        <w:fldChar w:fldCharType="end"/>
      </w:r>
      <w:r w:rsidR="002E3868"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379"/>
        <w:gridCol w:w="5811"/>
      </w:tblGrid>
      <w:tr w:rsidR="002E3868" w:rsidRPr="00CF77C1" w14:paraId="2198BB2A" w14:textId="77777777" w:rsidTr="006D062C">
        <w:trPr>
          <w:cantSplit/>
          <w:tblHeader/>
        </w:trPr>
        <w:tc>
          <w:tcPr>
            <w:tcW w:w="2660" w:type="dxa"/>
            <w:shd w:val="clear" w:color="auto" w:fill="auto"/>
            <w:vAlign w:val="center"/>
          </w:tcPr>
          <w:p w14:paraId="73F1AC44" w14:textId="77777777" w:rsidR="002E3868" w:rsidRPr="00CF77C1" w:rsidRDefault="002E3868" w:rsidP="00F10D3F">
            <w:pPr>
              <w:keepNext/>
              <w:jc w:val="center"/>
              <w:rPr>
                <w:lang w:val="sr-Cyrl-RS"/>
              </w:rPr>
            </w:pPr>
            <w:r w:rsidRPr="00CF77C1">
              <w:rPr>
                <w:lang w:val="sr-Cyrl-RS"/>
              </w:rPr>
              <w:t>Пројекат</w:t>
            </w:r>
          </w:p>
        </w:tc>
        <w:tc>
          <w:tcPr>
            <w:tcW w:w="6379" w:type="dxa"/>
            <w:shd w:val="clear" w:color="auto" w:fill="auto"/>
            <w:vAlign w:val="center"/>
          </w:tcPr>
          <w:p w14:paraId="196A9B00" w14:textId="77777777" w:rsidR="002E3868" w:rsidRPr="00CF77C1" w:rsidRDefault="002E3868" w:rsidP="00F10D3F">
            <w:pPr>
              <w:keepNext/>
              <w:jc w:val="center"/>
              <w:rPr>
                <w:lang w:val="sr-Cyrl-RS"/>
              </w:rPr>
            </w:pPr>
            <w:r w:rsidRPr="00CF77C1">
              <w:rPr>
                <w:lang w:val="sr-Cyrl-RS"/>
              </w:rPr>
              <w:t>Статус припреме пројекта</w:t>
            </w:r>
          </w:p>
        </w:tc>
        <w:tc>
          <w:tcPr>
            <w:tcW w:w="5811" w:type="dxa"/>
            <w:shd w:val="clear" w:color="auto" w:fill="auto"/>
            <w:vAlign w:val="center"/>
          </w:tcPr>
          <w:p w14:paraId="29C910DD" w14:textId="77777777" w:rsidR="002E3868" w:rsidRPr="00CF77C1" w:rsidRDefault="002E3868" w:rsidP="00F10D3F">
            <w:pPr>
              <w:keepNext/>
              <w:jc w:val="center"/>
              <w:rPr>
                <w:lang w:val="sr-Cyrl-RS"/>
              </w:rPr>
            </w:pPr>
            <w:r w:rsidRPr="00CF77C1">
              <w:rPr>
                <w:lang w:val="sr-Cyrl-RS"/>
              </w:rPr>
              <w:t>Недостајућа планска и техничка документација</w:t>
            </w:r>
          </w:p>
        </w:tc>
      </w:tr>
      <w:tr w:rsidR="00D05EFF" w:rsidRPr="00CF77C1" w14:paraId="1FE30610" w14:textId="77777777" w:rsidTr="006D062C">
        <w:trPr>
          <w:cantSplit/>
        </w:trPr>
        <w:tc>
          <w:tcPr>
            <w:tcW w:w="2660" w:type="dxa"/>
            <w:shd w:val="clear" w:color="auto" w:fill="auto"/>
            <w:vAlign w:val="center"/>
          </w:tcPr>
          <w:p w14:paraId="7B50FBAB" w14:textId="77777777" w:rsidR="00D05EFF" w:rsidRPr="00CF77C1" w:rsidRDefault="00D05EFF" w:rsidP="0080044B">
            <w:pPr>
              <w:jc w:val="left"/>
              <w:rPr>
                <w:lang w:val="sr-Cyrl-RS"/>
              </w:rPr>
            </w:pPr>
            <w:r w:rsidRPr="00CF77C1">
              <w:rPr>
                <w:lang w:val="sr-Cyrl-RS"/>
              </w:rPr>
              <w:t xml:space="preserve">двоструки далековод 400 kV </w:t>
            </w:r>
            <w:r w:rsidR="00C94D50" w:rsidRPr="00CF77C1">
              <w:rPr>
                <w:lang w:val="sr-Cyrl-RS"/>
              </w:rPr>
              <w:t xml:space="preserve">ТС </w:t>
            </w:r>
            <w:r w:rsidRPr="00CF77C1">
              <w:rPr>
                <w:lang w:val="sr-Cyrl-RS"/>
              </w:rPr>
              <w:t xml:space="preserve">Панчево </w:t>
            </w:r>
            <w:r w:rsidR="00C94D50" w:rsidRPr="00CF77C1">
              <w:rPr>
                <w:lang w:val="sr-Cyrl-RS"/>
              </w:rPr>
              <w:t xml:space="preserve">2 </w:t>
            </w:r>
            <w:r w:rsidRPr="00CF77C1">
              <w:rPr>
                <w:lang w:val="sr-Cyrl-RS"/>
              </w:rPr>
              <w:t xml:space="preserve">- </w:t>
            </w:r>
            <w:r w:rsidR="00C94D50" w:rsidRPr="00CF77C1">
              <w:rPr>
                <w:lang w:val="sr-Cyrl-RS"/>
              </w:rPr>
              <w:t xml:space="preserve">ТС </w:t>
            </w:r>
            <w:r w:rsidRPr="00CF77C1">
              <w:rPr>
                <w:lang w:val="sr-Cyrl-RS"/>
              </w:rPr>
              <w:t>Решица - 65 km</w:t>
            </w:r>
          </w:p>
        </w:tc>
        <w:tc>
          <w:tcPr>
            <w:tcW w:w="6379" w:type="dxa"/>
            <w:shd w:val="clear" w:color="auto" w:fill="auto"/>
            <w:vAlign w:val="center"/>
          </w:tcPr>
          <w:p w14:paraId="6CD3BEE9" w14:textId="77777777" w:rsidR="00D05EFF" w:rsidRPr="00CF77C1" w:rsidRDefault="00D05EFF" w:rsidP="0080044B">
            <w:pPr>
              <w:jc w:val="left"/>
              <w:rPr>
                <w:lang w:val="sr-Cyrl-RS"/>
              </w:rPr>
            </w:pPr>
            <w:r w:rsidRPr="00CF77C1">
              <w:rPr>
                <w:lang w:val="sr-Cyrl-RS"/>
              </w:rPr>
              <w:t>Изградња започета 2016. године</w:t>
            </w:r>
          </w:p>
        </w:tc>
        <w:tc>
          <w:tcPr>
            <w:tcW w:w="5811" w:type="dxa"/>
            <w:shd w:val="clear" w:color="auto" w:fill="auto"/>
            <w:vAlign w:val="center"/>
          </w:tcPr>
          <w:p w14:paraId="124FF126" w14:textId="77777777" w:rsidR="00D05EFF" w:rsidRPr="00CF77C1" w:rsidRDefault="00D05EFF" w:rsidP="0080044B">
            <w:pPr>
              <w:jc w:val="left"/>
              <w:rPr>
                <w:lang w:val="sr-Cyrl-RS"/>
              </w:rPr>
            </w:pPr>
            <w:r w:rsidRPr="00CF77C1">
              <w:rPr>
                <w:lang w:val="sr-Cyrl-RS"/>
              </w:rPr>
              <w:t>Пројекат изведеног објекта</w:t>
            </w:r>
          </w:p>
        </w:tc>
      </w:tr>
      <w:tr w:rsidR="00D05EFF" w:rsidRPr="00CF77C1" w14:paraId="7AF52CE4" w14:textId="77777777" w:rsidTr="006D062C">
        <w:trPr>
          <w:cantSplit/>
        </w:trPr>
        <w:tc>
          <w:tcPr>
            <w:tcW w:w="2660" w:type="dxa"/>
            <w:shd w:val="clear" w:color="auto" w:fill="auto"/>
            <w:vAlign w:val="center"/>
          </w:tcPr>
          <w:p w14:paraId="636C63AF" w14:textId="77777777" w:rsidR="00D05EFF" w:rsidRPr="00CF77C1" w:rsidRDefault="00996434" w:rsidP="0080044B">
            <w:pPr>
              <w:jc w:val="left"/>
              <w:rPr>
                <w:lang w:val="sr-Cyrl-RS"/>
              </w:rPr>
            </w:pPr>
            <w:r w:rsidRPr="00CF77C1">
              <w:rPr>
                <w:lang w:val="sr-Cyrl-RS"/>
              </w:rPr>
              <w:t>далеко</w:t>
            </w:r>
            <w:r w:rsidR="00D05EFF" w:rsidRPr="00CF77C1">
              <w:rPr>
                <w:lang w:val="sr-Cyrl-RS"/>
              </w:rPr>
              <w:t xml:space="preserve">вод 400 kV </w:t>
            </w:r>
            <w:r w:rsidRPr="00CF77C1">
              <w:rPr>
                <w:lang w:val="sr-Cyrl-RS"/>
              </w:rPr>
              <w:t>ТС </w:t>
            </w:r>
            <w:r w:rsidR="00EA6189" w:rsidRPr="00CF77C1">
              <w:rPr>
                <w:lang w:val="sr-Cyrl-RS"/>
              </w:rPr>
              <w:t>Кр</w:t>
            </w:r>
            <w:r w:rsidR="00D05EFF" w:rsidRPr="00CF77C1">
              <w:rPr>
                <w:lang w:val="sr-Cyrl-RS"/>
              </w:rPr>
              <w:t xml:space="preserve">агујевац 2 - </w:t>
            </w:r>
            <w:r w:rsidRPr="00CF77C1">
              <w:rPr>
                <w:lang w:val="sr-Cyrl-RS"/>
              </w:rPr>
              <w:t>ТС </w:t>
            </w:r>
            <w:r w:rsidR="00D05EFF" w:rsidRPr="00CF77C1">
              <w:rPr>
                <w:lang w:val="sr-Cyrl-RS"/>
              </w:rPr>
              <w:t>Краљево 3 - 60 km</w:t>
            </w:r>
          </w:p>
        </w:tc>
        <w:tc>
          <w:tcPr>
            <w:tcW w:w="6379" w:type="dxa"/>
            <w:shd w:val="clear" w:color="auto" w:fill="auto"/>
            <w:vAlign w:val="center"/>
          </w:tcPr>
          <w:p w14:paraId="5039228A" w14:textId="77777777" w:rsidR="00D05EFF" w:rsidRPr="00CF77C1" w:rsidRDefault="00D05EFF" w:rsidP="0080044B">
            <w:pPr>
              <w:jc w:val="left"/>
              <w:rPr>
                <w:sz w:val="22"/>
                <w:lang w:val="sr-Cyrl-RS"/>
              </w:rPr>
            </w:pPr>
            <w:r w:rsidRPr="00CF77C1">
              <w:rPr>
                <w:lang w:val="sr-Cyrl-RS"/>
              </w:rPr>
              <w:t>Завршена је комплетна планска документација, усвојени су планови детаљне регулације за територије три ло</w:t>
            </w:r>
            <w:r w:rsidR="001B761F" w:rsidRPr="00CF77C1">
              <w:rPr>
                <w:lang w:val="sr-Cyrl-RS"/>
              </w:rPr>
              <w:t>калне самоуправе кроз којих про</w:t>
            </w:r>
            <w:r w:rsidRPr="00CF77C1">
              <w:rPr>
                <w:lang w:val="sr-Cyrl-RS"/>
              </w:rPr>
              <w:t xml:space="preserve">лази далековод (Крагујевац, Кнић и Краљево), обезбеђени су локацијски услови који су издати од стране Министарства грађевинарства, саобраћаја и инфраструктуре, Студија oправданости са идејним пројектом је завршена и ревизиона комисија Министарства грађевинарства, саобраћаја и инфраструктуре је издала позитивно мишљење на Студију. Завршена је комплетна процедура процене утицаја објекта на животну средину. Урађена је Студија о процени утицаја, одржана јавна расправа и јавни увид, а потом и стручна ревизија у Министарству пољопривреде и заштите животне средине. У завршној фази је израда техничке документације и техничка контрола исте. При крају је и решавање </w:t>
            </w:r>
            <w:r w:rsidR="00A71236" w:rsidRPr="00CF77C1">
              <w:rPr>
                <w:lang w:val="sr-Cyrl-RS"/>
              </w:rPr>
              <w:t>имовинско-правних</w:t>
            </w:r>
            <w:r w:rsidRPr="00CF77C1">
              <w:rPr>
                <w:lang w:val="sr-Cyrl-RS"/>
              </w:rPr>
              <w:t xml:space="preserve"> послова, тј. експропријација земљишта за стубна места. Добијена је грађевинска дозвола за радове у ТС Краљево</w:t>
            </w:r>
            <w:r w:rsidR="006D062C" w:rsidRPr="00CF77C1">
              <w:rPr>
                <w:lang w:val="sr-Cyrl-RS"/>
              </w:rPr>
              <w:t xml:space="preserve"> 3</w:t>
            </w:r>
            <w:r w:rsidRPr="00CF77C1">
              <w:rPr>
                <w:lang w:val="sr-Cyrl-RS"/>
              </w:rPr>
              <w:t>.</w:t>
            </w:r>
          </w:p>
        </w:tc>
        <w:tc>
          <w:tcPr>
            <w:tcW w:w="5811" w:type="dxa"/>
            <w:shd w:val="clear" w:color="auto" w:fill="auto"/>
            <w:vAlign w:val="center"/>
          </w:tcPr>
          <w:p w14:paraId="3AEEEC8A" w14:textId="77777777" w:rsidR="00D05EFF" w:rsidRPr="00CF77C1" w:rsidRDefault="00D05EFF" w:rsidP="0080044B">
            <w:pPr>
              <w:jc w:val="left"/>
              <w:rPr>
                <w:sz w:val="22"/>
                <w:lang w:val="sr-Cyrl-RS"/>
              </w:rPr>
            </w:pPr>
            <w:r w:rsidRPr="00CF77C1">
              <w:rPr>
                <w:lang w:val="sr-Cyrl-RS"/>
              </w:rPr>
              <w:t>Очекује се да издавање гр</w:t>
            </w:r>
            <w:r w:rsidR="00C24610" w:rsidRPr="00CF77C1">
              <w:rPr>
                <w:lang w:val="sr-Cyrl-RS"/>
              </w:rPr>
              <w:t>ађевинске дозволе за далеково</w:t>
            </w:r>
            <w:r w:rsidR="00EC7E28" w:rsidRPr="00CF77C1">
              <w:rPr>
                <w:lang w:val="sr-Cyrl-RS"/>
              </w:rPr>
              <w:t>д</w:t>
            </w:r>
            <w:r w:rsidR="009927CD" w:rsidRPr="00CF77C1">
              <w:rPr>
                <w:lang w:val="sr-Cyrl-RS"/>
              </w:rPr>
              <w:t xml:space="preserve"> и</w:t>
            </w:r>
            <w:r w:rsidRPr="00CF77C1">
              <w:rPr>
                <w:lang w:val="sr-Cyrl-RS"/>
              </w:rPr>
              <w:t xml:space="preserve"> покретање </w:t>
            </w:r>
            <w:r w:rsidR="00C24610" w:rsidRPr="00CF77C1">
              <w:rPr>
                <w:lang w:val="sr-Cyrl-RS"/>
              </w:rPr>
              <w:t>тендера за изградњу</w:t>
            </w:r>
            <w:r w:rsidR="00EA6189" w:rsidRPr="00CF77C1">
              <w:rPr>
                <w:lang w:val="sr-Cyrl-RS"/>
              </w:rPr>
              <w:t xml:space="preserve"> </w:t>
            </w:r>
            <w:r w:rsidR="009927CD" w:rsidRPr="00CF77C1">
              <w:rPr>
                <w:lang w:val="sr-Cyrl-RS"/>
              </w:rPr>
              <w:t>започну</w:t>
            </w:r>
            <w:r w:rsidRPr="00CF77C1">
              <w:rPr>
                <w:lang w:val="sr-Cyrl-RS"/>
              </w:rPr>
              <w:t xml:space="preserve"> током 2017</w:t>
            </w:r>
            <w:r w:rsidR="009927CD" w:rsidRPr="00CF77C1">
              <w:rPr>
                <w:lang w:val="sr-Cyrl-RS"/>
              </w:rPr>
              <w:t>.</w:t>
            </w:r>
            <w:r w:rsidRPr="00CF77C1">
              <w:rPr>
                <w:lang w:val="sr-Cyrl-RS"/>
              </w:rPr>
              <w:t xml:space="preserve"> године</w:t>
            </w:r>
            <w:r w:rsidR="009927CD" w:rsidRPr="00CF77C1">
              <w:rPr>
                <w:lang w:val="sr-Cyrl-RS"/>
              </w:rPr>
              <w:t>, а изградња далековода током 2018. године.</w:t>
            </w:r>
          </w:p>
        </w:tc>
      </w:tr>
      <w:tr w:rsidR="00D05EFF" w:rsidRPr="00CF77C1" w14:paraId="6793B21D" w14:textId="77777777" w:rsidTr="006D062C">
        <w:trPr>
          <w:cantSplit/>
        </w:trPr>
        <w:tc>
          <w:tcPr>
            <w:tcW w:w="2660" w:type="dxa"/>
            <w:shd w:val="clear" w:color="auto" w:fill="auto"/>
            <w:vAlign w:val="center"/>
          </w:tcPr>
          <w:p w14:paraId="2AC820F6" w14:textId="77777777" w:rsidR="00D05EFF" w:rsidRPr="00CF77C1" w:rsidRDefault="00D05EFF" w:rsidP="0080044B">
            <w:pPr>
              <w:jc w:val="left"/>
              <w:rPr>
                <w:lang w:val="sr-Cyrl-RS"/>
              </w:rPr>
            </w:pPr>
            <w:r w:rsidRPr="00CF77C1">
              <w:rPr>
                <w:lang w:val="sr-Cyrl-RS"/>
              </w:rPr>
              <w:t xml:space="preserve">двоструки далековод 400 kV </w:t>
            </w:r>
            <w:r w:rsidR="00C94D50" w:rsidRPr="00CF77C1">
              <w:rPr>
                <w:lang w:val="sr-Cyrl-RS"/>
              </w:rPr>
              <w:t xml:space="preserve">ТС </w:t>
            </w:r>
            <w:r w:rsidRPr="00CF77C1">
              <w:rPr>
                <w:lang w:val="sr-Cyrl-RS"/>
              </w:rPr>
              <w:t xml:space="preserve">Обреновац - </w:t>
            </w:r>
            <w:r w:rsidR="004B42BB" w:rsidRPr="00CF77C1">
              <w:rPr>
                <w:lang w:val="sr-Cyrl-RS"/>
              </w:rPr>
              <w:t>ТС Бајина</w:t>
            </w:r>
            <w:r w:rsidRPr="00CF77C1">
              <w:rPr>
                <w:lang w:val="sr-Cyrl-RS"/>
              </w:rPr>
              <w:t xml:space="preserve"> Башта - 111 km</w:t>
            </w:r>
          </w:p>
        </w:tc>
        <w:tc>
          <w:tcPr>
            <w:tcW w:w="6379" w:type="dxa"/>
            <w:shd w:val="clear" w:color="auto" w:fill="auto"/>
            <w:vAlign w:val="center"/>
          </w:tcPr>
          <w:p w14:paraId="5AA55A34" w14:textId="4F5D8773" w:rsidR="00D05EFF" w:rsidRPr="00CF77C1" w:rsidRDefault="006D062C" w:rsidP="00DE11F0">
            <w:pPr>
              <w:jc w:val="left"/>
              <w:rPr>
                <w:lang w:val="sr-Cyrl-RS"/>
              </w:rPr>
            </w:pPr>
            <w:r w:rsidRPr="00CF77C1">
              <w:rPr>
                <w:lang w:val="sr-Cyrl-RS"/>
              </w:rPr>
              <w:t>У току је припрема елабората о избору идејне трасе и Просторног плана подручј</w:t>
            </w:r>
            <w:r w:rsidR="00EC7E28" w:rsidRPr="00CF77C1">
              <w:rPr>
                <w:lang w:val="sr-Cyrl-RS"/>
              </w:rPr>
              <w:t>а посебне намене. Такође, припрема</w:t>
            </w:r>
            <w:r w:rsidRPr="00CF77C1">
              <w:rPr>
                <w:lang w:val="sr-Cyrl-RS"/>
              </w:rPr>
              <w:t xml:space="preserve"> се документација за тендер за израду</w:t>
            </w:r>
            <w:r w:rsidR="00D05EFF" w:rsidRPr="00CF77C1">
              <w:rPr>
                <w:lang w:val="sr-Cyrl-RS"/>
              </w:rPr>
              <w:t xml:space="preserve"> студије оправданости, идејног пројекта и студије процене утицаја на животну средину у складу са захтевима Закона о планирању и изградњи</w:t>
            </w:r>
            <w:r w:rsidR="00C24610" w:rsidRPr="00CF77C1">
              <w:rPr>
                <w:lang w:val="sr-Cyrl-RS"/>
              </w:rPr>
              <w:t>. Документи који су припремљени у претходном поступку не одгов</w:t>
            </w:r>
            <w:r w:rsidR="00DE11F0">
              <w:rPr>
                <w:lang w:val="sr-Cyrl-RS"/>
              </w:rPr>
              <w:t>а</w:t>
            </w:r>
            <w:r w:rsidR="00C24610" w:rsidRPr="00CF77C1">
              <w:rPr>
                <w:lang w:val="sr-Cyrl-RS"/>
              </w:rPr>
              <w:t>рају захтевима Закона о планирању и изградњи па их је потребно прилагодити.</w:t>
            </w:r>
          </w:p>
        </w:tc>
        <w:tc>
          <w:tcPr>
            <w:tcW w:w="5811" w:type="dxa"/>
            <w:shd w:val="clear" w:color="auto" w:fill="auto"/>
            <w:vAlign w:val="center"/>
          </w:tcPr>
          <w:p w14:paraId="148258C1" w14:textId="77777777" w:rsidR="00D05EFF" w:rsidRPr="00CF77C1" w:rsidRDefault="006D062C" w:rsidP="0080044B">
            <w:pPr>
              <w:jc w:val="left"/>
              <w:rPr>
                <w:lang w:val="sr-Cyrl-RS"/>
              </w:rPr>
            </w:pPr>
            <w:r w:rsidRPr="00CF77C1">
              <w:rPr>
                <w:lang w:val="sr-Cyrl-RS"/>
              </w:rPr>
              <w:t xml:space="preserve">Елаборат избора идејне трасе, </w:t>
            </w:r>
            <w:r w:rsidR="00D05EFF" w:rsidRPr="00CF77C1">
              <w:rPr>
                <w:lang w:val="sr-Cyrl-RS"/>
              </w:rPr>
              <w:t>Просторни план подручја посебне намене, идејно решење, локацијски услови, коначна верзија студије оправданости, идејног пројекта и студије процене утицаја на животну средину у складу са захтевима Закона о планирању и изградњи, пројекат за грађевинску дозволу, грађевинска дозвола, пројекат за извођење, тендерска документација за изградњу, пројекат изведеног објекта</w:t>
            </w:r>
            <w:r w:rsidRPr="00CF77C1">
              <w:rPr>
                <w:lang w:val="sr-Cyrl-RS"/>
              </w:rPr>
              <w:t>.</w:t>
            </w:r>
          </w:p>
        </w:tc>
      </w:tr>
      <w:tr w:rsidR="00D05EFF" w:rsidRPr="00CF77C1" w14:paraId="229AA29A" w14:textId="77777777" w:rsidTr="006D062C">
        <w:trPr>
          <w:cantSplit/>
        </w:trPr>
        <w:tc>
          <w:tcPr>
            <w:tcW w:w="2660" w:type="dxa"/>
            <w:shd w:val="clear" w:color="auto" w:fill="auto"/>
            <w:vAlign w:val="center"/>
          </w:tcPr>
          <w:p w14:paraId="2824DFBF" w14:textId="77777777" w:rsidR="00D05EFF" w:rsidRPr="00CF77C1" w:rsidRDefault="00D05EFF" w:rsidP="0080044B">
            <w:pPr>
              <w:jc w:val="left"/>
              <w:rPr>
                <w:lang w:val="sr-Cyrl-RS"/>
              </w:rPr>
            </w:pPr>
            <w:r w:rsidRPr="00CF77C1">
              <w:rPr>
                <w:lang w:val="sr-Cyrl-RS"/>
              </w:rPr>
              <w:t>двоструки далековод 400 kV који повезује Бајину Башту, ТЕ Пљевља и ХЕ Вишеград - 84 km</w:t>
            </w:r>
          </w:p>
        </w:tc>
        <w:tc>
          <w:tcPr>
            <w:tcW w:w="6379" w:type="dxa"/>
            <w:shd w:val="clear" w:color="auto" w:fill="auto"/>
            <w:vAlign w:val="center"/>
          </w:tcPr>
          <w:p w14:paraId="29A87ABB" w14:textId="77777777" w:rsidR="00D05EFF" w:rsidRPr="00CF77C1" w:rsidRDefault="006D062C" w:rsidP="0080044B">
            <w:pPr>
              <w:jc w:val="left"/>
              <w:rPr>
                <w:lang w:val="sr-Cyrl-RS"/>
              </w:rPr>
            </w:pPr>
            <w:r w:rsidRPr="00CF77C1">
              <w:rPr>
                <w:lang w:val="sr-Cyrl-RS"/>
              </w:rPr>
              <w:t>У току је припрема Просторног плана подручја посебне намене (ППППН) у надлежности Министарства грађевинарства, саобраћаја и инфраструктуре. Паралелно се припрема студија</w:t>
            </w:r>
            <w:r w:rsidR="00EA6189" w:rsidRPr="00CF77C1">
              <w:rPr>
                <w:lang w:val="sr-Cyrl-RS"/>
              </w:rPr>
              <w:t xml:space="preserve"> </w:t>
            </w:r>
            <w:r w:rsidRPr="00CF77C1">
              <w:rPr>
                <w:lang w:val="sr-Cyrl-RS"/>
              </w:rPr>
              <w:t>оправданости, идејни</w:t>
            </w:r>
            <w:r w:rsidR="00D05EFF" w:rsidRPr="00CF77C1">
              <w:rPr>
                <w:lang w:val="sr-Cyrl-RS"/>
              </w:rPr>
              <w:t xml:space="preserve"> пројек</w:t>
            </w:r>
            <w:r w:rsidRPr="00CF77C1">
              <w:rPr>
                <w:lang w:val="sr-Cyrl-RS"/>
              </w:rPr>
              <w:t>ат и студија</w:t>
            </w:r>
            <w:r w:rsidR="00D05EFF" w:rsidRPr="00CF77C1">
              <w:rPr>
                <w:lang w:val="sr-Cyrl-RS"/>
              </w:rPr>
              <w:t xml:space="preserve"> процене утицаја на животну средину у складу са захтевима Закона о планирању и изградњи и они ће бити достављени на ревизију</w:t>
            </w:r>
            <w:r w:rsidRPr="00CF77C1">
              <w:rPr>
                <w:lang w:val="sr-Cyrl-RS"/>
              </w:rPr>
              <w:t xml:space="preserve"> по усвајању ППППН и идејног решења и прибављања локацијских услова.</w:t>
            </w:r>
          </w:p>
        </w:tc>
        <w:tc>
          <w:tcPr>
            <w:tcW w:w="5811" w:type="dxa"/>
            <w:shd w:val="clear" w:color="auto" w:fill="auto"/>
            <w:vAlign w:val="center"/>
          </w:tcPr>
          <w:p w14:paraId="3F791154" w14:textId="77777777" w:rsidR="00D05EFF" w:rsidRPr="00CF77C1" w:rsidRDefault="006D062C" w:rsidP="0080044B">
            <w:pPr>
              <w:jc w:val="left"/>
              <w:rPr>
                <w:lang w:val="sr-Cyrl-RS"/>
              </w:rPr>
            </w:pPr>
            <w:r w:rsidRPr="00CF77C1">
              <w:rPr>
                <w:lang w:val="sr-Cyrl-RS"/>
              </w:rPr>
              <w:t>Просторни план подручја посебне намене, идејно решење, локацијски услови, коначна верзија студије оправданости, идејног пројекта и студије процене утицаја на животну средину у складу са захтевима Закона о планирању и изградњи, пројекат за грађевинску дозволу, грађевинска дозвола, пројекат за извођење, тендерска документација за изградњу, пројекат изведеног објекта.</w:t>
            </w:r>
          </w:p>
        </w:tc>
      </w:tr>
    </w:tbl>
    <w:p w14:paraId="67FA785F" w14:textId="49FD4EAE" w:rsidR="00D41B60" w:rsidRPr="00CF77C1" w:rsidRDefault="00D41B60" w:rsidP="00D41B60">
      <w:pPr>
        <w:rPr>
          <w:lang w:val="sr-Cyrl-RS"/>
        </w:rPr>
      </w:pPr>
      <w:r w:rsidRPr="00CF77C1">
        <w:rPr>
          <w:lang w:val="sr-Cyrl-RS"/>
        </w:rPr>
        <w:t>Индикатор реализације овог пројекта је реализација активности п</w:t>
      </w:r>
      <w:r w:rsidR="00966609" w:rsidRPr="00CF77C1">
        <w:rPr>
          <w:lang w:val="sr-Cyrl-RS"/>
        </w:rPr>
        <w:t>риказаних по годинама у таб 12</w:t>
      </w:r>
      <w:r w:rsidRPr="00CF77C1">
        <w:rPr>
          <w:lang w:val="sr-Cyrl-RS"/>
        </w:rPr>
        <w:t>. Бројеви у табели означавају секције прве фазе пројекта.</w:t>
      </w:r>
    </w:p>
    <w:p w14:paraId="7C8C3CAB" w14:textId="38862D46" w:rsidR="002E3868" w:rsidRPr="00CF77C1" w:rsidRDefault="00D61BC9" w:rsidP="001741AC">
      <w:pPr>
        <w:pStyle w:val="Caption"/>
        <w:ind w:firstLine="720"/>
        <w:rPr>
          <w:b w:val="0"/>
          <w:lang w:val="sr-Cyrl-RS"/>
        </w:rPr>
      </w:pPr>
      <w:r w:rsidRPr="00CF77C1">
        <w:rPr>
          <w:b w:val="0"/>
          <w:lang w:val="sr-Cyrl-RS"/>
        </w:rPr>
        <w:t>таб.</w:t>
      </w:r>
      <w:r w:rsidR="002E3868"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w:t>
      </w:r>
      <w:r w:rsidR="0092145E" w:rsidRPr="00CF77C1">
        <w:rPr>
          <w:b w:val="0"/>
          <w:lang w:val="sr-Cyrl-RS"/>
        </w:rPr>
        <w:fldChar w:fldCharType="end"/>
      </w:r>
      <w:r w:rsidR="002E3868" w:rsidRPr="00CF77C1">
        <w:rPr>
          <w:b w:val="0"/>
          <w:lang w:val="sr-Cyrl-RS"/>
        </w:rPr>
        <w:t>: Динамика реализације активн</w:t>
      </w:r>
      <w:r w:rsidR="00C255D3" w:rsidRPr="00CF77C1">
        <w:rPr>
          <w:b w:val="0"/>
          <w:lang w:val="sr-Cyrl-RS"/>
        </w:rPr>
        <w:t>ости у периоду реализације ПОС</w:t>
      </w:r>
      <w:r w:rsidR="006C0864" w:rsidRPr="00CF77C1">
        <w:rPr>
          <w:b w:val="0"/>
          <w:lang w:val="sr-Cyrl-RS"/>
        </w:rPr>
        <w:t xml:space="preserve"> (по секцијама)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2409"/>
        <w:gridCol w:w="972"/>
        <w:gridCol w:w="972"/>
        <w:gridCol w:w="972"/>
        <w:gridCol w:w="972"/>
        <w:gridCol w:w="972"/>
        <w:gridCol w:w="972"/>
        <w:gridCol w:w="972"/>
      </w:tblGrid>
      <w:tr w:rsidR="00747A3E" w:rsidRPr="00CF77C1" w14:paraId="4A0CE3F5" w14:textId="77777777" w:rsidTr="00747A3E">
        <w:trPr>
          <w:tblHeader/>
        </w:trPr>
        <w:tc>
          <w:tcPr>
            <w:tcW w:w="5637" w:type="dxa"/>
            <w:shd w:val="clear" w:color="auto" w:fill="auto"/>
            <w:vAlign w:val="center"/>
          </w:tcPr>
          <w:p w14:paraId="2B005493" w14:textId="77777777" w:rsidR="00747A3E" w:rsidRPr="00CF77C1" w:rsidRDefault="00747A3E" w:rsidP="0080044B">
            <w:pPr>
              <w:jc w:val="center"/>
              <w:rPr>
                <w:lang w:val="sr-Cyrl-RS"/>
              </w:rPr>
            </w:pPr>
            <w:r w:rsidRPr="00CF77C1">
              <w:rPr>
                <w:lang w:val="sr-Cyrl-RS"/>
              </w:rPr>
              <w:t>Пројекат:</w:t>
            </w:r>
          </w:p>
          <w:p w14:paraId="46B946F8" w14:textId="77777777" w:rsidR="00747A3E" w:rsidRPr="00CF77C1" w:rsidRDefault="00747A3E" w:rsidP="0080044B">
            <w:pPr>
              <w:jc w:val="center"/>
              <w:rPr>
                <w:lang w:val="sr-Cyrl-RS"/>
              </w:rPr>
            </w:pPr>
            <w:r w:rsidRPr="00CF77C1">
              <w:rPr>
                <w:lang w:val="sr-Cyrl-RS"/>
              </w:rPr>
              <w:t>Трансбалкански коридор</w:t>
            </w:r>
          </w:p>
        </w:tc>
        <w:tc>
          <w:tcPr>
            <w:tcW w:w="2409" w:type="dxa"/>
            <w:shd w:val="clear" w:color="auto" w:fill="auto"/>
            <w:vAlign w:val="center"/>
          </w:tcPr>
          <w:p w14:paraId="4CE48171" w14:textId="77777777" w:rsidR="00747A3E" w:rsidRPr="00CF77C1" w:rsidRDefault="00DD69C2" w:rsidP="0080044B">
            <w:pPr>
              <w:jc w:val="center"/>
              <w:rPr>
                <w:lang w:val="sr-Cyrl-RS"/>
              </w:rPr>
            </w:pPr>
            <w:r w:rsidRPr="00CF77C1">
              <w:rPr>
                <w:lang w:val="sr-Cyrl-RS"/>
              </w:rPr>
              <w:t>Одговорни субјекат</w:t>
            </w:r>
          </w:p>
        </w:tc>
        <w:tc>
          <w:tcPr>
            <w:tcW w:w="972" w:type="dxa"/>
            <w:shd w:val="clear" w:color="auto" w:fill="auto"/>
            <w:vAlign w:val="center"/>
          </w:tcPr>
          <w:p w14:paraId="7546B4B9" w14:textId="77777777" w:rsidR="00747A3E" w:rsidRPr="00CF77C1" w:rsidRDefault="00747A3E" w:rsidP="0080044B">
            <w:pPr>
              <w:jc w:val="center"/>
              <w:rPr>
                <w:lang w:val="sr-Cyrl-RS"/>
              </w:rPr>
            </w:pPr>
            <w:r w:rsidRPr="00CF77C1">
              <w:rPr>
                <w:lang w:val="sr-Cyrl-RS"/>
              </w:rPr>
              <w:t>2017.</w:t>
            </w:r>
          </w:p>
        </w:tc>
        <w:tc>
          <w:tcPr>
            <w:tcW w:w="972" w:type="dxa"/>
            <w:shd w:val="clear" w:color="auto" w:fill="auto"/>
            <w:vAlign w:val="center"/>
          </w:tcPr>
          <w:p w14:paraId="349013E5" w14:textId="77777777" w:rsidR="00747A3E" w:rsidRPr="00CF77C1" w:rsidRDefault="00747A3E" w:rsidP="0080044B">
            <w:pPr>
              <w:jc w:val="center"/>
              <w:rPr>
                <w:lang w:val="sr-Cyrl-RS"/>
              </w:rPr>
            </w:pPr>
            <w:r w:rsidRPr="00CF77C1">
              <w:rPr>
                <w:lang w:val="sr-Cyrl-RS"/>
              </w:rPr>
              <w:t>2018.</w:t>
            </w:r>
          </w:p>
        </w:tc>
        <w:tc>
          <w:tcPr>
            <w:tcW w:w="972" w:type="dxa"/>
            <w:shd w:val="clear" w:color="auto" w:fill="auto"/>
            <w:vAlign w:val="center"/>
          </w:tcPr>
          <w:p w14:paraId="1658073E" w14:textId="77777777" w:rsidR="00747A3E" w:rsidRPr="00CF77C1" w:rsidRDefault="00747A3E" w:rsidP="0080044B">
            <w:pPr>
              <w:jc w:val="center"/>
              <w:rPr>
                <w:lang w:val="sr-Cyrl-RS"/>
              </w:rPr>
            </w:pPr>
            <w:r w:rsidRPr="00CF77C1">
              <w:rPr>
                <w:lang w:val="sr-Cyrl-RS"/>
              </w:rPr>
              <w:t>2019.</w:t>
            </w:r>
          </w:p>
        </w:tc>
        <w:tc>
          <w:tcPr>
            <w:tcW w:w="972" w:type="dxa"/>
            <w:shd w:val="clear" w:color="auto" w:fill="auto"/>
            <w:vAlign w:val="center"/>
          </w:tcPr>
          <w:p w14:paraId="4A1AA133" w14:textId="77777777" w:rsidR="00747A3E" w:rsidRPr="00CF77C1" w:rsidRDefault="00747A3E" w:rsidP="0080044B">
            <w:pPr>
              <w:jc w:val="center"/>
              <w:rPr>
                <w:lang w:val="sr-Cyrl-RS"/>
              </w:rPr>
            </w:pPr>
            <w:r w:rsidRPr="00CF77C1">
              <w:rPr>
                <w:lang w:val="sr-Cyrl-RS"/>
              </w:rPr>
              <w:t>2020.</w:t>
            </w:r>
          </w:p>
        </w:tc>
        <w:tc>
          <w:tcPr>
            <w:tcW w:w="972" w:type="dxa"/>
            <w:shd w:val="clear" w:color="auto" w:fill="auto"/>
            <w:vAlign w:val="center"/>
          </w:tcPr>
          <w:p w14:paraId="7AA70CE5" w14:textId="77777777" w:rsidR="00747A3E" w:rsidRPr="00CF77C1" w:rsidRDefault="00747A3E" w:rsidP="0080044B">
            <w:pPr>
              <w:jc w:val="center"/>
              <w:rPr>
                <w:lang w:val="sr-Cyrl-RS"/>
              </w:rPr>
            </w:pPr>
            <w:r w:rsidRPr="00CF77C1">
              <w:rPr>
                <w:lang w:val="sr-Cyrl-RS"/>
              </w:rPr>
              <w:t>2021.</w:t>
            </w:r>
          </w:p>
        </w:tc>
        <w:tc>
          <w:tcPr>
            <w:tcW w:w="972" w:type="dxa"/>
            <w:shd w:val="clear" w:color="auto" w:fill="auto"/>
            <w:vAlign w:val="center"/>
          </w:tcPr>
          <w:p w14:paraId="75A6B88E" w14:textId="77777777" w:rsidR="00747A3E" w:rsidRPr="00CF77C1" w:rsidRDefault="00747A3E" w:rsidP="0080044B">
            <w:pPr>
              <w:jc w:val="center"/>
              <w:rPr>
                <w:lang w:val="sr-Cyrl-RS"/>
              </w:rPr>
            </w:pPr>
            <w:r w:rsidRPr="00CF77C1">
              <w:rPr>
                <w:lang w:val="sr-Cyrl-RS"/>
              </w:rPr>
              <w:t>2022.</w:t>
            </w:r>
          </w:p>
        </w:tc>
        <w:tc>
          <w:tcPr>
            <w:tcW w:w="972" w:type="dxa"/>
            <w:shd w:val="clear" w:color="auto" w:fill="auto"/>
            <w:vAlign w:val="center"/>
          </w:tcPr>
          <w:p w14:paraId="18031A19" w14:textId="77777777" w:rsidR="00747A3E" w:rsidRPr="00CF77C1" w:rsidRDefault="00747A3E" w:rsidP="0080044B">
            <w:pPr>
              <w:jc w:val="center"/>
              <w:rPr>
                <w:lang w:val="sr-Cyrl-RS"/>
              </w:rPr>
            </w:pPr>
            <w:r w:rsidRPr="00CF77C1">
              <w:rPr>
                <w:lang w:val="sr-Cyrl-RS"/>
              </w:rPr>
              <w:t>2023.</w:t>
            </w:r>
          </w:p>
        </w:tc>
      </w:tr>
      <w:tr w:rsidR="00D41B60" w:rsidRPr="00CF77C1" w14:paraId="783DAB5C" w14:textId="77777777" w:rsidTr="00747A3E">
        <w:tc>
          <w:tcPr>
            <w:tcW w:w="5637" w:type="dxa"/>
            <w:shd w:val="clear" w:color="auto" w:fill="auto"/>
            <w:vAlign w:val="center"/>
          </w:tcPr>
          <w:p w14:paraId="6B9214A7" w14:textId="77777777" w:rsidR="00D41B60" w:rsidRPr="00CF77C1" w:rsidRDefault="00D41B60" w:rsidP="0080044B">
            <w:pPr>
              <w:spacing w:before="20" w:after="20"/>
              <w:jc w:val="left"/>
              <w:rPr>
                <w:lang w:val="sr-Cyrl-RS"/>
              </w:rPr>
            </w:pPr>
            <w:r w:rsidRPr="00CF77C1">
              <w:rPr>
                <w:lang w:val="sr-Cyrl-RS"/>
              </w:rPr>
              <w:t>Организациони и послови руковођења пројектом</w:t>
            </w:r>
          </w:p>
        </w:tc>
        <w:tc>
          <w:tcPr>
            <w:tcW w:w="2409" w:type="dxa"/>
            <w:vMerge w:val="restart"/>
            <w:shd w:val="clear" w:color="auto" w:fill="auto"/>
            <w:vAlign w:val="center"/>
          </w:tcPr>
          <w:p w14:paraId="5E2F4506" w14:textId="77777777" w:rsidR="00D41B60" w:rsidRPr="00CF77C1" w:rsidRDefault="00D41B60" w:rsidP="0080044B">
            <w:pPr>
              <w:spacing w:before="20" w:after="20"/>
              <w:jc w:val="left"/>
              <w:rPr>
                <w:lang w:val="sr-Cyrl-RS"/>
              </w:rPr>
            </w:pPr>
            <w:r w:rsidRPr="00CF77C1">
              <w:rPr>
                <w:lang w:val="sr-Cyrl-RS"/>
              </w:rPr>
              <w:t>ЕМС</w:t>
            </w:r>
          </w:p>
        </w:tc>
        <w:tc>
          <w:tcPr>
            <w:tcW w:w="972" w:type="dxa"/>
            <w:shd w:val="clear" w:color="auto" w:fill="auto"/>
            <w:vAlign w:val="center"/>
          </w:tcPr>
          <w:p w14:paraId="5677E8D8" w14:textId="6E273D63" w:rsidR="00D41B60" w:rsidRPr="00CF77C1" w:rsidRDefault="00D41B60" w:rsidP="0080044B">
            <w:pPr>
              <w:spacing w:before="20" w:after="20"/>
              <w:jc w:val="center"/>
              <w:rPr>
                <w:lang w:val="sr-Cyrl-RS"/>
              </w:rPr>
            </w:pPr>
            <w:r w:rsidRPr="00CF77C1">
              <w:rPr>
                <w:lang w:val="sr-Cyrl-RS"/>
              </w:rPr>
              <w:t>1-4</w:t>
            </w:r>
          </w:p>
        </w:tc>
        <w:tc>
          <w:tcPr>
            <w:tcW w:w="972" w:type="dxa"/>
            <w:shd w:val="clear" w:color="auto" w:fill="auto"/>
            <w:vAlign w:val="center"/>
          </w:tcPr>
          <w:p w14:paraId="512C955D" w14:textId="0E22227E" w:rsidR="00D41B60" w:rsidRPr="00CF77C1" w:rsidRDefault="00D41B60" w:rsidP="0080044B">
            <w:pPr>
              <w:spacing w:before="20" w:after="20"/>
              <w:jc w:val="center"/>
              <w:rPr>
                <w:lang w:val="sr-Cyrl-RS"/>
              </w:rPr>
            </w:pPr>
            <w:r w:rsidRPr="00CF77C1">
              <w:rPr>
                <w:lang w:val="sr-Cyrl-RS"/>
              </w:rPr>
              <w:t>1-4</w:t>
            </w:r>
          </w:p>
        </w:tc>
        <w:tc>
          <w:tcPr>
            <w:tcW w:w="972" w:type="dxa"/>
            <w:shd w:val="clear" w:color="auto" w:fill="auto"/>
            <w:vAlign w:val="center"/>
          </w:tcPr>
          <w:p w14:paraId="366AE408" w14:textId="4F497F49" w:rsidR="00D41B60" w:rsidRPr="00CF77C1" w:rsidRDefault="00D41B60" w:rsidP="0080044B">
            <w:pPr>
              <w:spacing w:before="20" w:after="20"/>
              <w:jc w:val="center"/>
              <w:rPr>
                <w:lang w:val="sr-Cyrl-RS"/>
              </w:rPr>
            </w:pPr>
            <w:r w:rsidRPr="00CF77C1">
              <w:rPr>
                <w:lang w:val="sr-Cyrl-RS"/>
              </w:rPr>
              <w:t>2-4</w:t>
            </w:r>
          </w:p>
        </w:tc>
        <w:tc>
          <w:tcPr>
            <w:tcW w:w="972" w:type="dxa"/>
            <w:shd w:val="clear" w:color="auto" w:fill="auto"/>
            <w:vAlign w:val="center"/>
          </w:tcPr>
          <w:p w14:paraId="3DBAD92E" w14:textId="3DF0C294" w:rsidR="00D41B60" w:rsidRPr="00CF77C1" w:rsidRDefault="00D41B60" w:rsidP="0080044B">
            <w:pPr>
              <w:spacing w:before="20" w:after="20"/>
              <w:jc w:val="center"/>
              <w:rPr>
                <w:lang w:val="sr-Cyrl-RS"/>
              </w:rPr>
            </w:pPr>
            <w:r w:rsidRPr="00CF77C1">
              <w:rPr>
                <w:lang w:val="sr-Cyrl-RS"/>
              </w:rPr>
              <w:t>2-4</w:t>
            </w:r>
          </w:p>
        </w:tc>
        <w:tc>
          <w:tcPr>
            <w:tcW w:w="972" w:type="dxa"/>
            <w:shd w:val="clear" w:color="auto" w:fill="auto"/>
            <w:vAlign w:val="center"/>
          </w:tcPr>
          <w:p w14:paraId="442A7E1F" w14:textId="4946A7B0" w:rsidR="00D41B60" w:rsidRPr="00CF77C1" w:rsidRDefault="00D41B60" w:rsidP="0080044B">
            <w:pPr>
              <w:spacing w:before="20" w:after="20"/>
              <w:jc w:val="center"/>
              <w:rPr>
                <w:lang w:val="sr-Cyrl-RS"/>
              </w:rPr>
            </w:pPr>
            <w:r w:rsidRPr="00CF77C1">
              <w:rPr>
                <w:lang w:val="sr-Cyrl-RS"/>
              </w:rPr>
              <w:t>3-4</w:t>
            </w:r>
          </w:p>
        </w:tc>
        <w:tc>
          <w:tcPr>
            <w:tcW w:w="972" w:type="dxa"/>
            <w:shd w:val="clear" w:color="auto" w:fill="auto"/>
            <w:vAlign w:val="center"/>
          </w:tcPr>
          <w:p w14:paraId="2D353EE2" w14:textId="1525FDA8" w:rsidR="00D41B60" w:rsidRPr="00CF77C1" w:rsidRDefault="00D41B60" w:rsidP="0080044B">
            <w:pPr>
              <w:spacing w:before="20" w:after="20"/>
              <w:jc w:val="center"/>
              <w:rPr>
                <w:lang w:val="sr-Cyrl-RS"/>
              </w:rPr>
            </w:pPr>
            <w:r w:rsidRPr="00CF77C1">
              <w:rPr>
                <w:lang w:val="sr-Cyrl-RS"/>
              </w:rPr>
              <w:t>3-4</w:t>
            </w:r>
          </w:p>
        </w:tc>
        <w:tc>
          <w:tcPr>
            <w:tcW w:w="972" w:type="dxa"/>
            <w:shd w:val="clear" w:color="auto" w:fill="auto"/>
            <w:vAlign w:val="center"/>
          </w:tcPr>
          <w:p w14:paraId="6EBA32D9" w14:textId="35DF9062" w:rsidR="00D41B60" w:rsidRPr="00CF77C1" w:rsidRDefault="00D41B60" w:rsidP="0080044B">
            <w:pPr>
              <w:spacing w:before="20" w:after="20"/>
              <w:jc w:val="center"/>
              <w:rPr>
                <w:lang w:val="sr-Cyrl-RS"/>
              </w:rPr>
            </w:pPr>
            <w:r w:rsidRPr="00CF77C1">
              <w:rPr>
                <w:lang w:val="sr-Cyrl-RS"/>
              </w:rPr>
              <w:t>3</w:t>
            </w:r>
            <w:r w:rsidR="00F91CE8" w:rsidRPr="00CF77C1">
              <w:rPr>
                <w:lang w:val="sr-Cyrl-RS"/>
              </w:rPr>
              <w:t>-4</w:t>
            </w:r>
          </w:p>
        </w:tc>
      </w:tr>
      <w:tr w:rsidR="00D41B60" w:rsidRPr="00CF77C1" w14:paraId="3CD2830E" w14:textId="77777777" w:rsidTr="00747A3E">
        <w:tc>
          <w:tcPr>
            <w:tcW w:w="5637" w:type="dxa"/>
            <w:shd w:val="clear" w:color="auto" w:fill="auto"/>
            <w:vAlign w:val="center"/>
          </w:tcPr>
          <w:p w14:paraId="70E3E46D" w14:textId="77777777" w:rsidR="00D41B60" w:rsidRPr="00CF77C1" w:rsidRDefault="00D41B60" w:rsidP="0080044B">
            <w:pPr>
              <w:spacing w:before="20" w:after="20"/>
              <w:jc w:val="left"/>
              <w:rPr>
                <w:lang w:val="sr-Cyrl-RS"/>
              </w:rPr>
            </w:pPr>
            <w:r w:rsidRPr="00CF77C1">
              <w:rPr>
                <w:lang w:val="sr-Cyrl-RS"/>
              </w:rPr>
              <w:t>Припрема просторно-планске документације</w:t>
            </w:r>
          </w:p>
        </w:tc>
        <w:tc>
          <w:tcPr>
            <w:tcW w:w="2409" w:type="dxa"/>
            <w:vMerge/>
            <w:shd w:val="clear" w:color="auto" w:fill="auto"/>
            <w:vAlign w:val="center"/>
          </w:tcPr>
          <w:p w14:paraId="71BF1B1C" w14:textId="77777777" w:rsidR="00D41B60" w:rsidRPr="00CF77C1" w:rsidRDefault="00D41B60" w:rsidP="0080044B">
            <w:pPr>
              <w:spacing w:before="20" w:after="20"/>
              <w:jc w:val="left"/>
              <w:rPr>
                <w:lang w:val="sr-Cyrl-RS"/>
              </w:rPr>
            </w:pPr>
          </w:p>
        </w:tc>
        <w:tc>
          <w:tcPr>
            <w:tcW w:w="972" w:type="dxa"/>
            <w:shd w:val="clear" w:color="auto" w:fill="auto"/>
            <w:vAlign w:val="center"/>
          </w:tcPr>
          <w:p w14:paraId="4B800891" w14:textId="7C5F6559" w:rsidR="00D41B60" w:rsidRPr="00CF77C1" w:rsidRDefault="00D41B60" w:rsidP="0080044B">
            <w:pPr>
              <w:spacing w:before="20" w:after="20"/>
              <w:jc w:val="center"/>
              <w:rPr>
                <w:lang w:val="sr-Cyrl-RS"/>
              </w:rPr>
            </w:pPr>
            <w:r w:rsidRPr="00CF77C1">
              <w:rPr>
                <w:lang w:val="sr-Cyrl-RS"/>
              </w:rPr>
              <w:t>4</w:t>
            </w:r>
          </w:p>
        </w:tc>
        <w:tc>
          <w:tcPr>
            <w:tcW w:w="972" w:type="dxa"/>
            <w:shd w:val="clear" w:color="auto" w:fill="auto"/>
            <w:vAlign w:val="center"/>
          </w:tcPr>
          <w:p w14:paraId="09D58536" w14:textId="4C2761EE" w:rsidR="00D41B60" w:rsidRPr="00CF77C1" w:rsidRDefault="00D41B60" w:rsidP="0080044B">
            <w:pPr>
              <w:spacing w:before="20" w:after="20"/>
              <w:jc w:val="center"/>
              <w:rPr>
                <w:lang w:val="sr-Cyrl-RS"/>
              </w:rPr>
            </w:pPr>
            <w:r w:rsidRPr="00CF77C1">
              <w:rPr>
                <w:lang w:val="sr-Cyrl-RS"/>
              </w:rPr>
              <w:t>4</w:t>
            </w:r>
          </w:p>
        </w:tc>
        <w:tc>
          <w:tcPr>
            <w:tcW w:w="972" w:type="dxa"/>
            <w:shd w:val="clear" w:color="auto" w:fill="auto"/>
            <w:vAlign w:val="center"/>
          </w:tcPr>
          <w:p w14:paraId="5F64169F" w14:textId="6BFAF717" w:rsidR="00D41B60" w:rsidRPr="00CF77C1" w:rsidRDefault="00D41B60" w:rsidP="0080044B">
            <w:pPr>
              <w:spacing w:before="20" w:after="20"/>
              <w:jc w:val="center"/>
              <w:rPr>
                <w:lang w:val="sr-Cyrl-RS"/>
              </w:rPr>
            </w:pPr>
            <w:r w:rsidRPr="00CF77C1">
              <w:rPr>
                <w:lang w:val="sr-Cyrl-RS"/>
              </w:rPr>
              <w:t>3-4</w:t>
            </w:r>
          </w:p>
        </w:tc>
        <w:tc>
          <w:tcPr>
            <w:tcW w:w="972" w:type="dxa"/>
            <w:shd w:val="clear" w:color="auto" w:fill="auto"/>
            <w:vAlign w:val="center"/>
          </w:tcPr>
          <w:p w14:paraId="1DC4BFD5" w14:textId="38B3EC9D" w:rsidR="00D41B60" w:rsidRPr="00CF77C1" w:rsidRDefault="00D41B60" w:rsidP="0080044B">
            <w:pPr>
              <w:spacing w:before="20" w:after="20"/>
              <w:jc w:val="center"/>
              <w:rPr>
                <w:lang w:val="sr-Cyrl-RS"/>
              </w:rPr>
            </w:pPr>
            <w:r w:rsidRPr="00CF77C1">
              <w:rPr>
                <w:lang w:val="sr-Cyrl-RS"/>
              </w:rPr>
              <w:t>3</w:t>
            </w:r>
          </w:p>
        </w:tc>
        <w:tc>
          <w:tcPr>
            <w:tcW w:w="972" w:type="dxa"/>
            <w:shd w:val="clear" w:color="auto" w:fill="auto"/>
            <w:vAlign w:val="center"/>
          </w:tcPr>
          <w:p w14:paraId="200021B4" w14:textId="4A7F020F" w:rsidR="00D41B60" w:rsidRPr="00CF77C1" w:rsidRDefault="00D41B60" w:rsidP="0080044B">
            <w:pPr>
              <w:spacing w:before="20" w:after="20"/>
              <w:jc w:val="center"/>
              <w:rPr>
                <w:lang w:val="sr-Cyrl-RS"/>
              </w:rPr>
            </w:pPr>
            <w:r w:rsidRPr="00CF77C1">
              <w:rPr>
                <w:lang w:val="sr-Cyrl-RS"/>
              </w:rPr>
              <w:t>3</w:t>
            </w:r>
          </w:p>
        </w:tc>
        <w:tc>
          <w:tcPr>
            <w:tcW w:w="972" w:type="dxa"/>
            <w:shd w:val="clear" w:color="auto" w:fill="auto"/>
            <w:vAlign w:val="center"/>
          </w:tcPr>
          <w:p w14:paraId="4019A944" w14:textId="057ECAD3" w:rsidR="00D41B60" w:rsidRPr="00CF77C1" w:rsidRDefault="00D41B60" w:rsidP="0080044B">
            <w:pPr>
              <w:spacing w:before="20" w:after="20"/>
              <w:jc w:val="center"/>
              <w:rPr>
                <w:lang w:val="sr-Cyrl-RS"/>
              </w:rPr>
            </w:pPr>
          </w:p>
        </w:tc>
        <w:tc>
          <w:tcPr>
            <w:tcW w:w="972" w:type="dxa"/>
            <w:shd w:val="clear" w:color="auto" w:fill="auto"/>
            <w:vAlign w:val="center"/>
          </w:tcPr>
          <w:p w14:paraId="337F7C5B" w14:textId="77777777" w:rsidR="00D41B60" w:rsidRPr="00CF77C1" w:rsidRDefault="00D41B60" w:rsidP="0080044B">
            <w:pPr>
              <w:spacing w:before="20" w:after="20"/>
              <w:jc w:val="center"/>
              <w:rPr>
                <w:lang w:val="sr-Cyrl-RS"/>
              </w:rPr>
            </w:pPr>
          </w:p>
        </w:tc>
      </w:tr>
      <w:tr w:rsidR="00D41B60" w:rsidRPr="00CF77C1" w14:paraId="32EA519E" w14:textId="77777777" w:rsidTr="00747A3E">
        <w:tc>
          <w:tcPr>
            <w:tcW w:w="5637" w:type="dxa"/>
            <w:shd w:val="clear" w:color="auto" w:fill="auto"/>
            <w:vAlign w:val="center"/>
          </w:tcPr>
          <w:p w14:paraId="72FA7B50" w14:textId="77777777" w:rsidR="00D41B60" w:rsidRPr="00CF77C1" w:rsidRDefault="00D41B60" w:rsidP="0080044B">
            <w:pPr>
              <w:spacing w:before="20" w:after="20"/>
              <w:jc w:val="left"/>
              <w:rPr>
                <w:lang w:val="sr-Cyrl-RS"/>
              </w:rPr>
            </w:pPr>
            <w:r w:rsidRPr="00CF77C1">
              <w:rPr>
                <w:lang w:val="sr-Cyrl-RS"/>
              </w:rPr>
              <w:t>Припрема техничке документације</w:t>
            </w:r>
          </w:p>
        </w:tc>
        <w:tc>
          <w:tcPr>
            <w:tcW w:w="2409" w:type="dxa"/>
            <w:vMerge/>
            <w:shd w:val="clear" w:color="auto" w:fill="auto"/>
          </w:tcPr>
          <w:p w14:paraId="0E5993FE" w14:textId="77777777" w:rsidR="00D41B60" w:rsidRPr="00CF77C1" w:rsidRDefault="00D41B60" w:rsidP="0080044B">
            <w:pPr>
              <w:spacing w:before="20" w:after="20"/>
              <w:rPr>
                <w:lang w:val="sr-Cyrl-RS"/>
              </w:rPr>
            </w:pPr>
          </w:p>
        </w:tc>
        <w:tc>
          <w:tcPr>
            <w:tcW w:w="972" w:type="dxa"/>
            <w:shd w:val="clear" w:color="auto" w:fill="auto"/>
            <w:vAlign w:val="center"/>
          </w:tcPr>
          <w:p w14:paraId="1D8F285B" w14:textId="31875655" w:rsidR="00D41B60" w:rsidRPr="00CF77C1" w:rsidRDefault="00D41B60" w:rsidP="0080044B">
            <w:pPr>
              <w:spacing w:before="20" w:after="20"/>
              <w:jc w:val="center"/>
              <w:rPr>
                <w:lang w:val="sr-Cyrl-RS"/>
              </w:rPr>
            </w:pPr>
            <w:r w:rsidRPr="00CF77C1">
              <w:rPr>
                <w:lang w:val="sr-Cyrl-RS"/>
              </w:rPr>
              <w:t>4</w:t>
            </w:r>
          </w:p>
        </w:tc>
        <w:tc>
          <w:tcPr>
            <w:tcW w:w="972" w:type="dxa"/>
            <w:shd w:val="clear" w:color="auto" w:fill="auto"/>
            <w:vAlign w:val="center"/>
          </w:tcPr>
          <w:p w14:paraId="180BDD90" w14:textId="3522836B" w:rsidR="00D41B60" w:rsidRPr="00CF77C1" w:rsidRDefault="00D41B60" w:rsidP="0080044B">
            <w:pPr>
              <w:spacing w:before="20" w:after="20"/>
              <w:jc w:val="center"/>
              <w:rPr>
                <w:lang w:val="sr-Cyrl-RS"/>
              </w:rPr>
            </w:pPr>
            <w:r w:rsidRPr="00CF77C1">
              <w:rPr>
                <w:lang w:val="sr-Cyrl-RS"/>
              </w:rPr>
              <w:t>3-4</w:t>
            </w:r>
          </w:p>
        </w:tc>
        <w:tc>
          <w:tcPr>
            <w:tcW w:w="972" w:type="dxa"/>
            <w:shd w:val="clear" w:color="auto" w:fill="auto"/>
            <w:vAlign w:val="center"/>
          </w:tcPr>
          <w:p w14:paraId="1A3FA120" w14:textId="2A2AF905" w:rsidR="00D41B60" w:rsidRPr="00CF77C1" w:rsidRDefault="00D41B60" w:rsidP="0080044B">
            <w:pPr>
              <w:spacing w:before="20" w:after="20"/>
              <w:jc w:val="center"/>
              <w:rPr>
                <w:lang w:val="sr-Cyrl-RS"/>
              </w:rPr>
            </w:pPr>
            <w:r w:rsidRPr="00CF77C1">
              <w:rPr>
                <w:lang w:val="sr-Cyrl-RS"/>
              </w:rPr>
              <w:t>3-4</w:t>
            </w:r>
          </w:p>
        </w:tc>
        <w:tc>
          <w:tcPr>
            <w:tcW w:w="972" w:type="dxa"/>
            <w:shd w:val="clear" w:color="auto" w:fill="auto"/>
            <w:vAlign w:val="center"/>
          </w:tcPr>
          <w:p w14:paraId="16150ADD" w14:textId="0ECCA6D0" w:rsidR="00D41B60" w:rsidRPr="00CF77C1" w:rsidRDefault="00D41B60" w:rsidP="0080044B">
            <w:pPr>
              <w:spacing w:before="20" w:after="20"/>
              <w:jc w:val="center"/>
              <w:rPr>
                <w:lang w:val="sr-Cyrl-RS"/>
              </w:rPr>
            </w:pPr>
            <w:r w:rsidRPr="00CF77C1">
              <w:rPr>
                <w:lang w:val="sr-Cyrl-RS"/>
              </w:rPr>
              <w:t>3</w:t>
            </w:r>
          </w:p>
        </w:tc>
        <w:tc>
          <w:tcPr>
            <w:tcW w:w="972" w:type="dxa"/>
            <w:shd w:val="clear" w:color="auto" w:fill="auto"/>
            <w:vAlign w:val="center"/>
          </w:tcPr>
          <w:p w14:paraId="404E89A4" w14:textId="0C7CE87F" w:rsidR="00D41B60" w:rsidRPr="00CF77C1" w:rsidRDefault="00D41B60" w:rsidP="0080044B">
            <w:pPr>
              <w:spacing w:before="20" w:after="20"/>
              <w:jc w:val="center"/>
              <w:rPr>
                <w:lang w:val="sr-Cyrl-RS"/>
              </w:rPr>
            </w:pPr>
            <w:r w:rsidRPr="00CF77C1">
              <w:rPr>
                <w:lang w:val="sr-Cyrl-RS"/>
              </w:rPr>
              <w:t>3</w:t>
            </w:r>
          </w:p>
        </w:tc>
        <w:tc>
          <w:tcPr>
            <w:tcW w:w="972" w:type="dxa"/>
            <w:shd w:val="clear" w:color="auto" w:fill="auto"/>
            <w:vAlign w:val="center"/>
          </w:tcPr>
          <w:p w14:paraId="20032BC0" w14:textId="2EF01632" w:rsidR="00D41B60" w:rsidRPr="00CF77C1" w:rsidRDefault="00D41B60" w:rsidP="0080044B">
            <w:pPr>
              <w:spacing w:before="20" w:after="20"/>
              <w:jc w:val="center"/>
              <w:rPr>
                <w:lang w:val="sr-Cyrl-RS"/>
              </w:rPr>
            </w:pPr>
          </w:p>
        </w:tc>
        <w:tc>
          <w:tcPr>
            <w:tcW w:w="972" w:type="dxa"/>
            <w:shd w:val="clear" w:color="auto" w:fill="auto"/>
            <w:vAlign w:val="center"/>
          </w:tcPr>
          <w:p w14:paraId="34B2300E" w14:textId="77777777" w:rsidR="00D41B60" w:rsidRPr="00CF77C1" w:rsidRDefault="00D41B60" w:rsidP="0080044B">
            <w:pPr>
              <w:spacing w:before="20" w:after="20"/>
              <w:jc w:val="center"/>
              <w:rPr>
                <w:lang w:val="sr-Cyrl-RS"/>
              </w:rPr>
            </w:pPr>
          </w:p>
        </w:tc>
      </w:tr>
      <w:tr w:rsidR="00D41B60" w:rsidRPr="00CF77C1" w14:paraId="030F84A1" w14:textId="77777777" w:rsidTr="00747A3E">
        <w:tc>
          <w:tcPr>
            <w:tcW w:w="5637" w:type="dxa"/>
            <w:shd w:val="clear" w:color="auto" w:fill="auto"/>
            <w:vAlign w:val="center"/>
          </w:tcPr>
          <w:p w14:paraId="6249EDA4" w14:textId="77777777" w:rsidR="00D41B60" w:rsidRPr="00CF77C1" w:rsidRDefault="00D41B60" w:rsidP="0080044B">
            <w:pPr>
              <w:keepNext/>
              <w:keepLines/>
              <w:spacing w:before="20" w:after="20"/>
              <w:jc w:val="left"/>
              <w:rPr>
                <w:lang w:val="sr-Cyrl-RS"/>
              </w:rPr>
            </w:pPr>
            <w:r w:rsidRPr="00CF77C1">
              <w:rPr>
                <w:lang w:val="sr-Cyrl-RS"/>
              </w:rPr>
              <w:t>Студија утицаја на животну средину и друштво</w:t>
            </w:r>
          </w:p>
        </w:tc>
        <w:tc>
          <w:tcPr>
            <w:tcW w:w="2409" w:type="dxa"/>
            <w:vMerge/>
            <w:shd w:val="clear" w:color="auto" w:fill="auto"/>
          </w:tcPr>
          <w:p w14:paraId="492EA536" w14:textId="77777777" w:rsidR="00D41B60" w:rsidRPr="00CF77C1" w:rsidRDefault="00D41B60" w:rsidP="0080044B">
            <w:pPr>
              <w:keepNext/>
              <w:keepLines/>
              <w:spacing w:before="20" w:after="20"/>
              <w:rPr>
                <w:lang w:val="sr-Cyrl-RS"/>
              </w:rPr>
            </w:pPr>
          </w:p>
        </w:tc>
        <w:tc>
          <w:tcPr>
            <w:tcW w:w="972" w:type="dxa"/>
            <w:shd w:val="clear" w:color="auto" w:fill="auto"/>
            <w:vAlign w:val="center"/>
          </w:tcPr>
          <w:p w14:paraId="1D84F364" w14:textId="7A4BE106" w:rsidR="00D41B60" w:rsidRPr="00CF77C1" w:rsidRDefault="00D41B60" w:rsidP="0080044B">
            <w:pPr>
              <w:spacing w:before="20" w:after="20"/>
              <w:jc w:val="center"/>
              <w:rPr>
                <w:lang w:val="sr-Cyrl-RS"/>
              </w:rPr>
            </w:pPr>
            <w:r w:rsidRPr="00CF77C1">
              <w:rPr>
                <w:lang w:val="sr-Cyrl-RS"/>
              </w:rPr>
              <w:t>3</w:t>
            </w:r>
          </w:p>
        </w:tc>
        <w:tc>
          <w:tcPr>
            <w:tcW w:w="972" w:type="dxa"/>
            <w:shd w:val="clear" w:color="auto" w:fill="auto"/>
            <w:vAlign w:val="center"/>
          </w:tcPr>
          <w:p w14:paraId="107A16F4" w14:textId="77777777" w:rsidR="00D41B60" w:rsidRPr="00CF77C1" w:rsidRDefault="00D41B60" w:rsidP="0080044B">
            <w:pPr>
              <w:keepNext/>
              <w:keepLines/>
              <w:spacing w:before="20" w:after="20"/>
              <w:jc w:val="center"/>
              <w:rPr>
                <w:lang w:val="sr-Cyrl-RS"/>
              </w:rPr>
            </w:pPr>
          </w:p>
        </w:tc>
        <w:tc>
          <w:tcPr>
            <w:tcW w:w="972" w:type="dxa"/>
            <w:shd w:val="clear" w:color="auto" w:fill="auto"/>
            <w:vAlign w:val="center"/>
          </w:tcPr>
          <w:p w14:paraId="36CF3707" w14:textId="77777777" w:rsidR="00D41B60" w:rsidRPr="00CF77C1" w:rsidRDefault="00D41B60" w:rsidP="0080044B">
            <w:pPr>
              <w:keepNext/>
              <w:keepLines/>
              <w:spacing w:before="20" w:after="20"/>
              <w:jc w:val="center"/>
              <w:rPr>
                <w:lang w:val="sr-Cyrl-RS"/>
              </w:rPr>
            </w:pPr>
          </w:p>
        </w:tc>
        <w:tc>
          <w:tcPr>
            <w:tcW w:w="972" w:type="dxa"/>
            <w:shd w:val="clear" w:color="auto" w:fill="auto"/>
            <w:vAlign w:val="center"/>
          </w:tcPr>
          <w:p w14:paraId="467EDDB6" w14:textId="77777777" w:rsidR="00D41B60" w:rsidRPr="00CF77C1" w:rsidRDefault="00D41B60" w:rsidP="0080044B">
            <w:pPr>
              <w:keepNext/>
              <w:keepLines/>
              <w:spacing w:before="20" w:after="20"/>
              <w:jc w:val="center"/>
              <w:rPr>
                <w:lang w:val="sr-Cyrl-RS"/>
              </w:rPr>
            </w:pPr>
          </w:p>
        </w:tc>
        <w:tc>
          <w:tcPr>
            <w:tcW w:w="972" w:type="dxa"/>
            <w:shd w:val="clear" w:color="auto" w:fill="auto"/>
            <w:vAlign w:val="center"/>
          </w:tcPr>
          <w:p w14:paraId="0C0C649D" w14:textId="77777777" w:rsidR="00D41B60" w:rsidRPr="00CF77C1" w:rsidRDefault="00D41B60" w:rsidP="0080044B">
            <w:pPr>
              <w:keepNext/>
              <w:keepLines/>
              <w:spacing w:before="20" w:after="20"/>
              <w:jc w:val="center"/>
              <w:rPr>
                <w:lang w:val="sr-Cyrl-RS"/>
              </w:rPr>
            </w:pPr>
          </w:p>
        </w:tc>
        <w:tc>
          <w:tcPr>
            <w:tcW w:w="972" w:type="dxa"/>
            <w:shd w:val="clear" w:color="auto" w:fill="auto"/>
            <w:vAlign w:val="center"/>
          </w:tcPr>
          <w:p w14:paraId="527C982D" w14:textId="77777777" w:rsidR="00D41B60" w:rsidRPr="00CF77C1" w:rsidRDefault="00D41B60" w:rsidP="0080044B">
            <w:pPr>
              <w:keepNext/>
              <w:keepLines/>
              <w:spacing w:before="20" w:after="20"/>
              <w:jc w:val="center"/>
              <w:rPr>
                <w:lang w:val="sr-Cyrl-RS"/>
              </w:rPr>
            </w:pPr>
          </w:p>
        </w:tc>
        <w:tc>
          <w:tcPr>
            <w:tcW w:w="972" w:type="dxa"/>
            <w:shd w:val="clear" w:color="auto" w:fill="auto"/>
            <w:vAlign w:val="center"/>
          </w:tcPr>
          <w:p w14:paraId="10E6D895" w14:textId="77777777" w:rsidR="00D41B60" w:rsidRPr="00CF77C1" w:rsidRDefault="00D41B60" w:rsidP="0080044B">
            <w:pPr>
              <w:keepNext/>
              <w:keepLines/>
              <w:spacing w:before="20" w:after="20"/>
              <w:jc w:val="center"/>
              <w:rPr>
                <w:lang w:val="sr-Cyrl-RS"/>
              </w:rPr>
            </w:pPr>
          </w:p>
        </w:tc>
      </w:tr>
      <w:tr w:rsidR="00D41B60" w:rsidRPr="00CF77C1" w14:paraId="43D9AF8B" w14:textId="77777777" w:rsidTr="00747A3E">
        <w:tc>
          <w:tcPr>
            <w:tcW w:w="5637" w:type="dxa"/>
            <w:shd w:val="clear" w:color="auto" w:fill="auto"/>
            <w:vAlign w:val="center"/>
          </w:tcPr>
          <w:p w14:paraId="055FC652" w14:textId="77777777" w:rsidR="00D41B60" w:rsidRPr="00CF77C1" w:rsidRDefault="00D41B60" w:rsidP="0080044B">
            <w:pPr>
              <w:spacing w:before="20" w:after="20"/>
              <w:jc w:val="left"/>
              <w:rPr>
                <w:lang w:val="sr-Cyrl-RS"/>
              </w:rPr>
            </w:pPr>
            <w:r w:rsidRPr="00CF77C1">
              <w:rPr>
                <w:lang w:val="sr-Cyrl-RS"/>
              </w:rPr>
              <w:t>Дозволе</w:t>
            </w:r>
          </w:p>
        </w:tc>
        <w:tc>
          <w:tcPr>
            <w:tcW w:w="2409" w:type="dxa"/>
            <w:vMerge/>
            <w:shd w:val="clear" w:color="auto" w:fill="auto"/>
          </w:tcPr>
          <w:p w14:paraId="4647E340" w14:textId="77777777" w:rsidR="00D41B60" w:rsidRPr="00CF77C1" w:rsidRDefault="00D41B60" w:rsidP="0080044B">
            <w:pPr>
              <w:spacing w:before="20" w:after="20"/>
              <w:rPr>
                <w:lang w:val="sr-Cyrl-RS"/>
              </w:rPr>
            </w:pPr>
          </w:p>
        </w:tc>
        <w:tc>
          <w:tcPr>
            <w:tcW w:w="972" w:type="dxa"/>
            <w:shd w:val="clear" w:color="auto" w:fill="auto"/>
            <w:vAlign w:val="center"/>
          </w:tcPr>
          <w:p w14:paraId="4EE5E635" w14:textId="69AC1062" w:rsidR="00D41B60" w:rsidRPr="00CF77C1" w:rsidRDefault="00D41B60" w:rsidP="0080044B">
            <w:pPr>
              <w:spacing w:before="20" w:after="20"/>
              <w:jc w:val="center"/>
              <w:rPr>
                <w:lang w:val="sr-Cyrl-RS"/>
              </w:rPr>
            </w:pPr>
            <w:r w:rsidRPr="00CF77C1">
              <w:rPr>
                <w:lang w:val="sr-Cyrl-RS"/>
              </w:rPr>
              <w:t>2</w:t>
            </w:r>
          </w:p>
        </w:tc>
        <w:tc>
          <w:tcPr>
            <w:tcW w:w="972" w:type="dxa"/>
            <w:shd w:val="clear" w:color="auto" w:fill="auto"/>
            <w:vAlign w:val="center"/>
          </w:tcPr>
          <w:p w14:paraId="64BD533F" w14:textId="7CDE18E1" w:rsidR="00D41B60" w:rsidRPr="00CF77C1" w:rsidRDefault="00D41B60" w:rsidP="0080044B">
            <w:pPr>
              <w:spacing w:before="20" w:after="20"/>
              <w:jc w:val="center"/>
              <w:rPr>
                <w:lang w:val="sr-Cyrl-RS"/>
              </w:rPr>
            </w:pPr>
            <w:r w:rsidRPr="00CF77C1">
              <w:rPr>
                <w:lang w:val="sr-Cyrl-RS"/>
              </w:rPr>
              <w:t>4</w:t>
            </w:r>
          </w:p>
        </w:tc>
        <w:tc>
          <w:tcPr>
            <w:tcW w:w="972" w:type="dxa"/>
            <w:shd w:val="clear" w:color="auto" w:fill="auto"/>
            <w:vAlign w:val="center"/>
          </w:tcPr>
          <w:p w14:paraId="4E2F897A" w14:textId="549D2006" w:rsidR="00D41B60" w:rsidRPr="00CF77C1" w:rsidRDefault="00D41B60" w:rsidP="0080044B">
            <w:pPr>
              <w:spacing w:before="20" w:after="20"/>
              <w:jc w:val="center"/>
              <w:rPr>
                <w:lang w:val="sr-Cyrl-RS"/>
              </w:rPr>
            </w:pPr>
            <w:r w:rsidRPr="00CF77C1">
              <w:rPr>
                <w:lang w:val="sr-Cyrl-RS"/>
              </w:rPr>
              <w:t>4</w:t>
            </w:r>
          </w:p>
        </w:tc>
        <w:tc>
          <w:tcPr>
            <w:tcW w:w="972" w:type="dxa"/>
            <w:shd w:val="clear" w:color="auto" w:fill="auto"/>
            <w:vAlign w:val="center"/>
          </w:tcPr>
          <w:p w14:paraId="10B9F540" w14:textId="4A7BE6A0" w:rsidR="00D41B60" w:rsidRPr="00CF77C1" w:rsidRDefault="00D41B60" w:rsidP="0080044B">
            <w:pPr>
              <w:spacing w:before="20" w:after="20"/>
              <w:jc w:val="center"/>
              <w:rPr>
                <w:lang w:val="sr-Cyrl-RS"/>
              </w:rPr>
            </w:pPr>
            <w:r w:rsidRPr="00CF77C1">
              <w:rPr>
                <w:lang w:val="sr-Cyrl-RS"/>
              </w:rPr>
              <w:t>3-4</w:t>
            </w:r>
          </w:p>
        </w:tc>
        <w:tc>
          <w:tcPr>
            <w:tcW w:w="972" w:type="dxa"/>
            <w:shd w:val="clear" w:color="auto" w:fill="auto"/>
            <w:vAlign w:val="center"/>
          </w:tcPr>
          <w:p w14:paraId="49024941" w14:textId="7CC654BA" w:rsidR="00D41B60" w:rsidRPr="00CF77C1" w:rsidRDefault="00D41B60" w:rsidP="0080044B">
            <w:pPr>
              <w:spacing w:before="20" w:after="20"/>
              <w:jc w:val="center"/>
              <w:rPr>
                <w:lang w:val="sr-Cyrl-RS"/>
              </w:rPr>
            </w:pPr>
            <w:r w:rsidRPr="00CF77C1">
              <w:rPr>
                <w:lang w:val="sr-Cyrl-RS"/>
              </w:rPr>
              <w:t>3</w:t>
            </w:r>
          </w:p>
        </w:tc>
        <w:tc>
          <w:tcPr>
            <w:tcW w:w="972" w:type="dxa"/>
            <w:shd w:val="clear" w:color="auto" w:fill="auto"/>
            <w:vAlign w:val="center"/>
          </w:tcPr>
          <w:p w14:paraId="77C11482" w14:textId="5FAD60C6" w:rsidR="00D41B60" w:rsidRPr="00CF77C1" w:rsidRDefault="00D41B60" w:rsidP="0080044B">
            <w:pPr>
              <w:spacing w:before="20" w:after="20"/>
              <w:jc w:val="center"/>
              <w:rPr>
                <w:lang w:val="sr-Cyrl-RS"/>
              </w:rPr>
            </w:pPr>
          </w:p>
        </w:tc>
        <w:tc>
          <w:tcPr>
            <w:tcW w:w="972" w:type="dxa"/>
            <w:shd w:val="clear" w:color="auto" w:fill="auto"/>
            <w:vAlign w:val="center"/>
          </w:tcPr>
          <w:p w14:paraId="453CAD85" w14:textId="196679DA" w:rsidR="00D41B60" w:rsidRPr="00CF77C1" w:rsidRDefault="00D41B60" w:rsidP="0080044B">
            <w:pPr>
              <w:spacing w:before="20" w:after="20"/>
              <w:jc w:val="center"/>
              <w:rPr>
                <w:lang w:val="sr-Cyrl-RS"/>
              </w:rPr>
            </w:pPr>
          </w:p>
        </w:tc>
      </w:tr>
      <w:tr w:rsidR="00D41B60" w:rsidRPr="00CF77C1" w14:paraId="3ED8BA83" w14:textId="77777777" w:rsidTr="00747A3E">
        <w:tc>
          <w:tcPr>
            <w:tcW w:w="5637" w:type="dxa"/>
            <w:shd w:val="clear" w:color="auto" w:fill="auto"/>
            <w:vAlign w:val="center"/>
          </w:tcPr>
          <w:p w14:paraId="11303460" w14:textId="77777777" w:rsidR="00D41B60" w:rsidRPr="00CF77C1" w:rsidRDefault="00D41B60" w:rsidP="0080044B">
            <w:pPr>
              <w:spacing w:before="20" w:after="20"/>
              <w:jc w:val="left"/>
              <w:rPr>
                <w:lang w:val="sr-Cyrl-RS"/>
              </w:rPr>
            </w:pPr>
            <w:r w:rsidRPr="00CF77C1">
              <w:rPr>
                <w:lang w:val="sr-Cyrl-RS"/>
              </w:rPr>
              <w:t>Реализација градње и пуштање у пробни рад</w:t>
            </w:r>
          </w:p>
        </w:tc>
        <w:tc>
          <w:tcPr>
            <w:tcW w:w="2409" w:type="dxa"/>
            <w:vMerge/>
            <w:shd w:val="clear" w:color="auto" w:fill="auto"/>
          </w:tcPr>
          <w:p w14:paraId="0156084B" w14:textId="77777777" w:rsidR="00D41B60" w:rsidRPr="00CF77C1" w:rsidRDefault="00D41B60" w:rsidP="0080044B">
            <w:pPr>
              <w:spacing w:before="20" w:after="20"/>
              <w:rPr>
                <w:lang w:val="sr-Cyrl-RS"/>
              </w:rPr>
            </w:pPr>
          </w:p>
        </w:tc>
        <w:tc>
          <w:tcPr>
            <w:tcW w:w="972" w:type="dxa"/>
            <w:shd w:val="clear" w:color="auto" w:fill="auto"/>
            <w:vAlign w:val="center"/>
          </w:tcPr>
          <w:p w14:paraId="5C88C850" w14:textId="190EC040" w:rsidR="00D41B60" w:rsidRPr="00CF77C1" w:rsidRDefault="00D41B60" w:rsidP="0080044B">
            <w:pPr>
              <w:spacing w:before="20" w:after="20"/>
              <w:jc w:val="center"/>
              <w:rPr>
                <w:lang w:val="sr-Cyrl-RS"/>
              </w:rPr>
            </w:pPr>
            <w:r w:rsidRPr="00CF77C1">
              <w:rPr>
                <w:lang w:val="sr-Cyrl-RS"/>
              </w:rPr>
              <w:t>1</w:t>
            </w:r>
          </w:p>
        </w:tc>
        <w:tc>
          <w:tcPr>
            <w:tcW w:w="972" w:type="dxa"/>
            <w:shd w:val="clear" w:color="auto" w:fill="auto"/>
            <w:vAlign w:val="center"/>
          </w:tcPr>
          <w:p w14:paraId="06797F35" w14:textId="13611E6C" w:rsidR="00D41B60" w:rsidRPr="00CF77C1" w:rsidRDefault="00D41B60" w:rsidP="0080044B">
            <w:pPr>
              <w:spacing w:before="20" w:after="20"/>
              <w:jc w:val="center"/>
              <w:rPr>
                <w:lang w:val="sr-Cyrl-RS"/>
              </w:rPr>
            </w:pPr>
            <w:r w:rsidRPr="00CF77C1">
              <w:rPr>
                <w:lang w:val="sr-Cyrl-RS"/>
              </w:rPr>
              <w:t>1-2</w:t>
            </w:r>
          </w:p>
        </w:tc>
        <w:tc>
          <w:tcPr>
            <w:tcW w:w="972" w:type="dxa"/>
            <w:shd w:val="clear" w:color="auto" w:fill="auto"/>
            <w:vAlign w:val="center"/>
          </w:tcPr>
          <w:p w14:paraId="7E11C088" w14:textId="0E9531E2" w:rsidR="00D41B60" w:rsidRPr="00CF77C1" w:rsidRDefault="00D41B60" w:rsidP="0080044B">
            <w:pPr>
              <w:spacing w:before="20" w:after="20"/>
              <w:jc w:val="center"/>
              <w:rPr>
                <w:lang w:val="sr-Cyrl-RS"/>
              </w:rPr>
            </w:pPr>
            <w:r w:rsidRPr="00CF77C1">
              <w:rPr>
                <w:lang w:val="sr-Cyrl-RS"/>
              </w:rPr>
              <w:t>2</w:t>
            </w:r>
          </w:p>
        </w:tc>
        <w:tc>
          <w:tcPr>
            <w:tcW w:w="972" w:type="dxa"/>
            <w:shd w:val="clear" w:color="auto" w:fill="auto"/>
            <w:vAlign w:val="center"/>
          </w:tcPr>
          <w:p w14:paraId="0A142F06" w14:textId="0CA758F6" w:rsidR="00D41B60" w:rsidRPr="00CF77C1" w:rsidRDefault="00D41B60" w:rsidP="0080044B">
            <w:pPr>
              <w:spacing w:before="20" w:after="20"/>
              <w:jc w:val="center"/>
              <w:rPr>
                <w:lang w:val="sr-Cyrl-RS"/>
              </w:rPr>
            </w:pPr>
            <w:r w:rsidRPr="00CF77C1">
              <w:rPr>
                <w:lang w:val="sr-Cyrl-RS"/>
              </w:rPr>
              <w:t>2</w:t>
            </w:r>
          </w:p>
        </w:tc>
        <w:tc>
          <w:tcPr>
            <w:tcW w:w="972" w:type="dxa"/>
            <w:shd w:val="clear" w:color="auto" w:fill="auto"/>
            <w:vAlign w:val="center"/>
          </w:tcPr>
          <w:p w14:paraId="435CB858" w14:textId="7BDC0D46" w:rsidR="00D41B60" w:rsidRPr="00CF77C1" w:rsidRDefault="00D41B60" w:rsidP="0080044B">
            <w:pPr>
              <w:spacing w:before="20" w:after="20"/>
              <w:jc w:val="center"/>
              <w:rPr>
                <w:lang w:val="sr-Cyrl-RS"/>
              </w:rPr>
            </w:pPr>
            <w:r w:rsidRPr="00CF77C1">
              <w:rPr>
                <w:lang w:val="sr-Cyrl-RS"/>
              </w:rPr>
              <w:t>4</w:t>
            </w:r>
          </w:p>
        </w:tc>
        <w:tc>
          <w:tcPr>
            <w:tcW w:w="972" w:type="dxa"/>
            <w:shd w:val="clear" w:color="auto" w:fill="auto"/>
            <w:vAlign w:val="center"/>
          </w:tcPr>
          <w:p w14:paraId="5718E687" w14:textId="5766F8ED" w:rsidR="00D41B60" w:rsidRPr="00CF77C1" w:rsidRDefault="00D41B60" w:rsidP="0080044B">
            <w:pPr>
              <w:spacing w:before="20" w:after="20"/>
              <w:jc w:val="center"/>
              <w:rPr>
                <w:lang w:val="sr-Cyrl-RS"/>
              </w:rPr>
            </w:pPr>
            <w:r w:rsidRPr="00CF77C1">
              <w:rPr>
                <w:lang w:val="sr-Cyrl-RS"/>
              </w:rPr>
              <w:t>3-4</w:t>
            </w:r>
          </w:p>
        </w:tc>
        <w:tc>
          <w:tcPr>
            <w:tcW w:w="972" w:type="dxa"/>
            <w:shd w:val="clear" w:color="auto" w:fill="auto"/>
            <w:vAlign w:val="center"/>
          </w:tcPr>
          <w:p w14:paraId="7150ABB9" w14:textId="5719A301" w:rsidR="00D41B60" w:rsidRPr="00CF77C1" w:rsidRDefault="00D41B60" w:rsidP="0080044B">
            <w:pPr>
              <w:spacing w:before="20" w:after="20"/>
              <w:jc w:val="center"/>
              <w:rPr>
                <w:lang w:val="sr-Cyrl-RS"/>
              </w:rPr>
            </w:pPr>
            <w:r w:rsidRPr="00CF77C1">
              <w:rPr>
                <w:lang w:val="sr-Cyrl-RS"/>
              </w:rPr>
              <w:t>3-4</w:t>
            </w:r>
          </w:p>
        </w:tc>
      </w:tr>
    </w:tbl>
    <w:p w14:paraId="1B78196C" w14:textId="77777777" w:rsidR="002E3868" w:rsidRPr="00CF77C1" w:rsidRDefault="002E3868" w:rsidP="0080044B">
      <w:pPr>
        <w:rPr>
          <w:lang w:val="sr-Cyrl-RS"/>
        </w:rPr>
        <w:sectPr w:rsidR="002E3868" w:rsidRPr="00CF77C1" w:rsidSect="00017454">
          <w:headerReference w:type="default" r:id="rId15"/>
          <w:footerReference w:type="even" r:id="rId16"/>
          <w:footerReference w:type="default" r:id="rId17"/>
          <w:pgSz w:w="16839" w:h="11907" w:orient="landscape" w:code="9"/>
          <w:pgMar w:top="1418" w:right="1134" w:bottom="1134" w:left="1134" w:header="1004" w:footer="720" w:gutter="0"/>
          <w:cols w:space="720"/>
          <w:docGrid w:linePitch="360"/>
        </w:sectPr>
      </w:pPr>
    </w:p>
    <w:p w14:paraId="6973F1F0" w14:textId="736F0154" w:rsidR="00096A0D" w:rsidRPr="00CF77C1" w:rsidRDefault="00096A0D" w:rsidP="004C168D">
      <w:pPr>
        <w:pStyle w:val="ListParagraph"/>
        <w:keepNext/>
        <w:numPr>
          <w:ilvl w:val="0"/>
          <w:numId w:val="14"/>
        </w:numPr>
        <w:ind w:left="0" w:right="175" w:firstLine="720"/>
        <w:rPr>
          <w:lang w:val="sr-Cyrl-RS"/>
        </w:rPr>
      </w:pPr>
      <w:bookmarkStart w:id="34" w:name="_Ref476805994"/>
      <w:r w:rsidRPr="00CF77C1">
        <w:rPr>
          <w:lang w:val="sr-Cyrl-RS"/>
        </w:rPr>
        <w:t xml:space="preserve">Пројекат реконструкције </w:t>
      </w:r>
      <w:r w:rsidR="00510825" w:rsidRPr="00CF77C1">
        <w:rPr>
          <w:lang w:val="sr-Cyrl-RS"/>
        </w:rPr>
        <w:t xml:space="preserve">електроенергетских водова </w:t>
      </w:r>
      <w:r w:rsidRPr="00CF77C1">
        <w:rPr>
          <w:lang w:val="sr-Cyrl-RS"/>
        </w:rPr>
        <w:t>110 kV у циљу повећања сигурности напајања и повећања ефикасности преноса електричне енергије на напонском нивоу 110 kV</w:t>
      </w:r>
      <w:bookmarkEnd w:id="34"/>
    </w:p>
    <w:p w14:paraId="20157CC0" w14:textId="6109AE92" w:rsidR="00096A0D" w:rsidRPr="00CF77C1" w:rsidRDefault="003C695D" w:rsidP="004C168D">
      <w:pPr>
        <w:ind w:firstLine="720"/>
        <w:rPr>
          <w:lang w:val="sr-Cyrl-RS"/>
        </w:rPr>
      </w:pPr>
      <w:r w:rsidRPr="00CF77C1">
        <w:rPr>
          <w:lang w:val="sr-Cyrl-RS"/>
        </w:rPr>
        <w:t xml:space="preserve">Преко 2000 km надземних </w:t>
      </w:r>
      <w:r w:rsidR="00510825" w:rsidRPr="00CF77C1">
        <w:rPr>
          <w:lang w:val="sr-Cyrl-RS"/>
        </w:rPr>
        <w:t xml:space="preserve">електроенергетских </w:t>
      </w:r>
      <w:r w:rsidRPr="00CF77C1">
        <w:rPr>
          <w:lang w:val="sr-Cyrl-RS"/>
        </w:rPr>
        <w:t xml:space="preserve">водова 110 kV у преносној мрежи изграђено је пре више од 50 година. Иако су у међувремену </w:t>
      </w:r>
      <w:r w:rsidR="00510825" w:rsidRPr="00CF77C1">
        <w:rPr>
          <w:lang w:val="sr-Cyrl-RS"/>
        </w:rPr>
        <w:t>неки</w:t>
      </w:r>
      <w:r w:rsidRPr="00CF77C1">
        <w:rPr>
          <w:lang w:val="sr-Cyrl-RS"/>
        </w:rPr>
        <w:t xml:space="preserve"> од њих </w:t>
      </w:r>
      <w:r w:rsidR="00510825" w:rsidRPr="00CF77C1">
        <w:rPr>
          <w:lang w:val="sr-Cyrl-RS"/>
        </w:rPr>
        <w:t>реконструисани</w:t>
      </w:r>
      <w:r w:rsidRPr="00CF77C1">
        <w:rPr>
          <w:lang w:val="sr-Cyrl-RS"/>
        </w:rPr>
        <w:t xml:space="preserve">, у питању </w:t>
      </w:r>
      <w:r w:rsidR="00510825" w:rsidRPr="00CF77C1">
        <w:rPr>
          <w:lang w:val="sr-Cyrl-RS"/>
        </w:rPr>
        <w:t xml:space="preserve">су биле </w:t>
      </w:r>
      <w:r w:rsidR="00846443" w:rsidRPr="00CF77C1">
        <w:rPr>
          <w:lang w:val="sr-Cyrl-RS"/>
        </w:rPr>
        <w:t xml:space="preserve">замене дотрајалих проводника, а </w:t>
      </w:r>
      <w:r w:rsidR="00510825" w:rsidRPr="00CF77C1">
        <w:rPr>
          <w:lang w:val="sr-Cyrl-RS"/>
        </w:rPr>
        <w:t>врло ретко замена</w:t>
      </w:r>
      <w:r w:rsidR="00846443" w:rsidRPr="00CF77C1">
        <w:rPr>
          <w:lang w:val="sr-Cyrl-RS"/>
        </w:rPr>
        <w:t xml:space="preserve"> стубова. Велики број </w:t>
      </w:r>
      <w:r w:rsidR="00510825" w:rsidRPr="00CF77C1">
        <w:rPr>
          <w:lang w:val="sr-Cyrl-RS"/>
        </w:rPr>
        <w:t xml:space="preserve">електроенергетских </w:t>
      </w:r>
      <w:r w:rsidR="00846443" w:rsidRPr="00CF77C1">
        <w:rPr>
          <w:lang w:val="sr-Cyrl-RS"/>
        </w:rPr>
        <w:t>водова је</w:t>
      </w:r>
      <w:r w:rsidR="001B761F" w:rsidRPr="00CF77C1">
        <w:rPr>
          <w:lang w:val="sr-Cyrl-RS"/>
        </w:rPr>
        <w:t xml:space="preserve"> изграђен на бетонским стубовима и</w:t>
      </w:r>
      <w:r w:rsidR="00846443" w:rsidRPr="00CF77C1">
        <w:rPr>
          <w:lang w:val="sr-Cyrl-RS"/>
        </w:rPr>
        <w:t xml:space="preserve"> пролази угроженим трасама</w:t>
      </w:r>
      <w:r w:rsidR="001B761F" w:rsidRPr="00CF77C1">
        <w:rPr>
          <w:lang w:val="sr-Cyrl-RS"/>
        </w:rPr>
        <w:t>,</w:t>
      </w:r>
      <w:r w:rsidR="00846443" w:rsidRPr="00CF77C1">
        <w:rPr>
          <w:lang w:val="sr-Cyrl-RS"/>
        </w:rPr>
        <w:t xml:space="preserve"> </w:t>
      </w:r>
      <w:r w:rsidR="00510825" w:rsidRPr="00CF77C1">
        <w:rPr>
          <w:lang w:val="sr-Cyrl-RS"/>
        </w:rPr>
        <w:t>што за последицу</w:t>
      </w:r>
      <w:r w:rsidR="00C94D50" w:rsidRPr="00CF77C1">
        <w:rPr>
          <w:lang w:val="sr-Cyrl-RS"/>
        </w:rPr>
        <w:t xml:space="preserve"> има смањењ</w:t>
      </w:r>
      <w:r w:rsidR="001B761F" w:rsidRPr="00CF77C1">
        <w:rPr>
          <w:lang w:val="sr-Cyrl-RS"/>
        </w:rPr>
        <w:t>е показатеља</w:t>
      </w:r>
      <w:r w:rsidR="00846443" w:rsidRPr="00CF77C1">
        <w:rPr>
          <w:lang w:val="sr-Cyrl-RS"/>
        </w:rPr>
        <w:t xml:space="preserve"> поузданос</w:t>
      </w:r>
      <w:r w:rsidR="00510825" w:rsidRPr="00CF77C1">
        <w:rPr>
          <w:lang w:val="sr-Cyrl-RS"/>
        </w:rPr>
        <w:t>ти напајања. Да би се обезбедио</w:t>
      </w:r>
      <w:r w:rsidR="00846443" w:rsidRPr="00CF77C1">
        <w:rPr>
          <w:lang w:val="sr-Cyrl-RS"/>
        </w:rPr>
        <w:t xml:space="preserve"> задовољавајући ниво поузданости напајања преносном мрежом 110 kV неопходно је реализовати фазну реконструкцију ове мреже у наредном пери</w:t>
      </w:r>
      <w:r w:rsidR="00C255D3" w:rsidRPr="00CF77C1">
        <w:rPr>
          <w:lang w:val="sr-Cyrl-RS"/>
        </w:rPr>
        <w:t>оду. У периоду реализације ПОС</w:t>
      </w:r>
      <w:r w:rsidR="00846443" w:rsidRPr="00CF77C1">
        <w:rPr>
          <w:lang w:val="sr-Cyrl-RS"/>
        </w:rPr>
        <w:t xml:space="preserve"> </w:t>
      </w:r>
      <w:r w:rsidR="00510825" w:rsidRPr="00CF77C1">
        <w:rPr>
          <w:lang w:val="sr-Cyrl-RS"/>
        </w:rPr>
        <w:t>планирано је да се годишње изврши реконструкција</w:t>
      </w:r>
      <w:r w:rsidR="00E83B42" w:rsidRPr="00CF77C1">
        <w:rPr>
          <w:lang w:val="sr-Cyrl-RS"/>
        </w:rPr>
        <w:t xml:space="preserve"> око 40 километара </w:t>
      </w:r>
      <w:r w:rsidR="00510825" w:rsidRPr="00CF77C1">
        <w:rPr>
          <w:lang w:val="sr-Cyrl-RS"/>
        </w:rPr>
        <w:t>надземних електроенергетских водова</w:t>
      </w:r>
      <w:r w:rsidR="00996434" w:rsidRPr="00CF77C1">
        <w:rPr>
          <w:lang w:val="sr-Cyrl-RS"/>
        </w:rPr>
        <w:t xml:space="preserve"> 110 kV</w:t>
      </w:r>
      <w:r w:rsidR="00E05FA6" w:rsidRPr="00CF77C1">
        <w:rPr>
          <w:lang w:val="sr-Cyrl-RS"/>
        </w:rPr>
        <w:t>, односно, укупно 280 километара</w:t>
      </w:r>
      <w:r w:rsidR="00E83B42" w:rsidRPr="00CF77C1">
        <w:rPr>
          <w:lang w:val="sr-Cyrl-RS"/>
        </w:rPr>
        <w:t>.</w:t>
      </w:r>
    </w:p>
    <w:p w14:paraId="735F8F30" w14:textId="77777777" w:rsidR="00096A0D" w:rsidRPr="00CF77C1" w:rsidRDefault="005E0BD0" w:rsidP="004C168D">
      <w:pPr>
        <w:ind w:firstLine="720"/>
        <w:rPr>
          <w:lang w:val="sr-Cyrl-RS"/>
        </w:rPr>
      </w:pPr>
      <w:r w:rsidRPr="00CF77C1">
        <w:rPr>
          <w:lang w:val="sr-Cyrl-RS"/>
        </w:rPr>
        <w:t>Сваки појединачни вод захтева посебну анализу ефеката на енергетску ефикасност, зависно од његове улоге у мрежи (односно, максималног годишњег оптерећења и еквивалентног времена његовог трајања) и пресека проводника пре и после реконструкције. Уз претпоставку да је просечно максимално оптерећење реконструисаних водова 20 MW и 6 MVAr,</w:t>
      </w:r>
      <w:r w:rsidR="00EC7E28" w:rsidRPr="00CF77C1">
        <w:rPr>
          <w:lang w:val="sr-Cyrl-RS"/>
        </w:rPr>
        <w:t xml:space="preserve"> </w:t>
      </w:r>
      <w:r w:rsidRPr="00CF77C1">
        <w:rPr>
          <w:lang w:val="sr-Cyrl-RS"/>
        </w:rPr>
        <w:t>и да ће сви реконструисани водови мењати пресек са AlFe 3x150 mm</w:t>
      </w:r>
      <w:r w:rsidRPr="00CF77C1">
        <w:rPr>
          <w:vertAlign w:val="superscript"/>
          <w:lang w:val="sr-Cyrl-RS"/>
        </w:rPr>
        <w:t>2</w:t>
      </w:r>
      <w:r w:rsidRPr="00CF77C1">
        <w:rPr>
          <w:lang w:val="sr-Cyrl-RS"/>
        </w:rPr>
        <w:t xml:space="preserve"> на AlFe 3x240 mm</w:t>
      </w:r>
      <w:r w:rsidRPr="00CF77C1">
        <w:rPr>
          <w:vertAlign w:val="superscript"/>
          <w:lang w:val="sr-Cyrl-RS"/>
        </w:rPr>
        <w:t>2</w:t>
      </w:r>
      <w:r w:rsidRPr="00CF77C1">
        <w:rPr>
          <w:lang w:val="sr-Cyrl-RS"/>
        </w:rPr>
        <w:t xml:space="preserve"> при чему је еквивалентно време трајања максималне снаге 4500 сати годишње, очекивано годишње смањење губитака енергије по 1 km вода износи око 6700 kWh (335 €/km уз претпостављену цену губитака енергије од 0,05 €/kWh). </w:t>
      </w:r>
      <w:r w:rsidR="00A2072D" w:rsidRPr="00CF77C1">
        <w:rPr>
          <w:lang w:val="sr-Cyrl-RS"/>
        </w:rPr>
        <w:t xml:space="preserve">Са аспекта енергетске ефикасности процењени ефекат </w:t>
      </w:r>
      <w:r w:rsidRPr="00CF77C1">
        <w:rPr>
          <w:lang w:val="sr-Cyrl-RS"/>
        </w:rPr>
        <w:t xml:space="preserve">реализације комплетног </w:t>
      </w:r>
      <w:r w:rsidR="00A2072D" w:rsidRPr="00CF77C1">
        <w:rPr>
          <w:lang w:val="sr-Cyrl-RS"/>
        </w:rPr>
        <w:t xml:space="preserve">пројекта је смањење губитака од </w:t>
      </w:r>
      <w:r w:rsidRPr="00CF77C1">
        <w:rPr>
          <w:lang w:val="sr-Cyrl-RS"/>
        </w:rPr>
        <w:t>1,88</w:t>
      </w:r>
      <w:r w:rsidR="00A2072D" w:rsidRPr="00CF77C1">
        <w:rPr>
          <w:lang w:val="sr-Cyrl-RS"/>
        </w:rPr>
        <w:t xml:space="preserve"> GWh годишње </w:t>
      </w:r>
      <w:r w:rsidRPr="00CF77C1">
        <w:rPr>
          <w:lang w:val="sr-Cyrl-RS"/>
        </w:rPr>
        <w:t>после 2023. године</w:t>
      </w:r>
      <w:r w:rsidR="00EC7E28" w:rsidRPr="00CF77C1">
        <w:rPr>
          <w:lang w:val="sr-Cyrl-RS"/>
        </w:rPr>
        <w:t>,</w:t>
      </w:r>
      <w:r w:rsidRPr="00CF77C1">
        <w:rPr>
          <w:lang w:val="sr-Cyrl-RS"/>
        </w:rPr>
        <w:t xml:space="preserve"> </w:t>
      </w:r>
      <w:r w:rsidR="00A2072D" w:rsidRPr="00CF77C1">
        <w:rPr>
          <w:lang w:val="sr-Cyrl-RS"/>
        </w:rPr>
        <w:t>што чини око 0,</w:t>
      </w:r>
      <w:r w:rsidRPr="00CF77C1">
        <w:rPr>
          <w:lang w:val="sr-Cyrl-RS"/>
        </w:rPr>
        <w:t>00</w:t>
      </w:r>
      <w:r w:rsidR="00A2072D" w:rsidRPr="00CF77C1">
        <w:rPr>
          <w:lang w:val="sr-Cyrl-RS"/>
        </w:rPr>
        <w:t>2% финалне потрошње енергије (за енергетске и неенергетске сврхе) у 2015. години.</w:t>
      </w:r>
    </w:p>
    <w:p w14:paraId="3405228B" w14:textId="77777777" w:rsidR="00096A0D" w:rsidRPr="00CF77C1" w:rsidRDefault="00096A0D" w:rsidP="0080044B">
      <w:pPr>
        <w:rPr>
          <w:lang w:val="sr-Cyrl-RS"/>
        </w:rPr>
      </w:pPr>
    </w:p>
    <w:p w14:paraId="440AFCF2" w14:textId="77777777" w:rsidR="00096A0D" w:rsidRPr="00CF77C1" w:rsidRDefault="00096A0D" w:rsidP="0080044B">
      <w:pPr>
        <w:rPr>
          <w:lang w:val="sr-Cyrl-RS"/>
        </w:rPr>
        <w:sectPr w:rsidR="00096A0D" w:rsidRPr="00CF77C1" w:rsidSect="004C168D">
          <w:headerReference w:type="default" r:id="rId18"/>
          <w:footerReference w:type="default" r:id="rId19"/>
          <w:pgSz w:w="11907" w:h="16839" w:code="9"/>
          <w:pgMar w:top="1134" w:right="1287" w:bottom="1134" w:left="1418" w:header="720" w:footer="720" w:gutter="0"/>
          <w:cols w:space="720"/>
          <w:docGrid w:linePitch="360"/>
        </w:sectPr>
      </w:pPr>
    </w:p>
    <w:p w14:paraId="7496B092" w14:textId="03E8EC8C" w:rsidR="00096A0D" w:rsidRPr="00CF77C1" w:rsidRDefault="00D61BC9" w:rsidP="001741AC">
      <w:pPr>
        <w:pStyle w:val="Caption"/>
        <w:ind w:firstLine="720"/>
        <w:rPr>
          <w:b w:val="0"/>
          <w:lang w:val="sr-Cyrl-RS"/>
        </w:rPr>
      </w:pPr>
      <w:r w:rsidRPr="00CF77C1">
        <w:rPr>
          <w:b w:val="0"/>
          <w:lang w:val="sr-Cyrl-RS"/>
        </w:rPr>
        <w:t>таб.</w:t>
      </w:r>
      <w:r w:rsidR="00096A0D"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13</w:t>
      </w:r>
      <w:r w:rsidR="0092145E" w:rsidRPr="00CF77C1">
        <w:rPr>
          <w:b w:val="0"/>
          <w:lang w:val="sr-Cyrl-RS"/>
        </w:rPr>
        <w:fldChar w:fldCharType="end"/>
      </w:r>
      <w:r w:rsidR="00096A0D"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2435"/>
        <w:gridCol w:w="4991"/>
        <w:gridCol w:w="5436"/>
      </w:tblGrid>
      <w:tr w:rsidR="00096A0D" w:rsidRPr="00CF77C1" w14:paraId="1354F173" w14:textId="77777777" w:rsidTr="003C695D">
        <w:tc>
          <w:tcPr>
            <w:tcW w:w="1925" w:type="dxa"/>
            <w:shd w:val="clear" w:color="auto" w:fill="auto"/>
            <w:vAlign w:val="center"/>
          </w:tcPr>
          <w:p w14:paraId="5400B704" w14:textId="77777777" w:rsidR="00096A0D" w:rsidRPr="00CF77C1" w:rsidRDefault="00096A0D" w:rsidP="0080044B">
            <w:pPr>
              <w:jc w:val="center"/>
              <w:rPr>
                <w:lang w:val="sr-Cyrl-RS"/>
              </w:rPr>
            </w:pPr>
            <w:r w:rsidRPr="00CF77C1">
              <w:rPr>
                <w:lang w:val="sr-Cyrl-RS"/>
              </w:rPr>
              <w:t>Техничке карактеристике</w:t>
            </w:r>
          </w:p>
        </w:tc>
        <w:tc>
          <w:tcPr>
            <w:tcW w:w="2435" w:type="dxa"/>
            <w:shd w:val="clear" w:color="auto" w:fill="auto"/>
            <w:vAlign w:val="center"/>
          </w:tcPr>
          <w:p w14:paraId="3A79F689" w14:textId="77777777" w:rsidR="00096A0D" w:rsidRPr="00CF77C1" w:rsidRDefault="00096A0D" w:rsidP="0080044B">
            <w:pPr>
              <w:jc w:val="center"/>
              <w:rPr>
                <w:lang w:val="sr-Cyrl-RS"/>
              </w:rPr>
            </w:pPr>
            <w:r w:rsidRPr="00CF77C1">
              <w:rPr>
                <w:lang w:val="sr-Cyrl-RS"/>
              </w:rPr>
              <w:t>Вредност пројекта и извор средстава</w:t>
            </w:r>
          </w:p>
        </w:tc>
        <w:tc>
          <w:tcPr>
            <w:tcW w:w="4991" w:type="dxa"/>
            <w:shd w:val="clear" w:color="auto" w:fill="auto"/>
            <w:vAlign w:val="center"/>
          </w:tcPr>
          <w:p w14:paraId="73F3B6B0" w14:textId="77777777" w:rsidR="00096A0D" w:rsidRPr="00CF77C1" w:rsidRDefault="00096A0D" w:rsidP="0080044B">
            <w:pPr>
              <w:jc w:val="center"/>
              <w:rPr>
                <w:lang w:val="sr-Cyrl-RS"/>
              </w:rPr>
            </w:pPr>
            <w:r w:rsidRPr="00CF77C1">
              <w:rPr>
                <w:lang w:val="sr-Cyrl-RS"/>
              </w:rPr>
              <w:t>Опис ефеката реализације</w:t>
            </w:r>
          </w:p>
        </w:tc>
        <w:tc>
          <w:tcPr>
            <w:tcW w:w="5436" w:type="dxa"/>
            <w:shd w:val="clear" w:color="auto" w:fill="auto"/>
            <w:vAlign w:val="center"/>
          </w:tcPr>
          <w:p w14:paraId="67B484BB" w14:textId="77777777" w:rsidR="00096A0D" w:rsidRPr="00CF77C1" w:rsidRDefault="00096A0D" w:rsidP="0080044B">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E83B42" w:rsidRPr="00CF77C1" w14:paraId="2D23D3BF" w14:textId="77777777" w:rsidTr="003C695D">
        <w:tc>
          <w:tcPr>
            <w:tcW w:w="1925" w:type="dxa"/>
            <w:shd w:val="clear" w:color="auto" w:fill="auto"/>
            <w:vAlign w:val="center"/>
          </w:tcPr>
          <w:p w14:paraId="3CBF7164" w14:textId="77777777" w:rsidR="00E83B42" w:rsidRPr="00CF77C1" w:rsidRDefault="00E83B42" w:rsidP="0080044B">
            <w:pPr>
              <w:jc w:val="left"/>
              <w:rPr>
                <w:lang w:val="sr-Cyrl-RS"/>
              </w:rPr>
            </w:pPr>
            <w:r w:rsidRPr="00CF77C1">
              <w:rPr>
                <w:lang w:val="sr-Cyrl-RS"/>
              </w:rPr>
              <w:t>40 km/</w:t>
            </w:r>
            <w:r w:rsidR="00C94D50" w:rsidRPr="00CF77C1">
              <w:rPr>
                <w:lang w:val="sr-Cyrl-RS"/>
              </w:rPr>
              <w:t>годишње</w:t>
            </w:r>
          </w:p>
        </w:tc>
        <w:tc>
          <w:tcPr>
            <w:tcW w:w="2435" w:type="dxa"/>
            <w:shd w:val="clear" w:color="auto" w:fill="auto"/>
            <w:vAlign w:val="center"/>
          </w:tcPr>
          <w:p w14:paraId="176DCE0A" w14:textId="77777777" w:rsidR="00E83B42" w:rsidRPr="00CF77C1" w:rsidRDefault="00E83B42" w:rsidP="0080044B">
            <w:pPr>
              <w:jc w:val="left"/>
              <w:rPr>
                <w:lang w:val="sr-Cyrl-RS"/>
              </w:rPr>
            </w:pPr>
            <w:r w:rsidRPr="00CF77C1">
              <w:rPr>
                <w:lang w:val="sr-Cyrl-RS"/>
              </w:rPr>
              <w:t xml:space="preserve">Око 4 милиона </w:t>
            </w:r>
            <w:r w:rsidR="006510C8" w:rsidRPr="00CF77C1">
              <w:rPr>
                <w:lang w:val="sr-Cyrl-RS"/>
              </w:rPr>
              <w:t>€</w:t>
            </w:r>
            <w:r w:rsidRPr="00CF77C1">
              <w:rPr>
                <w:lang w:val="sr-Cyrl-RS"/>
              </w:rPr>
              <w:t xml:space="preserve"> годишње</w:t>
            </w:r>
          </w:p>
          <w:p w14:paraId="6A861EC3" w14:textId="19A8EFFE" w:rsidR="00E83B42" w:rsidRPr="00CF77C1" w:rsidRDefault="00E83B42" w:rsidP="0080044B">
            <w:pPr>
              <w:jc w:val="left"/>
              <w:rPr>
                <w:lang w:val="sr-Cyrl-RS"/>
              </w:rPr>
            </w:pPr>
            <w:r w:rsidRPr="00CF77C1">
              <w:rPr>
                <w:lang w:val="sr-Cyrl-RS"/>
              </w:rPr>
              <w:t>(сопствена средства ЕМС)</w:t>
            </w:r>
          </w:p>
        </w:tc>
        <w:tc>
          <w:tcPr>
            <w:tcW w:w="4991" w:type="dxa"/>
            <w:shd w:val="clear" w:color="auto" w:fill="auto"/>
            <w:vAlign w:val="center"/>
          </w:tcPr>
          <w:p w14:paraId="36570378" w14:textId="77777777" w:rsidR="00E83B42" w:rsidRPr="00CF77C1" w:rsidRDefault="00E83B42" w:rsidP="0080044B">
            <w:pPr>
              <w:jc w:val="left"/>
              <w:rPr>
                <w:lang w:val="sr-Cyrl-RS"/>
              </w:rPr>
            </w:pPr>
            <w:r w:rsidRPr="00CF77C1">
              <w:rPr>
                <w:lang w:val="sr-Cyrl-RS"/>
              </w:rPr>
              <w:t>Смањење годишњих трошкова одржавања, повећање сигурности снабдевања, смањење губитака.</w:t>
            </w:r>
          </w:p>
        </w:tc>
        <w:tc>
          <w:tcPr>
            <w:tcW w:w="5436" w:type="dxa"/>
            <w:shd w:val="clear" w:color="auto" w:fill="auto"/>
            <w:vAlign w:val="center"/>
          </w:tcPr>
          <w:p w14:paraId="432CEA43" w14:textId="513E0586" w:rsidR="00E83B42" w:rsidRPr="00CF77C1" w:rsidRDefault="00FF5047" w:rsidP="0080044B">
            <w:pPr>
              <w:jc w:val="left"/>
              <w:rPr>
                <w:lang w:val="sr-Cyrl-RS"/>
              </w:rPr>
            </w:pPr>
            <w:r w:rsidRPr="00CF77C1">
              <w:rPr>
                <w:lang w:val="sr-Cyrl-RS"/>
              </w:rPr>
              <w:t xml:space="preserve">Смањење годишњих трошкова за </w:t>
            </w:r>
            <w:r w:rsidR="00E83B42" w:rsidRPr="00CF77C1">
              <w:rPr>
                <w:lang w:val="sr-Cyrl-RS"/>
              </w:rPr>
              <w:t xml:space="preserve">око 52 хиљаде </w:t>
            </w:r>
            <w:r w:rsidR="006510C8" w:rsidRPr="00CF77C1">
              <w:rPr>
                <w:lang w:val="sr-Cyrl-RS"/>
              </w:rPr>
              <w:t>€</w:t>
            </w:r>
            <w:r w:rsidR="00E83B42" w:rsidRPr="00CF77C1">
              <w:rPr>
                <w:lang w:val="sr-Cyrl-RS"/>
              </w:rPr>
              <w:t xml:space="preserve"> (усвоје</w:t>
            </w:r>
            <w:r w:rsidR="00510825" w:rsidRPr="00CF77C1">
              <w:rPr>
                <w:lang w:val="sr-Cyrl-RS"/>
              </w:rPr>
              <w:t>на је студијска процена од 1300 </w:t>
            </w:r>
            <w:r w:rsidR="006510C8" w:rsidRPr="00CF77C1">
              <w:rPr>
                <w:lang w:val="sr-Cyrl-RS"/>
              </w:rPr>
              <w:t>€</w:t>
            </w:r>
            <w:r w:rsidR="00E83B42" w:rsidRPr="00CF77C1">
              <w:rPr>
                <w:lang w:val="sr-Cyrl-RS"/>
              </w:rPr>
              <w:t>/km</w:t>
            </w:r>
            <w:r w:rsidR="00510825" w:rsidRPr="00CF77C1">
              <w:rPr>
                <w:lang w:val="sr-Cyrl-RS"/>
              </w:rPr>
              <w:t>, при чему нису раздвојени појединачни ефекти смањења трошкова одржавања, губитака,.</w:t>
            </w:r>
            <w:r w:rsidR="00A735D5" w:rsidRPr="00CF77C1">
              <w:rPr>
                <w:lang w:val="sr-Cyrl-RS"/>
              </w:rPr>
              <w:t>.</w:t>
            </w:r>
            <w:r w:rsidR="00510825" w:rsidRPr="00CF77C1">
              <w:rPr>
                <w:lang w:val="sr-Cyrl-RS"/>
              </w:rPr>
              <w:t>.</w:t>
            </w:r>
            <w:r w:rsidR="00E83B42" w:rsidRPr="00CF77C1">
              <w:rPr>
                <w:lang w:val="sr-Cyrl-RS"/>
              </w:rPr>
              <w:t>)</w:t>
            </w:r>
          </w:p>
        </w:tc>
      </w:tr>
    </w:tbl>
    <w:p w14:paraId="527F2432" w14:textId="0B844E7D" w:rsidR="0091260E" w:rsidRPr="00CF77C1" w:rsidRDefault="0091260E" w:rsidP="004C168D">
      <w:pPr>
        <w:ind w:firstLine="720"/>
        <w:rPr>
          <w:lang w:val="sr-Cyrl-RS"/>
        </w:rPr>
      </w:pPr>
      <w:r w:rsidRPr="00CF77C1">
        <w:rPr>
          <w:lang w:val="sr-Cyrl-RS"/>
        </w:rPr>
        <w:t xml:space="preserve">Индикатор реализације овог пројекта је </w:t>
      </w:r>
      <w:r w:rsidR="009A0192" w:rsidRPr="00CF77C1">
        <w:rPr>
          <w:lang w:val="sr-Cyrl-RS"/>
        </w:rPr>
        <w:t xml:space="preserve">проценат </w:t>
      </w:r>
      <w:r w:rsidRPr="00CF77C1">
        <w:rPr>
          <w:lang w:val="sr-Cyrl-RS"/>
        </w:rPr>
        <w:t>реализације активности приказан</w:t>
      </w:r>
      <w:r w:rsidR="00242883" w:rsidRPr="00CF77C1">
        <w:rPr>
          <w:lang w:val="sr-Cyrl-RS"/>
        </w:rPr>
        <w:t xml:space="preserve">их по годинама у </w:t>
      </w:r>
      <w:r w:rsidR="00242883" w:rsidRPr="00CF77C1">
        <w:rPr>
          <w:lang w:val="sr-Cyrl-CS"/>
        </w:rPr>
        <w:t>таб. 14</w:t>
      </w:r>
      <w:r w:rsidRPr="00CF77C1">
        <w:rPr>
          <w:lang w:val="sr-Cyrl-RS"/>
        </w:rPr>
        <w:t>.</w:t>
      </w:r>
      <w:r w:rsidR="00AE310A" w:rsidRPr="00CF77C1">
        <w:rPr>
          <w:lang w:val="sr-Cyrl-RS"/>
        </w:rPr>
        <w:t xml:space="preserve"> Број километара у табели означава укупну дужину водова за коју </w:t>
      </w:r>
      <w:r w:rsidR="00F10D3F" w:rsidRPr="00CF77C1">
        <w:rPr>
          <w:lang w:val="sr-Cyrl-RS"/>
        </w:rPr>
        <w:t>би требало да се реализује</w:t>
      </w:r>
      <w:r w:rsidR="00AE310A" w:rsidRPr="00CF77C1">
        <w:rPr>
          <w:lang w:val="sr-Cyrl-RS"/>
        </w:rPr>
        <w:t xml:space="preserve"> одређена активност.</w:t>
      </w:r>
    </w:p>
    <w:p w14:paraId="729C7BE3" w14:textId="675E2083" w:rsidR="00096A0D" w:rsidRPr="00CF77C1" w:rsidRDefault="00D61BC9" w:rsidP="004C168D">
      <w:pPr>
        <w:pStyle w:val="Caption"/>
        <w:ind w:firstLine="720"/>
        <w:rPr>
          <w:b w:val="0"/>
          <w:lang w:val="sr-Cyrl-RS"/>
        </w:rPr>
      </w:pPr>
      <w:r w:rsidRPr="00CF77C1">
        <w:rPr>
          <w:b w:val="0"/>
          <w:lang w:val="sr-Cyrl-RS"/>
        </w:rPr>
        <w:t>таб.</w:t>
      </w:r>
      <w:r w:rsidR="00096A0D"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14</w:t>
      </w:r>
      <w:r w:rsidR="0092145E" w:rsidRPr="00CF77C1">
        <w:rPr>
          <w:b w:val="0"/>
          <w:lang w:val="sr-Cyrl-RS"/>
        </w:rPr>
        <w:fldChar w:fldCharType="end"/>
      </w:r>
      <w:r w:rsidR="00096A0D" w:rsidRPr="00CF77C1">
        <w:rPr>
          <w:b w:val="0"/>
          <w:lang w:val="sr-Cyrl-RS"/>
        </w:rPr>
        <w:t>: Динамика реализације активн</w:t>
      </w:r>
      <w:r w:rsidR="00C255D3" w:rsidRPr="00CF77C1">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2693"/>
        <w:gridCol w:w="951"/>
        <w:gridCol w:w="952"/>
        <w:gridCol w:w="952"/>
        <w:gridCol w:w="951"/>
        <w:gridCol w:w="952"/>
        <w:gridCol w:w="952"/>
        <w:gridCol w:w="952"/>
      </w:tblGrid>
      <w:tr w:rsidR="00747A3E" w:rsidRPr="00CF77C1" w14:paraId="082A1C4A" w14:textId="77777777" w:rsidTr="00747A3E">
        <w:trPr>
          <w:tblHeader/>
        </w:trPr>
        <w:tc>
          <w:tcPr>
            <w:tcW w:w="5495" w:type="dxa"/>
            <w:shd w:val="clear" w:color="auto" w:fill="auto"/>
            <w:vAlign w:val="center"/>
          </w:tcPr>
          <w:p w14:paraId="7849989D" w14:textId="77777777" w:rsidR="00747A3E" w:rsidRPr="00CF77C1" w:rsidRDefault="00747A3E" w:rsidP="0080044B">
            <w:pPr>
              <w:jc w:val="center"/>
              <w:rPr>
                <w:lang w:val="sr-Cyrl-RS"/>
              </w:rPr>
            </w:pPr>
            <w:r w:rsidRPr="00CF77C1">
              <w:rPr>
                <w:lang w:val="sr-Cyrl-RS"/>
              </w:rPr>
              <w:t>Пројекат:</w:t>
            </w:r>
          </w:p>
          <w:p w14:paraId="3A70C7A1" w14:textId="77777777" w:rsidR="00747A3E" w:rsidRPr="00CF77C1" w:rsidRDefault="00747A3E" w:rsidP="0080044B">
            <w:pPr>
              <w:jc w:val="center"/>
              <w:rPr>
                <w:lang w:val="sr-Cyrl-RS"/>
              </w:rPr>
            </w:pPr>
            <w:r w:rsidRPr="00CF77C1">
              <w:rPr>
                <w:lang w:val="sr-Cyrl-RS"/>
              </w:rPr>
              <w:t>Реконструкција 110 kV мреже</w:t>
            </w:r>
          </w:p>
        </w:tc>
        <w:tc>
          <w:tcPr>
            <w:tcW w:w="2693" w:type="dxa"/>
            <w:shd w:val="clear" w:color="auto" w:fill="auto"/>
            <w:vAlign w:val="center"/>
          </w:tcPr>
          <w:p w14:paraId="13A74A6D" w14:textId="77777777" w:rsidR="00747A3E" w:rsidRPr="00CF77C1" w:rsidRDefault="00DD69C2" w:rsidP="0080044B">
            <w:pPr>
              <w:jc w:val="center"/>
              <w:rPr>
                <w:lang w:val="sr-Cyrl-RS"/>
              </w:rPr>
            </w:pPr>
            <w:r w:rsidRPr="00CF77C1">
              <w:rPr>
                <w:lang w:val="sr-Cyrl-RS"/>
              </w:rPr>
              <w:t>Одговорни субјекат</w:t>
            </w:r>
          </w:p>
        </w:tc>
        <w:tc>
          <w:tcPr>
            <w:tcW w:w="951" w:type="dxa"/>
            <w:shd w:val="clear" w:color="auto" w:fill="auto"/>
            <w:vAlign w:val="center"/>
          </w:tcPr>
          <w:p w14:paraId="13DEF065" w14:textId="77777777" w:rsidR="00747A3E" w:rsidRPr="00CF77C1" w:rsidRDefault="00747A3E" w:rsidP="0080044B">
            <w:pPr>
              <w:jc w:val="center"/>
              <w:rPr>
                <w:lang w:val="sr-Cyrl-RS"/>
              </w:rPr>
            </w:pPr>
            <w:r w:rsidRPr="00CF77C1">
              <w:rPr>
                <w:lang w:val="sr-Cyrl-RS"/>
              </w:rPr>
              <w:t>2017.</w:t>
            </w:r>
          </w:p>
        </w:tc>
        <w:tc>
          <w:tcPr>
            <w:tcW w:w="952" w:type="dxa"/>
            <w:shd w:val="clear" w:color="auto" w:fill="auto"/>
            <w:vAlign w:val="center"/>
          </w:tcPr>
          <w:p w14:paraId="6AB92064" w14:textId="77777777" w:rsidR="00747A3E" w:rsidRPr="00CF77C1" w:rsidRDefault="00747A3E" w:rsidP="0080044B">
            <w:pPr>
              <w:jc w:val="center"/>
              <w:rPr>
                <w:lang w:val="sr-Cyrl-RS"/>
              </w:rPr>
            </w:pPr>
            <w:r w:rsidRPr="00CF77C1">
              <w:rPr>
                <w:lang w:val="sr-Cyrl-RS"/>
              </w:rPr>
              <w:t>2018.</w:t>
            </w:r>
          </w:p>
        </w:tc>
        <w:tc>
          <w:tcPr>
            <w:tcW w:w="952" w:type="dxa"/>
            <w:shd w:val="clear" w:color="auto" w:fill="auto"/>
            <w:vAlign w:val="center"/>
          </w:tcPr>
          <w:p w14:paraId="5B1C8407" w14:textId="77777777" w:rsidR="00747A3E" w:rsidRPr="00CF77C1" w:rsidRDefault="00747A3E" w:rsidP="0080044B">
            <w:pPr>
              <w:jc w:val="center"/>
              <w:rPr>
                <w:lang w:val="sr-Cyrl-RS"/>
              </w:rPr>
            </w:pPr>
            <w:r w:rsidRPr="00CF77C1">
              <w:rPr>
                <w:lang w:val="sr-Cyrl-RS"/>
              </w:rPr>
              <w:t>2019.</w:t>
            </w:r>
          </w:p>
        </w:tc>
        <w:tc>
          <w:tcPr>
            <w:tcW w:w="951" w:type="dxa"/>
            <w:shd w:val="clear" w:color="auto" w:fill="auto"/>
            <w:vAlign w:val="center"/>
          </w:tcPr>
          <w:p w14:paraId="7001E95D" w14:textId="77777777" w:rsidR="00747A3E" w:rsidRPr="00CF77C1" w:rsidRDefault="00747A3E" w:rsidP="0080044B">
            <w:pPr>
              <w:jc w:val="center"/>
              <w:rPr>
                <w:lang w:val="sr-Cyrl-RS"/>
              </w:rPr>
            </w:pPr>
            <w:r w:rsidRPr="00CF77C1">
              <w:rPr>
                <w:lang w:val="sr-Cyrl-RS"/>
              </w:rPr>
              <w:t>2020.</w:t>
            </w:r>
          </w:p>
        </w:tc>
        <w:tc>
          <w:tcPr>
            <w:tcW w:w="952" w:type="dxa"/>
            <w:shd w:val="clear" w:color="auto" w:fill="auto"/>
            <w:vAlign w:val="center"/>
          </w:tcPr>
          <w:p w14:paraId="14629969" w14:textId="77777777" w:rsidR="00747A3E" w:rsidRPr="00CF77C1" w:rsidRDefault="00747A3E" w:rsidP="0080044B">
            <w:pPr>
              <w:jc w:val="center"/>
              <w:rPr>
                <w:lang w:val="sr-Cyrl-RS"/>
              </w:rPr>
            </w:pPr>
            <w:r w:rsidRPr="00CF77C1">
              <w:rPr>
                <w:lang w:val="sr-Cyrl-RS"/>
              </w:rPr>
              <w:t>2021.</w:t>
            </w:r>
          </w:p>
        </w:tc>
        <w:tc>
          <w:tcPr>
            <w:tcW w:w="952" w:type="dxa"/>
            <w:shd w:val="clear" w:color="auto" w:fill="auto"/>
            <w:vAlign w:val="center"/>
          </w:tcPr>
          <w:p w14:paraId="25A4181B" w14:textId="77777777" w:rsidR="00747A3E" w:rsidRPr="00CF77C1" w:rsidRDefault="00747A3E" w:rsidP="0080044B">
            <w:pPr>
              <w:jc w:val="center"/>
              <w:rPr>
                <w:lang w:val="sr-Cyrl-RS"/>
              </w:rPr>
            </w:pPr>
            <w:r w:rsidRPr="00CF77C1">
              <w:rPr>
                <w:lang w:val="sr-Cyrl-RS"/>
              </w:rPr>
              <w:t>2022.</w:t>
            </w:r>
          </w:p>
        </w:tc>
        <w:tc>
          <w:tcPr>
            <w:tcW w:w="952" w:type="dxa"/>
            <w:shd w:val="clear" w:color="auto" w:fill="auto"/>
            <w:vAlign w:val="center"/>
          </w:tcPr>
          <w:p w14:paraId="233D77D0" w14:textId="77777777" w:rsidR="00747A3E" w:rsidRPr="00CF77C1" w:rsidRDefault="00747A3E" w:rsidP="0080044B">
            <w:pPr>
              <w:jc w:val="center"/>
              <w:rPr>
                <w:lang w:val="sr-Cyrl-RS"/>
              </w:rPr>
            </w:pPr>
            <w:r w:rsidRPr="00CF77C1">
              <w:rPr>
                <w:lang w:val="sr-Cyrl-RS"/>
              </w:rPr>
              <w:t>2023.</w:t>
            </w:r>
          </w:p>
        </w:tc>
      </w:tr>
      <w:tr w:rsidR="00510825" w:rsidRPr="00CF77C1" w14:paraId="6096C4FE" w14:textId="77777777" w:rsidTr="00747A3E">
        <w:tc>
          <w:tcPr>
            <w:tcW w:w="5495" w:type="dxa"/>
            <w:shd w:val="clear" w:color="auto" w:fill="auto"/>
            <w:vAlign w:val="center"/>
          </w:tcPr>
          <w:p w14:paraId="528BFF6D" w14:textId="77777777" w:rsidR="00510825" w:rsidRPr="00CF77C1" w:rsidRDefault="00510825" w:rsidP="0080044B">
            <w:pPr>
              <w:spacing w:before="20" w:after="20"/>
              <w:jc w:val="left"/>
              <w:rPr>
                <w:lang w:val="sr-Cyrl-RS"/>
              </w:rPr>
            </w:pPr>
            <w:r w:rsidRPr="00CF77C1">
              <w:rPr>
                <w:lang w:val="sr-Cyrl-RS"/>
              </w:rPr>
              <w:t>Организациони и послови руковођења пројектом</w:t>
            </w:r>
          </w:p>
        </w:tc>
        <w:tc>
          <w:tcPr>
            <w:tcW w:w="2693" w:type="dxa"/>
            <w:vMerge w:val="restart"/>
            <w:shd w:val="clear" w:color="auto" w:fill="auto"/>
            <w:vAlign w:val="center"/>
          </w:tcPr>
          <w:p w14:paraId="5FD2C972" w14:textId="77777777" w:rsidR="00510825" w:rsidRPr="00CF77C1" w:rsidRDefault="00D63C31" w:rsidP="0080044B">
            <w:pPr>
              <w:spacing w:before="20" w:after="20"/>
              <w:jc w:val="left"/>
              <w:rPr>
                <w:lang w:val="sr-Cyrl-RS"/>
              </w:rPr>
            </w:pPr>
            <w:r w:rsidRPr="00CF77C1">
              <w:rPr>
                <w:lang w:val="sr-Cyrl-RS"/>
              </w:rPr>
              <w:t>ЕМС</w:t>
            </w:r>
          </w:p>
        </w:tc>
        <w:tc>
          <w:tcPr>
            <w:tcW w:w="951" w:type="dxa"/>
            <w:shd w:val="clear" w:color="auto" w:fill="auto"/>
            <w:vAlign w:val="center"/>
          </w:tcPr>
          <w:p w14:paraId="3486F3E1" w14:textId="77777777" w:rsidR="00510825" w:rsidRPr="00CF77C1" w:rsidRDefault="00510825" w:rsidP="0080044B">
            <w:pPr>
              <w:spacing w:before="20" w:after="20"/>
              <w:jc w:val="center"/>
              <w:rPr>
                <w:lang w:val="sr-Cyrl-RS"/>
              </w:rPr>
            </w:pPr>
            <w:r w:rsidRPr="00CF77C1">
              <w:rPr>
                <w:lang w:val="sr-Cyrl-RS"/>
              </w:rPr>
              <w:t>x</w:t>
            </w:r>
          </w:p>
        </w:tc>
        <w:tc>
          <w:tcPr>
            <w:tcW w:w="952" w:type="dxa"/>
            <w:shd w:val="clear" w:color="auto" w:fill="auto"/>
            <w:vAlign w:val="center"/>
          </w:tcPr>
          <w:p w14:paraId="3846D3EF" w14:textId="77777777" w:rsidR="00510825" w:rsidRPr="00CF77C1" w:rsidRDefault="00510825" w:rsidP="0080044B">
            <w:pPr>
              <w:spacing w:before="20" w:after="20"/>
              <w:jc w:val="center"/>
              <w:rPr>
                <w:lang w:val="sr-Cyrl-RS"/>
              </w:rPr>
            </w:pPr>
            <w:r w:rsidRPr="00CF77C1">
              <w:rPr>
                <w:lang w:val="sr-Cyrl-RS"/>
              </w:rPr>
              <w:t>x</w:t>
            </w:r>
          </w:p>
        </w:tc>
        <w:tc>
          <w:tcPr>
            <w:tcW w:w="952" w:type="dxa"/>
            <w:shd w:val="clear" w:color="auto" w:fill="auto"/>
            <w:vAlign w:val="center"/>
          </w:tcPr>
          <w:p w14:paraId="103D3F75" w14:textId="77777777" w:rsidR="00510825" w:rsidRPr="00CF77C1" w:rsidRDefault="00510825" w:rsidP="0080044B">
            <w:pPr>
              <w:spacing w:before="20" w:after="20"/>
              <w:jc w:val="center"/>
              <w:rPr>
                <w:lang w:val="sr-Cyrl-RS"/>
              </w:rPr>
            </w:pPr>
            <w:r w:rsidRPr="00CF77C1">
              <w:rPr>
                <w:lang w:val="sr-Cyrl-RS"/>
              </w:rPr>
              <w:t>x</w:t>
            </w:r>
          </w:p>
        </w:tc>
        <w:tc>
          <w:tcPr>
            <w:tcW w:w="951" w:type="dxa"/>
            <w:shd w:val="clear" w:color="auto" w:fill="auto"/>
            <w:vAlign w:val="center"/>
          </w:tcPr>
          <w:p w14:paraId="18B837DC" w14:textId="77777777" w:rsidR="00510825" w:rsidRPr="00CF77C1" w:rsidRDefault="00510825" w:rsidP="0080044B">
            <w:pPr>
              <w:spacing w:before="20" w:after="20"/>
              <w:jc w:val="center"/>
              <w:rPr>
                <w:lang w:val="sr-Cyrl-RS"/>
              </w:rPr>
            </w:pPr>
            <w:r w:rsidRPr="00CF77C1">
              <w:rPr>
                <w:lang w:val="sr-Cyrl-RS"/>
              </w:rPr>
              <w:t>x</w:t>
            </w:r>
          </w:p>
        </w:tc>
        <w:tc>
          <w:tcPr>
            <w:tcW w:w="952" w:type="dxa"/>
            <w:shd w:val="clear" w:color="auto" w:fill="auto"/>
            <w:vAlign w:val="center"/>
          </w:tcPr>
          <w:p w14:paraId="6E43A9EB" w14:textId="77777777" w:rsidR="00510825" w:rsidRPr="00CF77C1" w:rsidRDefault="00510825" w:rsidP="0080044B">
            <w:pPr>
              <w:spacing w:before="20" w:after="20"/>
              <w:jc w:val="center"/>
              <w:rPr>
                <w:lang w:val="sr-Cyrl-RS"/>
              </w:rPr>
            </w:pPr>
            <w:r w:rsidRPr="00CF77C1">
              <w:rPr>
                <w:lang w:val="sr-Cyrl-RS"/>
              </w:rPr>
              <w:t>x</w:t>
            </w:r>
          </w:p>
        </w:tc>
        <w:tc>
          <w:tcPr>
            <w:tcW w:w="952" w:type="dxa"/>
            <w:shd w:val="clear" w:color="auto" w:fill="auto"/>
            <w:vAlign w:val="center"/>
          </w:tcPr>
          <w:p w14:paraId="34DA82A6" w14:textId="77777777" w:rsidR="00510825" w:rsidRPr="00CF77C1" w:rsidRDefault="00510825" w:rsidP="0080044B">
            <w:pPr>
              <w:spacing w:before="20" w:after="20"/>
              <w:jc w:val="center"/>
              <w:rPr>
                <w:lang w:val="sr-Cyrl-RS"/>
              </w:rPr>
            </w:pPr>
            <w:r w:rsidRPr="00CF77C1">
              <w:rPr>
                <w:lang w:val="sr-Cyrl-RS"/>
              </w:rPr>
              <w:t>x</w:t>
            </w:r>
          </w:p>
        </w:tc>
        <w:tc>
          <w:tcPr>
            <w:tcW w:w="952" w:type="dxa"/>
            <w:shd w:val="clear" w:color="auto" w:fill="auto"/>
            <w:vAlign w:val="center"/>
          </w:tcPr>
          <w:p w14:paraId="3DD2F1E5" w14:textId="77777777" w:rsidR="00510825" w:rsidRPr="00CF77C1" w:rsidRDefault="00510825" w:rsidP="0080044B">
            <w:pPr>
              <w:spacing w:before="20" w:after="20"/>
              <w:jc w:val="center"/>
              <w:rPr>
                <w:lang w:val="sr-Cyrl-RS"/>
              </w:rPr>
            </w:pPr>
            <w:r w:rsidRPr="00CF77C1">
              <w:rPr>
                <w:lang w:val="sr-Cyrl-RS"/>
              </w:rPr>
              <w:t>x</w:t>
            </w:r>
          </w:p>
        </w:tc>
      </w:tr>
      <w:tr w:rsidR="00510825" w:rsidRPr="00CF77C1" w14:paraId="3F1D40C5" w14:textId="77777777" w:rsidTr="00747A3E">
        <w:tc>
          <w:tcPr>
            <w:tcW w:w="5495" w:type="dxa"/>
            <w:shd w:val="clear" w:color="auto" w:fill="auto"/>
            <w:vAlign w:val="center"/>
          </w:tcPr>
          <w:p w14:paraId="13102635" w14:textId="77777777" w:rsidR="00510825" w:rsidRPr="00CF77C1" w:rsidRDefault="00510825" w:rsidP="0080044B">
            <w:pPr>
              <w:spacing w:before="20" w:after="20"/>
              <w:jc w:val="left"/>
              <w:rPr>
                <w:lang w:val="sr-Cyrl-RS"/>
              </w:rPr>
            </w:pPr>
            <w:r w:rsidRPr="00CF77C1">
              <w:rPr>
                <w:lang w:val="sr-Cyrl-RS"/>
              </w:rPr>
              <w:t>Припрема просторно-планске документације</w:t>
            </w:r>
          </w:p>
        </w:tc>
        <w:tc>
          <w:tcPr>
            <w:tcW w:w="2693" w:type="dxa"/>
            <w:vMerge/>
            <w:shd w:val="clear" w:color="auto" w:fill="auto"/>
            <w:vAlign w:val="center"/>
          </w:tcPr>
          <w:p w14:paraId="6D96823D" w14:textId="77777777" w:rsidR="00510825" w:rsidRPr="00CF77C1" w:rsidRDefault="00510825" w:rsidP="0080044B">
            <w:pPr>
              <w:spacing w:before="20" w:after="20"/>
              <w:jc w:val="left"/>
              <w:rPr>
                <w:lang w:val="sr-Cyrl-RS"/>
              </w:rPr>
            </w:pPr>
          </w:p>
        </w:tc>
        <w:tc>
          <w:tcPr>
            <w:tcW w:w="951" w:type="dxa"/>
            <w:shd w:val="clear" w:color="auto" w:fill="auto"/>
            <w:vAlign w:val="center"/>
          </w:tcPr>
          <w:p w14:paraId="420F46D6"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5F1D5024"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02984B1A" w14:textId="77777777" w:rsidR="00510825" w:rsidRPr="00CF77C1" w:rsidRDefault="00510825" w:rsidP="0080044B">
            <w:pPr>
              <w:jc w:val="center"/>
              <w:rPr>
                <w:lang w:val="sr-Cyrl-RS"/>
              </w:rPr>
            </w:pPr>
            <w:r w:rsidRPr="00CF77C1">
              <w:rPr>
                <w:lang w:val="sr-Cyrl-RS"/>
              </w:rPr>
              <w:t>40 km</w:t>
            </w:r>
          </w:p>
        </w:tc>
        <w:tc>
          <w:tcPr>
            <w:tcW w:w="951" w:type="dxa"/>
            <w:shd w:val="clear" w:color="auto" w:fill="auto"/>
            <w:vAlign w:val="center"/>
          </w:tcPr>
          <w:p w14:paraId="2785C5A4"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51FBE9F7"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484B7ADA"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12B4DA09" w14:textId="77777777" w:rsidR="00510825" w:rsidRPr="00CF77C1" w:rsidRDefault="00510825" w:rsidP="0080044B">
            <w:pPr>
              <w:jc w:val="center"/>
              <w:rPr>
                <w:lang w:val="sr-Cyrl-RS"/>
              </w:rPr>
            </w:pPr>
            <w:r w:rsidRPr="00CF77C1">
              <w:rPr>
                <w:lang w:val="sr-Cyrl-RS"/>
              </w:rPr>
              <w:t>40 km</w:t>
            </w:r>
          </w:p>
        </w:tc>
      </w:tr>
      <w:tr w:rsidR="00510825" w:rsidRPr="00CF77C1" w14:paraId="7FD03D27" w14:textId="77777777" w:rsidTr="00747A3E">
        <w:tc>
          <w:tcPr>
            <w:tcW w:w="5495" w:type="dxa"/>
            <w:shd w:val="clear" w:color="auto" w:fill="auto"/>
            <w:vAlign w:val="center"/>
          </w:tcPr>
          <w:p w14:paraId="604A9391" w14:textId="77777777" w:rsidR="00510825" w:rsidRPr="00CF77C1" w:rsidRDefault="00510825" w:rsidP="0080044B">
            <w:pPr>
              <w:spacing w:before="20" w:after="20"/>
              <w:jc w:val="left"/>
              <w:rPr>
                <w:lang w:val="sr-Cyrl-RS"/>
              </w:rPr>
            </w:pPr>
            <w:r w:rsidRPr="00CF77C1">
              <w:rPr>
                <w:lang w:val="sr-Cyrl-RS"/>
              </w:rPr>
              <w:t>Припрема техничке документације</w:t>
            </w:r>
          </w:p>
        </w:tc>
        <w:tc>
          <w:tcPr>
            <w:tcW w:w="2693" w:type="dxa"/>
            <w:vMerge/>
            <w:shd w:val="clear" w:color="auto" w:fill="auto"/>
          </w:tcPr>
          <w:p w14:paraId="280BFEE3" w14:textId="77777777" w:rsidR="00510825" w:rsidRPr="00CF77C1" w:rsidRDefault="00510825" w:rsidP="0080044B">
            <w:pPr>
              <w:spacing w:before="20" w:after="20"/>
              <w:rPr>
                <w:lang w:val="sr-Cyrl-RS"/>
              </w:rPr>
            </w:pPr>
          </w:p>
        </w:tc>
        <w:tc>
          <w:tcPr>
            <w:tcW w:w="951" w:type="dxa"/>
            <w:shd w:val="clear" w:color="auto" w:fill="auto"/>
            <w:vAlign w:val="center"/>
          </w:tcPr>
          <w:p w14:paraId="6F3E22CE"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3DCA1898"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0D1E5E75" w14:textId="77777777" w:rsidR="00510825" w:rsidRPr="00CF77C1" w:rsidRDefault="00510825" w:rsidP="0080044B">
            <w:pPr>
              <w:jc w:val="center"/>
              <w:rPr>
                <w:lang w:val="sr-Cyrl-RS"/>
              </w:rPr>
            </w:pPr>
            <w:r w:rsidRPr="00CF77C1">
              <w:rPr>
                <w:lang w:val="sr-Cyrl-RS"/>
              </w:rPr>
              <w:t>40 km</w:t>
            </w:r>
          </w:p>
        </w:tc>
        <w:tc>
          <w:tcPr>
            <w:tcW w:w="951" w:type="dxa"/>
            <w:shd w:val="clear" w:color="auto" w:fill="auto"/>
            <w:vAlign w:val="center"/>
          </w:tcPr>
          <w:p w14:paraId="611A5CCF"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4B6754C7"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562C3F7E"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7A8C9F82" w14:textId="77777777" w:rsidR="00510825" w:rsidRPr="00CF77C1" w:rsidRDefault="00510825" w:rsidP="0080044B">
            <w:pPr>
              <w:jc w:val="center"/>
              <w:rPr>
                <w:lang w:val="sr-Cyrl-RS"/>
              </w:rPr>
            </w:pPr>
            <w:r w:rsidRPr="00CF77C1">
              <w:rPr>
                <w:lang w:val="sr-Cyrl-RS"/>
              </w:rPr>
              <w:t>40 km</w:t>
            </w:r>
          </w:p>
        </w:tc>
      </w:tr>
      <w:tr w:rsidR="00510825" w:rsidRPr="00CF77C1" w14:paraId="385A9286" w14:textId="77777777" w:rsidTr="00747A3E">
        <w:tc>
          <w:tcPr>
            <w:tcW w:w="5495" w:type="dxa"/>
            <w:shd w:val="clear" w:color="auto" w:fill="auto"/>
            <w:vAlign w:val="center"/>
          </w:tcPr>
          <w:p w14:paraId="72C6F5FA" w14:textId="77777777" w:rsidR="00510825" w:rsidRPr="00CF77C1" w:rsidRDefault="00510825" w:rsidP="0080044B">
            <w:pPr>
              <w:keepNext/>
              <w:keepLines/>
              <w:spacing w:before="20" w:after="20"/>
              <w:jc w:val="left"/>
              <w:rPr>
                <w:lang w:val="sr-Cyrl-RS"/>
              </w:rPr>
            </w:pPr>
            <w:r w:rsidRPr="00CF77C1">
              <w:rPr>
                <w:lang w:val="sr-Cyrl-RS"/>
              </w:rPr>
              <w:t>Студија утицаја на животну средину и друштво</w:t>
            </w:r>
          </w:p>
        </w:tc>
        <w:tc>
          <w:tcPr>
            <w:tcW w:w="2693" w:type="dxa"/>
            <w:vMerge/>
            <w:shd w:val="clear" w:color="auto" w:fill="auto"/>
          </w:tcPr>
          <w:p w14:paraId="55D77EEA" w14:textId="77777777" w:rsidR="00510825" w:rsidRPr="00CF77C1" w:rsidRDefault="00510825" w:rsidP="0080044B">
            <w:pPr>
              <w:keepNext/>
              <w:keepLines/>
              <w:spacing w:before="20" w:after="20"/>
              <w:rPr>
                <w:lang w:val="sr-Cyrl-RS"/>
              </w:rPr>
            </w:pPr>
          </w:p>
        </w:tc>
        <w:tc>
          <w:tcPr>
            <w:tcW w:w="951" w:type="dxa"/>
            <w:shd w:val="clear" w:color="auto" w:fill="auto"/>
            <w:vAlign w:val="center"/>
          </w:tcPr>
          <w:p w14:paraId="472CC407"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1B692566"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2BCC8044" w14:textId="77777777" w:rsidR="00510825" w:rsidRPr="00CF77C1" w:rsidRDefault="00510825" w:rsidP="0080044B">
            <w:pPr>
              <w:jc w:val="center"/>
              <w:rPr>
                <w:lang w:val="sr-Cyrl-RS"/>
              </w:rPr>
            </w:pPr>
            <w:r w:rsidRPr="00CF77C1">
              <w:rPr>
                <w:lang w:val="sr-Cyrl-RS"/>
              </w:rPr>
              <w:t>40 km</w:t>
            </w:r>
          </w:p>
        </w:tc>
        <w:tc>
          <w:tcPr>
            <w:tcW w:w="951" w:type="dxa"/>
            <w:shd w:val="clear" w:color="auto" w:fill="auto"/>
            <w:vAlign w:val="center"/>
          </w:tcPr>
          <w:p w14:paraId="5F616BBF"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376F5D52"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465BF1F3"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505DC4FA" w14:textId="77777777" w:rsidR="00510825" w:rsidRPr="00CF77C1" w:rsidRDefault="00510825" w:rsidP="0080044B">
            <w:pPr>
              <w:jc w:val="center"/>
              <w:rPr>
                <w:lang w:val="sr-Cyrl-RS"/>
              </w:rPr>
            </w:pPr>
            <w:r w:rsidRPr="00CF77C1">
              <w:rPr>
                <w:lang w:val="sr-Cyrl-RS"/>
              </w:rPr>
              <w:t>40 km</w:t>
            </w:r>
          </w:p>
        </w:tc>
      </w:tr>
      <w:tr w:rsidR="00510825" w:rsidRPr="00CF77C1" w14:paraId="4D23715D" w14:textId="77777777" w:rsidTr="00747A3E">
        <w:tc>
          <w:tcPr>
            <w:tcW w:w="5495" w:type="dxa"/>
            <w:shd w:val="clear" w:color="auto" w:fill="auto"/>
            <w:vAlign w:val="center"/>
          </w:tcPr>
          <w:p w14:paraId="05B3E125" w14:textId="77777777" w:rsidR="00510825" w:rsidRPr="00CF77C1" w:rsidRDefault="00510825" w:rsidP="0080044B">
            <w:pPr>
              <w:spacing w:before="20" w:after="20"/>
              <w:jc w:val="left"/>
              <w:rPr>
                <w:lang w:val="sr-Cyrl-RS"/>
              </w:rPr>
            </w:pPr>
            <w:r w:rsidRPr="00CF77C1">
              <w:rPr>
                <w:lang w:val="sr-Cyrl-RS"/>
              </w:rPr>
              <w:t>Дозволе</w:t>
            </w:r>
          </w:p>
        </w:tc>
        <w:tc>
          <w:tcPr>
            <w:tcW w:w="2693" w:type="dxa"/>
            <w:vMerge/>
            <w:shd w:val="clear" w:color="auto" w:fill="auto"/>
          </w:tcPr>
          <w:p w14:paraId="60D10056" w14:textId="77777777" w:rsidR="00510825" w:rsidRPr="00CF77C1" w:rsidRDefault="00510825" w:rsidP="0080044B">
            <w:pPr>
              <w:spacing w:before="20" w:after="20"/>
              <w:rPr>
                <w:lang w:val="sr-Cyrl-RS"/>
              </w:rPr>
            </w:pPr>
          </w:p>
        </w:tc>
        <w:tc>
          <w:tcPr>
            <w:tcW w:w="951" w:type="dxa"/>
            <w:shd w:val="clear" w:color="auto" w:fill="auto"/>
            <w:vAlign w:val="center"/>
          </w:tcPr>
          <w:p w14:paraId="4D06D06A"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19763EF0"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68593B27" w14:textId="77777777" w:rsidR="00510825" w:rsidRPr="00CF77C1" w:rsidRDefault="00510825" w:rsidP="0080044B">
            <w:pPr>
              <w:jc w:val="center"/>
              <w:rPr>
                <w:lang w:val="sr-Cyrl-RS"/>
              </w:rPr>
            </w:pPr>
            <w:r w:rsidRPr="00CF77C1">
              <w:rPr>
                <w:lang w:val="sr-Cyrl-RS"/>
              </w:rPr>
              <w:t>40 km</w:t>
            </w:r>
          </w:p>
        </w:tc>
        <w:tc>
          <w:tcPr>
            <w:tcW w:w="951" w:type="dxa"/>
            <w:shd w:val="clear" w:color="auto" w:fill="auto"/>
            <w:vAlign w:val="center"/>
          </w:tcPr>
          <w:p w14:paraId="423F2953"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0C212D0C"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6FC9DB4E"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2DEF3726" w14:textId="77777777" w:rsidR="00510825" w:rsidRPr="00CF77C1" w:rsidRDefault="00510825" w:rsidP="0080044B">
            <w:pPr>
              <w:jc w:val="center"/>
              <w:rPr>
                <w:lang w:val="sr-Cyrl-RS"/>
              </w:rPr>
            </w:pPr>
            <w:r w:rsidRPr="00CF77C1">
              <w:rPr>
                <w:lang w:val="sr-Cyrl-RS"/>
              </w:rPr>
              <w:t>40 km</w:t>
            </w:r>
          </w:p>
        </w:tc>
      </w:tr>
      <w:tr w:rsidR="00510825" w:rsidRPr="00CF77C1" w14:paraId="12981FDD" w14:textId="77777777" w:rsidTr="00747A3E">
        <w:tc>
          <w:tcPr>
            <w:tcW w:w="5495" w:type="dxa"/>
            <w:shd w:val="clear" w:color="auto" w:fill="auto"/>
            <w:vAlign w:val="center"/>
          </w:tcPr>
          <w:p w14:paraId="63C0DE57" w14:textId="77777777" w:rsidR="00510825" w:rsidRPr="00CF77C1" w:rsidRDefault="00510825" w:rsidP="0080044B">
            <w:pPr>
              <w:spacing w:before="20" w:after="20"/>
              <w:jc w:val="left"/>
              <w:rPr>
                <w:lang w:val="sr-Cyrl-RS"/>
              </w:rPr>
            </w:pPr>
            <w:r w:rsidRPr="00CF77C1">
              <w:rPr>
                <w:lang w:val="sr-Cyrl-RS"/>
              </w:rPr>
              <w:t>Реализација градње</w:t>
            </w:r>
          </w:p>
        </w:tc>
        <w:tc>
          <w:tcPr>
            <w:tcW w:w="2693" w:type="dxa"/>
            <w:vMerge/>
            <w:shd w:val="clear" w:color="auto" w:fill="auto"/>
          </w:tcPr>
          <w:p w14:paraId="791E9C79" w14:textId="77777777" w:rsidR="00510825" w:rsidRPr="00CF77C1" w:rsidRDefault="00510825" w:rsidP="0080044B">
            <w:pPr>
              <w:spacing w:before="20" w:after="20"/>
              <w:rPr>
                <w:lang w:val="sr-Cyrl-RS"/>
              </w:rPr>
            </w:pPr>
          </w:p>
        </w:tc>
        <w:tc>
          <w:tcPr>
            <w:tcW w:w="951" w:type="dxa"/>
            <w:shd w:val="clear" w:color="auto" w:fill="auto"/>
            <w:vAlign w:val="center"/>
          </w:tcPr>
          <w:p w14:paraId="2665CB3D"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2A32B19D"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75D48E54" w14:textId="77777777" w:rsidR="00510825" w:rsidRPr="00CF77C1" w:rsidRDefault="00510825" w:rsidP="0080044B">
            <w:pPr>
              <w:jc w:val="center"/>
              <w:rPr>
                <w:lang w:val="sr-Cyrl-RS"/>
              </w:rPr>
            </w:pPr>
            <w:r w:rsidRPr="00CF77C1">
              <w:rPr>
                <w:lang w:val="sr-Cyrl-RS"/>
              </w:rPr>
              <w:t>40 km</w:t>
            </w:r>
          </w:p>
        </w:tc>
        <w:tc>
          <w:tcPr>
            <w:tcW w:w="951" w:type="dxa"/>
            <w:shd w:val="clear" w:color="auto" w:fill="auto"/>
            <w:vAlign w:val="center"/>
          </w:tcPr>
          <w:p w14:paraId="7665127D"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1E834DDB"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2E4E9B8F" w14:textId="77777777" w:rsidR="00510825" w:rsidRPr="00CF77C1" w:rsidRDefault="00510825" w:rsidP="0080044B">
            <w:pPr>
              <w:jc w:val="center"/>
              <w:rPr>
                <w:lang w:val="sr-Cyrl-RS"/>
              </w:rPr>
            </w:pPr>
            <w:r w:rsidRPr="00CF77C1">
              <w:rPr>
                <w:lang w:val="sr-Cyrl-RS"/>
              </w:rPr>
              <w:t>40 km</w:t>
            </w:r>
          </w:p>
        </w:tc>
        <w:tc>
          <w:tcPr>
            <w:tcW w:w="952" w:type="dxa"/>
            <w:shd w:val="clear" w:color="auto" w:fill="auto"/>
            <w:vAlign w:val="center"/>
          </w:tcPr>
          <w:p w14:paraId="18B27DFD" w14:textId="77777777" w:rsidR="00510825" w:rsidRPr="00CF77C1" w:rsidRDefault="00510825" w:rsidP="0080044B">
            <w:pPr>
              <w:jc w:val="center"/>
              <w:rPr>
                <w:lang w:val="sr-Cyrl-RS"/>
              </w:rPr>
            </w:pPr>
            <w:r w:rsidRPr="00CF77C1">
              <w:rPr>
                <w:lang w:val="sr-Cyrl-RS"/>
              </w:rPr>
              <w:t>40 km</w:t>
            </w:r>
          </w:p>
        </w:tc>
      </w:tr>
    </w:tbl>
    <w:p w14:paraId="710B29AA" w14:textId="77777777" w:rsidR="00096A0D" w:rsidRPr="00CF77C1" w:rsidRDefault="00096A0D" w:rsidP="0080044B">
      <w:pPr>
        <w:rPr>
          <w:lang w:val="sr-Cyrl-RS"/>
        </w:rPr>
        <w:sectPr w:rsidR="00096A0D" w:rsidRPr="00CF77C1" w:rsidSect="00017454">
          <w:headerReference w:type="default" r:id="rId20"/>
          <w:footerReference w:type="even" r:id="rId21"/>
          <w:footerReference w:type="default" r:id="rId22"/>
          <w:pgSz w:w="16839" w:h="11907" w:orient="landscape" w:code="9"/>
          <w:pgMar w:top="1418" w:right="1134" w:bottom="1134" w:left="1134" w:header="1004" w:footer="720" w:gutter="0"/>
          <w:cols w:space="720"/>
          <w:docGrid w:linePitch="360"/>
        </w:sectPr>
      </w:pPr>
    </w:p>
    <w:p w14:paraId="544A4A6E" w14:textId="55868FFD" w:rsidR="00096A0D" w:rsidRPr="00CF77C1" w:rsidRDefault="00096A0D" w:rsidP="00242883">
      <w:pPr>
        <w:pStyle w:val="ListParagraph"/>
        <w:keepNext/>
        <w:numPr>
          <w:ilvl w:val="0"/>
          <w:numId w:val="14"/>
        </w:numPr>
        <w:ind w:left="0" w:firstLine="720"/>
        <w:rPr>
          <w:lang w:val="sr-Cyrl-RS"/>
        </w:rPr>
      </w:pPr>
      <w:bookmarkStart w:id="35" w:name="_Ref476805996"/>
      <w:r w:rsidRPr="00CF77C1">
        <w:rPr>
          <w:lang w:val="sr-Cyrl-RS"/>
        </w:rPr>
        <w:t xml:space="preserve">Пројекат појачања </w:t>
      </w:r>
      <w:r w:rsidR="00AE310A" w:rsidRPr="00CF77C1">
        <w:rPr>
          <w:lang w:val="sr-Cyrl-RS"/>
        </w:rPr>
        <w:t>надземних и подземних (кабловских</w:t>
      </w:r>
      <w:r w:rsidR="00510825" w:rsidRPr="00CF77C1">
        <w:rPr>
          <w:lang w:val="sr-Cyrl-RS"/>
        </w:rPr>
        <w:t>) електроенергетских водова 110 </w:t>
      </w:r>
      <w:r w:rsidRPr="00CF77C1">
        <w:rPr>
          <w:lang w:val="sr-Cyrl-RS"/>
        </w:rPr>
        <w:t>kV у циљу повећања сигурности напајања и повећања ефикасности преноса електричне енергије на напонском нивоу 110 kV</w:t>
      </w:r>
      <w:bookmarkEnd w:id="35"/>
    </w:p>
    <w:p w14:paraId="4116388D" w14:textId="20DC947F" w:rsidR="00E83B42" w:rsidRPr="00CF77C1" w:rsidRDefault="003C695D" w:rsidP="00242883">
      <w:pPr>
        <w:ind w:right="175" w:firstLine="720"/>
        <w:rPr>
          <w:lang w:val="sr-Cyrl-RS"/>
        </w:rPr>
      </w:pPr>
      <w:r w:rsidRPr="00CF77C1">
        <w:rPr>
          <w:lang w:val="sr-Cyrl-RS"/>
        </w:rPr>
        <w:t xml:space="preserve">Двадесетак </w:t>
      </w:r>
      <w:r w:rsidR="00312709" w:rsidRPr="00CF77C1">
        <w:rPr>
          <w:lang w:val="sr-Cyrl-RS"/>
        </w:rPr>
        <w:t>трансформаторских станица</w:t>
      </w:r>
      <w:r w:rsidRPr="00CF77C1">
        <w:rPr>
          <w:lang w:val="sr-Cyrl-RS"/>
        </w:rPr>
        <w:t xml:space="preserve"> ОДС н</w:t>
      </w:r>
      <w:r w:rsidR="00F10D3F" w:rsidRPr="00CF77C1">
        <w:rPr>
          <w:lang w:val="sr-Cyrl-RS"/>
        </w:rPr>
        <w:t>ема обезбеђено сигурно напајање. То су:</w:t>
      </w:r>
      <w:r w:rsidRPr="00CF77C1">
        <w:rPr>
          <w:lang w:val="sr-Cyrl-RS"/>
        </w:rPr>
        <w:t xml:space="preserve"> </w:t>
      </w:r>
      <w:r w:rsidR="00E83B42" w:rsidRPr="00CF77C1">
        <w:rPr>
          <w:lang w:val="sr-Cyrl-RS"/>
        </w:rPr>
        <w:t xml:space="preserve">Нови Сад 7, </w:t>
      </w:r>
      <w:r w:rsidRPr="00CF77C1">
        <w:rPr>
          <w:lang w:val="sr-Cyrl-RS"/>
        </w:rPr>
        <w:t>Сента 2, Ада, Темерин, Жабаљ, Бела Црква, Велико Градиште, Ковин, Рудник Ковин, Крупањ, Љубовија, Кнић, Стењевац, Пријепоље, Ариље, Ивањица, Нови Пазар 1 и 2, Рашка, Сјеница, Јабланица, Власотинце, Димитровград, Прешево</w:t>
      </w:r>
      <w:r w:rsidR="00510825" w:rsidRPr="00CF77C1">
        <w:rPr>
          <w:lang w:val="sr-Cyrl-RS"/>
        </w:rPr>
        <w:t xml:space="preserve">. Наиме, при испаду јединог напојног вода наведене ТС остају без напајања на 110 kV </w:t>
      </w:r>
      <w:r w:rsidR="00F10D3F" w:rsidRPr="00CF77C1">
        <w:rPr>
          <w:lang w:val="sr-Cyrl-RS"/>
        </w:rPr>
        <w:t xml:space="preserve">нивоу, </w:t>
      </w:r>
      <w:r w:rsidR="00510825" w:rsidRPr="00CF77C1">
        <w:rPr>
          <w:lang w:val="sr-Cyrl-RS"/>
        </w:rPr>
        <w:t>при чему се за само мали део њиховог конзума може обезбедити резервно напајање на нижим напонским нивоима из суседних ТС 110/X kV</w:t>
      </w:r>
      <w:r w:rsidRPr="00CF77C1">
        <w:rPr>
          <w:lang w:val="sr-Cyrl-RS"/>
        </w:rPr>
        <w:t xml:space="preserve">. Такође, поједини 110 kV правци захтевају појачање ради повећања ефикасности преноса енергије мрежом 110 kV. </w:t>
      </w:r>
      <w:r w:rsidR="00E83B42" w:rsidRPr="00CF77C1">
        <w:rPr>
          <w:lang w:val="sr-Cyrl-RS"/>
        </w:rPr>
        <w:t xml:space="preserve">С тим у вези, у периоду реализације ПОС предвиђа се улазак у погон следећих 110 kV </w:t>
      </w:r>
      <w:r w:rsidR="00AE310A" w:rsidRPr="00CF77C1">
        <w:rPr>
          <w:lang w:val="sr-Cyrl-RS"/>
        </w:rPr>
        <w:t>надземних и подземних (кабловских</w:t>
      </w:r>
      <w:r w:rsidR="00C94D50" w:rsidRPr="00CF77C1">
        <w:rPr>
          <w:lang w:val="sr-Cyrl-RS"/>
        </w:rPr>
        <w:t>) електроенергетских</w:t>
      </w:r>
      <w:r w:rsidR="00E83B42" w:rsidRPr="00CF77C1">
        <w:rPr>
          <w:lang w:val="sr-Cyrl-RS"/>
        </w:rPr>
        <w:t xml:space="preserve"> водова:</w:t>
      </w:r>
    </w:p>
    <w:p w14:paraId="0C8443DB" w14:textId="46CB65D1" w:rsidR="00E83B42" w:rsidRPr="00CF77C1" w:rsidRDefault="00FE3008" w:rsidP="00242883">
      <w:pPr>
        <w:pStyle w:val="ListParagraph"/>
        <w:numPr>
          <w:ilvl w:val="0"/>
          <w:numId w:val="16"/>
        </w:numPr>
        <w:spacing w:before="60" w:after="60"/>
        <w:ind w:left="0" w:firstLine="720"/>
        <w:contextualSpacing w:val="0"/>
        <w:rPr>
          <w:lang w:val="sr-Cyrl-RS"/>
        </w:rPr>
      </w:pPr>
      <w:r w:rsidRPr="00CF77C1">
        <w:rPr>
          <w:lang w:val="sr-Cyrl-RS"/>
        </w:rPr>
        <w:t>п</w:t>
      </w:r>
      <w:r w:rsidR="00AE310A" w:rsidRPr="00CF77C1">
        <w:rPr>
          <w:lang w:val="sr-Cyrl-RS"/>
        </w:rPr>
        <w:t>одземни вод</w:t>
      </w:r>
      <w:r w:rsidR="00E83B42" w:rsidRPr="00CF77C1">
        <w:rPr>
          <w:lang w:val="sr-Cyrl-RS"/>
        </w:rPr>
        <w:t xml:space="preserve"> 110 kV ТС</w:t>
      </w:r>
      <w:r w:rsidR="000B28E3" w:rsidRPr="00CF77C1">
        <w:rPr>
          <w:lang w:val="sr-Cyrl-RS"/>
        </w:rPr>
        <w:t xml:space="preserve"> 110/35/20 kV</w:t>
      </w:r>
      <w:r w:rsidR="00E83B42" w:rsidRPr="00CF77C1">
        <w:rPr>
          <w:lang w:val="sr-Cyrl-RS"/>
        </w:rPr>
        <w:t xml:space="preserve"> Нови Сад 7 - ТС </w:t>
      </w:r>
      <w:r w:rsidR="000B28E3" w:rsidRPr="00CF77C1">
        <w:rPr>
          <w:lang w:val="sr-Cyrl-RS"/>
        </w:rPr>
        <w:t xml:space="preserve">110/20/10 kV </w:t>
      </w:r>
      <w:r w:rsidR="00E83B42" w:rsidRPr="00CF77C1">
        <w:rPr>
          <w:lang w:val="sr-Cyrl-RS"/>
        </w:rPr>
        <w:t>Нови Сад 5</w:t>
      </w:r>
      <w:r w:rsidR="007E5886" w:rsidRPr="00CF77C1">
        <w:rPr>
          <w:lang w:val="sr-Cyrl-RS"/>
        </w:rPr>
        <w:t xml:space="preserve"> (Al 1000 mm</w:t>
      </w:r>
      <w:r w:rsidR="007E5886" w:rsidRPr="00CF77C1">
        <w:rPr>
          <w:vertAlign w:val="superscript"/>
          <w:lang w:val="sr-Cyrl-RS"/>
        </w:rPr>
        <w:t>2</w:t>
      </w:r>
      <w:r w:rsidR="007E5886" w:rsidRPr="00CF77C1">
        <w:rPr>
          <w:lang w:val="sr-Cyrl-RS"/>
        </w:rPr>
        <w:t xml:space="preserve">, </w:t>
      </w:r>
      <w:r w:rsidR="00F1645E" w:rsidRPr="00CF77C1">
        <w:rPr>
          <w:lang w:val="sr-Cyrl-RS"/>
        </w:rPr>
        <w:t>3,</w:t>
      </w:r>
      <w:r w:rsidR="007E5886" w:rsidRPr="00CF77C1">
        <w:rPr>
          <w:lang w:val="sr-Cyrl-RS"/>
        </w:rPr>
        <w:t>98</w:t>
      </w:r>
      <w:r w:rsidR="004A16B9" w:rsidRPr="00CF77C1">
        <w:rPr>
          <w:lang w:val="sr-Cyrl-RS"/>
        </w:rPr>
        <w:t xml:space="preserve"> km)</w:t>
      </w:r>
      <w:r w:rsidR="00E83B42" w:rsidRPr="00CF77C1">
        <w:rPr>
          <w:lang w:val="sr-Cyrl-RS"/>
        </w:rPr>
        <w:t>;</w:t>
      </w:r>
    </w:p>
    <w:p w14:paraId="492BD8BD" w14:textId="17E464EE" w:rsidR="00E83B42" w:rsidRPr="00CF77C1" w:rsidRDefault="00FE3008" w:rsidP="00242883">
      <w:pPr>
        <w:pStyle w:val="ListParagraph"/>
        <w:numPr>
          <w:ilvl w:val="0"/>
          <w:numId w:val="16"/>
        </w:numPr>
        <w:spacing w:before="60" w:after="60"/>
        <w:ind w:left="0" w:firstLine="720"/>
        <w:contextualSpacing w:val="0"/>
        <w:rPr>
          <w:lang w:val="sr-Cyrl-RS"/>
        </w:rPr>
      </w:pPr>
      <w:r w:rsidRPr="00CF77C1">
        <w:rPr>
          <w:lang w:val="sr-Cyrl-RS"/>
        </w:rPr>
        <w:t>д</w:t>
      </w:r>
      <w:r w:rsidR="00AE310A" w:rsidRPr="00CF77C1">
        <w:rPr>
          <w:lang w:val="sr-Cyrl-RS"/>
        </w:rPr>
        <w:t>алеко</w:t>
      </w:r>
      <w:r w:rsidR="00510825" w:rsidRPr="00CF77C1">
        <w:rPr>
          <w:lang w:val="sr-Cyrl-RS"/>
        </w:rPr>
        <w:t>вод</w:t>
      </w:r>
      <w:r w:rsidR="00E83B42" w:rsidRPr="00CF77C1">
        <w:rPr>
          <w:lang w:val="sr-Cyrl-RS"/>
        </w:rPr>
        <w:t xml:space="preserve"> 110 kV ТС </w:t>
      </w:r>
      <w:r w:rsidR="000B28E3" w:rsidRPr="00CF77C1">
        <w:rPr>
          <w:lang w:val="sr-Cyrl-RS"/>
        </w:rPr>
        <w:t xml:space="preserve">110/20 kV </w:t>
      </w:r>
      <w:r w:rsidR="00E83B42" w:rsidRPr="00CF77C1">
        <w:rPr>
          <w:lang w:val="sr-Cyrl-RS"/>
        </w:rPr>
        <w:t xml:space="preserve">Бела Црква - ТС </w:t>
      </w:r>
      <w:r w:rsidR="000B28E3" w:rsidRPr="00CF77C1">
        <w:rPr>
          <w:lang w:val="sr-Cyrl-RS"/>
        </w:rPr>
        <w:t xml:space="preserve">110/35 kV </w:t>
      </w:r>
      <w:r w:rsidR="00E83B42" w:rsidRPr="00CF77C1">
        <w:rPr>
          <w:lang w:val="sr-Cyrl-RS"/>
        </w:rPr>
        <w:t>Велико Градиште</w:t>
      </w:r>
      <w:r w:rsidR="004A16B9" w:rsidRPr="00CF77C1">
        <w:rPr>
          <w:lang w:val="sr-Cyrl-RS"/>
        </w:rPr>
        <w:t xml:space="preserve"> </w:t>
      </w:r>
      <w:r w:rsidR="007E5886" w:rsidRPr="00CF77C1">
        <w:rPr>
          <w:lang w:val="sr-Cyrl-RS"/>
        </w:rPr>
        <w:t>(</w:t>
      </w:r>
      <w:r w:rsidR="000B28E3" w:rsidRPr="00CF77C1">
        <w:rPr>
          <w:lang w:val="sr-Cyrl-RS"/>
        </w:rPr>
        <w:t>Alč </w:t>
      </w:r>
      <w:r w:rsidR="007E5886" w:rsidRPr="00CF77C1">
        <w:rPr>
          <w:lang w:val="sr-Cyrl-RS"/>
        </w:rPr>
        <w:t xml:space="preserve">240 mm2, </w:t>
      </w:r>
      <w:r w:rsidR="004A16B9" w:rsidRPr="00CF77C1">
        <w:rPr>
          <w:lang w:val="sr-Cyrl-RS"/>
        </w:rPr>
        <w:t>3</w:t>
      </w:r>
      <w:r w:rsidR="00F1645E" w:rsidRPr="00CF77C1">
        <w:rPr>
          <w:lang w:val="sr-Cyrl-RS"/>
        </w:rPr>
        <w:t>4,</w:t>
      </w:r>
      <w:r w:rsidR="007E5886" w:rsidRPr="00CF77C1">
        <w:rPr>
          <w:lang w:val="sr-Cyrl-RS"/>
        </w:rPr>
        <w:t>13</w:t>
      </w:r>
      <w:r w:rsidR="004A16B9" w:rsidRPr="00CF77C1">
        <w:rPr>
          <w:lang w:val="sr-Cyrl-RS"/>
        </w:rPr>
        <w:t xml:space="preserve"> km)</w:t>
      </w:r>
      <w:r w:rsidR="00E83B42" w:rsidRPr="00CF77C1">
        <w:rPr>
          <w:lang w:val="sr-Cyrl-RS"/>
        </w:rPr>
        <w:t>;</w:t>
      </w:r>
    </w:p>
    <w:p w14:paraId="32269CA2" w14:textId="7ABAB5AA" w:rsidR="00E83B42" w:rsidRPr="00CF77C1" w:rsidRDefault="00FE3008" w:rsidP="00242883">
      <w:pPr>
        <w:pStyle w:val="ListParagraph"/>
        <w:numPr>
          <w:ilvl w:val="0"/>
          <w:numId w:val="16"/>
        </w:numPr>
        <w:spacing w:before="60" w:after="60"/>
        <w:ind w:left="0" w:firstLine="720"/>
        <w:contextualSpacing w:val="0"/>
        <w:rPr>
          <w:lang w:val="sr-Cyrl-RS"/>
        </w:rPr>
      </w:pPr>
      <w:r w:rsidRPr="00CF77C1">
        <w:rPr>
          <w:lang w:val="sr-Cyrl-RS"/>
        </w:rPr>
        <w:t>д</w:t>
      </w:r>
      <w:r w:rsidR="00AE310A" w:rsidRPr="00CF77C1">
        <w:rPr>
          <w:lang w:val="sr-Cyrl-RS"/>
        </w:rPr>
        <w:t xml:space="preserve">алековод </w:t>
      </w:r>
      <w:r w:rsidR="00E83B42" w:rsidRPr="00CF77C1">
        <w:rPr>
          <w:lang w:val="sr-Cyrl-RS"/>
        </w:rPr>
        <w:t>110 kV</w:t>
      </w:r>
      <w:r w:rsidR="00EA6189" w:rsidRPr="00CF77C1">
        <w:rPr>
          <w:lang w:val="sr-Cyrl-RS"/>
        </w:rPr>
        <w:t xml:space="preserve"> </w:t>
      </w:r>
      <w:r w:rsidR="00E83B42" w:rsidRPr="00CF77C1">
        <w:rPr>
          <w:lang w:val="sr-Cyrl-RS"/>
        </w:rPr>
        <w:t xml:space="preserve">ТС </w:t>
      </w:r>
      <w:r w:rsidR="000B28E3" w:rsidRPr="00CF77C1">
        <w:rPr>
          <w:lang w:val="sr-Cyrl-RS"/>
        </w:rPr>
        <w:t xml:space="preserve">110/35 kV </w:t>
      </w:r>
      <w:r w:rsidR="00E83B42" w:rsidRPr="00CF77C1">
        <w:rPr>
          <w:lang w:val="sr-Cyrl-RS"/>
        </w:rPr>
        <w:t>Љубовија -</w:t>
      </w:r>
      <w:r w:rsidR="004A16B9" w:rsidRPr="00CF77C1">
        <w:rPr>
          <w:lang w:val="sr-Cyrl-RS"/>
        </w:rPr>
        <w:t xml:space="preserve"> ТС Сребреница (БиХ - </w:t>
      </w:r>
      <w:r w:rsidR="007E5886" w:rsidRPr="00CF77C1">
        <w:rPr>
          <w:lang w:val="sr-Cyrl-RS"/>
        </w:rPr>
        <w:t xml:space="preserve">Alč 240 mm2, укупно </w:t>
      </w:r>
      <w:r w:rsidR="00F1645E" w:rsidRPr="00CF77C1">
        <w:rPr>
          <w:lang w:val="sr-Cyrl-RS"/>
        </w:rPr>
        <w:t>8,</w:t>
      </w:r>
      <w:r w:rsidR="007E5886" w:rsidRPr="00CF77C1">
        <w:rPr>
          <w:lang w:val="sr-Cyrl-RS"/>
        </w:rPr>
        <w:t>62 km</w:t>
      </w:r>
      <w:r w:rsidR="00F1645E" w:rsidRPr="00CF77C1">
        <w:rPr>
          <w:lang w:val="sr-Cyrl-RS"/>
        </w:rPr>
        <w:t>, а део у надлежности РС - 2,</w:t>
      </w:r>
      <w:r w:rsidR="007E5886" w:rsidRPr="00CF77C1">
        <w:rPr>
          <w:lang w:val="sr-Cyrl-RS"/>
        </w:rPr>
        <w:t>5 km</w:t>
      </w:r>
      <w:r w:rsidR="004A16B9" w:rsidRPr="00CF77C1">
        <w:rPr>
          <w:lang w:val="sr-Cyrl-RS"/>
        </w:rPr>
        <w:t>)</w:t>
      </w:r>
      <w:r w:rsidR="00E83B42" w:rsidRPr="00CF77C1">
        <w:rPr>
          <w:lang w:val="sr-Cyrl-RS"/>
        </w:rPr>
        <w:t>;</w:t>
      </w:r>
    </w:p>
    <w:p w14:paraId="0E53C1C1" w14:textId="31310149" w:rsidR="00E83B42" w:rsidRPr="00CF77C1" w:rsidRDefault="00FE3008" w:rsidP="00242883">
      <w:pPr>
        <w:pStyle w:val="ListParagraph"/>
        <w:numPr>
          <w:ilvl w:val="0"/>
          <w:numId w:val="16"/>
        </w:numPr>
        <w:spacing w:before="60" w:after="60"/>
        <w:ind w:left="0" w:firstLine="720"/>
        <w:contextualSpacing w:val="0"/>
        <w:rPr>
          <w:lang w:val="sr-Cyrl-RS"/>
        </w:rPr>
      </w:pPr>
      <w:r w:rsidRPr="00CF77C1">
        <w:rPr>
          <w:lang w:val="sr-Cyrl-RS"/>
        </w:rPr>
        <w:t>д</w:t>
      </w:r>
      <w:r w:rsidR="00AE310A" w:rsidRPr="00CF77C1">
        <w:rPr>
          <w:lang w:val="sr-Cyrl-RS"/>
        </w:rPr>
        <w:t xml:space="preserve">алековод </w:t>
      </w:r>
      <w:r w:rsidR="00E83B42" w:rsidRPr="00CF77C1">
        <w:rPr>
          <w:lang w:val="sr-Cyrl-RS"/>
        </w:rPr>
        <w:t xml:space="preserve">110 kV ТС </w:t>
      </w:r>
      <w:r w:rsidR="000B28E3" w:rsidRPr="00CF77C1">
        <w:rPr>
          <w:lang w:val="sr-Cyrl-RS"/>
        </w:rPr>
        <w:t xml:space="preserve">110/20 kV </w:t>
      </w:r>
      <w:r w:rsidR="00E83B42" w:rsidRPr="00CF77C1">
        <w:rPr>
          <w:lang w:val="sr-Cyrl-RS"/>
        </w:rPr>
        <w:t xml:space="preserve">Ада - </w:t>
      </w:r>
      <w:r w:rsidR="000B28E3" w:rsidRPr="00CF77C1">
        <w:rPr>
          <w:lang w:val="sr-Cyrl-RS"/>
        </w:rPr>
        <w:t xml:space="preserve">ТС 110/20 kV </w:t>
      </w:r>
      <w:r w:rsidR="00E83B42" w:rsidRPr="00CF77C1">
        <w:rPr>
          <w:lang w:val="sr-Cyrl-RS"/>
        </w:rPr>
        <w:t>Кикинда 2</w:t>
      </w:r>
      <w:r w:rsidR="004A16B9" w:rsidRPr="00CF77C1">
        <w:rPr>
          <w:lang w:val="sr-Cyrl-RS"/>
        </w:rPr>
        <w:t xml:space="preserve"> </w:t>
      </w:r>
      <w:r w:rsidR="003F11C3" w:rsidRPr="00CF77C1">
        <w:rPr>
          <w:lang w:val="sr-Cyrl-RS"/>
        </w:rPr>
        <w:t>(</w:t>
      </w:r>
      <w:r w:rsidR="007E5886" w:rsidRPr="00CF77C1">
        <w:rPr>
          <w:lang w:val="sr-Cyrl-RS"/>
        </w:rPr>
        <w:t>Alč 240 mm2, 29</w:t>
      </w:r>
      <w:r w:rsidR="00F1645E" w:rsidRPr="00CF77C1">
        <w:rPr>
          <w:lang w:val="sr-Cyrl-RS"/>
        </w:rPr>
        <w:t>,</w:t>
      </w:r>
      <w:r w:rsidR="000B28E3" w:rsidRPr="00CF77C1">
        <w:rPr>
          <w:lang w:val="sr-Cyrl-RS"/>
        </w:rPr>
        <w:t>56 </w:t>
      </w:r>
      <w:r w:rsidR="007E5886" w:rsidRPr="00CF77C1">
        <w:rPr>
          <w:lang w:val="sr-Cyrl-RS"/>
        </w:rPr>
        <w:t>km</w:t>
      </w:r>
      <w:r w:rsidR="004A16B9" w:rsidRPr="00CF77C1">
        <w:rPr>
          <w:lang w:val="sr-Cyrl-RS"/>
        </w:rPr>
        <w:t>)</w:t>
      </w:r>
      <w:r w:rsidR="00E83B42" w:rsidRPr="00CF77C1">
        <w:rPr>
          <w:lang w:val="sr-Cyrl-RS"/>
        </w:rPr>
        <w:t>;</w:t>
      </w:r>
    </w:p>
    <w:p w14:paraId="3E3CC6DB" w14:textId="2B2F5423" w:rsidR="00E83B42" w:rsidRPr="00CF77C1" w:rsidRDefault="00FE3008" w:rsidP="00242883">
      <w:pPr>
        <w:pStyle w:val="ListParagraph"/>
        <w:numPr>
          <w:ilvl w:val="0"/>
          <w:numId w:val="16"/>
        </w:numPr>
        <w:spacing w:before="60" w:after="60"/>
        <w:ind w:left="0" w:firstLine="720"/>
        <w:contextualSpacing w:val="0"/>
        <w:rPr>
          <w:lang w:val="sr-Cyrl-RS"/>
        </w:rPr>
      </w:pPr>
      <w:r w:rsidRPr="00CF77C1">
        <w:rPr>
          <w:lang w:val="sr-Cyrl-RS"/>
        </w:rPr>
        <w:t>д</w:t>
      </w:r>
      <w:r w:rsidR="00AE310A" w:rsidRPr="00CF77C1">
        <w:rPr>
          <w:lang w:val="sr-Cyrl-RS"/>
        </w:rPr>
        <w:t xml:space="preserve">алековод </w:t>
      </w:r>
      <w:r w:rsidR="00E83B42" w:rsidRPr="00CF77C1">
        <w:rPr>
          <w:lang w:val="sr-Cyrl-RS"/>
        </w:rPr>
        <w:t xml:space="preserve">110 kV ТС </w:t>
      </w:r>
      <w:r w:rsidR="000B28E3" w:rsidRPr="00CF77C1">
        <w:rPr>
          <w:lang w:val="sr-Cyrl-RS"/>
        </w:rPr>
        <w:t xml:space="preserve">110/35 kV </w:t>
      </w:r>
      <w:r w:rsidR="00E83B42" w:rsidRPr="00CF77C1">
        <w:rPr>
          <w:lang w:val="sr-Cyrl-RS"/>
        </w:rPr>
        <w:t xml:space="preserve">Гуча - </w:t>
      </w:r>
      <w:r w:rsidR="000B28E3" w:rsidRPr="00CF77C1">
        <w:rPr>
          <w:lang w:val="sr-Cyrl-RS"/>
        </w:rPr>
        <w:t xml:space="preserve">ТС 110/35 kV </w:t>
      </w:r>
      <w:r w:rsidR="00E83B42" w:rsidRPr="00CF77C1">
        <w:rPr>
          <w:lang w:val="sr-Cyrl-RS"/>
        </w:rPr>
        <w:t>Ивањица</w:t>
      </w:r>
      <w:r w:rsidR="004A16B9" w:rsidRPr="00CF77C1">
        <w:rPr>
          <w:lang w:val="sr-Cyrl-RS"/>
        </w:rPr>
        <w:t xml:space="preserve"> (</w:t>
      </w:r>
      <w:r w:rsidR="007E5886" w:rsidRPr="00CF77C1">
        <w:rPr>
          <w:lang w:val="sr-Cyrl-RS"/>
        </w:rPr>
        <w:t xml:space="preserve">Alč 240 mm2, </w:t>
      </w:r>
      <w:r w:rsidR="004A16B9" w:rsidRPr="00CF77C1">
        <w:rPr>
          <w:lang w:val="sr-Cyrl-RS"/>
        </w:rPr>
        <w:t>23 km)</w:t>
      </w:r>
      <w:r w:rsidR="00E83B42" w:rsidRPr="00CF77C1">
        <w:rPr>
          <w:lang w:val="sr-Cyrl-RS"/>
        </w:rPr>
        <w:t>;</w:t>
      </w:r>
    </w:p>
    <w:p w14:paraId="3CA58CCF" w14:textId="3E55F4C1" w:rsidR="00096A0D" w:rsidRPr="00CF77C1" w:rsidRDefault="00FE3008" w:rsidP="00242883">
      <w:pPr>
        <w:pStyle w:val="ListParagraph"/>
        <w:numPr>
          <w:ilvl w:val="0"/>
          <w:numId w:val="16"/>
        </w:numPr>
        <w:spacing w:before="60" w:after="60"/>
        <w:ind w:left="0" w:firstLine="720"/>
        <w:contextualSpacing w:val="0"/>
        <w:rPr>
          <w:lang w:val="sr-Cyrl-RS"/>
        </w:rPr>
      </w:pPr>
      <w:r w:rsidRPr="00CF77C1">
        <w:rPr>
          <w:lang w:val="sr-Cyrl-RS"/>
        </w:rPr>
        <w:t>д</w:t>
      </w:r>
      <w:r w:rsidR="006E264A" w:rsidRPr="00CF77C1">
        <w:rPr>
          <w:lang w:val="sr-Cyrl-RS"/>
        </w:rPr>
        <w:t xml:space="preserve">воструки далековод </w:t>
      </w:r>
      <w:r w:rsidR="00E83B42" w:rsidRPr="00CF77C1">
        <w:rPr>
          <w:lang w:val="sr-Cyrl-RS"/>
        </w:rPr>
        <w:t xml:space="preserve">110 kV ТС </w:t>
      </w:r>
      <w:r w:rsidR="000B28E3" w:rsidRPr="00CF77C1">
        <w:rPr>
          <w:lang w:val="sr-Cyrl-RS"/>
        </w:rPr>
        <w:t xml:space="preserve">220/110 kV </w:t>
      </w:r>
      <w:r w:rsidR="00E83B42" w:rsidRPr="00CF77C1">
        <w:rPr>
          <w:lang w:val="sr-Cyrl-RS"/>
        </w:rPr>
        <w:t xml:space="preserve">Краљево 3 - </w:t>
      </w:r>
      <w:r w:rsidR="000B28E3" w:rsidRPr="00CF77C1">
        <w:rPr>
          <w:lang w:val="sr-Cyrl-RS"/>
        </w:rPr>
        <w:t xml:space="preserve">ТС 110/35 kV </w:t>
      </w:r>
      <w:r w:rsidR="00E83B42" w:rsidRPr="00CF77C1">
        <w:rPr>
          <w:lang w:val="sr-Cyrl-RS"/>
        </w:rPr>
        <w:t>Нови Пазар</w:t>
      </w:r>
      <w:r w:rsidR="004A16B9" w:rsidRPr="00CF77C1">
        <w:rPr>
          <w:lang w:val="sr-Cyrl-RS"/>
        </w:rPr>
        <w:t xml:space="preserve"> </w:t>
      </w:r>
      <w:r w:rsidR="000B28E3" w:rsidRPr="00CF77C1">
        <w:rPr>
          <w:lang w:val="sr-Cyrl-RS"/>
        </w:rPr>
        <w:t xml:space="preserve">1 </w:t>
      </w:r>
      <w:r w:rsidR="004A16B9" w:rsidRPr="00CF77C1">
        <w:rPr>
          <w:lang w:val="sr-Cyrl-RS"/>
        </w:rPr>
        <w:t>(</w:t>
      </w:r>
      <w:r w:rsidR="007E5886" w:rsidRPr="00CF77C1">
        <w:rPr>
          <w:lang w:val="sr-Cyrl-RS"/>
        </w:rPr>
        <w:t>2x</w:t>
      </w:r>
      <w:r w:rsidR="006E264A" w:rsidRPr="00CF77C1">
        <w:rPr>
          <w:lang w:val="sr-Cyrl-RS"/>
        </w:rPr>
        <w:t>Alč 240 </w:t>
      </w:r>
      <w:r w:rsidR="007E5886" w:rsidRPr="00CF77C1">
        <w:rPr>
          <w:lang w:val="sr-Cyrl-RS"/>
        </w:rPr>
        <w:t>mm2, 63</w:t>
      </w:r>
      <w:r w:rsidR="00F1645E" w:rsidRPr="00CF77C1">
        <w:rPr>
          <w:lang w:val="sr-Cyrl-RS"/>
        </w:rPr>
        <w:t>,</w:t>
      </w:r>
      <w:r w:rsidR="007E5886" w:rsidRPr="00CF77C1">
        <w:rPr>
          <w:lang w:val="sr-Cyrl-RS"/>
        </w:rPr>
        <w:t>37 km</w:t>
      </w:r>
      <w:r w:rsidR="004A16B9" w:rsidRPr="00CF77C1">
        <w:rPr>
          <w:lang w:val="sr-Cyrl-RS"/>
        </w:rPr>
        <w:t>)</w:t>
      </w:r>
      <w:r w:rsidR="00F10D3F" w:rsidRPr="00CF77C1">
        <w:rPr>
          <w:lang w:val="sr-Cyrl-RS"/>
        </w:rPr>
        <w:t>.</w:t>
      </w:r>
    </w:p>
    <w:p w14:paraId="3617C574" w14:textId="19C97F1D" w:rsidR="00E83B42" w:rsidRPr="00CF77C1" w:rsidRDefault="00E83B42" w:rsidP="00242883">
      <w:pPr>
        <w:ind w:firstLine="720"/>
        <w:rPr>
          <w:lang w:val="sr-Cyrl-RS"/>
        </w:rPr>
      </w:pPr>
      <w:r w:rsidRPr="00CF77C1">
        <w:rPr>
          <w:lang w:val="sr-Cyrl-RS"/>
        </w:rPr>
        <w:t>Припрема планске и техничке документације за ове водове ће се сукцесивно реа</w:t>
      </w:r>
      <w:r w:rsidR="00C255D3" w:rsidRPr="00CF77C1">
        <w:rPr>
          <w:lang w:val="sr-Cyrl-RS"/>
        </w:rPr>
        <w:t>лизовати током реализације ПОС</w:t>
      </w:r>
      <w:r w:rsidRPr="00CF77C1">
        <w:rPr>
          <w:lang w:val="sr-Cyrl-RS"/>
        </w:rPr>
        <w:t>.</w:t>
      </w:r>
    </w:p>
    <w:p w14:paraId="48FECE54" w14:textId="77777777" w:rsidR="00B103F5" w:rsidRPr="00CF77C1" w:rsidRDefault="00B103F5" w:rsidP="00242883">
      <w:pPr>
        <w:ind w:firstLine="360"/>
        <w:rPr>
          <w:lang w:val="sr-Cyrl-RS"/>
        </w:rPr>
      </w:pPr>
      <w:r w:rsidRPr="00CF77C1">
        <w:rPr>
          <w:lang w:val="sr-Cyrl-RS"/>
        </w:rPr>
        <w:t xml:space="preserve">За наведене потпројекте не постоје расположиве студијске информације о ефектима смањења губитака у постојећем стању мреже. Због тога су урађене процене </w:t>
      </w:r>
      <w:r w:rsidR="003F11C3" w:rsidRPr="00CF77C1">
        <w:rPr>
          <w:lang w:val="sr-Cyrl-RS"/>
        </w:rPr>
        <w:t xml:space="preserve">утицаја на побољшање енергетске ефикасности </w:t>
      </w:r>
      <w:r w:rsidRPr="00CF77C1">
        <w:rPr>
          <w:lang w:val="sr-Cyrl-RS"/>
        </w:rPr>
        <w:t>на бази расположивих модела преносне мреже:</w:t>
      </w:r>
    </w:p>
    <w:p w14:paraId="723E4886" w14:textId="79CAA68F" w:rsidR="00B103F5" w:rsidRPr="00CF77C1" w:rsidRDefault="00775311" w:rsidP="003E39B4">
      <w:pPr>
        <w:pStyle w:val="ListParagraph"/>
        <w:numPr>
          <w:ilvl w:val="0"/>
          <w:numId w:val="57"/>
        </w:numPr>
        <w:spacing w:before="60" w:after="60"/>
        <w:ind w:left="0" w:firstLine="720"/>
        <w:contextualSpacing w:val="0"/>
        <w:rPr>
          <w:lang w:val="sr-Cyrl-RS"/>
        </w:rPr>
      </w:pPr>
      <w:r w:rsidRPr="00CF77C1">
        <w:rPr>
          <w:lang w:val="sr-Cyrl-RS"/>
        </w:rPr>
        <w:t>п</w:t>
      </w:r>
      <w:r w:rsidR="00B103F5" w:rsidRPr="00CF77C1">
        <w:rPr>
          <w:lang w:val="sr-Cyrl-RS"/>
        </w:rPr>
        <w:t>одземни вод 110 kV ТС 110/35/20 kV Нови Сад 7 - ТС 110/20/10 kV Нови Сад 5</w:t>
      </w:r>
      <w:r w:rsidR="003F11C3" w:rsidRPr="00CF77C1">
        <w:rPr>
          <w:lang w:val="sr-Cyrl-RS"/>
        </w:rPr>
        <w:t>: 1,9 GWh годишње (≈0,002% финалне потрошње енергије (за енергетске и неенергетске сврхе) у 2015. години)</w:t>
      </w:r>
      <w:r w:rsidR="00B103F5" w:rsidRPr="00CF77C1">
        <w:rPr>
          <w:lang w:val="sr-Cyrl-RS"/>
        </w:rPr>
        <w:t>;</w:t>
      </w:r>
    </w:p>
    <w:p w14:paraId="5A713EFB" w14:textId="0E5C93CD" w:rsidR="00B103F5" w:rsidRPr="00CF77C1" w:rsidRDefault="00775311" w:rsidP="003E39B4">
      <w:pPr>
        <w:pStyle w:val="ListParagraph"/>
        <w:numPr>
          <w:ilvl w:val="0"/>
          <w:numId w:val="57"/>
        </w:numPr>
        <w:spacing w:before="60" w:after="60"/>
        <w:ind w:left="0" w:firstLine="720"/>
        <w:contextualSpacing w:val="0"/>
        <w:rPr>
          <w:lang w:val="sr-Cyrl-RS"/>
        </w:rPr>
      </w:pPr>
      <w:r w:rsidRPr="00CF77C1">
        <w:rPr>
          <w:lang w:val="sr-Cyrl-RS"/>
        </w:rPr>
        <w:t>д</w:t>
      </w:r>
      <w:r w:rsidR="00B103F5" w:rsidRPr="00CF77C1">
        <w:rPr>
          <w:lang w:val="sr-Cyrl-RS"/>
        </w:rPr>
        <w:t>алековод 110 kV ТС 110/20 kV Бела Црква - ТС 110/35 kV Велико</w:t>
      </w:r>
      <w:r w:rsidR="003F11C3" w:rsidRPr="00CF77C1">
        <w:rPr>
          <w:lang w:val="sr-Cyrl-RS"/>
        </w:rPr>
        <w:t xml:space="preserve"> Градиште: 1,48 GWh годишње (≈0,0014% финалне потрошње енергије (за енергетске и неенергетске сврхе) у 2015. години);</w:t>
      </w:r>
    </w:p>
    <w:p w14:paraId="4589F83A" w14:textId="6FDB3209" w:rsidR="00B103F5" w:rsidRPr="00CF77C1" w:rsidRDefault="00775311" w:rsidP="003E39B4">
      <w:pPr>
        <w:pStyle w:val="ListParagraph"/>
        <w:numPr>
          <w:ilvl w:val="0"/>
          <w:numId w:val="57"/>
        </w:numPr>
        <w:spacing w:before="60" w:after="60"/>
        <w:ind w:left="0" w:firstLine="720"/>
        <w:contextualSpacing w:val="0"/>
        <w:rPr>
          <w:lang w:val="sr-Cyrl-RS"/>
        </w:rPr>
      </w:pPr>
      <w:r w:rsidRPr="00CF77C1">
        <w:rPr>
          <w:lang w:val="sr-Cyrl-RS"/>
        </w:rPr>
        <w:t>д</w:t>
      </w:r>
      <w:r w:rsidR="00B103F5" w:rsidRPr="00CF77C1">
        <w:rPr>
          <w:lang w:val="sr-Cyrl-RS"/>
        </w:rPr>
        <w:t>алековод 110 kV ТС 110/35 kV Љубовија - ТС Сребреница</w:t>
      </w:r>
      <w:r w:rsidR="003F11C3" w:rsidRPr="00CF77C1">
        <w:rPr>
          <w:lang w:val="sr-Cyrl-RS"/>
        </w:rPr>
        <w:t>: ефекти су приближно нула</w:t>
      </w:r>
      <w:r w:rsidR="00B103F5" w:rsidRPr="00CF77C1">
        <w:rPr>
          <w:lang w:val="sr-Cyrl-RS"/>
        </w:rPr>
        <w:t>;</w:t>
      </w:r>
    </w:p>
    <w:p w14:paraId="5904A921" w14:textId="2E2E3AC9" w:rsidR="00B103F5" w:rsidRPr="00CF77C1" w:rsidRDefault="00775311" w:rsidP="003E39B4">
      <w:pPr>
        <w:pStyle w:val="ListParagraph"/>
        <w:numPr>
          <w:ilvl w:val="0"/>
          <w:numId w:val="57"/>
        </w:numPr>
        <w:spacing w:before="60" w:after="60"/>
        <w:ind w:left="0" w:firstLine="720"/>
        <w:contextualSpacing w:val="0"/>
        <w:rPr>
          <w:lang w:val="sr-Cyrl-RS"/>
        </w:rPr>
      </w:pPr>
      <w:r w:rsidRPr="00CF77C1">
        <w:rPr>
          <w:lang w:val="sr-Cyrl-RS"/>
        </w:rPr>
        <w:t>д</w:t>
      </w:r>
      <w:r w:rsidR="00B103F5" w:rsidRPr="00CF77C1">
        <w:rPr>
          <w:lang w:val="sr-Cyrl-RS"/>
        </w:rPr>
        <w:t>алековод 110 kV ТС 110/20 kV Ада - ТС 110/20 kV Кикинда 2</w:t>
      </w:r>
      <w:r w:rsidR="003F11C3" w:rsidRPr="00CF77C1">
        <w:rPr>
          <w:lang w:val="sr-Cyrl-RS"/>
        </w:rPr>
        <w:t>: ефекти су приближно нула</w:t>
      </w:r>
      <w:r w:rsidR="00B103F5" w:rsidRPr="00CF77C1">
        <w:rPr>
          <w:lang w:val="sr-Cyrl-RS"/>
        </w:rPr>
        <w:t>;</w:t>
      </w:r>
    </w:p>
    <w:p w14:paraId="22D92B96" w14:textId="166207F2" w:rsidR="00B103F5" w:rsidRPr="00CF77C1" w:rsidRDefault="00775311" w:rsidP="003E39B4">
      <w:pPr>
        <w:pStyle w:val="ListParagraph"/>
        <w:numPr>
          <w:ilvl w:val="0"/>
          <w:numId w:val="57"/>
        </w:numPr>
        <w:spacing w:before="60" w:after="60"/>
        <w:ind w:left="0" w:firstLine="720"/>
        <w:contextualSpacing w:val="0"/>
        <w:rPr>
          <w:lang w:val="sr-Cyrl-RS"/>
        </w:rPr>
      </w:pPr>
      <w:r w:rsidRPr="00CF77C1">
        <w:rPr>
          <w:lang w:val="sr-Cyrl-RS"/>
        </w:rPr>
        <w:t>д</w:t>
      </w:r>
      <w:r w:rsidR="00B103F5" w:rsidRPr="00CF77C1">
        <w:rPr>
          <w:lang w:val="sr-Cyrl-RS"/>
        </w:rPr>
        <w:t>алековод 110 kV ТС 110/35 kV Гуча - ТС 110/35 kV Ивањица</w:t>
      </w:r>
      <w:r w:rsidR="003F11C3" w:rsidRPr="00CF77C1">
        <w:rPr>
          <w:lang w:val="sr-Cyrl-RS"/>
        </w:rPr>
        <w:t>: ефекти су приближно нула</w:t>
      </w:r>
      <w:r w:rsidR="00B103F5" w:rsidRPr="00CF77C1">
        <w:rPr>
          <w:lang w:val="sr-Cyrl-RS"/>
        </w:rPr>
        <w:t>;</w:t>
      </w:r>
    </w:p>
    <w:p w14:paraId="0069CFBF" w14:textId="2A8CDE17" w:rsidR="00096A0D" w:rsidRPr="00CF77C1" w:rsidRDefault="00775311" w:rsidP="003E39B4">
      <w:pPr>
        <w:pStyle w:val="ListParagraph"/>
        <w:numPr>
          <w:ilvl w:val="0"/>
          <w:numId w:val="57"/>
        </w:numPr>
        <w:spacing w:before="60" w:after="60"/>
        <w:ind w:left="0" w:firstLine="720"/>
        <w:contextualSpacing w:val="0"/>
        <w:rPr>
          <w:lang w:val="sr-Cyrl-RS"/>
        </w:rPr>
      </w:pPr>
      <w:r w:rsidRPr="00CF77C1">
        <w:rPr>
          <w:lang w:val="sr-Cyrl-RS"/>
        </w:rPr>
        <w:t>д</w:t>
      </w:r>
      <w:r w:rsidR="00B103F5" w:rsidRPr="00CF77C1">
        <w:rPr>
          <w:lang w:val="sr-Cyrl-RS"/>
        </w:rPr>
        <w:t>воструки далековод 110 kV ТС 220/110 kV Краљево 3 - ТС 110/35 kV Нови Пазар 1</w:t>
      </w:r>
      <w:r w:rsidR="003F11C3" w:rsidRPr="00CF77C1">
        <w:rPr>
          <w:lang w:val="sr-Cyrl-RS"/>
        </w:rPr>
        <w:t>: 13,6 GWh годишње (≈0,013% финалне потрошње енергије (за енергетске и неенергетске сврхе) у 2015. години)</w:t>
      </w:r>
      <w:r w:rsidR="00F10D3F" w:rsidRPr="00CF77C1">
        <w:rPr>
          <w:lang w:val="sr-Cyrl-RS"/>
        </w:rPr>
        <w:t>.</w:t>
      </w:r>
    </w:p>
    <w:p w14:paraId="765372FA" w14:textId="77777777" w:rsidR="00096A0D" w:rsidRPr="00CF77C1" w:rsidRDefault="00096A0D" w:rsidP="0080044B">
      <w:pPr>
        <w:rPr>
          <w:lang w:val="sr-Cyrl-RS"/>
        </w:rPr>
        <w:sectPr w:rsidR="00096A0D" w:rsidRPr="00CF77C1" w:rsidSect="00242883">
          <w:headerReference w:type="default" r:id="rId23"/>
          <w:footerReference w:type="default" r:id="rId24"/>
          <w:pgSz w:w="11907" w:h="16839" w:code="9"/>
          <w:pgMar w:top="1134" w:right="1287" w:bottom="1134" w:left="1418" w:header="720" w:footer="720" w:gutter="0"/>
          <w:cols w:space="720"/>
          <w:docGrid w:linePitch="360"/>
        </w:sectPr>
      </w:pPr>
    </w:p>
    <w:p w14:paraId="7A6EE18C" w14:textId="619D2B20" w:rsidR="00846443" w:rsidRPr="00CF77C1" w:rsidRDefault="00D61BC9" w:rsidP="0080044B">
      <w:pPr>
        <w:pStyle w:val="Caption"/>
        <w:rPr>
          <w:b w:val="0"/>
          <w:lang w:val="sr-Cyrl-RS"/>
        </w:rPr>
      </w:pPr>
      <w:bookmarkStart w:id="36" w:name="_Ref491026823"/>
      <w:r w:rsidRPr="00CF77C1">
        <w:rPr>
          <w:b w:val="0"/>
          <w:lang w:val="sr-Cyrl-RS"/>
        </w:rPr>
        <w:t>таб.</w:t>
      </w:r>
      <w:r w:rsidR="00846443"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15</w:t>
      </w:r>
      <w:r w:rsidR="0092145E" w:rsidRPr="00CF77C1">
        <w:rPr>
          <w:b w:val="0"/>
          <w:lang w:val="sr-Cyrl-RS"/>
        </w:rPr>
        <w:fldChar w:fldCharType="end"/>
      </w:r>
      <w:bookmarkEnd w:id="36"/>
      <w:r w:rsidR="00846443"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544"/>
        <w:gridCol w:w="2977"/>
        <w:gridCol w:w="4756"/>
      </w:tblGrid>
      <w:tr w:rsidR="00CB6B1A" w:rsidRPr="00CF77C1" w14:paraId="12105AF5" w14:textId="77777777" w:rsidTr="00CB6B1A">
        <w:tc>
          <w:tcPr>
            <w:tcW w:w="3510" w:type="dxa"/>
            <w:shd w:val="clear" w:color="auto" w:fill="auto"/>
            <w:vAlign w:val="center"/>
          </w:tcPr>
          <w:p w14:paraId="0ACFA256" w14:textId="77777777" w:rsidR="00CB6B1A" w:rsidRPr="00CF77C1" w:rsidRDefault="00CB6B1A" w:rsidP="0080044B">
            <w:pPr>
              <w:framePr w:hSpace="181" w:wrap="notBeside" w:vAnchor="text" w:hAnchor="text" w:y="1"/>
              <w:jc w:val="center"/>
              <w:rPr>
                <w:lang w:val="sr-Cyrl-RS"/>
              </w:rPr>
            </w:pPr>
            <w:r w:rsidRPr="00CF77C1">
              <w:rPr>
                <w:lang w:val="sr-Cyrl-RS"/>
              </w:rPr>
              <w:t>Техничке карактеристике</w:t>
            </w:r>
          </w:p>
        </w:tc>
        <w:tc>
          <w:tcPr>
            <w:tcW w:w="3544" w:type="dxa"/>
            <w:shd w:val="clear" w:color="auto" w:fill="auto"/>
            <w:vAlign w:val="center"/>
          </w:tcPr>
          <w:p w14:paraId="5A937510" w14:textId="77777777" w:rsidR="00CB6B1A" w:rsidRPr="00CF77C1" w:rsidRDefault="00CB6B1A" w:rsidP="0080044B">
            <w:pPr>
              <w:framePr w:hSpace="181" w:wrap="notBeside" w:vAnchor="text" w:hAnchor="text" w:y="1"/>
              <w:jc w:val="center"/>
              <w:rPr>
                <w:lang w:val="sr-Cyrl-RS"/>
              </w:rPr>
            </w:pPr>
            <w:r w:rsidRPr="00CF77C1">
              <w:rPr>
                <w:lang w:val="sr-Cyrl-RS"/>
              </w:rPr>
              <w:t>Вредност пројекта и извор средстава</w:t>
            </w:r>
          </w:p>
        </w:tc>
        <w:tc>
          <w:tcPr>
            <w:tcW w:w="2977" w:type="dxa"/>
            <w:shd w:val="clear" w:color="auto" w:fill="auto"/>
            <w:vAlign w:val="center"/>
          </w:tcPr>
          <w:p w14:paraId="65FECD03" w14:textId="77777777" w:rsidR="00CB6B1A" w:rsidRPr="00CF77C1" w:rsidRDefault="00CB6B1A" w:rsidP="0080044B">
            <w:pPr>
              <w:framePr w:hSpace="181" w:wrap="notBeside" w:vAnchor="text" w:hAnchor="text" w:y="1"/>
              <w:jc w:val="center"/>
              <w:rPr>
                <w:lang w:val="sr-Cyrl-RS"/>
              </w:rPr>
            </w:pPr>
            <w:r w:rsidRPr="00CF77C1">
              <w:rPr>
                <w:lang w:val="sr-Cyrl-RS"/>
              </w:rPr>
              <w:t>Опис ефеката реализације</w:t>
            </w:r>
          </w:p>
        </w:tc>
        <w:tc>
          <w:tcPr>
            <w:tcW w:w="4756" w:type="dxa"/>
            <w:shd w:val="clear" w:color="auto" w:fill="auto"/>
            <w:vAlign w:val="center"/>
          </w:tcPr>
          <w:p w14:paraId="7B0BE2FF" w14:textId="77777777" w:rsidR="00CB6B1A" w:rsidRPr="00CF77C1" w:rsidRDefault="00CB6B1A" w:rsidP="0080044B">
            <w:pPr>
              <w:framePr w:hSpace="181" w:wrap="notBeside" w:vAnchor="text" w:hAnchor="text" w:y="1"/>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CB6B1A" w:rsidRPr="00CF77C1" w14:paraId="7D8A77E7" w14:textId="77777777" w:rsidTr="00CB6B1A">
        <w:tc>
          <w:tcPr>
            <w:tcW w:w="3510" w:type="dxa"/>
            <w:shd w:val="clear" w:color="auto" w:fill="auto"/>
            <w:vAlign w:val="center"/>
          </w:tcPr>
          <w:p w14:paraId="187E2879" w14:textId="77777777" w:rsidR="00CB6B1A" w:rsidRPr="00CF77C1" w:rsidRDefault="00CB6B1A" w:rsidP="0080044B">
            <w:pPr>
              <w:framePr w:hSpace="181" w:wrap="notBeside" w:vAnchor="text" w:hAnchor="text" w:y="1"/>
              <w:jc w:val="left"/>
              <w:rPr>
                <w:lang w:val="sr-Cyrl-RS"/>
              </w:rPr>
            </w:pPr>
            <w:r w:rsidRPr="00CF77C1">
              <w:rPr>
                <w:lang w:val="sr-Cyrl-RS"/>
              </w:rPr>
              <w:t>1. Подземни вод 110 kV ТС Нови Сад 7 - ТС Нови Сад 5, Al 1000 mm</w:t>
            </w:r>
            <w:r w:rsidRPr="00CF77C1">
              <w:rPr>
                <w:vertAlign w:val="superscript"/>
                <w:lang w:val="sr-Cyrl-RS"/>
              </w:rPr>
              <w:t>2</w:t>
            </w:r>
            <w:r w:rsidRPr="00CF77C1">
              <w:rPr>
                <w:lang w:val="sr-Cyrl-RS"/>
              </w:rPr>
              <w:t>, 3,98 km</w:t>
            </w:r>
          </w:p>
        </w:tc>
        <w:tc>
          <w:tcPr>
            <w:tcW w:w="3544" w:type="dxa"/>
            <w:shd w:val="clear" w:color="auto" w:fill="auto"/>
            <w:vAlign w:val="center"/>
          </w:tcPr>
          <w:p w14:paraId="3AE357AA" w14:textId="77777777" w:rsidR="00CB6B1A" w:rsidRPr="00CF77C1" w:rsidRDefault="00CB6B1A" w:rsidP="0080044B">
            <w:pPr>
              <w:framePr w:hSpace="181" w:wrap="notBeside" w:vAnchor="text" w:hAnchor="text" w:y="1"/>
              <w:jc w:val="left"/>
              <w:rPr>
                <w:lang w:val="sr-Cyrl-RS"/>
              </w:rPr>
            </w:pPr>
            <w:r w:rsidRPr="00CF77C1">
              <w:rPr>
                <w:lang w:val="sr-Cyrl-RS"/>
              </w:rPr>
              <w:t>3,2 милиона €</w:t>
            </w:r>
          </w:p>
          <w:p w14:paraId="3EA6E6F4" w14:textId="4043539B" w:rsidR="00CB6B1A" w:rsidRPr="00CF77C1" w:rsidRDefault="00787C42" w:rsidP="0080044B">
            <w:pPr>
              <w:framePr w:hSpace="181" w:wrap="notBeside" w:vAnchor="text" w:hAnchor="text" w:y="1"/>
              <w:jc w:val="left"/>
              <w:rPr>
                <w:lang w:val="sr-Cyrl-RS"/>
              </w:rPr>
            </w:pPr>
            <w:r w:rsidRPr="00CF77C1">
              <w:rPr>
                <w:lang w:val="sr-Cyrl-RS"/>
              </w:rPr>
              <w:t>(сопствена средства ЕМС</w:t>
            </w:r>
            <w:r w:rsidR="00CB6B1A" w:rsidRPr="00CF77C1">
              <w:rPr>
                <w:lang w:val="sr-Cyrl-RS"/>
              </w:rPr>
              <w:t>)</w:t>
            </w:r>
          </w:p>
        </w:tc>
        <w:tc>
          <w:tcPr>
            <w:tcW w:w="2977" w:type="dxa"/>
            <w:vMerge w:val="restart"/>
            <w:shd w:val="clear" w:color="auto" w:fill="auto"/>
            <w:vAlign w:val="center"/>
          </w:tcPr>
          <w:p w14:paraId="23F70272" w14:textId="77777777" w:rsidR="00CB6B1A" w:rsidRPr="00CF77C1" w:rsidRDefault="00CB6B1A" w:rsidP="0080044B">
            <w:pPr>
              <w:framePr w:hSpace="181" w:wrap="notBeside" w:vAnchor="text" w:hAnchor="text" w:y="1"/>
              <w:jc w:val="left"/>
              <w:rPr>
                <w:lang w:val="sr-Cyrl-RS"/>
              </w:rPr>
            </w:pPr>
            <w:r w:rsidRPr="00CF77C1">
              <w:rPr>
                <w:lang w:val="sr-Cyrl-RS"/>
              </w:rPr>
              <w:t>Побољшање сигурности напајања, смањење губитака.</w:t>
            </w:r>
          </w:p>
        </w:tc>
        <w:tc>
          <w:tcPr>
            <w:tcW w:w="4756" w:type="dxa"/>
            <w:shd w:val="clear" w:color="auto" w:fill="auto"/>
            <w:vAlign w:val="center"/>
          </w:tcPr>
          <w:p w14:paraId="5625A727" w14:textId="77777777" w:rsidR="00CB6B1A" w:rsidRPr="00CF77C1" w:rsidRDefault="00CB6B1A" w:rsidP="0080044B">
            <w:pPr>
              <w:framePr w:hSpace="181" w:wrap="notBeside" w:vAnchor="text" w:hAnchor="text" w:y="1"/>
              <w:jc w:val="left"/>
              <w:rPr>
                <w:lang w:val="sr-Cyrl-RS"/>
              </w:rPr>
            </w:pPr>
            <w:r w:rsidRPr="00CF77C1">
              <w:rPr>
                <w:lang w:val="sr-Cyrl-RS"/>
              </w:rPr>
              <w:t>Смањење неиспоручене електричне енергије за око 37 MWh.</w:t>
            </w:r>
          </w:p>
        </w:tc>
      </w:tr>
      <w:tr w:rsidR="00CB6B1A" w:rsidRPr="00CF77C1" w14:paraId="64AC0C42" w14:textId="77777777" w:rsidTr="00CB6B1A">
        <w:tc>
          <w:tcPr>
            <w:tcW w:w="3510" w:type="dxa"/>
            <w:shd w:val="clear" w:color="auto" w:fill="auto"/>
            <w:vAlign w:val="center"/>
          </w:tcPr>
          <w:p w14:paraId="4426D8F8" w14:textId="77777777" w:rsidR="00CB6B1A" w:rsidRPr="00CF77C1" w:rsidRDefault="00CB6B1A" w:rsidP="0080044B">
            <w:pPr>
              <w:framePr w:hSpace="181" w:wrap="notBeside" w:vAnchor="text" w:hAnchor="text" w:y="1"/>
              <w:jc w:val="left"/>
              <w:rPr>
                <w:lang w:val="sr-Cyrl-RS"/>
              </w:rPr>
            </w:pPr>
            <w:r w:rsidRPr="00CF77C1">
              <w:rPr>
                <w:lang w:val="sr-Cyrl-RS"/>
              </w:rPr>
              <w:t>2. Далековод 110 kV ТС Бела Црква - ТС Велико Градиште, Alč 240 mm</w:t>
            </w:r>
            <w:r w:rsidRPr="00CF77C1">
              <w:rPr>
                <w:vertAlign w:val="superscript"/>
                <w:lang w:val="sr-Cyrl-RS"/>
              </w:rPr>
              <w:t>2</w:t>
            </w:r>
            <w:r w:rsidRPr="00CF77C1">
              <w:rPr>
                <w:lang w:val="sr-Cyrl-RS"/>
              </w:rPr>
              <w:t>, 34,13 km</w:t>
            </w:r>
          </w:p>
        </w:tc>
        <w:tc>
          <w:tcPr>
            <w:tcW w:w="3544" w:type="dxa"/>
            <w:shd w:val="clear" w:color="auto" w:fill="auto"/>
            <w:vAlign w:val="center"/>
          </w:tcPr>
          <w:p w14:paraId="215E8C45" w14:textId="77777777" w:rsidR="00CB6B1A" w:rsidRPr="00CF77C1" w:rsidRDefault="00CB6B1A" w:rsidP="0080044B">
            <w:pPr>
              <w:framePr w:hSpace="181" w:wrap="notBeside" w:vAnchor="text" w:hAnchor="text" w:y="1"/>
              <w:jc w:val="left"/>
              <w:rPr>
                <w:lang w:val="sr-Cyrl-RS"/>
              </w:rPr>
            </w:pPr>
            <w:r w:rsidRPr="00CF77C1">
              <w:rPr>
                <w:lang w:val="sr-Cyrl-RS"/>
              </w:rPr>
              <w:t>2,8 милиона €</w:t>
            </w:r>
          </w:p>
          <w:p w14:paraId="4337F54E" w14:textId="68EE3F05" w:rsidR="00CB6B1A" w:rsidRPr="00CF77C1" w:rsidRDefault="00787C42" w:rsidP="0080044B">
            <w:pPr>
              <w:framePr w:hSpace="181" w:wrap="notBeside" w:vAnchor="text" w:hAnchor="text" w:y="1"/>
              <w:jc w:val="left"/>
              <w:rPr>
                <w:lang w:val="sr-Cyrl-RS"/>
              </w:rPr>
            </w:pPr>
            <w:r w:rsidRPr="00CF77C1">
              <w:rPr>
                <w:lang w:val="sr-Cyrl-RS"/>
              </w:rPr>
              <w:t>(сопствена средства ЕМС</w:t>
            </w:r>
            <w:r w:rsidR="00CB6B1A" w:rsidRPr="00CF77C1">
              <w:rPr>
                <w:lang w:val="sr-Cyrl-RS"/>
              </w:rPr>
              <w:t>)</w:t>
            </w:r>
          </w:p>
        </w:tc>
        <w:tc>
          <w:tcPr>
            <w:tcW w:w="2977" w:type="dxa"/>
            <w:vMerge/>
            <w:shd w:val="clear" w:color="auto" w:fill="auto"/>
            <w:vAlign w:val="center"/>
          </w:tcPr>
          <w:p w14:paraId="54CA7AB1" w14:textId="77777777" w:rsidR="00CB6B1A" w:rsidRPr="00CF77C1" w:rsidRDefault="00CB6B1A" w:rsidP="0080044B">
            <w:pPr>
              <w:framePr w:hSpace="181" w:wrap="notBeside" w:vAnchor="text" w:hAnchor="text" w:y="1"/>
              <w:jc w:val="left"/>
              <w:rPr>
                <w:lang w:val="sr-Cyrl-RS"/>
              </w:rPr>
            </w:pPr>
          </w:p>
        </w:tc>
        <w:tc>
          <w:tcPr>
            <w:tcW w:w="4756" w:type="dxa"/>
            <w:shd w:val="clear" w:color="auto" w:fill="auto"/>
            <w:vAlign w:val="center"/>
          </w:tcPr>
          <w:p w14:paraId="76D1AB78" w14:textId="77777777" w:rsidR="00CB6B1A" w:rsidRPr="00CF77C1" w:rsidRDefault="00CB6B1A" w:rsidP="0080044B">
            <w:pPr>
              <w:framePr w:hSpace="181" w:wrap="notBeside" w:vAnchor="text" w:hAnchor="text" w:y="1"/>
              <w:jc w:val="left"/>
              <w:rPr>
                <w:lang w:val="sr-Cyrl-RS"/>
              </w:rPr>
            </w:pPr>
            <w:r w:rsidRPr="00CF77C1">
              <w:rPr>
                <w:lang w:val="sr-Cyrl-RS"/>
              </w:rPr>
              <w:t>Смањење неиспоручене електричне енергије за око 166 MWh.</w:t>
            </w:r>
          </w:p>
        </w:tc>
      </w:tr>
      <w:tr w:rsidR="00CB6B1A" w:rsidRPr="00CF77C1" w14:paraId="55100B2F" w14:textId="77777777" w:rsidTr="00CB6B1A">
        <w:tc>
          <w:tcPr>
            <w:tcW w:w="3510" w:type="dxa"/>
            <w:shd w:val="clear" w:color="auto" w:fill="auto"/>
            <w:vAlign w:val="center"/>
          </w:tcPr>
          <w:p w14:paraId="375F2EF2" w14:textId="77777777" w:rsidR="00CB6B1A" w:rsidRPr="00CF77C1" w:rsidRDefault="00CB6B1A" w:rsidP="0080044B">
            <w:pPr>
              <w:framePr w:hSpace="181" w:wrap="notBeside" w:vAnchor="text" w:hAnchor="text" w:y="1"/>
              <w:jc w:val="left"/>
              <w:rPr>
                <w:lang w:val="sr-Cyrl-RS"/>
              </w:rPr>
            </w:pPr>
            <w:r w:rsidRPr="00CF77C1">
              <w:rPr>
                <w:lang w:val="sr-Cyrl-RS"/>
              </w:rPr>
              <w:t>3. Далековод 110 kV ТС Љубовија - ТС Сребреница (БиХ), Alč 240 mm</w:t>
            </w:r>
            <w:r w:rsidRPr="00CF77C1">
              <w:rPr>
                <w:vertAlign w:val="superscript"/>
                <w:lang w:val="sr-Cyrl-RS"/>
              </w:rPr>
              <w:t>2</w:t>
            </w:r>
            <w:r w:rsidRPr="00CF77C1">
              <w:rPr>
                <w:lang w:val="sr-Cyrl-RS"/>
              </w:rPr>
              <w:t>, укупно 8,62 km, а део у надлежности РС - 2,5 km</w:t>
            </w:r>
          </w:p>
        </w:tc>
        <w:tc>
          <w:tcPr>
            <w:tcW w:w="3544" w:type="dxa"/>
            <w:shd w:val="clear" w:color="auto" w:fill="auto"/>
            <w:vAlign w:val="center"/>
          </w:tcPr>
          <w:p w14:paraId="5998D420" w14:textId="77777777" w:rsidR="00CB6B1A" w:rsidRPr="00CF77C1" w:rsidRDefault="00CB6B1A" w:rsidP="0080044B">
            <w:pPr>
              <w:framePr w:hSpace="181" w:wrap="notBeside" w:vAnchor="text" w:hAnchor="text" w:y="1"/>
              <w:jc w:val="left"/>
              <w:rPr>
                <w:lang w:val="sr-Cyrl-RS"/>
              </w:rPr>
            </w:pPr>
            <w:r w:rsidRPr="00CF77C1">
              <w:rPr>
                <w:lang w:val="sr-Cyrl-RS"/>
              </w:rPr>
              <w:t>0,7 милиона €</w:t>
            </w:r>
          </w:p>
          <w:p w14:paraId="570EC423" w14:textId="049A8A29" w:rsidR="00CB6B1A" w:rsidRPr="00CF77C1" w:rsidRDefault="00787C42" w:rsidP="0080044B">
            <w:pPr>
              <w:framePr w:hSpace="181" w:wrap="notBeside" w:vAnchor="text" w:hAnchor="text" w:y="1"/>
              <w:jc w:val="left"/>
              <w:rPr>
                <w:lang w:val="sr-Cyrl-RS"/>
              </w:rPr>
            </w:pPr>
            <w:r w:rsidRPr="00CF77C1">
              <w:rPr>
                <w:lang w:val="sr-Cyrl-RS"/>
              </w:rPr>
              <w:t>(сопствена средства ЕМС</w:t>
            </w:r>
            <w:r w:rsidR="00CB6B1A" w:rsidRPr="00CF77C1">
              <w:rPr>
                <w:lang w:val="sr-Cyrl-RS"/>
              </w:rPr>
              <w:t>)</w:t>
            </w:r>
          </w:p>
        </w:tc>
        <w:tc>
          <w:tcPr>
            <w:tcW w:w="2977" w:type="dxa"/>
            <w:vMerge/>
            <w:shd w:val="clear" w:color="auto" w:fill="auto"/>
            <w:vAlign w:val="center"/>
          </w:tcPr>
          <w:p w14:paraId="6C875DDC" w14:textId="77777777" w:rsidR="00CB6B1A" w:rsidRPr="00CF77C1" w:rsidRDefault="00CB6B1A" w:rsidP="0080044B">
            <w:pPr>
              <w:framePr w:hSpace="181" w:wrap="notBeside" w:vAnchor="text" w:hAnchor="text" w:y="1"/>
              <w:jc w:val="left"/>
              <w:rPr>
                <w:lang w:val="sr-Cyrl-RS"/>
              </w:rPr>
            </w:pPr>
          </w:p>
        </w:tc>
        <w:tc>
          <w:tcPr>
            <w:tcW w:w="4756" w:type="dxa"/>
            <w:shd w:val="clear" w:color="auto" w:fill="auto"/>
            <w:vAlign w:val="center"/>
          </w:tcPr>
          <w:p w14:paraId="2028B763" w14:textId="77777777" w:rsidR="00CB6B1A" w:rsidRPr="00CF77C1" w:rsidRDefault="00CB6B1A" w:rsidP="0080044B">
            <w:pPr>
              <w:framePr w:hSpace="181" w:wrap="notBeside" w:vAnchor="text" w:hAnchor="text" w:y="1"/>
              <w:jc w:val="left"/>
              <w:rPr>
                <w:lang w:val="sr-Cyrl-RS"/>
              </w:rPr>
            </w:pPr>
            <w:r w:rsidRPr="00CF77C1">
              <w:rPr>
                <w:lang w:val="sr-Cyrl-RS"/>
              </w:rPr>
              <w:t>Смањење неиспоручене електричне енергије за око 262 MWh.</w:t>
            </w:r>
          </w:p>
        </w:tc>
      </w:tr>
      <w:tr w:rsidR="00CB6B1A" w:rsidRPr="00CF77C1" w14:paraId="1DFFD52F" w14:textId="77777777" w:rsidTr="00CB6B1A">
        <w:tc>
          <w:tcPr>
            <w:tcW w:w="3510" w:type="dxa"/>
            <w:shd w:val="clear" w:color="auto" w:fill="auto"/>
            <w:vAlign w:val="center"/>
          </w:tcPr>
          <w:p w14:paraId="6389E915" w14:textId="77777777" w:rsidR="00CB6B1A" w:rsidRPr="00CF77C1" w:rsidRDefault="00CB6B1A" w:rsidP="0080044B">
            <w:pPr>
              <w:framePr w:hSpace="181" w:wrap="notBeside" w:vAnchor="text" w:hAnchor="text" w:y="1"/>
              <w:jc w:val="left"/>
              <w:rPr>
                <w:lang w:val="sr-Cyrl-RS"/>
              </w:rPr>
            </w:pPr>
            <w:r w:rsidRPr="00CF77C1">
              <w:rPr>
                <w:lang w:val="sr-Cyrl-RS"/>
              </w:rPr>
              <w:t>4. Далековод 110 kV ТС Ада - ТС Кикинда 2, Alč 240 mm</w:t>
            </w:r>
            <w:r w:rsidRPr="00CF77C1">
              <w:rPr>
                <w:vertAlign w:val="superscript"/>
                <w:lang w:val="sr-Cyrl-RS"/>
              </w:rPr>
              <w:t>2</w:t>
            </w:r>
            <w:r w:rsidRPr="00CF77C1">
              <w:rPr>
                <w:lang w:val="sr-Cyrl-RS"/>
              </w:rPr>
              <w:t>, 29,56 km</w:t>
            </w:r>
          </w:p>
        </w:tc>
        <w:tc>
          <w:tcPr>
            <w:tcW w:w="3544" w:type="dxa"/>
            <w:shd w:val="clear" w:color="auto" w:fill="auto"/>
            <w:vAlign w:val="center"/>
          </w:tcPr>
          <w:p w14:paraId="3CBFB0C2" w14:textId="77777777" w:rsidR="00CB6B1A" w:rsidRPr="00CF77C1" w:rsidRDefault="00CB6B1A" w:rsidP="0080044B">
            <w:pPr>
              <w:framePr w:hSpace="181" w:wrap="notBeside" w:vAnchor="text" w:hAnchor="text" w:y="1"/>
              <w:jc w:val="left"/>
              <w:rPr>
                <w:lang w:val="sr-Cyrl-RS"/>
              </w:rPr>
            </w:pPr>
            <w:r w:rsidRPr="00CF77C1">
              <w:rPr>
                <w:lang w:val="sr-Cyrl-RS"/>
              </w:rPr>
              <w:t>2,2 милиона €</w:t>
            </w:r>
          </w:p>
          <w:p w14:paraId="20ECCC0F" w14:textId="281202BF" w:rsidR="00CB6B1A" w:rsidRPr="00CF77C1" w:rsidRDefault="00787C42" w:rsidP="0080044B">
            <w:pPr>
              <w:framePr w:hSpace="181" w:wrap="notBeside" w:vAnchor="text" w:hAnchor="text" w:y="1"/>
              <w:jc w:val="left"/>
              <w:rPr>
                <w:lang w:val="sr-Cyrl-RS"/>
              </w:rPr>
            </w:pPr>
            <w:r w:rsidRPr="00CF77C1">
              <w:rPr>
                <w:lang w:val="sr-Cyrl-RS"/>
              </w:rPr>
              <w:t>(сопствена средства ЕМС</w:t>
            </w:r>
            <w:r w:rsidR="00CB6B1A" w:rsidRPr="00CF77C1">
              <w:rPr>
                <w:lang w:val="sr-Cyrl-RS"/>
              </w:rPr>
              <w:t>)</w:t>
            </w:r>
          </w:p>
        </w:tc>
        <w:tc>
          <w:tcPr>
            <w:tcW w:w="2977" w:type="dxa"/>
            <w:vMerge/>
            <w:shd w:val="clear" w:color="auto" w:fill="auto"/>
            <w:vAlign w:val="center"/>
          </w:tcPr>
          <w:p w14:paraId="375D1D2A" w14:textId="77777777" w:rsidR="00CB6B1A" w:rsidRPr="00CF77C1" w:rsidRDefault="00CB6B1A" w:rsidP="0080044B">
            <w:pPr>
              <w:framePr w:hSpace="181" w:wrap="notBeside" w:vAnchor="text" w:hAnchor="text" w:y="1"/>
              <w:jc w:val="left"/>
              <w:rPr>
                <w:lang w:val="sr-Cyrl-RS"/>
              </w:rPr>
            </w:pPr>
          </w:p>
        </w:tc>
        <w:tc>
          <w:tcPr>
            <w:tcW w:w="4756" w:type="dxa"/>
            <w:shd w:val="clear" w:color="auto" w:fill="auto"/>
            <w:vAlign w:val="center"/>
          </w:tcPr>
          <w:p w14:paraId="0A349334" w14:textId="77777777" w:rsidR="00CB6B1A" w:rsidRPr="00CF77C1" w:rsidRDefault="00CB6B1A" w:rsidP="0080044B">
            <w:pPr>
              <w:framePr w:hSpace="181" w:wrap="notBeside" w:vAnchor="text" w:hAnchor="text" w:y="1"/>
              <w:jc w:val="left"/>
              <w:rPr>
                <w:lang w:val="sr-Cyrl-RS"/>
              </w:rPr>
            </w:pPr>
            <w:r w:rsidRPr="00CF77C1">
              <w:rPr>
                <w:lang w:val="sr-Cyrl-RS"/>
              </w:rPr>
              <w:t>Смањење неиспоручене електричне енергије за око 233 MWh.</w:t>
            </w:r>
          </w:p>
        </w:tc>
      </w:tr>
      <w:tr w:rsidR="00CB6B1A" w:rsidRPr="00CF77C1" w14:paraId="3FCCFD44" w14:textId="77777777" w:rsidTr="00CB6B1A">
        <w:tc>
          <w:tcPr>
            <w:tcW w:w="3510" w:type="dxa"/>
            <w:shd w:val="clear" w:color="auto" w:fill="auto"/>
            <w:vAlign w:val="center"/>
          </w:tcPr>
          <w:p w14:paraId="7AA234C0" w14:textId="77777777" w:rsidR="00CB6B1A" w:rsidRPr="00CF77C1" w:rsidRDefault="00CB6B1A" w:rsidP="0080044B">
            <w:pPr>
              <w:framePr w:hSpace="181" w:wrap="notBeside" w:vAnchor="text" w:hAnchor="text" w:y="1"/>
              <w:jc w:val="left"/>
              <w:rPr>
                <w:lang w:val="sr-Cyrl-RS"/>
              </w:rPr>
            </w:pPr>
            <w:r w:rsidRPr="00CF77C1">
              <w:rPr>
                <w:lang w:val="sr-Cyrl-RS"/>
              </w:rPr>
              <w:t>5. Далековод 110 kV ТС Гуча - ТС Ивањица, Alč 240 mm</w:t>
            </w:r>
            <w:r w:rsidRPr="00CF77C1">
              <w:rPr>
                <w:vertAlign w:val="superscript"/>
                <w:lang w:val="sr-Cyrl-RS"/>
              </w:rPr>
              <w:t>2</w:t>
            </w:r>
            <w:r w:rsidRPr="00CF77C1">
              <w:rPr>
                <w:lang w:val="sr-Cyrl-RS"/>
              </w:rPr>
              <w:t>, 23 km</w:t>
            </w:r>
          </w:p>
        </w:tc>
        <w:tc>
          <w:tcPr>
            <w:tcW w:w="3544" w:type="dxa"/>
            <w:shd w:val="clear" w:color="auto" w:fill="auto"/>
            <w:vAlign w:val="center"/>
          </w:tcPr>
          <w:p w14:paraId="3BCEB14C" w14:textId="77777777" w:rsidR="00CB6B1A" w:rsidRPr="00CF77C1" w:rsidRDefault="00CB6B1A" w:rsidP="0080044B">
            <w:pPr>
              <w:framePr w:hSpace="181" w:wrap="notBeside" w:vAnchor="text" w:hAnchor="text" w:y="1"/>
              <w:jc w:val="left"/>
              <w:rPr>
                <w:lang w:val="sr-Cyrl-RS"/>
              </w:rPr>
            </w:pPr>
            <w:r w:rsidRPr="00CF77C1">
              <w:rPr>
                <w:lang w:val="sr-Cyrl-RS"/>
              </w:rPr>
              <w:t>2,4 милиона €</w:t>
            </w:r>
          </w:p>
          <w:p w14:paraId="03747AB8" w14:textId="09B9DA19" w:rsidR="00CB6B1A" w:rsidRPr="00CF77C1" w:rsidRDefault="00787C42" w:rsidP="0080044B">
            <w:pPr>
              <w:framePr w:hSpace="181" w:wrap="notBeside" w:vAnchor="text" w:hAnchor="text" w:y="1"/>
              <w:jc w:val="left"/>
              <w:rPr>
                <w:lang w:val="sr-Cyrl-RS"/>
              </w:rPr>
            </w:pPr>
            <w:r w:rsidRPr="00CF77C1">
              <w:rPr>
                <w:lang w:val="sr-Cyrl-RS"/>
              </w:rPr>
              <w:t>(сопствена средства ЕМС</w:t>
            </w:r>
            <w:r w:rsidR="00CB6B1A" w:rsidRPr="00CF77C1">
              <w:rPr>
                <w:lang w:val="sr-Cyrl-RS"/>
              </w:rPr>
              <w:t>)</w:t>
            </w:r>
          </w:p>
        </w:tc>
        <w:tc>
          <w:tcPr>
            <w:tcW w:w="2977" w:type="dxa"/>
            <w:vMerge/>
            <w:shd w:val="clear" w:color="auto" w:fill="auto"/>
            <w:vAlign w:val="center"/>
          </w:tcPr>
          <w:p w14:paraId="26948A9C" w14:textId="77777777" w:rsidR="00CB6B1A" w:rsidRPr="00CF77C1" w:rsidRDefault="00CB6B1A" w:rsidP="0080044B">
            <w:pPr>
              <w:framePr w:hSpace="181" w:wrap="notBeside" w:vAnchor="text" w:hAnchor="text" w:y="1"/>
              <w:jc w:val="left"/>
              <w:rPr>
                <w:lang w:val="sr-Cyrl-RS"/>
              </w:rPr>
            </w:pPr>
          </w:p>
        </w:tc>
        <w:tc>
          <w:tcPr>
            <w:tcW w:w="4756" w:type="dxa"/>
            <w:shd w:val="clear" w:color="auto" w:fill="auto"/>
            <w:vAlign w:val="center"/>
          </w:tcPr>
          <w:p w14:paraId="2B964B21" w14:textId="77777777" w:rsidR="00CB6B1A" w:rsidRPr="00CF77C1" w:rsidRDefault="00CB6B1A" w:rsidP="0080044B">
            <w:pPr>
              <w:framePr w:hSpace="181" w:wrap="notBeside" w:vAnchor="text" w:hAnchor="text" w:y="1"/>
              <w:jc w:val="left"/>
              <w:rPr>
                <w:lang w:val="sr-Cyrl-RS"/>
              </w:rPr>
            </w:pPr>
            <w:r w:rsidRPr="00CF77C1">
              <w:rPr>
                <w:lang w:val="sr-Cyrl-RS"/>
              </w:rPr>
              <w:t>Смањење неиспоручене електричне енергије за око 340 MWh.</w:t>
            </w:r>
          </w:p>
        </w:tc>
      </w:tr>
      <w:tr w:rsidR="00CB6B1A" w:rsidRPr="00CF77C1" w14:paraId="0A1D7AFF" w14:textId="77777777" w:rsidTr="00CB6B1A">
        <w:tc>
          <w:tcPr>
            <w:tcW w:w="3510" w:type="dxa"/>
            <w:shd w:val="clear" w:color="auto" w:fill="auto"/>
            <w:vAlign w:val="center"/>
          </w:tcPr>
          <w:p w14:paraId="361CF019" w14:textId="77777777" w:rsidR="00CB6B1A" w:rsidRPr="00CF77C1" w:rsidRDefault="00CB6B1A" w:rsidP="0080044B">
            <w:pPr>
              <w:framePr w:hSpace="181" w:wrap="notBeside" w:vAnchor="text" w:hAnchor="text" w:y="1"/>
              <w:jc w:val="left"/>
              <w:rPr>
                <w:lang w:val="sr-Cyrl-RS"/>
              </w:rPr>
            </w:pPr>
            <w:r w:rsidRPr="00CF77C1">
              <w:rPr>
                <w:lang w:val="sr-Cyrl-RS"/>
              </w:rPr>
              <w:t>6. Двоструки далековод 110 kV ТС Краљево 3 - ТС Нови Пазар 1, 2xAlč 240 mm</w:t>
            </w:r>
            <w:r w:rsidRPr="00CF77C1">
              <w:rPr>
                <w:vertAlign w:val="superscript"/>
                <w:lang w:val="sr-Cyrl-RS"/>
              </w:rPr>
              <w:t>2</w:t>
            </w:r>
            <w:r w:rsidRPr="00CF77C1">
              <w:rPr>
                <w:lang w:val="sr-Cyrl-RS"/>
              </w:rPr>
              <w:t>, 63,37 km</w:t>
            </w:r>
          </w:p>
        </w:tc>
        <w:tc>
          <w:tcPr>
            <w:tcW w:w="3544" w:type="dxa"/>
            <w:shd w:val="clear" w:color="auto" w:fill="auto"/>
            <w:vAlign w:val="center"/>
          </w:tcPr>
          <w:p w14:paraId="0F33B31F" w14:textId="77777777" w:rsidR="00CB6B1A" w:rsidRPr="00CF77C1" w:rsidRDefault="00CB6B1A" w:rsidP="0080044B">
            <w:pPr>
              <w:framePr w:hSpace="181" w:wrap="notBeside" w:vAnchor="text" w:hAnchor="text" w:y="1"/>
              <w:jc w:val="left"/>
              <w:rPr>
                <w:lang w:val="sr-Cyrl-RS"/>
              </w:rPr>
            </w:pPr>
            <w:r w:rsidRPr="00CF77C1">
              <w:rPr>
                <w:lang w:val="sr-Cyrl-RS"/>
              </w:rPr>
              <w:t>9,6 милиона €</w:t>
            </w:r>
          </w:p>
          <w:p w14:paraId="4D6B5D0A" w14:textId="0644F367" w:rsidR="00CB6B1A" w:rsidRPr="00CF77C1" w:rsidRDefault="00787C42" w:rsidP="0080044B">
            <w:pPr>
              <w:framePr w:hSpace="181" w:wrap="notBeside" w:vAnchor="text" w:hAnchor="text" w:y="1"/>
              <w:jc w:val="left"/>
              <w:rPr>
                <w:lang w:val="sr-Cyrl-RS"/>
              </w:rPr>
            </w:pPr>
            <w:r w:rsidRPr="00CF77C1">
              <w:rPr>
                <w:lang w:val="sr-Cyrl-RS"/>
              </w:rPr>
              <w:t>(сопствена средства ЕМС</w:t>
            </w:r>
            <w:r w:rsidR="00CB6B1A" w:rsidRPr="00CF77C1">
              <w:rPr>
                <w:lang w:val="sr-Cyrl-RS"/>
              </w:rPr>
              <w:t>)</w:t>
            </w:r>
          </w:p>
        </w:tc>
        <w:tc>
          <w:tcPr>
            <w:tcW w:w="2977" w:type="dxa"/>
            <w:vMerge/>
            <w:shd w:val="clear" w:color="auto" w:fill="auto"/>
            <w:vAlign w:val="center"/>
          </w:tcPr>
          <w:p w14:paraId="2ADD2BFD" w14:textId="77777777" w:rsidR="00CB6B1A" w:rsidRPr="00CF77C1" w:rsidRDefault="00CB6B1A" w:rsidP="0080044B">
            <w:pPr>
              <w:framePr w:hSpace="181" w:wrap="notBeside" w:vAnchor="text" w:hAnchor="text" w:y="1"/>
              <w:jc w:val="left"/>
              <w:rPr>
                <w:lang w:val="sr-Cyrl-RS"/>
              </w:rPr>
            </w:pPr>
          </w:p>
        </w:tc>
        <w:tc>
          <w:tcPr>
            <w:tcW w:w="4756" w:type="dxa"/>
            <w:shd w:val="clear" w:color="auto" w:fill="auto"/>
            <w:vAlign w:val="center"/>
          </w:tcPr>
          <w:p w14:paraId="01ED5D35" w14:textId="77777777" w:rsidR="00CB6B1A" w:rsidRPr="00CF77C1" w:rsidRDefault="00CB6B1A" w:rsidP="0080044B">
            <w:pPr>
              <w:framePr w:hSpace="181" w:wrap="notBeside" w:vAnchor="text" w:hAnchor="text" w:y="1"/>
              <w:jc w:val="left"/>
              <w:rPr>
                <w:lang w:val="sr-Cyrl-RS"/>
              </w:rPr>
            </w:pPr>
            <w:r w:rsidRPr="00CF77C1">
              <w:rPr>
                <w:lang w:val="sr-Cyrl-RS"/>
              </w:rPr>
              <w:t>Смањење неиспоручене електричне енергије за око 157 MWh.</w:t>
            </w:r>
          </w:p>
        </w:tc>
      </w:tr>
    </w:tbl>
    <w:p w14:paraId="280439B8" w14:textId="0EA24B95" w:rsidR="00CB6B1A" w:rsidRPr="00CF77C1" w:rsidRDefault="00D41B60" w:rsidP="00242883">
      <w:pPr>
        <w:ind w:firstLine="720"/>
        <w:rPr>
          <w:lang w:val="sr-Cyrl-RS"/>
        </w:rPr>
      </w:pPr>
      <w:r w:rsidRPr="00CF77C1">
        <w:rPr>
          <w:lang w:val="sr-Cyrl-RS"/>
        </w:rPr>
        <w:t xml:space="preserve">Напомена: У </w:t>
      </w:r>
      <w:r w:rsidR="00381EB3">
        <w:rPr>
          <w:lang w:val="sr-Cyrl-RS"/>
        </w:rPr>
        <w:t>6.</w:t>
      </w:r>
      <w:r w:rsidRPr="00CF77C1">
        <w:rPr>
          <w:lang w:val="sr-Cyrl-RS"/>
        </w:rPr>
        <w:t xml:space="preserve"> колони </w:t>
      </w:r>
      <w:r w:rsidR="00CD10A7" w:rsidRPr="00CF77C1">
        <w:rPr>
          <w:lang w:val="sr-Cyrl-RS"/>
        </w:rPr>
        <w:fldChar w:fldCharType="begin"/>
      </w:r>
      <w:r w:rsidR="00CD10A7" w:rsidRPr="00CF77C1">
        <w:rPr>
          <w:lang w:val="sr-Cyrl-RS"/>
        </w:rPr>
        <w:instrText xml:space="preserve"> REF _Ref491026823 \h </w:instrText>
      </w:r>
      <w:r w:rsidR="0077363A" w:rsidRPr="00CF77C1">
        <w:rPr>
          <w:lang w:val="sr-Cyrl-RS"/>
        </w:rPr>
        <w:instrText xml:space="preserve"> \* MERGEFORMAT </w:instrText>
      </w:r>
      <w:r w:rsidR="00CD10A7" w:rsidRPr="00CF77C1">
        <w:rPr>
          <w:lang w:val="sr-Cyrl-RS"/>
        </w:rPr>
      </w:r>
      <w:r w:rsidR="00CD10A7" w:rsidRPr="00CF77C1">
        <w:rPr>
          <w:lang w:val="sr-Cyrl-RS"/>
        </w:rPr>
        <w:fldChar w:fldCharType="separate"/>
      </w:r>
      <w:r w:rsidR="002D5918" w:rsidRPr="002D5918">
        <w:rPr>
          <w:lang w:val="sr-Cyrl-RS"/>
        </w:rPr>
        <w:t xml:space="preserve">таб. </w:t>
      </w:r>
      <w:r w:rsidR="002D5918" w:rsidRPr="002D5918">
        <w:rPr>
          <w:noProof/>
          <w:lang w:val="sr-Cyrl-RS"/>
        </w:rPr>
        <w:t>15</w:t>
      </w:r>
      <w:r w:rsidR="00CD10A7" w:rsidRPr="00CF77C1">
        <w:rPr>
          <w:lang w:val="sr-Cyrl-RS"/>
        </w:rPr>
        <w:fldChar w:fldCharType="end"/>
      </w:r>
      <w:r w:rsidR="00CD10A7" w:rsidRPr="00CF77C1">
        <w:rPr>
          <w:lang w:val="sr-Cyrl-RS"/>
        </w:rPr>
        <w:t xml:space="preserve"> </w:t>
      </w:r>
      <w:r w:rsidRPr="00CF77C1">
        <w:rPr>
          <w:lang w:val="sr-Cyrl-RS"/>
        </w:rPr>
        <w:t>садржане су вредности смањења неиспоручене електричне енергије које су добијене на бази апроксимативних прорачуна заснованих на просечним вред</w:t>
      </w:r>
      <w:r w:rsidR="007E45A5">
        <w:rPr>
          <w:lang w:val="sr-Cyrl-RS"/>
        </w:rPr>
        <w:t>н</w:t>
      </w:r>
      <w:r w:rsidRPr="00CF77C1">
        <w:rPr>
          <w:lang w:val="sr-Cyrl-RS"/>
        </w:rPr>
        <w:t>остима учесталости и времена трајања испада за комплетну 110 kV мрежу и оне за појединачне водове могу да буду веће од вредности које се могу очекивати у реалности.</w:t>
      </w:r>
    </w:p>
    <w:p w14:paraId="45271157" w14:textId="15B77D2F" w:rsidR="007E5886" w:rsidRPr="00CF77C1" w:rsidRDefault="00D61BC9" w:rsidP="00242883">
      <w:pPr>
        <w:pStyle w:val="Caption"/>
        <w:ind w:firstLine="720"/>
        <w:rPr>
          <w:b w:val="0"/>
          <w:lang w:val="sr-Cyrl-RS"/>
        </w:rPr>
      </w:pPr>
      <w:bookmarkStart w:id="37" w:name="_Ref470845774"/>
      <w:r w:rsidRPr="00CF77C1">
        <w:rPr>
          <w:b w:val="0"/>
          <w:lang w:val="sr-Cyrl-RS"/>
        </w:rPr>
        <w:t>таб.</w:t>
      </w:r>
      <w:r w:rsidR="007E5886"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16</w:t>
      </w:r>
      <w:r w:rsidR="0092145E" w:rsidRPr="00CF77C1">
        <w:rPr>
          <w:b w:val="0"/>
          <w:lang w:val="sr-Cyrl-RS"/>
        </w:rPr>
        <w:fldChar w:fldCharType="end"/>
      </w:r>
      <w:bookmarkEnd w:id="37"/>
      <w:r w:rsidR="007E5886"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371"/>
        <w:gridCol w:w="4819"/>
      </w:tblGrid>
      <w:tr w:rsidR="007E5886" w:rsidRPr="00CF77C1" w14:paraId="4AF5752D" w14:textId="77777777" w:rsidTr="007E5886">
        <w:trPr>
          <w:cantSplit/>
          <w:tblHeader/>
        </w:trPr>
        <w:tc>
          <w:tcPr>
            <w:tcW w:w="2660" w:type="dxa"/>
            <w:shd w:val="clear" w:color="auto" w:fill="auto"/>
            <w:vAlign w:val="center"/>
          </w:tcPr>
          <w:p w14:paraId="06D10878" w14:textId="77777777" w:rsidR="007E5886" w:rsidRPr="00CF77C1" w:rsidRDefault="007E5886" w:rsidP="0080044B">
            <w:pPr>
              <w:jc w:val="center"/>
              <w:rPr>
                <w:lang w:val="sr-Cyrl-RS"/>
              </w:rPr>
            </w:pPr>
            <w:r w:rsidRPr="00CF77C1">
              <w:rPr>
                <w:lang w:val="sr-Cyrl-RS"/>
              </w:rPr>
              <w:t>П</w:t>
            </w:r>
            <w:r w:rsidR="00EC7E28" w:rsidRPr="00CF77C1">
              <w:rPr>
                <w:lang w:val="sr-Cyrl-RS"/>
              </w:rPr>
              <w:t>отп</w:t>
            </w:r>
            <w:r w:rsidRPr="00CF77C1">
              <w:rPr>
                <w:lang w:val="sr-Cyrl-RS"/>
              </w:rPr>
              <w:t>ројекат</w:t>
            </w:r>
          </w:p>
        </w:tc>
        <w:tc>
          <w:tcPr>
            <w:tcW w:w="7371" w:type="dxa"/>
            <w:shd w:val="clear" w:color="auto" w:fill="auto"/>
            <w:vAlign w:val="center"/>
          </w:tcPr>
          <w:p w14:paraId="1C3E94E6" w14:textId="77777777" w:rsidR="007E5886" w:rsidRPr="00CF77C1" w:rsidRDefault="007E5886" w:rsidP="0080044B">
            <w:pPr>
              <w:jc w:val="center"/>
              <w:rPr>
                <w:lang w:val="sr-Cyrl-RS"/>
              </w:rPr>
            </w:pPr>
            <w:r w:rsidRPr="00CF77C1">
              <w:rPr>
                <w:lang w:val="sr-Cyrl-RS"/>
              </w:rPr>
              <w:t>Статус припреме пројекта</w:t>
            </w:r>
          </w:p>
        </w:tc>
        <w:tc>
          <w:tcPr>
            <w:tcW w:w="4819" w:type="dxa"/>
            <w:shd w:val="clear" w:color="auto" w:fill="auto"/>
            <w:vAlign w:val="center"/>
          </w:tcPr>
          <w:p w14:paraId="27E302F7" w14:textId="77777777" w:rsidR="007E5886" w:rsidRPr="00CF77C1" w:rsidRDefault="007E5886" w:rsidP="0080044B">
            <w:pPr>
              <w:jc w:val="center"/>
              <w:rPr>
                <w:lang w:val="sr-Cyrl-RS"/>
              </w:rPr>
            </w:pPr>
            <w:r w:rsidRPr="00CF77C1">
              <w:rPr>
                <w:lang w:val="sr-Cyrl-RS"/>
              </w:rPr>
              <w:t>Недостајућа планска и техничка документација</w:t>
            </w:r>
          </w:p>
        </w:tc>
      </w:tr>
      <w:tr w:rsidR="007E5886" w:rsidRPr="00CF77C1" w14:paraId="2BAEA487" w14:textId="77777777" w:rsidTr="007E5886">
        <w:trPr>
          <w:cantSplit/>
        </w:trPr>
        <w:tc>
          <w:tcPr>
            <w:tcW w:w="2660" w:type="dxa"/>
            <w:shd w:val="clear" w:color="auto" w:fill="auto"/>
            <w:vAlign w:val="center"/>
          </w:tcPr>
          <w:p w14:paraId="459D2912" w14:textId="77777777" w:rsidR="007E5886" w:rsidRPr="00CF77C1" w:rsidRDefault="007E5886" w:rsidP="0080044B">
            <w:pPr>
              <w:jc w:val="left"/>
              <w:rPr>
                <w:lang w:val="sr-Cyrl-RS"/>
              </w:rPr>
            </w:pPr>
            <w:r w:rsidRPr="00CF77C1">
              <w:rPr>
                <w:lang w:val="sr-Cyrl-RS"/>
              </w:rPr>
              <w:t xml:space="preserve">1. </w:t>
            </w:r>
            <w:r w:rsidR="00AE310A" w:rsidRPr="00CF77C1">
              <w:rPr>
                <w:lang w:val="sr-Cyrl-RS"/>
              </w:rPr>
              <w:t>Подземни</w:t>
            </w:r>
            <w:r w:rsidR="006E264A" w:rsidRPr="00CF77C1">
              <w:rPr>
                <w:lang w:val="sr-Cyrl-RS"/>
              </w:rPr>
              <w:t xml:space="preserve"> вод 110 </w:t>
            </w:r>
            <w:r w:rsidRPr="00CF77C1">
              <w:rPr>
                <w:lang w:val="sr-Cyrl-RS"/>
              </w:rPr>
              <w:t>kV ТС Нови Сад 7 - ТС Нови Сад 5</w:t>
            </w:r>
          </w:p>
        </w:tc>
        <w:tc>
          <w:tcPr>
            <w:tcW w:w="7371" w:type="dxa"/>
            <w:shd w:val="clear" w:color="auto" w:fill="auto"/>
            <w:vAlign w:val="center"/>
          </w:tcPr>
          <w:p w14:paraId="393D7CB1" w14:textId="69E83536" w:rsidR="007E5886" w:rsidRPr="00CF77C1" w:rsidRDefault="007E5886" w:rsidP="0080044B">
            <w:pPr>
              <w:jc w:val="left"/>
              <w:rPr>
                <w:lang w:val="sr-Cyrl-RS"/>
              </w:rPr>
            </w:pPr>
            <w:r w:rsidRPr="00CF77C1">
              <w:rPr>
                <w:lang w:val="sr-Cyrl-RS"/>
              </w:rPr>
              <w:t>Постоји комплетна урбанистичко-планска документација</w:t>
            </w:r>
            <w:r w:rsidR="00F10D3F" w:rsidRPr="00CF77C1">
              <w:rPr>
                <w:lang w:val="sr-Cyrl-RS"/>
              </w:rPr>
              <w:t>.</w:t>
            </w:r>
          </w:p>
        </w:tc>
        <w:tc>
          <w:tcPr>
            <w:tcW w:w="4819" w:type="dxa"/>
            <w:shd w:val="clear" w:color="auto" w:fill="auto"/>
            <w:vAlign w:val="center"/>
          </w:tcPr>
          <w:p w14:paraId="06E57463" w14:textId="77777777" w:rsidR="007E5886" w:rsidRPr="00CF77C1" w:rsidRDefault="007E5886" w:rsidP="0080044B">
            <w:pPr>
              <w:jc w:val="left"/>
              <w:rPr>
                <w:lang w:val="sr-Cyrl-RS"/>
              </w:rPr>
            </w:pPr>
            <w:r w:rsidRPr="00CF77C1">
              <w:rPr>
                <w:lang w:val="sr-Cyrl-RS"/>
              </w:rPr>
              <w:t>У току је поступак комплетирања техничке документације, обезбеђивања потребних дозвола и решавања имовинско-правних односа.</w:t>
            </w:r>
          </w:p>
        </w:tc>
      </w:tr>
      <w:tr w:rsidR="007E5886" w:rsidRPr="00CF77C1" w14:paraId="7B94421D" w14:textId="77777777" w:rsidTr="007E5886">
        <w:trPr>
          <w:cantSplit/>
        </w:trPr>
        <w:tc>
          <w:tcPr>
            <w:tcW w:w="2660" w:type="dxa"/>
            <w:shd w:val="clear" w:color="auto" w:fill="auto"/>
            <w:vAlign w:val="center"/>
          </w:tcPr>
          <w:p w14:paraId="65EA891C" w14:textId="77777777" w:rsidR="007E5886" w:rsidRPr="00CF77C1" w:rsidRDefault="007E5886" w:rsidP="0080044B">
            <w:pPr>
              <w:jc w:val="left"/>
              <w:rPr>
                <w:lang w:val="sr-Cyrl-RS"/>
              </w:rPr>
            </w:pPr>
            <w:r w:rsidRPr="00CF77C1">
              <w:rPr>
                <w:lang w:val="sr-Cyrl-RS"/>
              </w:rPr>
              <w:t xml:space="preserve">2. </w:t>
            </w:r>
            <w:r w:rsidR="00AE310A" w:rsidRPr="00CF77C1">
              <w:rPr>
                <w:lang w:val="sr-Cyrl-RS"/>
              </w:rPr>
              <w:t xml:space="preserve">Далековод </w:t>
            </w:r>
            <w:r w:rsidR="006E264A" w:rsidRPr="00CF77C1">
              <w:rPr>
                <w:lang w:val="sr-Cyrl-RS"/>
              </w:rPr>
              <w:t>110 kV ТС Бела Црква - ТС </w:t>
            </w:r>
            <w:r w:rsidRPr="00CF77C1">
              <w:rPr>
                <w:lang w:val="sr-Cyrl-RS"/>
              </w:rPr>
              <w:t>Велико Градиште</w:t>
            </w:r>
          </w:p>
        </w:tc>
        <w:tc>
          <w:tcPr>
            <w:tcW w:w="7371" w:type="dxa"/>
            <w:shd w:val="clear" w:color="auto" w:fill="auto"/>
            <w:vAlign w:val="center"/>
          </w:tcPr>
          <w:p w14:paraId="719AEE9B" w14:textId="77777777" w:rsidR="007E5886" w:rsidRPr="00CF77C1" w:rsidRDefault="007E5886" w:rsidP="0080044B">
            <w:pPr>
              <w:jc w:val="left"/>
              <w:rPr>
                <w:lang w:val="sr-Cyrl-RS"/>
              </w:rPr>
            </w:pPr>
            <w:r w:rsidRPr="00CF77C1">
              <w:rPr>
                <w:lang w:val="sr-Cyrl-RS"/>
              </w:rPr>
              <w:t>Постоји комплетна урбанистичко-планска документација и техничка документација.</w:t>
            </w:r>
          </w:p>
        </w:tc>
        <w:tc>
          <w:tcPr>
            <w:tcW w:w="4819" w:type="dxa"/>
            <w:shd w:val="clear" w:color="auto" w:fill="auto"/>
            <w:vAlign w:val="center"/>
          </w:tcPr>
          <w:p w14:paraId="5FC09EAD" w14:textId="77777777" w:rsidR="007E5886" w:rsidRPr="00CF77C1" w:rsidRDefault="007E5886" w:rsidP="0080044B">
            <w:pPr>
              <w:jc w:val="left"/>
              <w:rPr>
                <w:lang w:val="sr-Cyrl-RS"/>
              </w:rPr>
            </w:pPr>
            <w:r w:rsidRPr="00CF77C1">
              <w:rPr>
                <w:lang w:val="sr-Cyrl-RS"/>
              </w:rPr>
              <w:t>У току је поступак обезбеђивања дозвола за градњу и решавање имовинско-правних односа.</w:t>
            </w:r>
          </w:p>
        </w:tc>
      </w:tr>
      <w:tr w:rsidR="007E5886" w:rsidRPr="00CF77C1" w14:paraId="77F84CEB" w14:textId="77777777" w:rsidTr="007E5886">
        <w:trPr>
          <w:cantSplit/>
        </w:trPr>
        <w:tc>
          <w:tcPr>
            <w:tcW w:w="2660" w:type="dxa"/>
            <w:shd w:val="clear" w:color="auto" w:fill="auto"/>
            <w:vAlign w:val="center"/>
          </w:tcPr>
          <w:p w14:paraId="01B948A0" w14:textId="77777777" w:rsidR="007E5886" w:rsidRPr="00CF77C1" w:rsidRDefault="007E5886" w:rsidP="0080044B">
            <w:pPr>
              <w:jc w:val="left"/>
              <w:rPr>
                <w:lang w:val="sr-Cyrl-RS"/>
              </w:rPr>
            </w:pPr>
            <w:r w:rsidRPr="00CF77C1">
              <w:rPr>
                <w:lang w:val="sr-Cyrl-RS"/>
              </w:rPr>
              <w:t xml:space="preserve">3. </w:t>
            </w:r>
            <w:r w:rsidR="00AE310A" w:rsidRPr="00CF77C1">
              <w:rPr>
                <w:lang w:val="sr-Cyrl-RS"/>
              </w:rPr>
              <w:t xml:space="preserve">Далековод </w:t>
            </w:r>
            <w:r w:rsidR="006E264A" w:rsidRPr="00CF77C1">
              <w:rPr>
                <w:lang w:val="sr-Cyrl-RS"/>
              </w:rPr>
              <w:t>110 kV</w:t>
            </w:r>
            <w:r w:rsidR="00EA6189" w:rsidRPr="00CF77C1">
              <w:rPr>
                <w:lang w:val="sr-Cyrl-RS"/>
              </w:rPr>
              <w:t xml:space="preserve"> </w:t>
            </w:r>
            <w:r w:rsidR="006E264A" w:rsidRPr="00CF77C1">
              <w:rPr>
                <w:lang w:val="sr-Cyrl-RS"/>
              </w:rPr>
              <w:t>ТС Љубовија - ТС </w:t>
            </w:r>
            <w:r w:rsidRPr="00CF77C1">
              <w:rPr>
                <w:lang w:val="sr-Cyrl-RS"/>
              </w:rPr>
              <w:t>Сребреница (БиХ)</w:t>
            </w:r>
          </w:p>
        </w:tc>
        <w:tc>
          <w:tcPr>
            <w:tcW w:w="7371" w:type="dxa"/>
            <w:shd w:val="clear" w:color="auto" w:fill="auto"/>
            <w:vAlign w:val="center"/>
          </w:tcPr>
          <w:p w14:paraId="3C23DFCB" w14:textId="77777777" w:rsidR="007E5886" w:rsidRPr="00CF77C1" w:rsidRDefault="007E5886" w:rsidP="0080044B">
            <w:pPr>
              <w:jc w:val="left"/>
              <w:rPr>
                <w:lang w:val="sr-Cyrl-RS"/>
              </w:rPr>
            </w:pPr>
            <w:r w:rsidRPr="00CF77C1">
              <w:rPr>
                <w:lang w:val="sr-Cyrl-RS"/>
              </w:rPr>
              <w:t>Пројекат је у развојној фази.</w:t>
            </w:r>
          </w:p>
        </w:tc>
        <w:tc>
          <w:tcPr>
            <w:tcW w:w="4819" w:type="dxa"/>
            <w:shd w:val="clear" w:color="auto" w:fill="auto"/>
            <w:vAlign w:val="center"/>
          </w:tcPr>
          <w:p w14:paraId="474D3508" w14:textId="0C4E420B" w:rsidR="007E5886" w:rsidRPr="00CF77C1" w:rsidRDefault="007E5886" w:rsidP="0080044B">
            <w:pPr>
              <w:jc w:val="left"/>
              <w:rPr>
                <w:lang w:val="sr-Cyrl-RS"/>
              </w:rPr>
            </w:pPr>
            <w:r w:rsidRPr="00CF77C1">
              <w:rPr>
                <w:lang w:val="sr-Cyrl-RS"/>
              </w:rPr>
              <w:t>Недостаје комплетна урбанистичко-планска и техничка документација, није започето обезбеђивање потребних дозвола и ре</w:t>
            </w:r>
            <w:r w:rsidR="00EC7E28" w:rsidRPr="00CF77C1">
              <w:rPr>
                <w:lang w:val="sr-Cyrl-RS"/>
              </w:rPr>
              <w:t>шавање имовинско</w:t>
            </w:r>
            <w:r w:rsidR="00F10D3F" w:rsidRPr="00CF77C1">
              <w:rPr>
                <w:lang w:val="sr-Cyrl-RS"/>
              </w:rPr>
              <w:t>-</w:t>
            </w:r>
            <w:r w:rsidR="00EC7E28" w:rsidRPr="00CF77C1">
              <w:rPr>
                <w:lang w:val="sr-Cyrl-RS"/>
              </w:rPr>
              <w:t>правних односа.</w:t>
            </w:r>
          </w:p>
        </w:tc>
      </w:tr>
      <w:tr w:rsidR="007E5886" w:rsidRPr="00CF77C1" w14:paraId="1E10C977" w14:textId="77777777" w:rsidTr="007E5886">
        <w:trPr>
          <w:cantSplit/>
        </w:trPr>
        <w:tc>
          <w:tcPr>
            <w:tcW w:w="2660" w:type="dxa"/>
            <w:shd w:val="clear" w:color="auto" w:fill="auto"/>
            <w:vAlign w:val="center"/>
          </w:tcPr>
          <w:p w14:paraId="0BABCB7C" w14:textId="77777777" w:rsidR="007E5886" w:rsidRPr="00CF77C1" w:rsidRDefault="007E5886" w:rsidP="0080044B">
            <w:pPr>
              <w:jc w:val="left"/>
              <w:rPr>
                <w:lang w:val="sr-Cyrl-RS"/>
              </w:rPr>
            </w:pPr>
            <w:r w:rsidRPr="00CF77C1">
              <w:rPr>
                <w:lang w:val="sr-Cyrl-RS"/>
              </w:rPr>
              <w:t xml:space="preserve">4. </w:t>
            </w:r>
            <w:r w:rsidR="00AE310A" w:rsidRPr="00CF77C1">
              <w:rPr>
                <w:lang w:val="sr-Cyrl-RS"/>
              </w:rPr>
              <w:t xml:space="preserve">Далековод </w:t>
            </w:r>
            <w:r w:rsidRPr="00CF77C1">
              <w:rPr>
                <w:lang w:val="sr-Cyrl-RS"/>
              </w:rPr>
              <w:t xml:space="preserve">110 kV ТС Ада - </w:t>
            </w:r>
            <w:r w:rsidR="006E264A" w:rsidRPr="00CF77C1">
              <w:rPr>
                <w:lang w:val="sr-Cyrl-RS"/>
              </w:rPr>
              <w:t xml:space="preserve">ТС </w:t>
            </w:r>
            <w:r w:rsidRPr="00CF77C1">
              <w:rPr>
                <w:lang w:val="sr-Cyrl-RS"/>
              </w:rPr>
              <w:t>Кикинда 2</w:t>
            </w:r>
          </w:p>
        </w:tc>
        <w:tc>
          <w:tcPr>
            <w:tcW w:w="7371" w:type="dxa"/>
            <w:shd w:val="clear" w:color="auto" w:fill="auto"/>
            <w:vAlign w:val="center"/>
          </w:tcPr>
          <w:p w14:paraId="58AA0E1D" w14:textId="77777777" w:rsidR="007E5886" w:rsidRPr="00CF77C1" w:rsidRDefault="007E5886" w:rsidP="0080044B">
            <w:pPr>
              <w:jc w:val="left"/>
              <w:rPr>
                <w:lang w:val="sr-Cyrl-RS"/>
              </w:rPr>
            </w:pPr>
            <w:r w:rsidRPr="00CF77C1">
              <w:rPr>
                <w:lang w:val="sr-Cyrl-RS"/>
              </w:rPr>
              <w:t>Постоји комплетна урбанистичко-планска документација и техничка документација.</w:t>
            </w:r>
          </w:p>
        </w:tc>
        <w:tc>
          <w:tcPr>
            <w:tcW w:w="4819" w:type="dxa"/>
            <w:shd w:val="clear" w:color="auto" w:fill="auto"/>
            <w:vAlign w:val="center"/>
          </w:tcPr>
          <w:p w14:paraId="0EEC65F9" w14:textId="77777777" w:rsidR="007E5886" w:rsidRPr="00CF77C1" w:rsidRDefault="007E5886" w:rsidP="0080044B">
            <w:pPr>
              <w:jc w:val="left"/>
              <w:rPr>
                <w:lang w:val="sr-Cyrl-RS"/>
              </w:rPr>
            </w:pPr>
            <w:r w:rsidRPr="00CF77C1">
              <w:rPr>
                <w:lang w:val="sr-Cyrl-RS"/>
              </w:rPr>
              <w:t>У току је поступак обезбеђивања потребних дозвола и решавање имовинско-правних односа.</w:t>
            </w:r>
          </w:p>
        </w:tc>
      </w:tr>
      <w:tr w:rsidR="007E5886" w:rsidRPr="00CF77C1" w14:paraId="7A4AB212" w14:textId="77777777" w:rsidTr="007E5886">
        <w:trPr>
          <w:cantSplit/>
        </w:trPr>
        <w:tc>
          <w:tcPr>
            <w:tcW w:w="2660" w:type="dxa"/>
            <w:shd w:val="clear" w:color="auto" w:fill="auto"/>
            <w:vAlign w:val="center"/>
          </w:tcPr>
          <w:p w14:paraId="050DA311" w14:textId="77777777" w:rsidR="007E5886" w:rsidRPr="00CF77C1" w:rsidRDefault="007E5886" w:rsidP="0080044B">
            <w:pPr>
              <w:jc w:val="left"/>
              <w:rPr>
                <w:lang w:val="sr-Cyrl-RS"/>
              </w:rPr>
            </w:pPr>
            <w:r w:rsidRPr="00CF77C1">
              <w:rPr>
                <w:lang w:val="sr-Cyrl-RS"/>
              </w:rPr>
              <w:t xml:space="preserve">5. </w:t>
            </w:r>
            <w:r w:rsidR="00AE310A" w:rsidRPr="00CF77C1">
              <w:rPr>
                <w:lang w:val="sr-Cyrl-RS"/>
              </w:rPr>
              <w:t xml:space="preserve">Далековод </w:t>
            </w:r>
            <w:r w:rsidRPr="00CF77C1">
              <w:rPr>
                <w:lang w:val="sr-Cyrl-RS"/>
              </w:rPr>
              <w:t xml:space="preserve">110 kV ТС Гуча - </w:t>
            </w:r>
            <w:r w:rsidR="006E264A" w:rsidRPr="00CF77C1">
              <w:rPr>
                <w:lang w:val="sr-Cyrl-RS"/>
              </w:rPr>
              <w:t xml:space="preserve">ТС </w:t>
            </w:r>
            <w:r w:rsidRPr="00CF77C1">
              <w:rPr>
                <w:lang w:val="sr-Cyrl-RS"/>
              </w:rPr>
              <w:t>Ивањица</w:t>
            </w:r>
          </w:p>
        </w:tc>
        <w:tc>
          <w:tcPr>
            <w:tcW w:w="7371" w:type="dxa"/>
            <w:shd w:val="clear" w:color="auto" w:fill="auto"/>
            <w:vAlign w:val="center"/>
          </w:tcPr>
          <w:p w14:paraId="77356591" w14:textId="41FB94FF" w:rsidR="007E5886" w:rsidRPr="00CF77C1" w:rsidRDefault="007E5886" w:rsidP="0080044B">
            <w:pPr>
              <w:jc w:val="left"/>
              <w:rPr>
                <w:lang w:val="sr-Cyrl-RS"/>
              </w:rPr>
            </w:pPr>
            <w:r w:rsidRPr="00CF77C1">
              <w:rPr>
                <w:lang w:val="sr-Cyrl-RS"/>
              </w:rPr>
              <w:t>Постоји комплетна урбанистичко-планска документација</w:t>
            </w:r>
            <w:r w:rsidR="00F10D3F" w:rsidRPr="00CF77C1">
              <w:rPr>
                <w:lang w:val="sr-Cyrl-RS"/>
              </w:rPr>
              <w:t>.</w:t>
            </w:r>
          </w:p>
        </w:tc>
        <w:tc>
          <w:tcPr>
            <w:tcW w:w="4819" w:type="dxa"/>
            <w:shd w:val="clear" w:color="auto" w:fill="auto"/>
            <w:vAlign w:val="center"/>
          </w:tcPr>
          <w:p w14:paraId="568653D3" w14:textId="77777777" w:rsidR="007E5886" w:rsidRPr="00CF77C1" w:rsidRDefault="007E5886" w:rsidP="0080044B">
            <w:pPr>
              <w:jc w:val="left"/>
              <w:rPr>
                <w:lang w:val="sr-Cyrl-RS"/>
              </w:rPr>
            </w:pPr>
            <w:r w:rsidRPr="00CF77C1">
              <w:rPr>
                <w:lang w:val="sr-Cyrl-RS"/>
              </w:rPr>
              <w:t>Није започет процес обезбеђења потребне техничке документације, нису обезбеђене дозволе, нису решени имовинско-правни односи.</w:t>
            </w:r>
          </w:p>
        </w:tc>
      </w:tr>
      <w:tr w:rsidR="007E5886" w:rsidRPr="00CF77C1" w14:paraId="4489ADDB" w14:textId="77777777" w:rsidTr="007E5886">
        <w:trPr>
          <w:cantSplit/>
        </w:trPr>
        <w:tc>
          <w:tcPr>
            <w:tcW w:w="2660" w:type="dxa"/>
            <w:shd w:val="clear" w:color="auto" w:fill="auto"/>
            <w:vAlign w:val="center"/>
          </w:tcPr>
          <w:p w14:paraId="1E9E5660" w14:textId="77777777" w:rsidR="007E5886" w:rsidRPr="00CF77C1" w:rsidRDefault="007E5886" w:rsidP="0080044B">
            <w:pPr>
              <w:jc w:val="left"/>
              <w:rPr>
                <w:lang w:val="sr-Cyrl-RS"/>
              </w:rPr>
            </w:pPr>
            <w:r w:rsidRPr="00CF77C1">
              <w:rPr>
                <w:lang w:val="sr-Cyrl-RS"/>
              </w:rPr>
              <w:t xml:space="preserve">6. </w:t>
            </w:r>
            <w:r w:rsidR="006E264A" w:rsidRPr="00CF77C1">
              <w:rPr>
                <w:lang w:val="sr-Cyrl-RS"/>
              </w:rPr>
              <w:t xml:space="preserve">Двоструки далековод 110 </w:t>
            </w:r>
            <w:r w:rsidRPr="00CF77C1">
              <w:rPr>
                <w:lang w:val="sr-Cyrl-RS"/>
              </w:rPr>
              <w:t xml:space="preserve">kV ТС Краљево 3 - </w:t>
            </w:r>
            <w:r w:rsidR="006E264A" w:rsidRPr="00CF77C1">
              <w:rPr>
                <w:lang w:val="sr-Cyrl-RS"/>
              </w:rPr>
              <w:t>ТС </w:t>
            </w:r>
            <w:r w:rsidRPr="00CF77C1">
              <w:rPr>
                <w:lang w:val="sr-Cyrl-RS"/>
              </w:rPr>
              <w:t>Нови Пазар</w:t>
            </w:r>
            <w:r w:rsidR="006E264A" w:rsidRPr="00CF77C1">
              <w:rPr>
                <w:lang w:val="sr-Cyrl-RS"/>
              </w:rPr>
              <w:t xml:space="preserve"> 1</w:t>
            </w:r>
          </w:p>
        </w:tc>
        <w:tc>
          <w:tcPr>
            <w:tcW w:w="7371" w:type="dxa"/>
            <w:shd w:val="clear" w:color="auto" w:fill="auto"/>
            <w:vAlign w:val="center"/>
          </w:tcPr>
          <w:p w14:paraId="3B6461D7" w14:textId="6B8FCA0F" w:rsidR="007E5886" w:rsidRPr="00CF77C1" w:rsidRDefault="007E5886" w:rsidP="0080044B">
            <w:pPr>
              <w:jc w:val="left"/>
              <w:rPr>
                <w:lang w:val="sr-Cyrl-RS"/>
              </w:rPr>
            </w:pPr>
            <w:r w:rsidRPr="00CF77C1">
              <w:rPr>
                <w:lang w:val="sr-Cyrl-RS"/>
              </w:rPr>
              <w:t>Постоји комплетна урбанистичко-планска документација</w:t>
            </w:r>
            <w:r w:rsidR="00F10D3F" w:rsidRPr="00CF77C1">
              <w:rPr>
                <w:lang w:val="sr-Cyrl-RS"/>
              </w:rPr>
              <w:t>.</w:t>
            </w:r>
          </w:p>
        </w:tc>
        <w:tc>
          <w:tcPr>
            <w:tcW w:w="4819" w:type="dxa"/>
            <w:shd w:val="clear" w:color="auto" w:fill="auto"/>
            <w:vAlign w:val="center"/>
          </w:tcPr>
          <w:p w14:paraId="150A3B17" w14:textId="77777777" w:rsidR="007E5886" w:rsidRPr="00CF77C1" w:rsidRDefault="007E5886" w:rsidP="0080044B">
            <w:pPr>
              <w:jc w:val="left"/>
              <w:rPr>
                <w:lang w:val="sr-Cyrl-RS"/>
              </w:rPr>
            </w:pPr>
            <w:r w:rsidRPr="00CF77C1">
              <w:rPr>
                <w:lang w:val="sr-Cyrl-RS"/>
              </w:rPr>
              <w:t>У току је поступак комплетирања техничке документације и обезбеђивања потребних дозвола. Није започет поступак решавања имовинско-правних односа.</w:t>
            </w:r>
          </w:p>
        </w:tc>
      </w:tr>
    </w:tbl>
    <w:p w14:paraId="70DF95DA" w14:textId="35E237B5" w:rsidR="0091260E" w:rsidRPr="00CF77C1" w:rsidRDefault="0091260E" w:rsidP="00242883">
      <w:pPr>
        <w:ind w:firstLine="720"/>
        <w:rPr>
          <w:lang w:val="sr-Cyrl-RS"/>
        </w:rPr>
      </w:pPr>
      <w:r w:rsidRPr="00CF77C1">
        <w:rPr>
          <w:lang w:val="sr-Cyrl-RS"/>
        </w:rPr>
        <w:t xml:space="preserve">Индикатор реализације овог пројекта је </w:t>
      </w:r>
      <w:r w:rsidR="009A0192" w:rsidRPr="00CF77C1">
        <w:rPr>
          <w:lang w:val="sr-Cyrl-RS"/>
        </w:rPr>
        <w:t>реализација</w:t>
      </w:r>
      <w:r w:rsidRPr="00CF77C1">
        <w:rPr>
          <w:lang w:val="sr-Cyrl-RS"/>
        </w:rPr>
        <w:t xml:space="preserve"> активности приказаних по годинама у </w:t>
      </w:r>
      <w:r w:rsidR="00966609" w:rsidRPr="00CF77C1">
        <w:rPr>
          <w:lang w:val="sr-Cyrl-RS"/>
        </w:rPr>
        <w:t>таб. 17</w:t>
      </w:r>
      <w:r w:rsidRPr="00CF77C1">
        <w:rPr>
          <w:lang w:val="sr-Cyrl-RS"/>
        </w:rPr>
        <w:t>.</w:t>
      </w:r>
      <w:r w:rsidR="00AE310A" w:rsidRPr="00CF77C1">
        <w:rPr>
          <w:lang w:val="sr-Cyrl-RS"/>
        </w:rPr>
        <w:t xml:space="preserve"> Бројеви у табели одговарају редним бројевима појединих </w:t>
      </w:r>
      <w:r w:rsidR="00F10D3F" w:rsidRPr="00CF77C1">
        <w:rPr>
          <w:lang w:val="sr-Cyrl-RS"/>
        </w:rPr>
        <w:t>потпројеката</w:t>
      </w:r>
      <w:r w:rsidR="00AE310A" w:rsidRPr="00CF77C1">
        <w:rPr>
          <w:lang w:val="sr-Cyrl-RS"/>
        </w:rPr>
        <w:t xml:space="preserve"> из </w:t>
      </w:r>
      <w:r w:rsidR="000642D2" w:rsidRPr="00CF77C1">
        <w:rPr>
          <w:lang w:val="sr-Cyrl-RS"/>
        </w:rPr>
        <w:fldChar w:fldCharType="begin"/>
      </w:r>
      <w:r w:rsidR="000642D2" w:rsidRPr="00CF77C1">
        <w:rPr>
          <w:lang w:val="sr-Cyrl-RS"/>
        </w:rPr>
        <w:instrText xml:space="preserve"> REF _Ref470845774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16</w:t>
      </w:r>
      <w:r w:rsidR="000642D2" w:rsidRPr="00CF77C1">
        <w:rPr>
          <w:lang w:val="sr-Cyrl-RS"/>
        </w:rPr>
        <w:fldChar w:fldCharType="end"/>
      </w:r>
    </w:p>
    <w:p w14:paraId="4C84D098" w14:textId="1075469C" w:rsidR="007E5886" w:rsidRPr="00CF77C1" w:rsidRDefault="00D61BC9" w:rsidP="00242883">
      <w:pPr>
        <w:pStyle w:val="Caption"/>
        <w:ind w:firstLine="720"/>
        <w:rPr>
          <w:b w:val="0"/>
          <w:lang w:val="sr-Cyrl-RS"/>
        </w:rPr>
      </w:pPr>
      <w:r w:rsidRPr="00CF77C1">
        <w:rPr>
          <w:b w:val="0"/>
          <w:lang w:val="sr-Cyrl-RS"/>
        </w:rPr>
        <w:t>таб.</w:t>
      </w:r>
      <w:r w:rsidR="007E5886"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17</w:t>
      </w:r>
      <w:r w:rsidR="0092145E" w:rsidRPr="00CF77C1">
        <w:rPr>
          <w:b w:val="0"/>
          <w:lang w:val="sr-Cyrl-RS"/>
        </w:rPr>
        <w:fldChar w:fldCharType="end"/>
      </w:r>
      <w:r w:rsidR="007E5886" w:rsidRPr="00CF77C1">
        <w:rPr>
          <w:b w:val="0"/>
          <w:lang w:val="sr-Cyrl-RS"/>
        </w:rPr>
        <w:t>: Динамика реализације активн</w:t>
      </w:r>
      <w:r w:rsidR="00C255D3" w:rsidRPr="00CF77C1">
        <w:rPr>
          <w:b w:val="0"/>
          <w:lang w:val="sr-Cyrl-RS"/>
        </w:rPr>
        <w:t>ости у периоду реализације ПОС</w:t>
      </w:r>
      <w:r w:rsidR="007E5886" w:rsidRPr="00CF77C1">
        <w:rPr>
          <w:b w:val="0"/>
          <w:lang w:val="sr-Cyrl-RS"/>
        </w:rPr>
        <w:t xml:space="preserve"> (по секцијама)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3"/>
        <w:gridCol w:w="2268"/>
        <w:gridCol w:w="1032"/>
        <w:gridCol w:w="1033"/>
        <w:gridCol w:w="1033"/>
        <w:gridCol w:w="1032"/>
        <w:gridCol w:w="1033"/>
        <w:gridCol w:w="1033"/>
        <w:gridCol w:w="1033"/>
      </w:tblGrid>
      <w:tr w:rsidR="00747A3E" w:rsidRPr="00CF77C1" w14:paraId="57A8B2DD" w14:textId="77777777" w:rsidTr="00747A3E">
        <w:trPr>
          <w:tblHeader/>
        </w:trPr>
        <w:tc>
          <w:tcPr>
            <w:tcW w:w="5353" w:type="dxa"/>
            <w:shd w:val="clear" w:color="auto" w:fill="auto"/>
            <w:vAlign w:val="center"/>
          </w:tcPr>
          <w:p w14:paraId="1E432F90" w14:textId="77777777" w:rsidR="00747A3E" w:rsidRPr="00CF77C1" w:rsidRDefault="00747A3E" w:rsidP="0080044B">
            <w:pPr>
              <w:jc w:val="center"/>
              <w:rPr>
                <w:lang w:val="sr-Cyrl-RS"/>
              </w:rPr>
            </w:pPr>
            <w:r w:rsidRPr="00CF77C1">
              <w:rPr>
                <w:lang w:val="sr-Cyrl-RS"/>
              </w:rPr>
              <w:t>Пројекат:</w:t>
            </w:r>
          </w:p>
          <w:p w14:paraId="128460B6" w14:textId="3F4E153F" w:rsidR="00747A3E" w:rsidRPr="00CF77C1" w:rsidRDefault="00747A3E" w:rsidP="00F10D3F">
            <w:pPr>
              <w:jc w:val="center"/>
              <w:rPr>
                <w:lang w:val="sr-Cyrl-RS"/>
              </w:rPr>
            </w:pPr>
            <w:r w:rsidRPr="00CF77C1">
              <w:rPr>
                <w:lang w:val="sr-Cyrl-RS"/>
              </w:rPr>
              <w:t xml:space="preserve">„Пројекат појачања </w:t>
            </w:r>
            <w:r w:rsidR="00510825" w:rsidRPr="00CF77C1">
              <w:rPr>
                <w:lang w:val="sr-Cyrl-RS"/>
              </w:rPr>
              <w:t>надземних и подземних електроенергетских водова 110 kV</w:t>
            </w:r>
            <w:r w:rsidR="00AD5740" w:rsidRPr="00CF77C1">
              <w:rPr>
                <w:lang w:val="sr-Cyrl-RS"/>
              </w:rPr>
              <w:t>”</w:t>
            </w:r>
          </w:p>
        </w:tc>
        <w:tc>
          <w:tcPr>
            <w:tcW w:w="2268" w:type="dxa"/>
            <w:shd w:val="clear" w:color="auto" w:fill="auto"/>
            <w:vAlign w:val="center"/>
          </w:tcPr>
          <w:p w14:paraId="7B7EDED6" w14:textId="77777777" w:rsidR="00747A3E" w:rsidRPr="00CF77C1" w:rsidRDefault="00DD69C2" w:rsidP="0080044B">
            <w:pPr>
              <w:jc w:val="center"/>
              <w:rPr>
                <w:lang w:val="sr-Cyrl-RS"/>
              </w:rPr>
            </w:pPr>
            <w:r w:rsidRPr="00CF77C1">
              <w:rPr>
                <w:lang w:val="sr-Cyrl-RS"/>
              </w:rPr>
              <w:t>Одговорни субјекат</w:t>
            </w:r>
          </w:p>
        </w:tc>
        <w:tc>
          <w:tcPr>
            <w:tcW w:w="1032" w:type="dxa"/>
            <w:shd w:val="clear" w:color="auto" w:fill="auto"/>
            <w:vAlign w:val="center"/>
          </w:tcPr>
          <w:p w14:paraId="4D37A4D6" w14:textId="77777777" w:rsidR="00747A3E" w:rsidRPr="00CF77C1" w:rsidRDefault="00747A3E" w:rsidP="0080044B">
            <w:pPr>
              <w:jc w:val="center"/>
              <w:rPr>
                <w:lang w:val="sr-Cyrl-RS"/>
              </w:rPr>
            </w:pPr>
            <w:r w:rsidRPr="00CF77C1">
              <w:rPr>
                <w:lang w:val="sr-Cyrl-RS"/>
              </w:rPr>
              <w:t>2017.</w:t>
            </w:r>
          </w:p>
        </w:tc>
        <w:tc>
          <w:tcPr>
            <w:tcW w:w="1033" w:type="dxa"/>
            <w:shd w:val="clear" w:color="auto" w:fill="auto"/>
            <w:vAlign w:val="center"/>
          </w:tcPr>
          <w:p w14:paraId="6ABB9190" w14:textId="77777777" w:rsidR="00747A3E" w:rsidRPr="00CF77C1" w:rsidRDefault="00747A3E" w:rsidP="0080044B">
            <w:pPr>
              <w:jc w:val="center"/>
              <w:rPr>
                <w:lang w:val="sr-Cyrl-RS"/>
              </w:rPr>
            </w:pPr>
            <w:r w:rsidRPr="00CF77C1">
              <w:rPr>
                <w:lang w:val="sr-Cyrl-RS"/>
              </w:rPr>
              <w:t>2018.</w:t>
            </w:r>
          </w:p>
        </w:tc>
        <w:tc>
          <w:tcPr>
            <w:tcW w:w="1033" w:type="dxa"/>
            <w:shd w:val="clear" w:color="auto" w:fill="auto"/>
            <w:vAlign w:val="center"/>
          </w:tcPr>
          <w:p w14:paraId="38CC29C3" w14:textId="77777777" w:rsidR="00747A3E" w:rsidRPr="00CF77C1" w:rsidRDefault="00747A3E" w:rsidP="0080044B">
            <w:pPr>
              <w:jc w:val="center"/>
              <w:rPr>
                <w:lang w:val="sr-Cyrl-RS"/>
              </w:rPr>
            </w:pPr>
            <w:r w:rsidRPr="00CF77C1">
              <w:rPr>
                <w:lang w:val="sr-Cyrl-RS"/>
              </w:rPr>
              <w:t>2019.</w:t>
            </w:r>
          </w:p>
        </w:tc>
        <w:tc>
          <w:tcPr>
            <w:tcW w:w="1032" w:type="dxa"/>
            <w:shd w:val="clear" w:color="auto" w:fill="auto"/>
            <w:vAlign w:val="center"/>
          </w:tcPr>
          <w:p w14:paraId="0B6AFFA0" w14:textId="77777777" w:rsidR="00747A3E" w:rsidRPr="00CF77C1" w:rsidRDefault="00747A3E" w:rsidP="0080044B">
            <w:pPr>
              <w:jc w:val="center"/>
              <w:rPr>
                <w:lang w:val="sr-Cyrl-RS"/>
              </w:rPr>
            </w:pPr>
            <w:r w:rsidRPr="00CF77C1">
              <w:rPr>
                <w:lang w:val="sr-Cyrl-RS"/>
              </w:rPr>
              <w:t>2020.</w:t>
            </w:r>
          </w:p>
        </w:tc>
        <w:tc>
          <w:tcPr>
            <w:tcW w:w="1033" w:type="dxa"/>
            <w:shd w:val="clear" w:color="auto" w:fill="auto"/>
            <w:vAlign w:val="center"/>
          </w:tcPr>
          <w:p w14:paraId="22DD522D" w14:textId="77777777" w:rsidR="00747A3E" w:rsidRPr="00CF77C1" w:rsidRDefault="00747A3E" w:rsidP="0080044B">
            <w:pPr>
              <w:jc w:val="center"/>
              <w:rPr>
                <w:lang w:val="sr-Cyrl-RS"/>
              </w:rPr>
            </w:pPr>
            <w:r w:rsidRPr="00CF77C1">
              <w:rPr>
                <w:lang w:val="sr-Cyrl-RS"/>
              </w:rPr>
              <w:t>2021.</w:t>
            </w:r>
          </w:p>
        </w:tc>
        <w:tc>
          <w:tcPr>
            <w:tcW w:w="1033" w:type="dxa"/>
            <w:shd w:val="clear" w:color="auto" w:fill="auto"/>
            <w:vAlign w:val="center"/>
          </w:tcPr>
          <w:p w14:paraId="1FA652E7" w14:textId="77777777" w:rsidR="00747A3E" w:rsidRPr="00CF77C1" w:rsidRDefault="00747A3E" w:rsidP="0080044B">
            <w:pPr>
              <w:jc w:val="center"/>
              <w:rPr>
                <w:lang w:val="sr-Cyrl-RS"/>
              </w:rPr>
            </w:pPr>
            <w:r w:rsidRPr="00CF77C1">
              <w:rPr>
                <w:lang w:val="sr-Cyrl-RS"/>
              </w:rPr>
              <w:t>2022.</w:t>
            </w:r>
          </w:p>
        </w:tc>
        <w:tc>
          <w:tcPr>
            <w:tcW w:w="1033" w:type="dxa"/>
            <w:shd w:val="clear" w:color="auto" w:fill="auto"/>
            <w:vAlign w:val="center"/>
          </w:tcPr>
          <w:p w14:paraId="4AC7377E" w14:textId="77777777" w:rsidR="00747A3E" w:rsidRPr="00CF77C1" w:rsidRDefault="00747A3E" w:rsidP="0080044B">
            <w:pPr>
              <w:jc w:val="center"/>
              <w:rPr>
                <w:lang w:val="sr-Cyrl-RS"/>
              </w:rPr>
            </w:pPr>
            <w:r w:rsidRPr="00CF77C1">
              <w:rPr>
                <w:lang w:val="sr-Cyrl-RS"/>
              </w:rPr>
              <w:t>2023.</w:t>
            </w:r>
          </w:p>
        </w:tc>
      </w:tr>
      <w:tr w:rsidR="00510825" w:rsidRPr="00CF77C1" w14:paraId="3C8522F3" w14:textId="77777777" w:rsidTr="00747A3E">
        <w:tc>
          <w:tcPr>
            <w:tcW w:w="5353" w:type="dxa"/>
            <w:shd w:val="clear" w:color="auto" w:fill="auto"/>
            <w:vAlign w:val="center"/>
          </w:tcPr>
          <w:p w14:paraId="7DE2BD2B" w14:textId="77777777" w:rsidR="00510825" w:rsidRPr="00CF77C1" w:rsidRDefault="00510825" w:rsidP="0080044B">
            <w:pPr>
              <w:spacing w:before="20" w:after="20"/>
              <w:jc w:val="left"/>
              <w:rPr>
                <w:lang w:val="sr-Cyrl-RS"/>
              </w:rPr>
            </w:pPr>
            <w:r w:rsidRPr="00CF77C1">
              <w:rPr>
                <w:lang w:val="sr-Cyrl-RS"/>
              </w:rPr>
              <w:t>Организациони и послови руковођења пројектом</w:t>
            </w:r>
          </w:p>
        </w:tc>
        <w:tc>
          <w:tcPr>
            <w:tcW w:w="2268" w:type="dxa"/>
            <w:vMerge w:val="restart"/>
            <w:shd w:val="clear" w:color="auto" w:fill="auto"/>
            <w:vAlign w:val="center"/>
          </w:tcPr>
          <w:p w14:paraId="7E80289B" w14:textId="77777777" w:rsidR="00510825" w:rsidRPr="00CF77C1" w:rsidRDefault="00D63C31" w:rsidP="0080044B">
            <w:pPr>
              <w:spacing w:before="20" w:after="20"/>
              <w:jc w:val="left"/>
              <w:rPr>
                <w:lang w:val="sr-Cyrl-RS"/>
              </w:rPr>
            </w:pPr>
            <w:r w:rsidRPr="00CF77C1">
              <w:rPr>
                <w:lang w:val="sr-Cyrl-RS"/>
              </w:rPr>
              <w:t>ЕМС</w:t>
            </w:r>
          </w:p>
        </w:tc>
        <w:tc>
          <w:tcPr>
            <w:tcW w:w="1032" w:type="dxa"/>
            <w:shd w:val="clear" w:color="auto" w:fill="auto"/>
            <w:vAlign w:val="center"/>
          </w:tcPr>
          <w:p w14:paraId="15A2CA9B" w14:textId="77777777" w:rsidR="00510825" w:rsidRPr="00CF77C1" w:rsidRDefault="00510825" w:rsidP="0080044B">
            <w:pPr>
              <w:spacing w:before="20" w:after="20"/>
              <w:jc w:val="center"/>
              <w:rPr>
                <w:lang w:val="sr-Cyrl-RS"/>
              </w:rPr>
            </w:pPr>
            <w:r w:rsidRPr="00CF77C1">
              <w:rPr>
                <w:lang w:val="sr-Cyrl-RS"/>
              </w:rPr>
              <w:t>1-6</w:t>
            </w:r>
          </w:p>
        </w:tc>
        <w:tc>
          <w:tcPr>
            <w:tcW w:w="1033" w:type="dxa"/>
            <w:shd w:val="clear" w:color="auto" w:fill="auto"/>
            <w:vAlign w:val="center"/>
          </w:tcPr>
          <w:p w14:paraId="21435F5F" w14:textId="77777777" w:rsidR="00510825" w:rsidRPr="00CF77C1" w:rsidRDefault="00510825" w:rsidP="0080044B">
            <w:pPr>
              <w:spacing w:before="20" w:after="20"/>
              <w:jc w:val="center"/>
              <w:rPr>
                <w:lang w:val="sr-Cyrl-RS"/>
              </w:rPr>
            </w:pPr>
            <w:r w:rsidRPr="00CF77C1">
              <w:rPr>
                <w:lang w:val="sr-Cyrl-RS"/>
              </w:rPr>
              <w:t>1-6</w:t>
            </w:r>
          </w:p>
        </w:tc>
        <w:tc>
          <w:tcPr>
            <w:tcW w:w="1033" w:type="dxa"/>
            <w:shd w:val="clear" w:color="auto" w:fill="auto"/>
            <w:vAlign w:val="center"/>
          </w:tcPr>
          <w:p w14:paraId="30AE88CB" w14:textId="77777777" w:rsidR="00510825" w:rsidRPr="00CF77C1" w:rsidRDefault="00510825" w:rsidP="0080044B">
            <w:pPr>
              <w:spacing w:before="20" w:after="20"/>
              <w:jc w:val="center"/>
              <w:rPr>
                <w:lang w:val="sr-Cyrl-RS"/>
              </w:rPr>
            </w:pPr>
            <w:r w:rsidRPr="00CF77C1">
              <w:rPr>
                <w:lang w:val="sr-Cyrl-RS"/>
              </w:rPr>
              <w:t>2-6</w:t>
            </w:r>
          </w:p>
        </w:tc>
        <w:tc>
          <w:tcPr>
            <w:tcW w:w="1032" w:type="dxa"/>
            <w:shd w:val="clear" w:color="auto" w:fill="auto"/>
            <w:vAlign w:val="center"/>
          </w:tcPr>
          <w:p w14:paraId="32C29FF3" w14:textId="77777777" w:rsidR="00510825" w:rsidRPr="00CF77C1" w:rsidRDefault="00510825" w:rsidP="0080044B">
            <w:pPr>
              <w:spacing w:before="20" w:after="20"/>
              <w:jc w:val="center"/>
              <w:rPr>
                <w:lang w:val="sr-Cyrl-RS"/>
              </w:rPr>
            </w:pPr>
            <w:r w:rsidRPr="00CF77C1">
              <w:rPr>
                <w:lang w:val="sr-Cyrl-RS"/>
              </w:rPr>
              <w:t>4-6</w:t>
            </w:r>
          </w:p>
        </w:tc>
        <w:tc>
          <w:tcPr>
            <w:tcW w:w="1033" w:type="dxa"/>
            <w:shd w:val="clear" w:color="auto" w:fill="auto"/>
            <w:vAlign w:val="center"/>
          </w:tcPr>
          <w:p w14:paraId="6F7EFCB3" w14:textId="77777777" w:rsidR="00510825" w:rsidRPr="00CF77C1" w:rsidRDefault="00510825" w:rsidP="0080044B">
            <w:pPr>
              <w:spacing w:before="20" w:after="20"/>
              <w:jc w:val="center"/>
              <w:rPr>
                <w:lang w:val="sr-Cyrl-RS"/>
              </w:rPr>
            </w:pPr>
            <w:r w:rsidRPr="00CF77C1">
              <w:rPr>
                <w:lang w:val="sr-Cyrl-RS"/>
              </w:rPr>
              <w:t>5-6</w:t>
            </w:r>
          </w:p>
        </w:tc>
        <w:tc>
          <w:tcPr>
            <w:tcW w:w="1033" w:type="dxa"/>
            <w:shd w:val="clear" w:color="auto" w:fill="auto"/>
            <w:vAlign w:val="center"/>
          </w:tcPr>
          <w:p w14:paraId="75B14D8B"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2DF8CAB4" w14:textId="77777777" w:rsidR="00510825" w:rsidRPr="00CF77C1" w:rsidRDefault="00510825" w:rsidP="0080044B">
            <w:pPr>
              <w:spacing w:before="20" w:after="20"/>
              <w:jc w:val="center"/>
              <w:rPr>
                <w:lang w:val="sr-Cyrl-RS"/>
              </w:rPr>
            </w:pPr>
          </w:p>
        </w:tc>
      </w:tr>
      <w:tr w:rsidR="00510825" w:rsidRPr="00CF77C1" w14:paraId="0BE72B69" w14:textId="77777777" w:rsidTr="00747A3E">
        <w:tc>
          <w:tcPr>
            <w:tcW w:w="5353" w:type="dxa"/>
            <w:shd w:val="clear" w:color="auto" w:fill="auto"/>
            <w:vAlign w:val="center"/>
          </w:tcPr>
          <w:p w14:paraId="5A9A89A9" w14:textId="77777777" w:rsidR="00510825" w:rsidRPr="00CF77C1" w:rsidRDefault="00510825" w:rsidP="0080044B">
            <w:pPr>
              <w:spacing w:before="20" w:after="20"/>
              <w:jc w:val="left"/>
              <w:rPr>
                <w:lang w:val="sr-Cyrl-RS"/>
              </w:rPr>
            </w:pPr>
            <w:r w:rsidRPr="00CF77C1">
              <w:rPr>
                <w:lang w:val="sr-Cyrl-RS"/>
              </w:rPr>
              <w:t>Припрема просторно-планске документације</w:t>
            </w:r>
          </w:p>
        </w:tc>
        <w:tc>
          <w:tcPr>
            <w:tcW w:w="2268" w:type="dxa"/>
            <w:vMerge/>
            <w:shd w:val="clear" w:color="auto" w:fill="auto"/>
            <w:vAlign w:val="center"/>
          </w:tcPr>
          <w:p w14:paraId="759FF9E0" w14:textId="77777777" w:rsidR="00510825" w:rsidRPr="00CF77C1" w:rsidRDefault="00510825" w:rsidP="0080044B">
            <w:pPr>
              <w:spacing w:before="20" w:after="20"/>
              <w:jc w:val="left"/>
              <w:rPr>
                <w:lang w:val="sr-Cyrl-RS"/>
              </w:rPr>
            </w:pPr>
          </w:p>
        </w:tc>
        <w:tc>
          <w:tcPr>
            <w:tcW w:w="1032" w:type="dxa"/>
            <w:shd w:val="clear" w:color="auto" w:fill="auto"/>
            <w:vAlign w:val="center"/>
          </w:tcPr>
          <w:p w14:paraId="1541EC48" w14:textId="77777777" w:rsidR="00510825" w:rsidRPr="00CF77C1" w:rsidRDefault="00510825" w:rsidP="0080044B">
            <w:pPr>
              <w:spacing w:before="20" w:after="20"/>
              <w:jc w:val="center"/>
              <w:rPr>
                <w:lang w:val="sr-Cyrl-RS"/>
              </w:rPr>
            </w:pPr>
            <w:r w:rsidRPr="00CF77C1">
              <w:rPr>
                <w:lang w:val="sr-Cyrl-RS"/>
              </w:rPr>
              <w:t>3</w:t>
            </w:r>
          </w:p>
        </w:tc>
        <w:tc>
          <w:tcPr>
            <w:tcW w:w="1033" w:type="dxa"/>
            <w:shd w:val="clear" w:color="auto" w:fill="auto"/>
            <w:vAlign w:val="center"/>
          </w:tcPr>
          <w:p w14:paraId="1D123AD5"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5F67CB74" w14:textId="77777777" w:rsidR="00510825" w:rsidRPr="00CF77C1" w:rsidRDefault="00510825" w:rsidP="0080044B">
            <w:pPr>
              <w:spacing w:before="20" w:after="20"/>
              <w:jc w:val="center"/>
              <w:rPr>
                <w:lang w:val="sr-Cyrl-RS"/>
              </w:rPr>
            </w:pPr>
          </w:p>
        </w:tc>
        <w:tc>
          <w:tcPr>
            <w:tcW w:w="1032" w:type="dxa"/>
            <w:shd w:val="clear" w:color="auto" w:fill="auto"/>
            <w:vAlign w:val="center"/>
          </w:tcPr>
          <w:p w14:paraId="2BF50552"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71D9EF01"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50B2FFDC"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7E0E768E" w14:textId="77777777" w:rsidR="00510825" w:rsidRPr="00CF77C1" w:rsidRDefault="00510825" w:rsidP="0080044B">
            <w:pPr>
              <w:spacing w:before="20" w:after="20"/>
              <w:jc w:val="center"/>
              <w:rPr>
                <w:lang w:val="sr-Cyrl-RS"/>
              </w:rPr>
            </w:pPr>
          </w:p>
        </w:tc>
      </w:tr>
      <w:tr w:rsidR="00510825" w:rsidRPr="00CF77C1" w14:paraId="4103351A" w14:textId="77777777" w:rsidTr="00747A3E">
        <w:tc>
          <w:tcPr>
            <w:tcW w:w="5353" w:type="dxa"/>
            <w:shd w:val="clear" w:color="auto" w:fill="auto"/>
            <w:vAlign w:val="center"/>
          </w:tcPr>
          <w:p w14:paraId="3E791E81" w14:textId="77777777" w:rsidR="00510825" w:rsidRPr="00CF77C1" w:rsidRDefault="00510825" w:rsidP="0080044B">
            <w:pPr>
              <w:spacing w:before="20" w:after="20"/>
              <w:jc w:val="left"/>
              <w:rPr>
                <w:lang w:val="sr-Cyrl-RS"/>
              </w:rPr>
            </w:pPr>
            <w:r w:rsidRPr="00CF77C1">
              <w:rPr>
                <w:lang w:val="sr-Cyrl-RS"/>
              </w:rPr>
              <w:t>Припрема техничке документације</w:t>
            </w:r>
          </w:p>
        </w:tc>
        <w:tc>
          <w:tcPr>
            <w:tcW w:w="2268" w:type="dxa"/>
            <w:vMerge/>
            <w:shd w:val="clear" w:color="auto" w:fill="auto"/>
          </w:tcPr>
          <w:p w14:paraId="47942004" w14:textId="77777777" w:rsidR="00510825" w:rsidRPr="00CF77C1" w:rsidRDefault="00510825" w:rsidP="0080044B">
            <w:pPr>
              <w:spacing w:before="20" w:after="20"/>
              <w:rPr>
                <w:lang w:val="sr-Cyrl-RS"/>
              </w:rPr>
            </w:pPr>
          </w:p>
        </w:tc>
        <w:tc>
          <w:tcPr>
            <w:tcW w:w="1032" w:type="dxa"/>
            <w:shd w:val="clear" w:color="auto" w:fill="auto"/>
            <w:vAlign w:val="center"/>
          </w:tcPr>
          <w:p w14:paraId="189D1B89" w14:textId="77777777" w:rsidR="00510825" w:rsidRPr="00CF77C1" w:rsidRDefault="00510825" w:rsidP="0080044B">
            <w:pPr>
              <w:spacing w:before="20" w:after="20"/>
              <w:jc w:val="center"/>
              <w:rPr>
                <w:lang w:val="sr-Cyrl-RS"/>
              </w:rPr>
            </w:pPr>
            <w:r w:rsidRPr="00CF77C1">
              <w:rPr>
                <w:lang w:val="sr-Cyrl-RS"/>
              </w:rPr>
              <w:t>1, 5-6</w:t>
            </w:r>
          </w:p>
        </w:tc>
        <w:tc>
          <w:tcPr>
            <w:tcW w:w="1033" w:type="dxa"/>
            <w:shd w:val="clear" w:color="auto" w:fill="auto"/>
            <w:vAlign w:val="center"/>
          </w:tcPr>
          <w:p w14:paraId="5E3627B1" w14:textId="77777777" w:rsidR="00510825" w:rsidRPr="00CF77C1" w:rsidRDefault="00510825" w:rsidP="0080044B">
            <w:pPr>
              <w:spacing w:before="20" w:after="20"/>
              <w:jc w:val="center"/>
              <w:rPr>
                <w:lang w:val="sr-Cyrl-RS"/>
              </w:rPr>
            </w:pPr>
            <w:r w:rsidRPr="00CF77C1">
              <w:rPr>
                <w:lang w:val="sr-Cyrl-RS"/>
              </w:rPr>
              <w:t>3</w:t>
            </w:r>
          </w:p>
        </w:tc>
        <w:tc>
          <w:tcPr>
            <w:tcW w:w="1033" w:type="dxa"/>
            <w:shd w:val="clear" w:color="auto" w:fill="auto"/>
            <w:vAlign w:val="center"/>
          </w:tcPr>
          <w:p w14:paraId="5E9D91BB" w14:textId="77777777" w:rsidR="00510825" w:rsidRPr="00CF77C1" w:rsidRDefault="00510825" w:rsidP="0080044B">
            <w:pPr>
              <w:spacing w:before="20" w:after="20"/>
              <w:jc w:val="center"/>
              <w:rPr>
                <w:lang w:val="sr-Cyrl-RS"/>
              </w:rPr>
            </w:pPr>
          </w:p>
        </w:tc>
        <w:tc>
          <w:tcPr>
            <w:tcW w:w="1032" w:type="dxa"/>
            <w:shd w:val="clear" w:color="auto" w:fill="auto"/>
            <w:vAlign w:val="center"/>
          </w:tcPr>
          <w:p w14:paraId="5DECAA5E"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5B50C684"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44DCA526"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5FB86B8F" w14:textId="77777777" w:rsidR="00510825" w:rsidRPr="00CF77C1" w:rsidRDefault="00510825" w:rsidP="0080044B">
            <w:pPr>
              <w:spacing w:before="20" w:after="20"/>
              <w:jc w:val="center"/>
              <w:rPr>
                <w:lang w:val="sr-Cyrl-RS"/>
              </w:rPr>
            </w:pPr>
          </w:p>
        </w:tc>
      </w:tr>
      <w:tr w:rsidR="00510825" w:rsidRPr="00CF77C1" w14:paraId="42CBDFAD" w14:textId="77777777" w:rsidTr="00747A3E">
        <w:tc>
          <w:tcPr>
            <w:tcW w:w="5353" w:type="dxa"/>
            <w:shd w:val="clear" w:color="auto" w:fill="auto"/>
            <w:vAlign w:val="center"/>
          </w:tcPr>
          <w:p w14:paraId="3318EC5B" w14:textId="77777777" w:rsidR="00510825" w:rsidRPr="00CF77C1" w:rsidRDefault="00510825" w:rsidP="0080044B">
            <w:pPr>
              <w:spacing w:before="20" w:after="20"/>
              <w:jc w:val="left"/>
              <w:rPr>
                <w:lang w:val="sr-Cyrl-RS"/>
              </w:rPr>
            </w:pPr>
            <w:r w:rsidRPr="00CF77C1">
              <w:rPr>
                <w:lang w:val="sr-Cyrl-RS"/>
              </w:rPr>
              <w:t>Дозволе</w:t>
            </w:r>
          </w:p>
        </w:tc>
        <w:tc>
          <w:tcPr>
            <w:tcW w:w="2268" w:type="dxa"/>
            <w:vMerge/>
            <w:shd w:val="clear" w:color="auto" w:fill="auto"/>
          </w:tcPr>
          <w:p w14:paraId="5E302497" w14:textId="77777777" w:rsidR="00510825" w:rsidRPr="00CF77C1" w:rsidRDefault="00510825" w:rsidP="0080044B">
            <w:pPr>
              <w:spacing w:before="20" w:after="20"/>
              <w:rPr>
                <w:lang w:val="sr-Cyrl-RS"/>
              </w:rPr>
            </w:pPr>
          </w:p>
        </w:tc>
        <w:tc>
          <w:tcPr>
            <w:tcW w:w="1032" w:type="dxa"/>
            <w:shd w:val="clear" w:color="auto" w:fill="auto"/>
            <w:vAlign w:val="center"/>
          </w:tcPr>
          <w:p w14:paraId="77F8A445" w14:textId="77777777" w:rsidR="00510825" w:rsidRPr="00CF77C1" w:rsidRDefault="00510825" w:rsidP="0080044B">
            <w:pPr>
              <w:spacing w:before="20" w:after="20"/>
              <w:jc w:val="center"/>
              <w:rPr>
                <w:lang w:val="sr-Cyrl-RS"/>
              </w:rPr>
            </w:pPr>
            <w:r w:rsidRPr="00CF77C1">
              <w:rPr>
                <w:lang w:val="sr-Cyrl-RS"/>
              </w:rPr>
              <w:t>1, 2, 4</w:t>
            </w:r>
          </w:p>
        </w:tc>
        <w:tc>
          <w:tcPr>
            <w:tcW w:w="1033" w:type="dxa"/>
            <w:shd w:val="clear" w:color="auto" w:fill="auto"/>
            <w:vAlign w:val="center"/>
          </w:tcPr>
          <w:p w14:paraId="18C2EF18" w14:textId="77777777" w:rsidR="00510825" w:rsidRPr="00CF77C1" w:rsidRDefault="00510825" w:rsidP="0080044B">
            <w:pPr>
              <w:spacing w:before="20" w:after="20"/>
              <w:jc w:val="center"/>
              <w:rPr>
                <w:lang w:val="sr-Cyrl-RS"/>
              </w:rPr>
            </w:pPr>
            <w:r w:rsidRPr="00CF77C1">
              <w:rPr>
                <w:lang w:val="sr-Cyrl-RS"/>
              </w:rPr>
              <w:t>1-6</w:t>
            </w:r>
          </w:p>
        </w:tc>
        <w:tc>
          <w:tcPr>
            <w:tcW w:w="1033" w:type="dxa"/>
            <w:shd w:val="clear" w:color="auto" w:fill="auto"/>
            <w:vAlign w:val="center"/>
          </w:tcPr>
          <w:p w14:paraId="095B214C" w14:textId="77777777" w:rsidR="00510825" w:rsidRPr="00CF77C1" w:rsidRDefault="00510825" w:rsidP="0080044B">
            <w:pPr>
              <w:spacing w:before="20" w:after="20"/>
              <w:jc w:val="center"/>
              <w:rPr>
                <w:lang w:val="sr-Cyrl-RS"/>
              </w:rPr>
            </w:pPr>
            <w:r w:rsidRPr="00CF77C1">
              <w:rPr>
                <w:lang w:val="sr-Cyrl-RS"/>
              </w:rPr>
              <w:t>3, 5-6</w:t>
            </w:r>
          </w:p>
        </w:tc>
        <w:tc>
          <w:tcPr>
            <w:tcW w:w="1032" w:type="dxa"/>
            <w:shd w:val="clear" w:color="auto" w:fill="auto"/>
            <w:vAlign w:val="center"/>
          </w:tcPr>
          <w:p w14:paraId="08190F38"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44698A12"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1FE2AD42"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561D72D9" w14:textId="77777777" w:rsidR="00510825" w:rsidRPr="00CF77C1" w:rsidRDefault="00510825" w:rsidP="0080044B">
            <w:pPr>
              <w:spacing w:before="20" w:after="20"/>
              <w:jc w:val="center"/>
              <w:rPr>
                <w:lang w:val="sr-Cyrl-RS"/>
              </w:rPr>
            </w:pPr>
          </w:p>
        </w:tc>
      </w:tr>
      <w:tr w:rsidR="00510825" w:rsidRPr="00CF77C1" w14:paraId="4E679A45" w14:textId="77777777" w:rsidTr="00747A3E">
        <w:tc>
          <w:tcPr>
            <w:tcW w:w="5353" w:type="dxa"/>
            <w:shd w:val="clear" w:color="auto" w:fill="auto"/>
            <w:vAlign w:val="center"/>
          </w:tcPr>
          <w:p w14:paraId="2250B875" w14:textId="77777777" w:rsidR="00510825" w:rsidRPr="00CF77C1" w:rsidRDefault="00510825" w:rsidP="0080044B">
            <w:pPr>
              <w:spacing w:before="20" w:after="20"/>
              <w:jc w:val="left"/>
              <w:rPr>
                <w:lang w:val="sr-Cyrl-RS"/>
              </w:rPr>
            </w:pPr>
            <w:r w:rsidRPr="00CF77C1">
              <w:rPr>
                <w:lang w:val="sr-Cyrl-RS"/>
              </w:rPr>
              <w:t>Реализација градње</w:t>
            </w:r>
          </w:p>
        </w:tc>
        <w:tc>
          <w:tcPr>
            <w:tcW w:w="2268" w:type="dxa"/>
            <w:vMerge/>
            <w:shd w:val="clear" w:color="auto" w:fill="auto"/>
          </w:tcPr>
          <w:p w14:paraId="0DC1145C" w14:textId="77777777" w:rsidR="00510825" w:rsidRPr="00CF77C1" w:rsidRDefault="00510825" w:rsidP="0080044B">
            <w:pPr>
              <w:spacing w:before="20" w:after="20"/>
              <w:rPr>
                <w:lang w:val="sr-Cyrl-RS"/>
              </w:rPr>
            </w:pPr>
          </w:p>
        </w:tc>
        <w:tc>
          <w:tcPr>
            <w:tcW w:w="1032" w:type="dxa"/>
            <w:shd w:val="clear" w:color="auto" w:fill="auto"/>
            <w:vAlign w:val="center"/>
          </w:tcPr>
          <w:p w14:paraId="4336B535"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24D29D67" w14:textId="77777777" w:rsidR="00510825" w:rsidRPr="00CF77C1" w:rsidRDefault="00510825" w:rsidP="0080044B">
            <w:pPr>
              <w:spacing w:before="20" w:after="20"/>
              <w:jc w:val="center"/>
              <w:rPr>
                <w:lang w:val="sr-Cyrl-RS"/>
              </w:rPr>
            </w:pPr>
            <w:r w:rsidRPr="00CF77C1">
              <w:rPr>
                <w:lang w:val="sr-Cyrl-RS"/>
              </w:rPr>
              <w:t>1-2</w:t>
            </w:r>
          </w:p>
        </w:tc>
        <w:tc>
          <w:tcPr>
            <w:tcW w:w="1033" w:type="dxa"/>
            <w:shd w:val="clear" w:color="auto" w:fill="auto"/>
            <w:vAlign w:val="center"/>
          </w:tcPr>
          <w:p w14:paraId="3EED4884" w14:textId="77777777" w:rsidR="00510825" w:rsidRPr="00CF77C1" w:rsidRDefault="00510825" w:rsidP="0080044B">
            <w:pPr>
              <w:spacing w:before="20" w:after="20"/>
              <w:jc w:val="center"/>
              <w:rPr>
                <w:lang w:val="sr-Cyrl-RS"/>
              </w:rPr>
            </w:pPr>
            <w:r w:rsidRPr="00CF77C1">
              <w:rPr>
                <w:lang w:val="sr-Cyrl-RS"/>
              </w:rPr>
              <w:t>2-6</w:t>
            </w:r>
          </w:p>
        </w:tc>
        <w:tc>
          <w:tcPr>
            <w:tcW w:w="1032" w:type="dxa"/>
            <w:shd w:val="clear" w:color="auto" w:fill="auto"/>
            <w:vAlign w:val="center"/>
          </w:tcPr>
          <w:p w14:paraId="3003D076" w14:textId="77777777" w:rsidR="00510825" w:rsidRPr="00CF77C1" w:rsidRDefault="00510825" w:rsidP="0080044B">
            <w:pPr>
              <w:spacing w:before="20" w:after="20"/>
              <w:jc w:val="center"/>
              <w:rPr>
                <w:lang w:val="sr-Cyrl-RS"/>
              </w:rPr>
            </w:pPr>
            <w:r w:rsidRPr="00CF77C1">
              <w:rPr>
                <w:lang w:val="sr-Cyrl-RS"/>
              </w:rPr>
              <w:t>4-6</w:t>
            </w:r>
          </w:p>
        </w:tc>
        <w:tc>
          <w:tcPr>
            <w:tcW w:w="1033" w:type="dxa"/>
            <w:shd w:val="clear" w:color="auto" w:fill="auto"/>
            <w:vAlign w:val="center"/>
          </w:tcPr>
          <w:p w14:paraId="1D6116E9" w14:textId="77777777" w:rsidR="00510825" w:rsidRPr="00CF77C1" w:rsidRDefault="00510825" w:rsidP="0080044B">
            <w:pPr>
              <w:spacing w:before="20" w:after="20"/>
              <w:jc w:val="center"/>
              <w:rPr>
                <w:lang w:val="sr-Cyrl-RS"/>
              </w:rPr>
            </w:pPr>
            <w:r w:rsidRPr="00CF77C1">
              <w:rPr>
                <w:lang w:val="sr-Cyrl-RS"/>
              </w:rPr>
              <w:t>5-6</w:t>
            </w:r>
          </w:p>
        </w:tc>
        <w:tc>
          <w:tcPr>
            <w:tcW w:w="1033" w:type="dxa"/>
            <w:shd w:val="clear" w:color="auto" w:fill="auto"/>
            <w:vAlign w:val="center"/>
          </w:tcPr>
          <w:p w14:paraId="30B8AC88" w14:textId="77777777" w:rsidR="00510825" w:rsidRPr="00CF77C1" w:rsidRDefault="00510825" w:rsidP="0080044B">
            <w:pPr>
              <w:spacing w:before="20" w:after="20"/>
              <w:jc w:val="center"/>
              <w:rPr>
                <w:lang w:val="sr-Cyrl-RS"/>
              </w:rPr>
            </w:pPr>
          </w:p>
        </w:tc>
        <w:tc>
          <w:tcPr>
            <w:tcW w:w="1033" w:type="dxa"/>
            <w:shd w:val="clear" w:color="auto" w:fill="auto"/>
            <w:vAlign w:val="center"/>
          </w:tcPr>
          <w:p w14:paraId="37BFA69D" w14:textId="77777777" w:rsidR="00510825" w:rsidRPr="00CF77C1" w:rsidRDefault="00510825" w:rsidP="0080044B">
            <w:pPr>
              <w:spacing w:before="20" w:after="20"/>
              <w:jc w:val="center"/>
              <w:rPr>
                <w:lang w:val="sr-Cyrl-RS"/>
              </w:rPr>
            </w:pPr>
          </w:p>
        </w:tc>
      </w:tr>
    </w:tbl>
    <w:p w14:paraId="77961C9C" w14:textId="77777777" w:rsidR="00096A0D" w:rsidRPr="00CF77C1" w:rsidRDefault="00096A0D" w:rsidP="0080044B">
      <w:pPr>
        <w:rPr>
          <w:lang w:val="sr-Cyrl-RS"/>
        </w:rPr>
        <w:sectPr w:rsidR="00096A0D" w:rsidRPr="00CF77C1" w:rsidSect="00017454">
          <w:headerReference w:type="default" r:id="rId25"/>
          <w:footerReference w:type="even" r:id="rId26"/>
          <w:footerReference w:type="default" r:id="rId27"/>
          <w:pgSz w:w="16839" w:h="11907" w:orient="landscape" w:code="9"/>
          <w:pgMar w:top="1418" w:right="1134" w:bottom="1134" w:left="1134" w:header="1004" w:footer="720" w:gutter="0"/>
          <w:cols w:space="720"/>
          <w:docGrid w:linePitch="360"/>
        </w:sectPr>
      </w:pPr>
    </w:p>
    <w:p w14:paraId="54D47AD1" w14:textId="43078A29" w:rsidR="00F676E7" w:rsidRPr="00CF77C1" w:rsidRDefault="00141BA0" w:rsidP="00141BA0">
      <w:pPr>
        <w:pStyle w:val="Heading4"/>
        <w:numPr>
          <w:ilvl w:val="0"/>
          <w:numId w:val="0"/>
        </w:numPr>
        <w:ind w:left="998" w:hanging="278"/>
        <w:rPr>
          <w:b w:val="0"/>
          <w:lang w:val="sr-Cyrl-RS"/>
        </w:rPr>
      </w:pPr>
      <w:bookmarkStart w:id="38" w:name="_Toc484260285"/>
      <w:r w:rsidRPr="00CF77C1">
        <w:rPr>
          <w:b w:val="0"/>
          <w:lang w:val="sr-Cyrl-RS"/>
        </w:rPr>
        <w:t xml:space="preserve">3.1.2.3. </w:t>
      </w:r>
      <w:r w:rsidR="00F676E7" w:rsidRPr="00CF77C1">
        <w:rPr>
          <w:b w:val="0"/>
          <w:lang w:val="sr-Cyrl-RS"/>
        </w:rPr>
        <w:t>Пројекти у области дистрибуције електричне енергије</w:t>
      </w:r>
      <w:bookmarkEnd w:id="38"/>
      <w:r w:rsidRPr="00CF77C1">
        <w:rPr>
          <w:b w:val="0"/>
          <w:lang w:val="sr-Cyrl-RS"/>
        </w:rPr>
        <w:t xml:space="preserve"> </w:t>
      </w:r>
    </w:p>
    <w:p w14:paraId="76787E5C" w14:textId="77777777" w:rsidR="003D1DC8" w:rsidRPr="00CF77C1" w:rsidRDefault="003D1DC8" w:rsidP="00242883">
      <w:pPr>
        <w:ind w:firstLine="720"/>
        <w:rPr>
          <w:lang w:val="sr-Cyrl-RS"/>
        </w:rPr>
      </w:pPr>
      <w:r w:rsidRPr="00CF77C1">
        <w:rPr>
          <w:lang w:val="sr-Cyrl-RS"/>
        </w:rPr>
        <w:t xml:space="preserve">Основна функција пројеката у области </w:t>
      </w:r>
      <w:r w:rsidR="00A273F0" w:rsidRPr="00CF77C1">
        <w:rPr>
          <w:lang w:val="sr-Cyrl-RS"/>
        </w:rPr>
        <w:t>дистрибуције електричне енергије је повећање нивоа поузданости напајања купаца електричне енергије, смањење губитака електричне енергије и оптимално коришћење капацитета дистрибутивне мреже. Дакле, ови пројекти обезбеђују реализацију следећих стратешких циљева у области електроенергетике:</w:t>
      </w:r>
    </w:p>
    <w:p w14:paraId="079498D8" w14:textId="49D78196" w:rsidR="00A273F0" w:rsidRPr="00CF77C1" w:rsidRDefault="00141BA0" w:rsidP="00242883">
      <w:pPr>
        <w:ind w:firstLine="720"/>
        <w:rPr>
          <w:lang w:val="sr-Cyrl-RS"/>
        </w:rPr>
      </w:pPr>
      <w:r w:rsidRPr="00CF77C1">
        <w:rPr>
          <w:lang w:val="sr-Cyrl-RS"/>
        </w:rPr>
        <w:t>Ц.Е.1. Обезбеђивање сигурног снабдевања електричном енергијом домаћег тржишта</w:t>
      </w:r>
    </w:p>
    <w:p w14:paraId="6AB84F0A" w14:textId="22502B49" w:rsidR="00A273F0" w:rsidRPr="00CF77C1" w:rsidRDefault="000642D2" w:rsidP="00242883">
      <w:pPr>
        <w:ind w:firstLine="720"/>
        <w:rPr>
          <w:lang w:val="sr-Cyrl-RS"/>
        </w:rPr>
      </w:pPr>
      <w:r w:rsidRPr="00CF77C1">
        <w:rPr>
          <w:lang w:val="sr-Cyrl-RS"/>
        </w:rPr>
        <w:fldChar w:fldCharType="begin"/>
      </w:r>
      <w:r w:rsidRPr="00CF77C1">
        <w:rPr>
          <w:lang w:val="sr-Cyrl-RS"/>
        </w:rPr>
        <w:instrText xml:space="preserve"> REF EE_Cilj_4 \h  \* MERGEFORMAT </w:instrText>
      </w:r>
      <w:r w:rsidRPr="00CF77C1">
        <w:rPr>
          <w:lang w:val="sr-Cyrl-RS"/>
        </w:rPr>
      </w:r>
      <w:r w:rsidRPr="00CF77C1">
        <w:rPr>
          <w:lang w:val="sr-Cyrl-RS"/>
        </w:rPr>
        <w:fldChar w:fldCharType="separate"/>
      </w:r>
      <w:r w:rsidR="002D5918" w:rsidRPr="00CF77C1">
        <w:rPr>
          <w:lang w:val="sr-Cyrl-RS"/>
        </w:rPr>
        <w:t>Ц.Е.4. Смањење губитака у дистрибутивним мрежама</w:t>
      </w:r>
      <w:r w:rsidRPr="00CF77C1">
        <w:rPr>
          <w:lang w:val="sr-Cyrl-RS"/>
        </w:rPr>
        <w:fldChar w:fldCharType="end"/>
      </w:r>
    </w:p>
    <w:p w14:paraId="3BBD11CB" w14:textId="77777777" w:rsidR="00A273F0" w:rsidRPr="00CF77C1" w:rsidRDefault="00A273F0" w:rsidP="00242883">
      <w:pPr>
        <w:ind w:firstLine="720"/>
        <w:rPr>
          <w:lang w:val="sr-Cyrl-RS"/>
        </w:rPr>
      </w:pPr>
      <w:r w:rsidRPr="00CF77C1">
        <w:rPr>
          <w:lang w:val="sr-Cyrl-RS"/>
        </w:rPr>
        <w:t>Пројекти се могу поделити у две групе: пројект</w:t>
      </w:r>
      <w:r w:rsidR="00EC7E28" w:rsidRPr="00CF77C1">
        <w:rPr>
          <w:lang w:val="sr-Cyrl-RS"/>
        </w:rPr>
        <w:t>и</w:t>
      </w:r>
      <w:r w:rsidRPr="00CF77C1">
        <w:rPr>
          <w:lang w:val="sr-Cyrl-RS"/>
        </w:rPr>
        <w:t xml:space="preserve"> увођења савремених технологија које омогућују унапређење функционисања и смањење губитака у д</w:t>
      </w:r>
      <w:r w:rsidR="00EC7E28" w:rsidRPr="00CF77C1">
        <w:rPr>
          <w:lang w:val="sr-Cyrl-RS"/>
        </w:rPr>
        <w:t>истрибутивном систему и пројекти</w:t>
      </w:r>
      <w:r w:rsidRPr="00CF77C1">
        <w:rPr>
          <w:lang w:val="sr-Cyrl-RS"/>
        </w:rPr>
        <w:t xml:space="preserve"> реконструкције и појачања дистрибутивне мреже с циљем да се унапреди поузданост напајања купаца и да се смање губици у дистрибутивној електричној мрежи.</w:t>
      </w:r>
    </w:p>
    <w:p w14:paraId="5F606672" w14:textId="29BF9A9B" w:rsidR="00A273F0" w:rsidRPr="00CF77C1" w:rsidRDefault="00A273F0" w:rsidP="000B1527">
      <w:pPr>
        <w:ind w:firstLine="539"/>
        <w:rPr>
          <w:lang w:val="sr-Cyrl-RS"/>
        </w:rPr>
      </w:pPr>
      <w:r w:rsidRPr="00CF77C1">
        <w:rPr>
          <w:lang w:val="sr-Cyrl-RS"/>
        </w:rPr>
        <w:t>У првој гр</w:t>
      </w:r>
      <w:r w:rsidR="00A731B0" w:rsidRPr="00CF77C1">
        <w:rPr>
          <w:lang w:val="sr-Cyrl-RS"/>
        </w:rPr>
        <w:t>упи пројеката налазе се пројекти</w:t>
      </w:r>
      <w:r w:rsidRPr="00CF77C1">
        <w:rPr>
          <w:lang w:val="sr-Cyrl-RS"/>
        </w:rPr>
        <w:t xml:space="preserve"> „Унапређење мерне инфраструктуре</w:t>
      </w:r>
      <w:r w:rsidR="00AD5740" w:rsidRPr="00CF77C1">
        <w:rPr>
          <w:lang w:val="sr-Cyrl-RS"/>
        </w:rPr>
        <w:t>”</w:t>
      </w:r>
      <w:r w:rsidRPr="00CF77C1">
        <w:rPr>
          <w:lang w:val="sr-Cyrl-RS"/>
        </w:rPr>
        <w:t xml:space="preserve"> и </w:t>
      </w:r>
      <w:r w:rsidR="006A64DC" w:rsidRPr="00CF77C1">
        <w:rPr>
          <w:lang w:val="sr-Cyrl-RS"/>
        </w:rPr>
        <w:t>„Аутоматизаци</w:t>
      </w:r>
      <w:r w:rsidR="00A731B0" w:rsidRPr="00CF77C1">
        <w:rPr>
          <w:lang w:val="sr-Cyrl-RS"/>
        </w:rPr>
        <w:t>ја дистрибутивне мреже</w:t>
      </w:r>
      <w:r w:rsidR="00AD5740" w:rsidRPr="00CF77C1">
        <w:rPr>
          <w:lang w:val="sr-Cyrl-RS"/>
        </w:rPr>
        <w:t>”</w:t>
      </w:r>
      <w:r w:rsidR="00A731B0" w:rsidRPr="00CF77C1">
        <w:rPr>
          <w:lang w:val="sr-Cyrl-RS"/>
        </w:rPr>
        <w:t>. Другу групу пројеката чине „Пројекат реконструкције ТС 110/X kV на крају експлоатационог века</w:t>
      </w:r>
      <w:r w:rsidR="00AD5740" w:rsidRPr="00CF77C1">
        <w:rPr>
          <w:lang w:val="sr-Cyrl-RS"/>
        </w:rPr>
        <w:t>”</w:t>
      </w:r>
      <w:r w:rsidR="00A731B0" w:rsidRPr="00CF77C1">
        <w:rPr>
          <w:lang w:val="sr-Cyrl-RS"/>
        </w:rPr>
        <w:t xml:space="preserve"> и „Пројекат изградње нових ТС 110/X kV</w:t>
      </w:r>
      <w:r w:rsidR="00AD5740" w:rsidRPr="00CF77C1">
        <w:rPr>
          <w:lang w:val="sr-Cyrl-RS"/>
        </w:rPr>
        <w:t>”</w:t>
      </w:r>
      <w:r w:rsidR="00A731B0" w:rsidRPr="00CF77C1">
        <w:rPr>
          <w:lang w:val="sr-Cyrl-RS"/>
        </w:rPr>
        <w:t>.</w:t>
      </w:r>
    </w:p>
    <w:p w14:paraId="10470B1E" w14:textId="77777777" w:rsidR="00A731B0" w:rsidRPr="00CF77C1" w:rsidRDefault="00A731B0" w:rsidP="00242883">
      <w:pPr>
        <w:ind w:firstLine="539"/>
        <w:rPr>
          <w:lang w:val="sr-Cyrl-RS"/>
        </w:rPr>
      </w:pPr>
      <w:r w:rsidRPr="00CF77C1">
        <w:rPr>
          <w:lang w:val="sr-Cyrl-RS"/>
        </w:rPr>
        <w:t>Укупна инвестициона вредност наведена четири пројекта износи око 277 милиона €.</w:t>
      </w:r>
    </w:p>
    <w:p w14:paraId="1082405D" w14:textId="0CDD15AE" w:rsidR="004F7A55" w:rsidRPr="00CF77C1" w:rsidRDefault="004F7A55" w:rsidP="00242883">
      <w:pPr>
        <w:pStyle w:val="ListParagraph"/>
        <w:keepNext/>
        <w:numPr>
          <w:ilvl w:val="0"/>
          <w:numId w:val="14"/>
        </w:numPr>
        <w:ind w:left="539" w:firstLine="181"/>
        <w:rPr>
          <w:lang w:val="sr-Cyrl-RS"/>
        </w:rPr>
      </w:pPr>
      <w:bookmarkStart w:id="39" w:name="_Ref476806001"/>
      <w:r w:rsidRPr="00CF77C1">
        <w:rPr>
          <w:lang w:val="sr-Cyrl-RS"/>
        </w:rPr>
        <w:t>Пројекат „</w:t>
      </w:r>
      <w:r w:rsidR="00590F84" w:rsidRPr="00CF77C1">
        <w:rPr>
          <w:lang w:val="sr-Cyrl-RS"/>
        </w:rPr>
        <w:t>Унапређење мерне инфраструктуре</w:t>
      </w:r>
      <w:r w:rsidR="00AD5740" w:rsidRPr="00CF77C1">
        <w:rPr>
          <w:lang w:val="sr-Cyrl-RS"/>
        </w:rPr>
        <w:t>”</w:t>
      </w:r>
      <w:bookmarkEnd w:id="39"/>
    </w:p>
    <w:p w14:paraId="6FEBE7AE" w14:textId="748362D3" w:rsidR="004F7A55" w:rsidRPr="00CF77C1" w:rsidRDefault="00590F84" w:rsidP="00242883">
      <w:pPr>
        <w:ind w:firstLine="720"/>
        <w:rPr>
          <w:lang w:val="sr-Cyrl-RS"/>
        </w:rPr>
      </w:pPr>
      <w:r w:rsidRPr="00CF77C1">
        <w:rPr>
          <w:lang w:val="sr-Cyrl-RS"/>
        </w:rPr>
        <w:t>Циљ пројек</w:t>
      </w:r>
      <w:r w:rsidR="004F7A55" w:rsidRPr="00CF77C1">
        <w:rPr>
          <w:lang w:val="sr-Cyrl-RS"/>
        </w:rPr>
        <w:t>т</w:t>
      </w:r>
      <w:r w:rsidRPr="00CF77C1">
        <w:rPr>
          <w:lang w:val="sr-Cyrl-RS"/>
        </w:rPr>
        <w:t>а</w:t>
      </w:r>
      <w:r w:rsidR="004F7A55" w:rsidRPr="00CF77C1">
        <w:rPr>
          <w:lang w:val="sr-Cyrl-RS"/>
        </w:rPr>
        <w:t xml:space="preserve"> „</w:t>
      </w:r>
      <w:r w:rsidRPr="00CF77C1">
        <w:rPr>
          <w:lang w:val="sr-Cyrl-RS"/>
        </w:rPr>
        <w:t>Унапређење мерне инфраструктуре</w:t>
      </w:r>
      <w:r w:rsidR="00AD5740" w:rsidRPr="00CF77C1">
        <w:rPr>
          <w:lang w:val="sr-Cyrl-RS"/>
        </w:rPr>
        <w:t>”</w:t>
      </w:r>
      <w:r w:rsidR="004F7A55" w:rsidRPr="00CF77C1">
        <w:rPr>
          <w:lang w:val="sr-Cyrl-RS"/>
        </w:rPr>
        <w:t xml:space="preserve"> </w:t>
      </w:r>
      <w:r w:rsidRPr="00CF77C1">
        <w:rPr>
          <w:lang w:val="sr-Cyrl-RS"/>
        </w:rPr>
        <w:t>је замена дотрајале мерне инфраструктуре и имплементација савремених система за даљинско очитавање и управљање потрошњом</w:t>
      </w:r>
      <w:r w:rsidR="00EC7E28" w:rsidRPr="00CF77C1">
        <w:rPr>
          <w:lang w:val="sr-Cyrl-RS"/>
        </w:rPr>
        <w:t>, као</w:t>
      </w:r>
      <w:r w:rsidRPr="00CF77C1">
        <w:rPr>
          <w:lang w:val="sr-Cyrl-RS"/>
        </w:rPr>
        <w:t xml:space="preserve"> и информационих система који </w:t>
      </w:r>
      <w:r w:rsidR="000B1527">
        <w:rPr>
          <w:lang w:val="sr-Cyrl-RS"/>
        </w:rPr>
        <w:t>омогућавају</w:t>
      </w:r>
      <w:r w:rsidRPr="00CF77C1">
        <w:rPr>
          <w:lang w:val="sr-Cyrl-RS"/>
        </w:rPr>
        <w:t xml:space="preserve"> коришћење </w:t>
      </w:r>
      <w:r w:rsidR="00EC7E28" w:rsidRPr="00CF77C1">
        <w:rPr>
          <w:lang w:val="sr-Cyrl-RS"/>
        </w:rPr>
        <w:t>овако прикупљених података</w:t>
      </w:r>
      <w:r w:rsidRPr="00CF77C1">
        <w:rPr>
          <w:lang w:val="sr-Cyrl-RS"/>
        </w:rPr>
        <w:t>. Пројекат се реализује фазно, кроз замену бројила и имплементацију система на подручјима на којима је извршена претходна припрема и снимање постојећег стања. Тренутно је припремљена и расположива докум</w:t>
      </w:r>
      <w:r w:rsidR="00FA74C2" w:rsidRPr="00CF77C1">
        <w:rPr>
          <w:lang w:val="sr-Cyrl-RS"/>
        </w:rPr>
        <w:t>ентација за замену индиректних,</w:t>
      </w:r>
      <w:r w:rsidRPr="00CF77C1">
        <w:rPr>
          <w:lang w:val="sr-Cyrl-RS"/>
        </w:rPr>
        <w:t xml:space="preserve"> полуиндиректних </w:t>
      </w:r>
      <w:r w:rsidR="00FA74C2" w:rsidRPr="00CF77C1">
        <w:rPr>
          <w:lang w:val="sr-Cyrl-RS"/>
        </w:rPr>
        <w:t xml:space="preserve">и директних </w:t>
      </w:r>
      <w:r w:rsidRPr="00CF77C1">
        <w:rPr>
          <w:lang w:val="sr-Cyrl-RS"/>
        </w:rPr>
        <w:t xml:space="preserve">мерних група на подручју комплетног ОДС-а </w:t>
      </w:r>
      <w:r w:rsidR="00FA74C2" w:rsidRPr="00CF77C1">
        <w:rPr>
          <w:lang w:val="sr-Cyrl-RS"/>
        </w:rPr>
        <w:t xml:space="preserve">(130 индиректних мерних група класе 02, 4.087 индиректних мерних група класе 05, 29.830 полуиндиректних мерних група и 24.295 директних мерних група) </w:t>
      </w:r>
      <w:r w:rsidRPr="00CF77C1">
        <w:rPr>
          <w:lang w:val="sr-Cyrl-RS"/>
        </w:rPr>
        <w:t>и замену бројила за укупно око 50</w:t>
      </w:r>
      <w:r w:rsidR="00510825" w:rsidRPr="00CF77C1">
        <w:rPr>
          <w:lang w:val="sr-Cyrl-RS"/>
        </w:rPr>
        <w:t>.</w:t>
      </w:r>
      <w:r w:rsidRPr="00CF77C1">
        <w:rPr>
          <w:lang w:val="sr-Cyrl-RS"/>
        </w:rPr>
        <w:t>000 домаћинстава</w:t>
      </w:r>
      <w:r w:rsidR="00510825" w:rsidRPr="00CF77C1">
        <w:rPr>
          <w:lang w:val="sr-Cyrl-RS"/>
        </w:rPr>
        <w:t xml:space="preserve"> и 25</w:t>
      </w:r>
      <w:r w:rsidR="00444D17" w:rsidRPr="00CF77C1">
        <w:rPr>
          <w:lang w:val="sr-Cyrl-RS"/>
        </w:rPr>
        <w:t>.</w:t>
      </w:r>
      <w:r w:rsidR="00510825" w:rsidRPr="00CF77C1">
        <w:rPr>
          <w:lang w:val="sr-Cyrl-RS"/>
        </w:rPr>
        <w:t>343 индиректне мерне групе које ће се уградити на ТС X/0,4 kV</w:t>
      </w:r>
      <w:r w:rsidR="00FA74C2" w:rsidRPr="00CF77C1">
        <w:rPr>
          <w:lang w:val="sr-Cyrl-RS"/>
        </w:rPr>
        <w:t>.</w:t>
      </w:r>
      <w:r w:rsidRPr="00CF77C1">
        <w:rPr>
          <w:lang w:val="sr-Cyrl-RS"/>
        </w:rPr>
        <w:t xml:space="preserve"> Такође, припремљена је документација за имплементацију информационог сис</w:t>
      </w:r>
      <w:r w:rsidR="00510825" w:rsidRPr="00CF77C1">
        <w:rPr>
          <w:lang w:val="sr-Cyrl-RS"/>
        </w:rPr>
        <w:t>тема који ће омогућити даљинско</w:t>
      </w:r>
      <w:r w:rsidRPr="00CF77C1">
        <w:rPr>
          <w:lang w:val="sr-Cyrl-RS"/>
        </w:rPr>
        <w:t xml:space="preserve"> очитавање, управљање потрошњом и коришћење података добијених на овај начин.</w:t>
      </w:r>
    </w:p>
    <w:p w14:paraId="4823EB62" w14:textId="5D17A615" w:rsidR="0075721A" w:rsidRPr="00CF77C1" w:rsidRDefault="0075721A" w:rsidP="00242883">
      <w:pPr>
        <w:ind w:firstLine="720"/>
        <w:rPr>
          <w:lang w:val="sr-Cyrl-RS"/>
        </w:rPr>
      </w:pPr>
      <w:r w:rsidRPr="00CF77C1">
        <w:rPr>
          <w:lang w:val="sr-Cyrl-RS"/>
        </w:rPr>
        <w:t xml:space="preserve">У </w:t>
      </w:r>
      <w:r w:rsidR="000642D2" w:rsidRPr="00CF77C1">
        <w:rPr>
          <w:lang w:val="sr-Cyrl-RS"/>
        </w:rPr>
        <w:fldChar w:fldCharType="begin"/>
      </w:r>
      <w:r w:rsidR="000642D2" w:rsidRPr="00CF77C1">
        <w:rPr>
          <w:lang w:val="sr-Cyrl-RS"/>
        </w:rPr>
        <w:instrText xml:space="preserve"> REF _Ref469046671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19</w:t>
      </w:r>
      <w:r w:rsidR="000642D2" w:rsidRPr="00CF77C1">
        <w:rPr>
          <w:lang w:val="sr-Cyrl-RS"/>
        </w:rPr>
        <w:fldChar w:fldCharType="end"/>
      </w:r>
      <w:r w:rsidRPr="00CF77C1">
        <w:rPr>
          <w:lang w:val="sr-Cyrl-RS"/>
        </w:rPr>
        <w:t xml:space="preserve"> дат је индикативни план реализације пројекта. Коначан план реализације пројекта биће дефинисан на почетку његове реализације и биће формиран на основу процене о могућности испоруке опреме и расположиве техничке документације за њену инсталацију.</w:t>
      </w:r>
    </w:p>
    <w:p w14:paraId="2509DB1B" w14:textId="60DB1F10" w:rsidR="003F11C3" w:rsidRPr="00CF77C1" w:rsidRDefault="003F11C3" w:rsidP="00242883">
      <w:pPr>
        <w:ind w:firstLine="720"/>
        <w:rPr>
          <w:lang w:val="sr-Cyrl-RS"/>
        </w:rPr>
      </w:pPr>
      <w:r w:rsidRPr="00CF77C1">
        <w:rPr>
          <w:lang w:val="sr-Cyrl-RS"/>
        </w:rPr>
        <w:t>Са аспекта енергетске ефикасности процењени ефекат пројекта је смањење губитака од 96 GWh годишње</w:t>
      </w:r>
      <w:r w:rsidR="00F10D3F" w:rsidRPr="00CF77C1">
        <w:rPr>
          <w:lang w:val="sr-Cyrl-RS"/>
        </w:rPr>
        <w:t>,</w:t>
      </w:r>
      <w:r w:rsidRPr="00CF77C1">
        <w:rPr>
          <w:lang w:val="sr-Cyrl-RS"/>
        </w:rPr>
        <w:t xml:space="preserve"> што чини око 0,09% финалне потрошње енергије (за енергетске и неенергетске сврхе) у 2015. години.</w:t>
      </w:r>
    </w:p>
    <w:p w14:paraId="06275FBF" w14:textId="77777777" w:rsidR="004F7A55" w:rsidRPr="00CF77C1" w:rsidRDefault="004F7A55" w:rsidP="0080044B">
      <w:pPr>
        <w:rPr>
          <w:lang w:val="sr-Cyrl-RS"/>
        </w:rPr>
      </w:pPr>
    </w:p>
    <w:p w14:paraId="2F90DA0F" w14:textId="77777777" w:rsidR="004F7A55" w:rsidRPr="00CF77C1" w:rsidRDefault="004F7A55" w:rsidP="0080044B">
      <w:pPr>
        <w:rPr>
          <w:lang w:val="sr-Cyrl-RS"/>
        </w:rPr>
        <w:sectPr w:rsidR="004F7A55" w:rsidRPr="00CF77C1" w:rsidSect="00846443">
          <w:headerReference w:type="default" r:id="rId28"/>
          <w:footerReference w:type="default" r:id="rId29"/>
          <w:pgSz w:w="11907" w:h="16839" w:code="9"/>
          <w:pgMar w:top="1134" w:right="1134" w:bottom="1134" w:left="1418" w:header="720" w:footer="720" w:gutter="0"/>
          <w:cols w:space="720"/>
          <w:docGrid w:linePitch="360"/>
        </w:sectPr>
      </w:pPr>
    </w:p>
    <w:p w14:paraId="630A49B7" w14:textId="6A1017D3" w:rsidR="004F7A55" w:rsidRPr="00CF77C1" w:rsidRDefault="00D61BC9" w:rsidP="00242883">
      <w:pPr>
        <w:pStyle w:val="Caption"/>
        <w:ind w:firstLine="720"/>
        <w:rPr>
          <w:b w:val="0"/>
          <w:lang w:val="sr-Cyrl-RS"/>
        </w:rPr>
      </w:pPr>
      <w:r w:rsidRPr="00CF77C1">
        <w:rPr>
          <w:b w:val="0"/>
          <w:lang w:val="sr-Cyrl-RS"/>
        </w:rPr>
        <w:t>таб.</w:t>
      </w:r>
      <w:r w:rsidR="004F7A5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18</w:t>
      </w:r>
      <w:r w:rsidR="0092145E" w:rsidRPr="00CF77C1">
        <w:rPr>
          <w:b w:val="0"/>
          <w:lang w:val="sr-Cyrl-RS"/>
        </w:rPr>
        <w:fldChar w:fldCharType="end"/>
      </w:r>
      <w:r w:rsidR="004F7A55"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701"/>
        <w:gridCol w:w="9214"/>
        <w:gridCol w:w="1779"/>
      </w:tblGrid>
      <w:tr w:rsidR="00590F84" w:rsidRPr="00CF77C1" w14:paraId="2316837B" w14:textId="77777777" w:rsidTr="00FA74C2">
        <w:tc>
          <w:tcPr>
            <w:tcW w:w="2093" w:type="dxa"/>
            <w:shd w:val="clear" w:color="auto" w:fill="auto"/>
            <w:vAlign w:val="center"/>
          </w:tcPr>
          <w:p w14:paraId="1CBACA46" w14:textId="77777777" w:rsidR="004F7A55" w:rsidRPr="00CF77C1" w:rsidRDefault="004F7A55" w:rsidP="0080044B">
            <w:pPr>
              <w:jc w:val="center"/>
              <w:rPr>
                <w:lang w:val="sr-Cyrl-RS"/>
              </w:rPr>
            </w:pPr>
            <w:r w:rsidRPr="00CF77C1">
              <w:rPr>
                <w:lang w:val="sr-Cyrl-RS"/>
              </w:rPr>
              <w:t>Техничке карактеристике</w:t>
            </w:r>
          </w:p>
        </w:tc>
        <w:tc>
          <w:tcPr>
            <w:tcW w:w="1701" w:type="dxa"/>
            <w:shd w:val="clear" w:color="auto" w:fill="auto"/>
            <w:vAlign w:val="center"/>
          </w:tcPr>
          <w:p w14:paraId="44EE9C46" w14:textId="77777777" w:rsidR="004F7A55" w:rsidRPr="00CF77C1" w:rsidRDefault="004F7A55" w:rsidP="0080044B">
            <w:pPr>
              <w:jc w:val="center"/>
              <w:rPr>
                <w:lang w:val="sr-Cyrl-RS"/>
              </w:rPr>
            </w:pPr>
            <w:r w:rsidRPr="00CF77C1">
              <w:rPr>
                <w:lang w:val="sr-Cyrl-RS"/>
              </w:rPr>
              <w:t>Вредност пројекта и извор средстава</w:t>
            </w:r>
          </w:p>
        </w:tc>
        <w:tc>
          <w:tcPr>
            <w:tcW w:w="9214" w:type="dxa"/>
            <w:shd w:val="clear" w:color="auto" w:fill="auto"/>
            <w:vAlign w:val="center"/>
          </w:tcPr>
          <w:p w14:paraId="10EDEFCA" w14:textId="77777777" w:rsidR="004F7A55" w:rsidRPr="00CF77C1" w:rsidRDefault="004F7A55" w:rsidP="0080044B">
            <w:pPr>
              <w:jc w:val="center"/>
              <w:rPr>
                <w:lang w:val="sr-Cyrl-RS"/>
              </w:rPr>
            </w:pPr>
            <w:r w:rsidRPr="00CF77C1">
              <w:rPr>
                <w:lang w:val="sr-Cyrl-RS"/>
              </w:rPr>
              <w:t>Опис ефеката реализације</w:t>
            </w:r>
          </w:p>
        </w:tc>
        <w:tc>
          <w:tcPr>
            <w:tcW w:w="1779" w:type="dxa"/>
            <w:shd w:val="clear" w:color="auto" w:fill="auto"/>
            <w:vAlign w:val="center"/>
          </w:tcPr>
          <w:p w14:paraId="1314E15E" w14:textId="77777777" w:rsidR="004F7A55" w:rsidRPr="00CF77C1" w:rsidRDefault="004F7A55" w:rsidP="0080044B">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590F84" w:rsidRPr="00CF77C1" w14:paraId="3C706A48" w14:textId="77777777" w:rsidTr="00FA74C2">
        <w:tc>
          <w:tcPr>
            <w:tcW w:w="2093" w:type="dxa"/>
            <w:shd w:val="clear" w:color="auto" w:fill="auto"/>
            <w:vAlign w:val="center"/>
          </w:tcPr>
          <w:p w14:paraId="31BEBF3B" w14:textId="77777777" w:rsidR="004F7A55" w:rsidRPr="00CF77C1" w:rsidRDefault="00017454" w:rsidP="0080044B">
            <w:pPr>
              <w:jc w:val="left"/>
              <w:rPr>
                <w:lang w:val="sr-Cyrl-RS"/>
              </w:rPr>
            </w:pPr>
            <w:r w:rsidRPr="00CF77C1">
              <w:rPr>
                <w:lang w:val="sr-Cyrl-RS"/>
              </w:rPr>
              <w:t xml:space="preserve">Замена </w:t>
            </w:r>
            <w:r w:rsidR="00FA74C2" w:rsidRPr="00CF77C1">
              <w:rPr>
                <w:lang w:val="sr-Cyrl-RS"/>
              </w:rPr>
              <w:t>83</w:t>
            </w:r>
            <w:r w:rsidR="00EC7E28" w:rsidRPr="00CF77C1">
              <w:rPr>
                <w:lang w:val="sr-Cyrl-RS"/>
              </w:rPr>
              <w:t>.</w:t>
            </w:r>
            <w:r w:rsidR="00FA74C2" w:rsidRPr="00CF77C1">
              <w:rPr>
                <w:lang w:val="sr-Cyrl-RS"/>
              </w:rPr>
              <w:t>685 индиректних,</w:t>
            </w:r>
            <w:r w:rsidRPr="00CF77C1">
              <w:rPr>
                <w:lang w:val="sr-Cyrl-RS"/>
              </w:rPr>
              <w:t xml:space="preserve"> полуиндиректних </w:t>
            </w:r>
            <w:r w:rsidR="00FA74C2" w:rsidRPr="00CF77C1">
              <w:rPr>
                <w:lang w:val="sr-Cyrl-RS"/>
              </w:rPr>
              <w:t xml:space="preserve">и директних </w:t>
            </w:r>
            <w:r w:rsidR="002727F1" w:rsidRPr="00CF77C1">
              <w:rPr>
                <w:lang w:val="sr-Cyrl-RS"/>
              </w:rPr>
              <w:t>мерних група и 330</w:t>
            </w:r>
            <w:r w:rsidR="00EC7E28" w:rsidRPr="00CF77C1">
              <w:rPr>
                <w:lang w:val="sr-Cyrl-RS"/>
              </w:rPr>
              <w:t>.</w:t>
            </w:r>
            <w:r w:rsidRPr="00CF77C1">
              <w:rPr>
                <w:lang w:val="sr-Cyrl-RS"/>
              </w:rPr>
              <w:t>000 бројила код домаћинстава и индустријских купаца и имплементација AMI/MDM система у складу са техничком спецификацијом</w:t>
            </w:r>
          </w:p>
        </w:tc>
        <w:tc>
          <w:tcPr>
            <w:tcW w:w="1701" w:type="dxa"/>
            <w:shd w:val="clear" w:color="auto" w:fill="auto"/>
            <w:vAlign w:val="center"/>
          </w:tcPr>
          <w:p w14:paraId="7DBB0116" w14:textId="77777777" w:rsidR="004F7A55" w:rsidRPr="00CF77C1" w:rsidRDefault="00017454" w:rsidP="0080044B">
            <w:pPr>
              <w:jc w:val="left"/>
              <w:rPr>
                <w:lang w:val="sr-Cyrl-RS"/>
              </w:rPr>
            </w:pPr>
            <w:r w:rsidRPr="00CF77C1">
              <w:rPr>
                <w:lang w:val="sr-Cyrl-RS"/>
              </w:rPr>
              <w:t>80</w:t>
            </w:r>
            <w:r w:rsidR="00590F84" w:rsidRPr="00CF77C1">
              <w:rPr>
                <w:lang w:val="sr-Cyrl-RS"/>
              </w:rPr>
              <w:t xml:space="preserve"> </w:t>
            </w:r>
            <w:r w:rsidR="004F7A55" w:rsidRPr="00CF77C1">
              <w:rPr>
                <w:lang w:val="sr-Cyrl-RS"/>
              </w:rPr>
              <w:t xml:space="preserve">милиона </w:t>
            </w:r>
            <w:r w:rsidR="006510C8" w:rsidRPr="00CF77C1">
              <w:rPr>
                <w:lang w:val="sr-Cyrl-RS"/>
              </w:rPr>
              <w:t>€</w:t>
            </w:r>
          </w:p>
          <w:p w14:paraId="0A25B436" w14:textId="32EF24FB" w:rsidR="004F7A55" w:rsidRPr="00CF77C1" w:rsidRDefault="004F7A55" w:rsidP="00F10D3F">
            <w:pPr>
              <w:jc w:val="left"/>
              <w:rPr>
                <w:lang w:val="sr-Cyrl-RS"/>
              </w:rPr>
            </w:pPr>
            <w:r w:rsidRPr="00CF77C1">
              <w:rPr>
                <w:lang w:val="sr-Cyrl-RS"/>
              </w:rPr>
              <w:t>(</w:t>
            </w:r>
            <w:r w:rsidR="00017454" w:rsidRPr="00CF77C1">
              <w:rPr>
                <w:lang w:val="sr-Cyrl-RS"/>
              </w:rPr>
              <w:t xml:space="preserve">50% </w:t>
            </w:r>
            <w:r w:rsidR="00590F84" w:rsidRPr="00CF77C1">
              <w:rPr>
                <w:lang w:val="sr-Cyrl-RS"/>
              </w:rPr>
              <w:t xml:space="preserve">кредит </w:t>
            </w:r>
            <w:r w:rsidR="00F10D3F" w:rsidRPr="00CF77C1">
              <w:rPr>
                <w:lang w:val="sr-Cyrl-RS"/>
              </w:rPr>
              <w:t>Европске банке за обнову и развој (ЕБРД)</w:t>
            </w:r>
            <w:r w:rsidR="00017454" w:rsidRPr="00CF77C1">
              <w:rPr>
                <w:lang w:val="sr-Cyrl-RS"/>
              </w:rPr>
              <w:t xml:space="preserve"> и 50% кредит </w:t>
            </w:r>
            <w:r w:rsidR="00F10D3F" w:rsidRPr="00CF77C1">
              <w:rPr>
                <w:lang w:val="sr-Cyrl-RS"/>
              </w:rPr>
              <w:t>Европске инвестиционе банке (ЕИБ)</w:t>
            </w:r>
            <w:r w:rsidRPr="00CF77C1">
              <w:rPr>
                <w:lang w:val="sr-Cyrl-RS"/>
              </w:rPr>
              <w:t>)</w:t>
            </w:r>
          </w:p>
        </w:tc>
        <w:tc>
          <w:tcPr>
            <w:tcW w:w="9214" w:type="dxa"/>
            <w:shd w:val="clear" w:color="auto" w:fill="auto"/>
            <w:vAlign w:val="center"/>
          </w:tcPr>
          <w:p w14:paraId="637F41F9" w14:textId="77777777" w:rsidR="00590F84" w:rsidRPr="00CF77C1" w:rsidRDefault="000128E3" w:rsidP="0080044B">
            <w:pPr>
              <w:jc w:val="left"/>
              <w:rPr>
                <w:lang w:val="sr-Cyrl-RS"/>
              </w:rPr>
            </w:pPr>
            <w:r w:rsidRPr="00CF77C1">
              <w:rPr>
                <w:lang w:val="sr-Cyrl-RS"/>
              </w:rPr>
              <w:t xml:space="preserve">Праћење тока електричне </w:t>
            </w:r>
            <w:r w:rsidR="00017454" w:rsidRPr="00CF77C1">
              <w:rPr>
                <w:lang w:val="sr-Cyrl-RS"/>
              </w:rPr>
              <w:t xml:space="preserve">енергије кроз дистрибутивни систем, од њеног уласка до изласка и оптимизација токова. Смањење трошкова и </w:t>
            </w:r>
            <w:r w:rsidR="00510825" w:rsidRPr="00CF77C1">
              <w:rPr>
                <w:lang w:val="sr-Cyrl-RS"/>
              </w:rPr>
              <w:t>времена потребног за очитавање, искључење и укључење</w:t>
            </w:r>
            <w:r w:rsidR="00017454" w:rsidRPr="00CF77C1">
              <w:rPr>
                <w:lang w:val="sr-Cyrl-RS"/>
              </w:rPr>
              <w:t xml:space="preserve"> купаца</w:t>
            </w:r>
            <w:r w:rsidR="00510825" w:rsidRPr="00CF77C1">
              <w:rPr>
                <w:lang w:val="sr-Cyrl-RS"/>
              </w:rPr>
              <w:t xml:space="preserve"> електричне енергије</w:t>
            </w:r>
            <w:r w:rsidR="00017454" w:rsidRPr="00CF77C1">
              <w:rPr>
                <w:lang w:val="sr-Cyrl-RS"/>
              </w:rPr>
              <w:t xml:space="preserve">, смањење комерцијалних губитака као </w:t>
            </w:r>
            <w:r w:rsidR="00510825" w:rsidRPr="00CF77C1">
              <w:rPr>
                <w:lang w:val="sr-Cyrl-RS"/>
              </w:rPr>
              <w:t>резултат</w:t>
            </w:r>
            <w:r w:rsidR="00017454" w:rsidRPr="00CF77C1">
              <w:rPr>
                <w:lang w:val="sr-Cyrl-RS"/>
              </w:rPr>
              <w:t xml:space="preserve"> измештања мерних места, повећање степена наплате (дисциплине у плаћању електричне енергије), могућност брзе имплементације нових тарифних ставова код купаца, повећање могућности управљања потрошњом, смањење броја приговора на тачност очитавања (обрачуна), квалитетнији надзор и оптимизација функционисања дистрибутивног система, смањење трошкова одржавања, о</w:t>
            </w:r>
            <w:r w:rsidR="00EA6189" w:rsidRPr="00CF77C1">
              <w:rPr>
                <w:lang w:val="sr-Cyrl-RS"/>
              </w:rPr>
              <w:t>безбеђивање</w:t>
            </w:r>
            <w:r w:rsidR="00017454" w:rsidRPr="00CF77C1">
              <w:rPr>
                <w:lang w:val="sr-Cyrl-RS"/>
              </w:rPr>
              <w:t xml:space="preserve"> економичнијег и правовременог инвестирања</w:t>
            </w:r>
            <w:r w:rsidR="00510825" w:rsidRPr="00CF77C1">
              <w:rPr>
                <w:lang w:val="sr-Cyrl-RS"/>
              </w:rPr>
              <w:t xml:space="preserve"> у електроенергетску мрежу</w:t>
            </w:r>
            <w:r w:rsidR="00017454" w:rsidRPr="00CF77C1">
              <w:rPr>
                <w:lang w:val="sr-Cyrl-RS"/>
              </w:rPr>
              <w:t>, квалитетније и брже решавање захтева нових корисника за прикључење, стварање предуслова за квалитетније функционисање тржишта електричне енергије, једноставнија процедура промене снабдевача и флексибилност у снабдевању електричном енергијом, о</w:t>
            </w:r>
            <w:r w:rsidR="00EA6189" w:rsidRPr="00CF77C1">
              <w:rPr>
                <w:lang w:val="sr-Cyrl-RS"/>
              </w:rPr>
              <w:t>безбеђивање</w:t>
            </w:r>
            <w:r w:rsidR="00017454" w:rsidRPr="00CF77C1">
              <w:rPr>
                <w:lang w:val="sr-Cyrl-RS"/>
              </w:rPr>
              <w:t xml:space="preserve"> података и информација у реалном времену овлашћеним субјектима (крајњем купцу, тренутном снабдевачу, и потенцијалном снабдевачу), праћење квалитета напона и континуитета напајања.</w:t>
            </w:r>
          </w:p>
        </w:tc>
        <w:tc>
          <w:tcPr>
            <w:tcW w:w="1779" w:type="dxa"/>
            <w:shd w:val="clear" w:color="auto" w:fill="auto"/>
            <w:vAlign w:val="center"/>
          </w:tcPr>
          <w:p w14:paraId="2412DCCD" w14:textId="77777777" w:rsidR="00A731B0" w:rsidRPr="00CF77C1" w:rsidRDefault="00A731B0" w:rsidP="0080044B">
            <w:pPr>
              <w:jc w:val="left"/>
              <w:rPr>
                <w:lang w:val="sr-Cyrl-RS"/>
              </w:rPr>
            </w:pPr>
            <w:r w:rsidRPr="00CF77C1">
              <w:rPr>
                <w:lang w:val="sr-Cyrl-RS"/>
              </w:rPr>
              <w:t>6,4</w:t>
            </w:r>
            <w:r w:rsidR="00D841F7" w:rsidRPr="00CF77C1">
              <w:rPr>
                <w:lang w:val="sr-Cyrl-RS"/>
              </w:rPr>
              <w:t xml:space="preserve"> милиона </w:t>
            </w:r>
            <w:r w:rsidR="006510C8" w:rsidRPr="00CF77C1">
              <w:rPr>
                <w:lang w:val="sr-Cyrl-RS"/>
              </w:rPr>
              <w:t>€</w:t>
            </w:r>
          </w:p>
          <w:p w14:paraId="02AD7B2B" w14:textId="77777777" w:rsidR="00A731B0" w:rsidRPr="00CF77C1" w:rsidRDefault="00A731B0" w:rsidP="0080044B">
            <w:pPr>
              <w:jc w:val="left"/>
              <w:rPr>
                <w:lang w:val="sr-Cyrl-RS"/>
              </w:rPr>
            </w:pPr>
            <w:r w:rsidRPr="00CF77C1">
              <w:rPr>
                <w:lang w:val="sr-Cyrl-RS"/>
              </w:rPr>
              <w:t>(4,8 милиона € - смањење трошкова губитака</w:t>
            </w:r>
            <w:r w:rsidR="00FA74C2" w:rsidRPr="00CF77C1">
              <w:rPr>
                <w:lang w:val="sr-Cyrl-RS"/>
              </w:rPr>
              <w:t xml:space="preserve"> - ≈96 </w:t>
            </w:r>
            <w:r w:rsidR="0046521E" w:rsidRPr="00CF77C1">
              <w:rPr>
                <w:lang w:val="sr-Cyrl-RS"/>
              </w:rPr>
              <w:t>GWh годишње</w:t>
            </w:r>
            <w:r w:rsidRPr="00CF77C1">
              <w:rPr>
                <w:lang w:val="sr-Cyrl-RS"/>
              </w:rPr>
              <w:t>,</w:t>
            </w:r>
          </w:p>
          <w:p w14:paraId="545ADA2A" w14:textId="77777777" w:rsidR="004F7A55" w:rsidRPr="00CF77C1" w:rsidRDefault="00A731B0" w:rsidP="0080044B">
            <w:pPr>
              <w:jc w:val="left"/>
              <w:rPr>
                <w:lang w:val="sr-Cyrl-RS"/>
              </w:rPr>
            </w:pPr>
            <w:r w:rsidRPr="00CF77C1">
              <w:rPr>
                <w:lang w:val="sr-Cyrl-RS"/>
              </w:rPr>
              <w:t>1,6 милиона € - смањење трошкова очитавања)</w:t>
            </w:r>
          </w:p>
        </w:tc>
      </w:tr>
    </w:tbl>
    <w:p w14:paraId="3FAA21A6" w14:textId="6079966C" w:rsidR="0091260E" w:rsidRPr="00CF77C1" w:rsidRDefault="0091260E" w:rsidP="00242883">
      <w:pPr>
        <w:ind w:firstLine="720"/>
        <w:rPr>
          <w:lang w:val="sr-Cyrl-RS"/>
        </w:rPr>
      </w:pPr>
      <w:r w:rsidRPr="00CF77C1">
        <w:rPr>
          <w:lang w:val="sr-Cyrl-RS"/>
        </w:rPr>
        <w:t xml:space="preserve">Индикатор реализације овог пројекта је </w:t>
      </w:r>
      <w:r w:rsidR="009A0192" w:rsidRPr="00CF77C1">
        <w:rPr>
          <w:lang w:val="sr-Cyrl-RS"/>
        </w:rPr>
        <w:t xml:space="preserve">проценат </w:t>
      </w:r>
      <w:r w:rsidRPr="00CF77C1">
        <w:rPr>
          <w:lang w:val="sr-Cyrl-RS"/>
        </w:rPr>
        <w:t>реализације активности п</w:t>
      </w:r>
      <w:r w:rsidR="00966609" w:rsidRPr="00CF77C1">
        <w:rPr>
          <w:lang w:val="sr-Cyrl-RS"/>
        </w:rPr>
        <w:t>риказаних по годинама у таб</w:t>
      </w:r>
      <w:r w:rsidR="000F0412">
        <w:rPr>
          <w:lang w:val="sr-Cyrl-RS"/>
        </w:rPr>
        <w:t>.</w:t>
      </w:r>
      <w:r w:rsidR="00966609" w:rsidRPr="00CF77C1">
        <w:rPr>
          <w:lang w:val="sr-Cyrl-RS"/>
        </w:rPr>
        <w:t xml:space="preserve"> 19</w:t>
      </w:r>
      <w:r w:rsidRPr="00CF77C1">
        <w:rPr>
          <w:lang w:val="sr-Cyrl-RS"/>
        </w:rPr>
        <w:t>.</w:t>
      </w:r>
    </w:p>
    <w:p w14:paraId="7CD9C0CE" w14:textId="257B1AA8" w:rsidR="004F7A55" w:rsidRPr="00CF77C1" w:rsidRDefault="00D61BC9" w:rsidP="00242883">
      <w:pPr>
        <w:pStyle w:val="Caption"/>
        <w:ind w:firstLine="720"/>
        <w:rPr>
          <w:b w:val="0"/>
          <w:lang w:val="sr-Cyrl-RS"/>
        </w:rPr>
      </w:pPr>
      <w:bookmarkStart w:id="40" w:name="_Ref469046671"/>
      <w:r w:rsidRPr="00CF77C1">
        <w:rPr>
          <w:b w:val="0"/>
          <w:lang w:val="sr-Cyrl-RS"/>
        </w:rPr>
        <w:t>таб.</w:t>
      </w:r>
      <w:r w:rsidR="004F7A5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19</w:t>
      </w:r>
      <w:r w:rsidR="0092145E" w:rsidRPr="00CF77C1">
        <w:rPr>
          <w:b w:val="0"/>
          <w:lang w:val="sr-Cyrl-RS"/>
        </w:rPr>
        <w:fldChar w:fldCharType="end"/>
      </w:r>
      <w:bookmarkEnd w:id="40"/>
      <w:r w:rsidR="004F7A55" w:rsidRPr="00CF77C1">
        <w:rPr>
          <w:b w:val="0"/>
          <w:lang w:val="sr-Cyrl-RS"/>
        </w:rPr>
        <w:t>: Динамика реализације активности у периоду р</w:t>
      </w:r>
      <w:r w:rsidR="00C255D3" w:rsidRPr="00CF77C1">
        <w:rPr>
          <w:b w:val="0"/>
          <w:lang w:val="sr-Cyrl-RS"/>
        </w:rPr>
        <w:t>еализације ПОС</w:t>
      </w:r>
      <w:r w:rsidR="003E0237" w:rsidRPr="00CF77C1">
        <w:rPr>
          <w:b w:val="0"/>
          <w:lang w:val="sr-Cyrl-RS"/>
        </w:rPr>
        <w:t xml:space="preserve"> (број бројила који се обрађује)</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2268"/>
        <w:gridCol w:w="1560"/>
        <w:gridCol w:w="874"/>
        <w:gridCol w:w="874"/>
        <w:gridCol w:w="874"/>
        <w:gridCol w:w="874"/>
        <w:gridCol w:w="874"/>
        <w:gridCol w:w="874"/>
      </w:tblGrid>
      <w:tr w:rsidR="00F10D3F" w:rsidRPr="00CF77C1" w14:paraId="7B96B8D8" w14:textId="77777777" w:rsidTr="00F10D3F">
        <w:trPr>
          <w:tblHeader/>
        </w:trPr>
        <w:tc>
          <w:tcPr>
            <w:tcW w:w="5778" w:type="dxa"/>
            <w:shd w:val="clear" w:color="auto" w:fill="auto"/>
            <w:vAlign w:val="center"/>
          </w:tcPr>
          <w:p w14:paraId="3F5B0B88" w14:textId="77777777" w:rsidR="00F10D3F" w:rsidRPr="00CF77C1" w:rsidRDefault="00F10D3F" w:rsidP="00F10D3F">
            <w:pPr>
              <w:framePr w:hSpace="180" w:wrap="around" w:vAnchor="text" w:hAnchor="text" w:y="1"/>
              <w:jc w:val="center"/>
              <w:rPr>
                <w:lang w:val="sr-Cyrl-RS"/>
              </w:rPr>
            </w:pPr>
            <w:r w:rsidRPr="00CF77C1">
              <w:rPr>
                <w:lang w:val="sr-Cyrl-RS"/>
              </w:rPr>
              <w:t>Пројекат: Унапређење мерне инфраструктуре</w:t>
            </w:r>
          </w:p>
        </w:tc>
        <w:tc>
          <w:tcPr>
            <w:tcW w:w="2268" w:type="dxa"/>
            <w:shd w:val="clear" w:color="auto" w:fill="auto"/>
            <w:vAlign w:val="center"/>
          </w:tcPr>
          <w:p w14:paraId="22D64809" w14:textId="77777777" w:rsidR="00F10D3F" w:rsidRPr="00CF77C1" w:rsidRDefault="00F10D3F" w:rsidP="00F10D3F">
            <w:pPr>
              <w:framePr w:hSpace="180" w:wrap="around" w:vAnchor="text" w:hAnchor="text" w:y="1"/>
              <w:jc w:val="center"/>
              <w:rPr>
                <w:lang w:val="sr-Cyrl-RS"/>
              </w:rPr>
            </w:pPr>
            <w:r w:rsidRPr="00CF77C1">
              <w:rPr>
                <w:lang w:val="sr-Cyrl-RS"/>
              </w:rPr>
              <w:t>Одговорни субјекат</w:t>
            </w:r>
          </w:p>
        </w:tc>
        <w:tc>
          <w:tcPr>
            <w:tcW w:w="1560" w:type="dxa"/>
            <w:shd w:val="clear" w:color="auto" w:fill="auto"/>
            <w:vAlign w:val="center"/>
          </w:tcPr>
          <w:p w14:paraId="11963CC4" w14:textId="77777777" w:rsidR="00F10D3F" w:rsidRPr="00CF77C1" w:rsidRDefault="00F10D3F" w:rsidP="00F10D3F">
            <w:pPr>
              <w:framePr w:hSpace="180" w:wrap="around" w:vAnchor="text" w:hAnchor="text" w:y="1"/>
              <w:jc w:val="center"/>
              <w:rPr>
                <w:lang w:val="sr-Cyrl-RS"/>
              </w:rPr>
            </w:pPr>
            <w:r w:rsidRPr="00CF77C1">
              <w:rPr>
                <w:lang w:val="sr-Cyrl-RS"/>
              </w:rPr>
              <w:t>2017.</w:t>
            </w:r>
          </w:p>
        </w:tc>
        <w:tc>
          <w:tcPr>
            <w:tcW w:w="874" w:type="dxa"/>
            <w:shd w:val="clear" w:color="auto" w:fill="auto"/>
            <w:vAlign w:val="center"/>
          </w:tcPr>
          <w:p w14:paraId="4BA5E738" w14:textId="77777777" w:rsidR="00F10D3F" w:rsidRPr="00CF77C1" w:rsidRDefault="00F10D3F" w:rsidP="00F10D3F">
            <w:pPr>
              <w:framePr w:hSpace="180" w:wrap="around" w:vAnchor="text" w:hAnchor="text" w:y="1"/>
              <w:jc w:val="center"/>
              <w:rPr>
                <w:lang w:val="sr-Cyrl-RS"/>
              </w:rPr>
            </w:pPr>
            <w:r w:rsidRPr="00CF77C1">
              <w:rPr>
                <w:lang w:val="sr-Cyrl-RS"/>
              </w:rPr>
              <w:t>2018.</w:t>
            </w:r>
          </w:p>
        </w:tc>
        <w:tc>
          <w:tcPr>
            <w:tcW w:w="874" w:type="dxa"/>
            <w:shd w:val="clear" w:color="auto" w:fill="auto"/>
            <w:vAlign w:val="center"/>
          </w:tcPr>
          <w:p w14:paraId="36A43C24" w14:textId="77777777" w:rsidR="00F10D3F" w:rsidRPr="00CF77C1" w:rsidRDefault="00F10D3F" w:rsidP="00F10D3F">
            <w:pPr>
              <w:framePr w:hSpace="180" w:wrap="around" w:vAnchor="text" w:hAnchor="text" w:y="1"/>
              <w:jc w:val="center"/>
              <w:rPr>
                <w:lang w:val="sr-Cyrl-RS"/>
              </w:rPr>
            </w:pPr>
            <w:r w:rsidRPr="00CF77C1">
              <w:rPr>
                <w:lang w:val="sr-Cyrl-RS"/>
              </w:rPr>
              <w:t>2019.</w:t>
            </w:r>
          </w:p>
        </w:tc>
        <w:tc>
          <w:tcPr>
            <w:tcW w:w="874" w:type="dxa"/>
            <w:shd w:val="clear" w:color="auto" w:fill="auto"/>
            <w:vAlign w:val="center"/>
          </w:tcPr>
          <w:p w14:paraId="55A40107" w14:textId="77777777" w:rsidR="00F10D3F" w:rsidRPr="00CF77C1" w:rsidRDefault="00F10D3F" w:rsidP="00F10D3F">
            <w:pPr>
              <w:framePr w:hSpace="180" w:wrap="around" w:vAnchor="text" w:hAnchor="text" w:y="1"/>
              <w:jc w:val="center"/>
              <w:rPr>
                <w:lang w:val="sr-Cyrl-RS"/>
              </w:rPr>
            </w:pPr>
            <w:r w:rsidRPr="00CF77C1">
              <w:rPr>
                <w:lang w:val="sr-Cyrl-RS"/>
              </w:rPr>
              <w:t>2020.</w:t>
            </w:r>
          </w:p>
        </w:tc>
        <w:tc>
          <w:tcPr>
            <w:tcW w:w="874" w:type="dxa"/>
            <w:shd w:val="clear" w:color="auto" w:fill="auto"/>
            <w:vAlign w:val="center"/>
          </w:tcPr>
          <w:p w14:paraId="0FC83C1E" w14:textId="77777777" w:rsidR="00F10D3F" w:rsidRPr="00CF77C1" w:rsidRDefault="00F10D3F" w:rsidP="00F10D3F">
            <w:pPr>
              <w:framePr w:hSpace="180" w:wrap="around" w:vAnchor="text" w:hAnchor="text" w:y="1"/>
              <w:jc w:val="center"/>
              <w:rPr>
                <w:lang w:val="sr-Cyrl-RS"/>
              </w:rPr>
            </w:pPr>
            <w:r w:rsidRPr="00CF77C1">
              <w:rPr>
                <w:lang w:val="sr-Cyrl-RS"/>
              </w:rPr>
              <w:t>2021.</w:t>
            </w:r>
          </w:p>
        </w:tc>
        <w:tc>
          <w:tcPr>
            <w:tcW w:w="874" w:type="dxa"/>
            <w:shd w:val="clear" w:color="auto" w:fill="auto"/>
            <w:vAlign w:val="center"/>
          </w:tcPr>
          <w:p w14:paraId="0FB704D2" w14:textId="77777777" w:rsidR="00F10D3F" w:rsidRPr="00CF77C1" w:rsidRDefault="00F10D3F" w:rsidP="00F10D3F">
            <w:pPr>
              <w:framePr w:hSpace="180" w:wrap="around" w:vAnchor="text" w:hAnchor="text" w:y="1"/>
              <w:jc w:val="center"/>
              <w:rPr>
                <w:lang w:val="sr-Cyrl-RS"/>
              </w:rPr>
            </w:pPr>
            <w:r w:rsidRPr="00CF77C1">
              <w:rPr>
                <w:lang w:val="sr-Cyrl-RS"/>
              </w:rPr>
              <w:t>2022.</w:t>
            </w:r>
          </w:p>
        </w:tc>
        <w:tc>
          <w:tcPr>
            <w:tcW w:w="874" w:type="dxa"/>
            <w:shd w:val="clear" w:color="auto" w:fill="auto"/>
            <w:vAlign w:val="center"/>
          </w:tcPr>
          <w:p w14:paraId="7B40AF6C" w14:textId="77777777" w:rsidR="00F10D3F" w:rsidRPr="00CF77C1" w:rsidRDefault="00F10D3F" w:rsidP="00F10D3F">
            <w:pPr>
              <w:framePr w:hSpace="180" w:wrap="around" w:vAnchor="text" w:hAnchor="text" w:y="1"/>
              <w:jc w:val="center"/>
              <w:rPr>
                <w:lang w:val="sr-Cyrl-RS"/>
              </w:rPr>
            </w:pPr>
            <w:r w:rsidRPr="00CF77C1">
              <w:rPr>
                <w:lang w:val="sr-Cyrl-RS"/>
              </w:rPr>
              <w:t>2023.</w:t>
            </w:r>
          </w:p>
        </w:tc>
      </w:tr>
      <w:tr w:rsidR="00F10D3F" w:rsidRPr="00CF77C1" w14:paraId="5061DC77" w14:textId="77777777" w:rsidTr="00F10D3F">
        <w:tc>
          <w:tcPr>
            <w:tcW w:w="5778" w:type="dxa"/>
            <w:shd w:val="clear" w:color="auto" w:fill="auto"/>
            <w:vAlign w:val="center"/>
          </w:tcPr>
          <w:p w14:paraId="603E24FD" w14:textId="77777777" w:rsidR="00F10D3F" w:rsidRPr="00CF77C1" w:rsidRDefault="00F10D3F" w:rsidP="00F10D3F">
            <w:pPr>
              <w:framePr w:hSpace="180" w:wrap="around" w:vAnchor="text" w:hAnchor="text" w:y="1"/>
              <w:spacing w:before="20" w:after="20"/>
              <w:jc w:val="left"/>
              <w:rPr>
                <w:lang w:val="sr-Cyrl-RS"/>
              </w:rPr>
            </w:pPr>
            <w:r w:rsidRPr="00CF77C1">
              <w:rPr>
                <w:lang w:val="sr-Cyrl-RS"/>
              </w:rPr>
              <w:t>Организациони и послови руковођења пројектом</w:t>
            </w:r>
          </w:p>
        </w:tc>
        <w:tc>
          <w:tcPr>
            <w:tcW w:w="2268" w:type="dxa"/>
            <w:vMerge w:val="restart"/>
            <w:shd w:val="clear" w:color="auto" w:fill="auto"/>
            <w:vAlign w:val="center"/>
          </w:tcPr>
          <w:p w14:paraId="4B1DD4C0" w14:textId="77777777" w:rsidR="00F10D3F" w:rsidRPr="00CF77C1" w:rsidRDefault="00F10D3F" w:rsidP="00F10D3F">
            <w:pPr>
              <w:framePr w:hSpace="180" w:wrap="around" w:vAnchor="text" w:hAnchor="text" w:y="1"/>
              <w:spacing w:before="20" w:after="20"/>
              <w:jc w:val="left"/>
              <w:rPr>
                <w:lang w:val="sr-Cyrl-RS"/>
              </w:rPr>
            </w:pPr>
            <w:r w:rsidRPr="00CF77C1">
              <w:rPr>
                <w:lang w:val="sr-Cyrl-RS"/>
              </w:rPr>
              <w:t>ЕПС, ОДС</w:t>
            </w:r>
          </w:p>
        </w:tc>
        <w:tc>
          <w:tcPr>
            <w:tcW w:w="1560" w:type="dxa"/>
            <w:shd w:val="clear" w:color="auto" w:fill="auto"/>
            <w:vAlign w:val="center"/>
          </w:tcPr>
          <w:p w14:paraId="5277B798"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x</w:t>
            </w:r>
          </w:p>
        </w:tc>
        <w:tc>
          <w:tcPr>
            <w:tcW w:w="874" w:type="dxa"/>
            <w:shd w:val="clear" w:color="auto" w:fill="auto"/>
            <w:vAlign w:val="center"/>
          </w:tcPr>
          <w:p w14:paraId="55CB26FF"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x</w:t>
            </w:r>
          </w:p>
        </w:tc>
        <w:tc>
          <w:tcPr>
            <w:tcW w:w="874" w:type="dxa"/>
            <w:shd w:val="clear" w:color="auto" w:fill="auto"/>
            <w:vAlign w:val="center"/>
          </w:tcPr>
          <w:p w14:paraId="6DA3EA3D"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x</w:t>
            </w:r>
          </w:p>
        </w:tc>
        <w:tc>
          <w:tcPr>
            <w:tcW w:w="874" w:type="dxa"/>
            <w:shd w:val="clear" w:color="auto" w:fill="auto"/>
            <w:vAlign w:val="center"/>
          </w:tcPr>
          <w:p w14:paraId="445E0BB0"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x</w:t>
            </w:r>
          </w:p>
        </w:tc>
        <w:tc>
          <w:tcPr>
            <w:tcW w:w="874" w:type="dxa"/>
            <w:shd w:val="clear" w:color="auto" w:fill="auto"/>
            <w:vAlign w:val="center"/>
          </w:tcPr>
          <w:p w14:paraId="66F33D92"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x</w:t>
            </w:r>
          </w:p>
        </w:tc>
        <w:tc>
          <w:tcPr>
            <w:tcW w:w="874" w:type="dxa"/>
            <w:shd w:val="clear" w:color="auto" w:fill="auto"/>
            <w:vAlign w:val="center"/>
          </w:tcPr>
          <w:p w14:paraId="1C8DF3B1"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x</w:t>
            </w:r>
          </w:p>
        </w:tc>
        <w:tc>
          <w:tcPr>
            <w:tcW w:w="874" w:type="dxa"/>
            <w:shd w:val="clear" w:color="auto" w:fill="auto"/>
            <w:vAlign w:val="center"/>
          </w:tcPr>
          <w:p w14:paraId="0CCA8520" w14:textId="77777777" w:rsidR="00F10D3F" w:rsidRPr="00CF77C1" w:rsidRDefault="00F10D3F" w:rsidP="00F10D3F">
            <w:pPr>
              <w:framePr w:hSpace="180" w:wrap="around" w:vAnchor="text" w:hAnchor="text" w:y="1"/>
              <w:spacing w:before="20" w:after="20"/>
              <w:jc w:val="center"/>
              <w:rPr>
                <w:sz w:val="22"/>
                <w:szCs w:val="22"/>
                <w:lang w:val="sr-Cyrl-RS"/>
              </w:rPr>
            </w:pPr>
          </w:p>
        </w:tc>
      </w:tr>
      <w:tr w:rsidR="00F10D3F" w:rsidRPr="00CF77C1" w14:paraId="6977CDA9" w14:textId="77777777" w:rsidTr="00F10D3F">
        <w:tc>
          <w:tcPr>
            <w:tcW w:w="5778" w:type="dxa"/>
            <w:shd w:val="clear" w:color="auto" w:fill="auto"/>
            <w:vAlign w:val="center"/>
          </w:tcPr>
          <w:p w14:paraId="555391C7" w14:textId="77777777" w:rsidR="00F10D3F" w:rsidRPr="00CF77C1" w:rsidRDefault="00F10D3F" w:rsidP="00F10D3F">
            <w:pPr>
              <w:framePr w:hSpace="180" w:wrap="around" w:vAnchor="text" w:hAnchor="text" w:y="1"/>
              <w:spacing w:before="20" w:after="20"/>
              <w:jc w:val="left"/>
              <w:rPr>
                <w:lang w:val="sr-Cyrl-RS"/>
              </w:rPr>
            </w:pPr>
            <w:r w:rsidRPr="00CF77C1">
              <w:rPr>
                <w:lang w:val="sr-Cyrl-RS"/>
              </w:rPr>
              <w:t>Припрема техничке документације</w:t>
            </w:r>
          </w:p>
        </w:tc>
        <w:tc>
          <w:tcPr>
            <w:tcW w:w="2268" w:type="dxa"/>
            <w:vMerge/>
            <w:shd w:val="clear" w:color="auto" w:fill="auto"/>
            <w:vAlign w:val="center"/>
          </w:tcPr>
          <w:p w14:paraId="020C6340" w14:textId="77777777" w:rsidR="00F10D3F" w:rsidRPr="00CF77C1" w:rsidRDefault="00F10D3F" w:rsidP="00F10D3F">
            <w:pPr>
              <w:framePr w:hSpace="180" w:wrap="around" w:vAnchor="text" w:hAnchor="text" w:y="1"/>
              <w:spacing w:before="20" w:after="20"/>
              <w:jc w:val="left"/>
              <w:rPr>
                <w:lang w:val="sr-Cyrl-RS"/>
              </w:rPr>
            </w:pPr>
          </w:p>
        </w:tc>
        <w:tc>
          <w:tcPr>
            <w:tcW w:w="1560" w:type="dxa"/>
            <w:shd w:val="clear" w:color="auto" w:fill="auto"/>
            <w:vAlign w:val="center"/>
          </w:tcPr>
          <w:p w14:paraId="30484D91"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16.000</w:t>
            </w:r>
          </w:p>
        </w:tc>
        <w:tc>
          <w:tcPr>
            <w:tcW w:w="874" w:type="dxa"/>
            <w:shd w:val="clear" w:color="auto" w:fill="auto"/>
            <w:vAlign w:val="center"/>
          </w:tcPr>
          <w:p w14:paraId="60D479CF"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5251EBA4"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2BC9CC92"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77B9B648"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2A92DFAB" w14:textId="77777777" w:rsidR="00F10D3F" w:rsidRPr="00CF77C1" w:rsidRDefault="00F10D3F" w:rsidP="00F10D3F">
            <w:pPr>
              <w:framePr w:hSpace="180" w:wrap="around" w:vAnchor="text" w:hAnchor="text" w:y="1"/>
              <w:spacing w:before="20" w:after="20"/>
              <w:jc w:val="center"/>
              <w:rPr>
                <w:sz w:val="22"/>
                <w:szCs w:val="22"/>
                <w:lang w:val="sr-Cyrl-RS"/>
              </w:rPr>
            </w:pPr>
          </w:p>
        </w:tc>
        <w:tc>
          <w:tcPr>
            <w:tcW w:w="874" w:type="dxa"/>
            <w:shd w:val="clear" w:color="auto" w:fill="auto"/>
            <w:vAlign w:val="center"/>
          </w:tcPr>
          <w:p w14:paraId="5F9B722B" w14:textId="77777777" w:rsidR="00F10D3F" w:rsidRPr="00CF77C1" w:rsidRDefault="00F10D3F" w:rsidP="00F10D3F">
            <w:pPr>
              <w:framePr w:hSpace="180" w:wrap="around" w:vAnchor="text" w:hAnchor="text" w:y="1"/>
              <w:spacing w:before="20" w:after="20"/>
              <w:jc w:val="center"/>
              <w:rPr>
                <w:sz w:val="22"/>
                <w:szCs w:val="22"/>
                <w:lang w:val="sr-Cyrl-RS"/>
              </w:rPr>
            </w:pPr>
          </w:p>
        </w:tc>
      </w:tr>
      <w:tr w:rsidR="00F10D3F" w:rsidRPr="00CF77C1" w14:paraId="4DD50738" w14:textId="77777777" w:rsidTr="00F10D3F">
        <w:tc>
          <w:tcPr>
            <w:tcW w:w="5778" w:type="dxa"/>
            <w:shd w:val="clear" w:color="auto" w:fill="auto"/>
            <w:vAlign w:val="center"/>
          </w:tcPr>
          <w:p w14:paraId="3419B7C5" w14:textId="77777777" w:rsidR="00F10D3F" w:rsidRPr="00CF77C1" w:rsidRDefault="00F10D3F" w:rsidP="00F10D3F">
            <w:pPr>
              <w:framePr w:hSpace="180" w:wrap="around" w:vAnchor="text" w:hAnchor="text" w:y="1"/>
              <w:spacing w:before="20" w:after="20"/>
              <w:jc w:val="left"/>
              <w:rPr>
                <w:lang w:val="sr-Cyrl-RS"/>
              </w:rPr>
            </w:pPr>
            <w:r w:rsidRPr="00CF77C1">
              <w:rPr>
                <w:lang w:val="sr-Cyrl-RS"/>
              </w:rPr>
              <w:t>Реализација пројекта</w:t>
            </w:r>
          </w:p>
        </w:tc>
        <w:tc>
          <w:tcPr>
            <w:tcW w:w="2268" w:type="dxa"/>
            <w:vMerge/>
            <w:shd w:val="clear" w:color="auto" w:fill="auto"/>
          </w:tcPr>
          <w:p w14:paraId="59ABBF35" w14:textId="77777777" w:rsidR="00F10D3F" w:rsidRPr="00CF77C1" w:rsidRDefault="00F10D3F" w:rsidP="00F10D3F">
            <w:pPr>
              <w:framePr w:hSpace="180" w:wrap="around" w:vAnchor="text" w:hAnchor="text" w:y="1"/>
              <w:spacing w:before="20" w:after="20"/>
              <w:rPr>
                <w:lang w:val="sr-Cyrl-RS"/>
              </w:rPr>
            </w:pPr>
          </w:p>
        </w:tc>
        <w:tc>
          <w:tcPr>
            <w:tcW w:w="1560" w:type="dxa"/>
            <w:shd w:val="clear" w:color="auto" w:fill="auto"/>
            <w:vAlign w:val="center"/>
          </w:tcPr>
          <w:p w14:paraId="2CD32866"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25.343 ИМГ за ТС X/0,4 kV, 4.217 ИМГ, 29.830 ПИМГ, 24.295 ДМГ</w:t>
            </w:r>
          </w:p>
        </w:tc>
        <w:tc>
          <w:tcPr>
            <w:tcW w:w="874" w:type="dxa"/>
            <w:shd w:val="clear" w:color="auto" w:fill="auto"/>
            <w:vAlign w:val="center"/>
          </w:tcPr>
          <w:p w14:paraId="3BC1AA38"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0FAC0608"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557012A8"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4788A83F"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60AB6455" w14:textId="77777777" w:rsidR="00F10D3F" w:rsidRPr="00CF77C1" w:rsidRDefault="00F10D3F" w:rsidP="00F10D3F">
            <w:pPr>
              <w:framePr w:hSpace="180" w:wrap="around" w:vAnchor="text" w:hAnchor="text" w:y="1"/>
              <w:spacing w:before="20" w:after="20"/>
              <w:jc w:val="center"/>
              <w:rPr>
                <w:sz w:val="22"/>
                <w:szCs w:val="22"/>
                <w:lang w:val="sr-Cyrl-RS"/>
              </w:rPr>
            </w:pPr>
            <w:r w:rsidRPr="00CF77C1">
              <w:rPr>
                <w:sz w:val="22"/>
                <w:szCs w:val="22"/>
                <w:lang w:val="sr-Cyrl-RS"/>
              </w:rPr>
              <w:t>66.000</w:t>
            </w:r>
          </w:p>
        </w:tc>
        <w:tc>
          <w:tcPr>
            <w:tcW w:w="874" w:type="dxa"/>
            <w:shd w:val="clear" w:color="auto" w:fill="auto"/>
            <w:vAlign w:val="center"/>
          </w:tcPr>
          <w:p w14:paraId="2A34FCDA" w14:textId="77777777" w:rsidR="00F10D3F" w:rsidRPr="00CF77C1" w:rsidRDefault="00F10D3F" w:rsidP="00F10D3F">
            <w:pPr>
              <w:framePr w:hSpace="180" w:wrap="around" w:vAnchor="text" w:hAnchor="text" w:y="1"/>
              <w:spacing w:before="20" w:after="20"/>
              <w:jc w:val="center"/>
              <w:rPr>
                <w:sz w:val="22"/>
                <w:szCs w:val="22"/>
                <w:lang w:val="sr-Cyrl-RS"/>
              </w:rPr>
            </w:pPr>
          </w:p>
        </w:tc>
      </w:tr>
    </w:tbl>
    <w:p w14:paraId="6B232BFA" w14:textId="17038E38" w:rsidR="00F10D3F" w:rsidRPr="00CF77C1" w:rsidRDefault="00F10D3F" w:rsidP="00242883">
      <w:pPr>
        <w:ind w:firstLine="539"/>
        <w:rPr>
          <w:lang w:val="sr-Cyrl-RS"/>
        </w:rPr>
      </w:pPr>
      <w:r w:rsidRPr="00CF77C1">
        <w:rPr>
          <w:lang w:val="sr-Cyrl-RS"/>
        </w:rPr>
        <w:t>Напомена: ИМГ - индиректна мерна група, ПИМГ - полуиндиректна мерна група, ДМГ - директна мерна група.</w:t>
      </w:r>
    </w:p>
    <w:p w14:paraId="67A93EEA" w14:textId="77777777" w:rsidR="004F7A55" w:rsidRPr="00CF77C1" w:rsidRDefault="004F7A55" w:rsidP="0080044B">
      <w:pPr>
        <w:rPr>
          <w:lang w:val="sr-Cyrl-RS"/>
        </w:rPr>
        <w:sectPr w:rsidR="004F7A55" w:rsidRPr="00CF77C1" w:rsidSect="00017454">
          <w:headerReference w:type="default" r:id="rId30"/>
          <w:footerReference w:type="even" r:id="rId31"/>
          <w:footerReference w:type="default" r:id="rId32"/>
          <w:pgSz w:w="16839" w:h="11907" w:orient="landscape" w:code="9"/>
          <w:pgMar w:top="1418" w:right="1134" w:bottom="1134" w:left="1134" w:header="1004" w:footer="720" w:gutter="0"/>
          <w:cols w:space="720"/>
          <w:docGrid w:linePitch="360"/>
        </w:sectPr>
      </w:pPr>
    </w:p>
    <w:p w14:paraId="62DF87B3" w14:textId="2DA050A3" w:rsidR="00055C90" w:rsidRPr="00CF77C1" w:rsidRDefault="00055C90" w:rsidP="00242883">
      <w:pPr>
        <w:pStyle w:val="ListParagraph"/>
        <w:keepNext/>
        <w:numPr>
          <w:ilvl w:val="0"/>
          <w:numId w:val="14"/>
        </w:numPr>
        <w:ind w:left="0" w:firstLine="720"/>
        <w:rPr>
          <w:lang w:val="sr-Cyrl-RS"/>
        </w:rPr>
      </w:pPr>
      <w:bookmarkStart w:id="41" w:name="_Ref476806003"/>
      <w:r w:rsidRPr="00CF77C1">
        <w:rPr>
          <w:lang w:val="sr-Cyrl-RS"/>
        </w:rPr>
        <w:t>Пројекат „Аутоматизацаја дистрибутивне мреже</w:t>
      </w:r>
      <w:r w:rsidR="00AD5740" w:rsidRPr="00CF77C1">
        <w:rPr>
          <w:lang w:val="sr-Cyrl-RS"/>
        </w:rPr>
        <w:t>”</w:t>
      </w:r>
      <w:bookmarkEnd w:id="41"/>
    </w:p>
    <w:p w14:paraId="3465BF0F" w14:textId="5E350434" w:rsidR="00055C90" w:rsidRPr="00CF77C1" w:rsidRDefault="00055C90" w:rsidP="00242883">
      <w:pPr>
        <w:ind w:firstLine="720"/>
        <w:rPr>
          <w:lang w:val="sr-Cyrl-RS"/>
        </w:rPr>
      </w:pPr>
      <w:r w:rsidRPr="00CF77C1">
        <w:rPr>
          <w:lang w:val="sr-Cyrl-RS"/>
        </w:rPr>
        <w:t>Циљ пројекта „Аутоматизацаја дистрибутивне мреже</w:t>
      </w:r>
      <w:r w:rsidR="00AD5740" w:rsidRPr="00CF77C1">
        <w:rPr>
          <w:lang w:val="sr-Cyrl-RS"/>
        </w:rPr>
        <w:t>”</w:t>
      </w:r>
      <w:r w:rsidRPr="00CF77C1">
        <w:rPr>
          <w:lang w:val="sr-Cyrl-RS"/>
        </w:rPr>
        <w:t xml:space="preserve"> је </w:t>
      </w:r>
      <w:r w:rsidR="00192730" w:rsidRPr="00CF77C1">
        <w:rPr>
          <w:lang w:val="sr-Cyrl-RS"/>
        </w:rPr>
        <w:t>побољшање поузданости напајања потрошача, скраћење времена трајања прекида, заштита посебно осетљивих купаца (јавне службе, болнице, процесна индустрија која је осетљива на прекиде напајања), повећање нивоа манипулативности мреже средњег напона, побољшање</w:t>
      </w:r>
      <w:r w:rsidR="00EA6189" w:rsidRPr="00CF77C1">
        <w:rPr>
          <w:lang w:val="sr-Cyrl-RS"/>
        </w:rPr>
        <w:t xml:space="preserve"> </w:t>
      </w:r>
      <w:r w:rsidR="00192730" w:rsidRPr="00CF77C1">
        <w:rPr>
          <w:lang w:val="sr-Cyrl-RS"/>
        </w:rPr>
        <w:t>искоришћења постојеће опреме кроз уједначавање годишњег дијаграма оптерећења даљинским управљањем оптерећењем, односно, променом начина његовог напајања кроз коришћење система даљинског управљања у мрежи средњег напона. Пројекат ће се реализовати кроз уградњу нових раставних елемената у средњенапонској мрежи (recloser-а и растављача снаге) који ће бити даљински управљани, уградњом опреме за даљинско управљање на постојећој раставној опреми, уградњом нових ТС X/0,4 kV са ring main unit прекидачком опремом, уградњом ring main unit прекидачке опреме на постојећим ТС</w:t>
      </w:r>
      <w:r w:rsidR="008F586B" w:rsidRPr="00CF77C1">
        <w:rPr>
          <w:lang w:val="sr-Cyrl-RS"/>
        </w:rPr>
        <w:t> </w:t>
      </w:r>
      <w:r w:rsidR="00192730" w:rsidRPr="00CF77C1">
        <w:rPr>
          <w:lang w:val="sr-Cyrl-RS"/>
        </w:rPr>
        <w:t>X/</w:t>
      </w:r>
      <w:r w:rsidR="008F586B" w:rsidRPr="00CF77C1">
        <w:rPr>
          <w:lang w:val="sr-Cyrl-RS"/>
        </w:rPr>
        <w:t>0,</w:t>
      </w:r>
      <w:r w:rsidR="00192730" w:rsidRPr="00CF77C1">
        <w:rPr>
          <w:lang w:val="sr-Cyrl-RS"/>
        </w:rPr>
        <w:t>4</w:t>
      </w:r>
      <w:r w:rsidR="008F586B" w:rsidRPr="00CF77C1">
        <w:rPr>
          <w:lang w:val="sr-Cyrl-RS"/>
        </w:rPr>
        <w:t> </w:t>
      </w:r>
      <w:r w:rsidR="00192730" w:rsidRPr="00CF77C1">
        <w:rPr>
          <w:lang w:val="sr-Cyrl-RS"/>
        </w:rPr>
        <w:t>kV</w:t>
      </w:r>
      <w:r w:rsidR="008F586B" w:rsidRPr="00CF77C1">
        <w:rPr>
          <w:lang w:val="sr-Cyrl-RS"/>
        </w:rPr>
        <w:t>, уградњом SCADA система и њиховом интеграцијом у постојеће диспечерске центре управљања.</w:t>
      </w:r>
    </w:p>
    <w:p w14:paraId="3E5F84E8" w14:textId="77777777" w:rsidR="003F11C3" w:rsidRPr="00CF77C1" w:rsidRDefault="003F11C3" w:rsidP="00242883">
      <w:pPr>
        <w:ind w:firstLine="720"/>
        <w:rPr>
          <w:lang w:val="sr-Cyrl-RS"/>
        </w:rPr>
      </w:pPr>
      <w:r w:rsidRPr="00CF77C1">
        <w:rPr>
          <w:lang w:val="sr-Cyrl-RS"/>
        </w:rPr>
        <w:t>Овај пројекат нема значајнијег утицаја на унапређење енергетске ефикасности.</w:t>
      </w:r>
    </w:p>
    <w:p w14:paraId="717A85AE" w14:textId="77777777" w:rsidR="00055C90" w:rsidRPr="00CF77C1" w:rsidRDefault="00055C90" w:rsidP="0080044B">
      <w:pPr>
        <w:rPr>
          <w:lang w:val="sr-Cyrl-RS"/>
        </w:rPr>
      </w:pPr>
    </w:p>
    <w:p w14:paraId="04675668" w14:textId="77777777" w:rsidR="00055C90" w:rsidRPr="00CF77C1" w:rsidRDefault="00055C90" w:rsidP="0080044B">
      <w:pPr>
        <w:rPr>
          <w:lang w:val="sr-Cyrl-RS"/>
        </w:rPr>
        <w:sectPr w:rsidR="00055C90" w:rsidRPr="00CF77C1" w:rsidSect="00846443">
          <w:headerReference w:type="default" r:id="rId33"/>
          <w:footerReference w:type="default" r:id="rId34"/>
          <w:pgSz w:w="11907" w:h="16839" w:code="9"/>
          <w:pgMar w:top="1134" w:right="1134" w:bottom="1134" w:left="1418" w:header="720" w:footer="720" w:gutter="0"/>
          <w:cols w:space="720"/>
          <w:docGrid w:linePitch="360"/>
        </w:sectPr>
      </w:pPr>
    </w:p>
    <w:p w14:paraId="0B6A805E" w14:textId="1869D888" w:rsidR="00055C90" w:rsidRPr="00CF77C1" w:rsidRDefault="00D61BC9" w:rsidP="00242883">
      <w:pPr>
        <w:pStyle w:val="Caption"/>
        <w:ind w:firstLine="720"/>
        <w:rPr>
          <w:b w:val="0"/>
          <w:lang w:val="sr-Cyrl-RS"/>
        </w:rPr>
      </w:pPr>
      <w:r w:rsidRPr="00CF77C1">
        <w:rPr>
          <w:b w:val="0"/>
          <w:lang w:val="sr-Cyrl-RS"/>
        </w:rPr>
        <w:t>таб.</w:t>
      </w:r>
      <w:r w:rsidR="00055C90"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20</w:t>
      </w:r>
      <w:r w:rsidR="0092145E" w:rsidRPr="00CF77C1">
        <w:rPr>
          <w:b w:val="0"/>
          <w:lang w:val="sr-Cyrl-RS"/>
        </w:rPr>
        <w:fldChar w:fldCharType="end"/>
      </w:r>
      <w:r w:rsidR="00055C90"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693"/>
        <w:gridCol w:w="4678"/>
        <w:gridCol w:w="4756"/>
      </w:tblGrid>
      <w:tr w:rsidR="00055C90" w:rsidRPr="00CF77C1" w14:paraId="566B99B6" w14:textId="77777777" w:rsidTr="00747A3E">
        <w:tc>
          <w:tcPr>
            <w:tcW w:w="2660" w:type="dxa"/>
            <w:shd w:val="clear" w:color="auto" w:fill="auto"/>
            <w:vAlign w:val="center"/>
          </w:tcPr>
          <w:p w14:paraId="0FCB4C8D" w14:textId="77777777" w:rsidR="00055C90" w:rsidRPr="00CF77C1" w:rsidRDefault="00055C90" w:rsidP="0080044B">
            <w:pPr>
              <w:jc w:val="center"/>
              <w:rPr>
                <w:lang w:val="sr-Cyrl-RS"/>
              </w:rPr>
            </w:pPr>
            <w:r w:rsidRPr="00CF77C1">
              <w:rPr>
                <w:lang w:val="sr-Cyrl-RS"/>
              </w:rPr>
              <w:t>Техничке карактеристике</w:t>
            </w:r>
          </w:p>
        </w:tc>
        <w:tc>
          <w:tcPr>
            <w:tcW w:w="2693" w:type="dxa"/>
            <w:shd w:val="clear" w:color="auto" w:fill="auto"/>
            <w:vAlign w:val="center"/>
          </w:tcPr>
          <w:p w14:paraId="05446BC2" w14:textId="77777777" w:rsidR="00055C90" w:rsidRPr="00CF77C1" w:rsidRDefault="00055C90" w:rsidP="0080044B">
            <w:pPr>
              <w:jc w:val="center"/>
              <w:rPr>
                <w:lang w:val="sr-Cyrl-RS"/>
              </w:rPr>
            </w:pPr>
            <w:r w:rsidRPr="00CF77C1">
              <w:rPr>
                <w:lang w:val="sr-Cyrl-RS"/>
              </w:rPr>
              <w:t>Вредност пројекта и извор средстава</w:t>
            </w:r>
          </w:p>
        </w:tc>
        <w:tc>
          <w:tcPr>
            <w:tcW w:w="4678" w:type="dxa"/>
            <w:shd w:val="clear" w:color="auto" w:fill="auto"/>
            <w:vAlign w:val="center"/>
          </w:tcPr>
          <w:p w14:paraId="2CE69D3C" w14:textId="77777777" w:rsidR="00055C90" w:rsidRPr="00CF77C1" w:rsidRDefault="00055C90" w:rsidP="0080044B">
            <w:pPr>
              <w:jc w:val="center"/>
              <w:rPr>
                <w:lang w:val="sr-Cyrl-RS"/>
              </w:rPr>
            </w:pPr>
            <w:r w:rsidRPr="00CF77C1">
              <w:rPr>
                <w:lang w:val="sr-Cyrl-RS"/>
              </w:rPr>
              <w:t>Опис ефеката реализације</w:t>
            </w:r>
          </w:p>
        </w:tc>
        <w:tc>
          <w:tcPr>
            <w:tcW w:w="4756" w:type="dxa"/>
            <w:shd w:val="clear" w:color="auto" w:fill="auto"/>
            <w:vAlign w:val="center"/>
          </w:tcPr>
          <w:p w14:paraId="262AE3A3" w14:textId="77777777" w:rsidR="00055C90" w:rsidRPr="00CF77C1" w:rsidRDefault="00055C90" w:rsidP="0080044B">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055C90" w:rsidRPr="00CF77C1" w14:paraId="5DB9ECB3" w14:textId="77777777" w:rsidTr="00747A3E">
        <w:tc>
          <w:tcPr>
            <w:tcW w:w="2660" w:type="dxa"/>
            <w:shd w:val="clear" w:color="auto" w:fill="auto"/>
            <w:vAlign w:val="center"/>
          </w:tcPr>
          <w:p w14:paraId="78F4CF7A" w14:textId="77777777" w:rsidR="00055C90" w:rsidRPr="00CF77C1" w:rsidRDefault="00055C90" w:rsidP="0080044B">
            <w:pPr>
              <w:jc w:val="left"/>
              <w:rPr>
                <w:lang w:val="sr-Cyrl-RS"/>
              </w:rPr>
            </w:pPr>
            <w:r w:rsidRPr="00CF77C1">
              <w:rPr>
                <w:lang w:val="sr-Cyrl-RS"/>
              </w:rPr>
              <w:t xml:space="preserve">Аутоматизација средњенапонске мреже кроз уградњу и опремање опремом за даљински надзор и управљање укупно </w:t>
            </w:r>
            <w:r w:rsidR="003E0237" w:rsidRPr="00CF77C1">
              <w:rPr>
                <w:lang w:val="sr-Cyrl-RS"/>
              </w:rPr>
              <w:t>1</w:t>
            </w:r>
            <w:r w:rsidR="00EC7E28" w:rsidRPr="00CF77C1">
              <w:rPr>
                <w:lang w:val="sr-Cyrl-RS"/>
              </w:rPr>
              <w:t>.</w:t>
            </w:r>
            <w:r w:rsidR="003E0237" w:rsidRPr="00CF77C1">
              <w:rPr>
                <w:lang w:val="sr-Cyrl-RS"/>
              </w:rPr>
              <w:t>050</w:t>
            </w:r>
            <w:r w:rsidRPr="00CF77C1">
              <w:rPr>
                <w:lang w:val="sr-Cyrl-RS"/>
              </w:rPr>
              <w:t xml:space="preserve"> тачака у мрежи и аутоматизација ТС 35/X kV кроз уградњу SCADA система по ТС</w:t>
            </w:r>
          </w:p>
        </w:tc>
        <w:tc>
          <w:tcPr>
            <w:tcW w:w="2693" w:type="dxa"/>
            <w:shd w:val="clear" w:color="auto" w:fill="auto"/>
            <w:vAlign w:val="center"/>
          </w:tcPr>
          <w:p w14:paraId="62C87EE5" w14:textId="77777777" w:rsidR="00055C90" w:rsidRPr="00CF77C1" w:rsidRDefault="00413DF3" w:rsidP="0080044B">
            <w:pPr>
              <w:jc w:val="left"/>
              <w:rPr>
                <w:lang w:val="sr-Cyrl-RS"/>
              </w:rPr>
            </w:pPr>
            <w:r w:rsidRPr="00CF77C1">
              <w:rPr>
                <w:lang w:val="sr-Cyrl-RS"/>
              </w:rPr>
              <w:t>10,5</w:t>
            </w:r>
            <w:r w:rsidR="00055C90" w:rsidRPr="00CF77C1">
              <w:rPr>
                <w:lang w:val="sr-Cyrl-RS"/>
              </w:rPr>
              <w:t xml:space="preserve"> милиона </w:t>
            </w:r>
            <w:r w:rsidR="006510C8" w:rsidRPr="00CF77C1">
              <w:rPr>
                <w:lang w:val="sr-Cyrl-RS"/>
              </w:rPr>
              <w:t>€</w:t>
            </w:r>
          </w:p>
          <w:p w14:paraId="40B8EF88" w14:textId="77777777" w:rsidR="00055C90" w:rsidRPr="00CF77C1" w:rsidRDefault="00055C90" w:rsidP="0080044B">
            <w:pPr>
              <w:jc w:val="left"/>
              <w:rPr>
                <w:lang w:val="sr-Cyrl-RS"/>
              </w:rPr>
            </w:pPr>
            <w:r w:rsidRPr="00CF77C1">
              <w:rPr>
                <w:lang w:val="sr-Cyrl-RS"/>
              </w:rPr>
              <w:t>(</w:t>
            </w:r>
            <w:r w:rsidR="00413DF3" w:rsidRPr="00CF77C1">
              <w:rPr>
                <w:lang w:val="sr-Cyrl-RS"/>
              </w:rPr>
              <w:t>1,3 милијарде РСД</w:t>
            </w:r>
            <w:r w:rsidRPr="00CF77C1">
              <w:rPr>
                <w:lang w:val="sr-Cyrl-RS"/>
              </w:rPr>
              <w:t>)</w:t>
            </w:r>
          </w:p>
        </w:tc>
        <w:tc>
          <w:tcPr>
            <w:tcW w:w="4678" w:type="dxa"/>
            <w:shd w:val="clear" w:color="auto" w:fill="auto"/>
            <w:vAlign w:val="center"/>
          </w:tcPr>
          <w:p w14:paraId="11CA142B" w14:textId="77777777" w:rsidR="00055C90" w:rsidRPr="00CF77C1" w:rsidRDefault="006B5804" w:rsidP="0080044B">
            <w:pPr>
              <w:jc w:val="left"/>
              <w:rPr>
                <w:lang w:val="sr-Cyrl-RS"/>
              </w:rPr>
            </w:pPr>
            <w:r w:rsidRPr="00CF77C1">
              <w:rPr>
                <w:lang w:val="sr-Cyrl-RS"/>
              </w:rPr>
              <w:t>Скраћење времена прекида напајања потрошача</w:t>
            </w:r>
            <w:r w:rsidR="00841316" w:rsidRPr="00CF77C1">
              <w:rPr>
                <w:lang w:val="sr-Cyrl-RS"/>
              </w:rPr>
              <w:t xml:space="preserve"> (нарочито посебно осетљивих потрошача)</w:t>
            </w:r>
            <w:r w:rsidRPr="00CF77C1">
              <w:rPr>
                <w:lang w:val="sr-Cyrl-RS"/>
              </w:rPr>
              <w:t>, брже успостављање постхаваријских режима након испада објеката 110/X kV и 35/X kV,</w:t>
            </w:r>
            <w:r w:rsidR="00841316" w:rsidRPr="00CF77C1">
              <w:rPr>
                <w:lang w:val="sr-Cyrl-RS"/>
              </w:rPr>
              <w:t xml:space="preserve"> уједначавање дијаграма оптерећења објеката 110/X kV и 35/10 kV (боља искоришћеност истих и одлагање инвестиција у нове), побољшање оперативног управљања мрежом и заштите енергетских водова.</w:t>
            </w:r>
          </w:p>
        </w:tc>
        <w:tc>
          <w:tcPr>
            <w:tcW w:w="4756" w:type="dxa"/>
            <w:shd w:val="clear" w:color="auto" w:fill="auto"/>
            <w:vAlign w:val="center"/>
          </w:tcPr>
          <w:p w14:paraId="10746E58" w14:textId="77777777" w:rsidR="00055C90" w:rsidRPr="00CF77C1" w:rsidRDefault="00841316" w:rsidP="0080044B">
            <w:pPr>
              <w:jc w:val="left"/>
              <w:rPr>
                <w:lang w:val="sr-Cyrl-RS"/>
              </w:rPr>
            </w:pPr>
            <w:r w:rsidRPr="00CF77C1">
              <w:rPr>
                <w:lang w:val="sr-Cyrl-RS"/>
              </w:rPr>
              <w:t>360</w:t>
            </w:r>
            <w:r w:rsidR="00FF0E37" w:rsidRPr="00CF77C1">
              <w:rPr>
                <w:lang w:val="sr-Cyrl-RS"/>
              </w:rPr>
              <w:t>.</w:t>
            </w:r>
            <w:r w:rsidRPr="00CF77C1">
              <w:rPr>
                <w:lang w:val="sr-Cyrl-RS"/>
              </w:rPr>
              <w:t xml:space="preserve">000 </w:t>
            </w:r>
            <w:r w:rsidR="006510C8" w:rsidRPr="00CF77C1">
              <w:rPr>
                <w:lang w:val="sr-Cyrl-RS"/>
              </w:rPr>
              <w:t>€</w:t>
            </w:r>
            <w:r w:rsidRPr="00CF77C1">
              <w:rPr>
                <w:lang w:val="sr-Cyrl-RS"/>
              </w:rPr>
              <w:t xml:space="preserve"> (без уважених ефеката на снижење оптерећења објеката 110/X kV и 35/X kV и ефеката смањења броја прекида напајања посебно осетљивих купаца)</w:t>
            </w:r>
          </w:p>
        </w:tc>
      </w:tr>
    </w:tbl>
    <w:p w14:paraId="40BA7AD9" w14:textId="0B7EBA73" w:rsidR="0091260E" w:rsidRPr="00CF77C1" w:rsidRDefault="0091260E" w:rsidP="00242883">
      <w:pPr>
        <w:ind w:firstLine="720"/>
        <w:rPr>
          <w:lang w:val="sr-Cyrl-RS"/>
        </w:rPr>
      </w:pPr>
      <w:r w:rsidRPr="00CF77C1">
        <w:rPr>
          <w:lang w:val="sr-Cyrl-RS"/>
        </w:rPr>
        <w:t xml:space="preserve">Индикатор реализације овог пројекта је </w:t>
      </w:r>
      <w:r w:rsidR="009A0192" w:rsidRPr="00CF77C1">
        <w:rPr>
          <w:lang w:val="sr-Cyrl-RS"/>
        </w:rPr>
        <w:t xml:space="preserve">проценат </w:t>
      </w:r>
      <w:r w:rsidRPr="00CF77C1">
        <w:rPr>
          <w:lang w:val="sr-Cyrl-RS"/>
        </w:rPr>
        <w:t>реализације активности пр</w:t>
      </w:r>
      <w:r w:rsidR="00966609" w:rsidRPr="00CF77C1">
        <w:rPr>
          <w:lang w:val="sr-Cyrl-RS"/>
        </w:rPr>
        <w:t>иказаних по годинама у таб</w:t>
      </w:r>
      <w:r w:rsidR="007D1A88">
        <w:rPr>
          <w:lang w:val="sr-Cyrl-RS"/>
        </w:rPr>
        <w:t>.</w:t>
      </w:r>
      <w:r w:rsidR="00966609" w:rsidRPr="00CF77C1">
        <w:rPr>
          <w:lang w:val="sr-Cyrl-RS"/>
        </w:rPr>
        <w:t xml:space="preserve"> 21</w:t>
      </w:r>
      <w:r w:rsidRPr="00CF77C1">
        <w:rPr>
          <w:lang w:val="sr-Cyrl-RS"/>
        </w:rPr>
        <w:t>.</w:t>
      </w:r>
    </w:p>
    <w:p w14:paraId="4D07BF48" w14:textId="67BF69FC" w:rsidR="00055C90" w:rsidRPr="00CF77C1" w:rsidRDefault="00D61BC9" w:rsidP="00242883">
      <w:pPr>
        <w:pStyle w:val="Caption"/>
        <w:ind w:firstLine="720"/>
        <w:rPr>
          <w:b w:val="0"/>
          <w:lang w:val="sr-Cyrl-RS"/>
        </w:rPr>
      </w:pPr>
      <w:r w:rsidRPr="00CF77C1">
        <w:rPr>
          <w:b w:val="0"/>
          <w:lang w:val="sr-Cyrl-RS"/>
        </w:rPr>
        <w:t>таб.</w:t>
      </w:r>
      <w:r w:rsidR="00055C90"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21</w:t>
      </w:r>
      <w:r w:rsidR="0092145E" w:rsidRPr="00CF77C1">
        <w:rPr>
          <w:b w:val="0"/>
          <w:lang w:val="sr-Cyrl-RS"/>
        </w:rPr>
        <w:fldChar w:fldCharType="end"/>
      </w:r>
      <w:r w:rsidR="00055C90" w:rsidRPr="00CF77C1">
        <w:rPr>
          <w:b w:val="0"/>
          <w:lang w:val="sr-Cyrl-RS"/>
        </w:rPr>
        <w:t>: Динамика реализације активн</w:t>
      </w:r>
      <w:r w:rsidR="00C255D3" w:rsidRPr="00CF77C1">
        <w:rPr>
          <w:b w:val="0"/>
          <w:lang w:val="sr-Cyrl-RS"/>
        </w:rPr>
        <w:t>ости у периоду реализације ПОС</w:t>
      </w:r>
      <w:r w:rsidR="003E0237" w:rsidRPr="00CF77C1">
        <w:rPr>
          <w:b w:val="0"/>
          <w:lang w:val="sr-Cyrl-RS"/>
        </w:rPr>
        <w:t xml:space="preserve"> (број тачака који се аутоматизује у мрежи средњег напона)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6"/>
        <w:gridCol w:w="2011"/>
        <w:gridCol w:w="1194"/>
        <w:gridCol w:w="1195"/>
        <w:gridCol w:w="1195"/>
        <w:gridCol w:w="1194"/>
        <w:gridCol w:w="1195"/>
        <w:gridCol w:w="1195"/>
        <w:gridCol w:w="1195"/>
      </w:tblGrid>
      <w:tr w:rsidR="003E0237" w:rsidRPr="00CF77C1" w14:paraId="55071114" w14:textId="77777777" w:rsidTr="003E0237">
        <w:trPr>
          <w:tblHeader/>
        </w:trPr>
        <w:tc>
          <w:tcPr>
            <w:tcW w:w="4476" w:type="dxa"/>
            <w:shd w:val="clear" w:color="auto" w:fill="auto"/>
            <w:vAlign w:val="center"/>
          </w:tcPr>
          <w:p w14:paraId="3D420EF0" w14:textId="77777777" w:rsidR="003E0237" w:rsidRPr="00CF77C1" w:rsidRDefault="003E0237" w:rsidP="0080044B">
            <w:pPr>
              <w:jc w:val="center"/>
              <w:rPr>
                <w:lang w:val="sr-Cyrl-RS"/>
              </w:rPr>
            </w:pPr>
            <w:r w:rsidRPr="00CF77C1">
              <w:rPr>
                <w:lang w:val="sr-Cyrl-RS"/>
              </w:rPr>
              <w:t>Пројекат:</w:t>
            </w:r>
          </w:p>
          <w:p w14:paraId="2A43E89A" w14:textId="77777777" w:rsidR="003E0237" w:rsidRPr="00CF77C1" w:rsidRDefault="003E0237" w:rsidP="0080044B">
            <w:pPr>
              <w:jc w:val="center"/>
              <w:rPr>
                <w:lang w:val="sr-Cyrl-RS"/>
              </w:rPr>
            </w:pPr>
            <w:r w:rsidRPr="00CF77C1">
              <w:rPr>
                <w:lang w:val="sr-Cyrl-RS"/>
              </w:rPr>
              <w:t>Аутоматизацаја дистрибутивне мреже</w:t>
            </w:r>
          </w:p>
        </w:tc>
        <w:tc>
          <w:tcPr>
            <w:tcW w:w="2011" w:type="dxa"/>
            <w:shd w:val="clear" w:color="auto" w:fill="auto"/>
            <w:vAlign w:val="center"/>
          </w:tcPr>
          <w:p w14:paraId="0A3F2681" w14:textId="77777777" w:rsidR="003E0237" w:rsidRPr="00CF77C1" w:rsidRDefault="00DD69C2" w:rsidP="0080044B">
            <w:pPr>
              <w:jc w:val="center"/>
              <w:rPr>
                <w:lang w:val="sr-Cyrl-RS"/>
              </w:rPr>
            </w:pPr>
            <w:r w:rsidRPr="00CF77C1">
              <w:rPr>
                <w:lang w:val="sr-Cyrl-RS"/>
              </w:rPr>
              <w:t>Одговорни субјекат</w:t>
            </w:r>
          </w:p>
        </w:tc>
        <w:tc>
          <w:tcPr>
            <w:tcW w:w="1194" w:type="dxa"/>
            <w:shd w:val="clear" w:color="auto" w:fill="auto"/>
            <w:vAlign w:val="center"/>
          </w:tcPr>
          <w:p w14:paraId="33B4CC13" w14:textId="77777777" w:rsidR="003E0237" w:rsidRPr="00CF77C1" w:rsidRDefault="003E0237" w:rsidP="0080044B">
            <w:pPr>
              <w:jc w:val="center"/>
              <w:rPr>
                <w:lang w:val="sr-Cyrl-RS"/>
              </w:rPr>
            </w:pPr>
            <w:r w:rsidRPr="00CF77C1">
              <w:rPr>
                <w:lang w:val="sr-Cyrl-RS"/>
              </w:rPr>
              <w:t>2017.</w:t>
            </w:r>
          </w:p>
        </w:tc>
        <w:tc>
          <w:tcPr>
            <w:tcW w:w="1195" w:type="dxa"/>
            <w:shd w:val="clear" w:color="auto" w:fill="auto"/>
            <w:vAlign w:val="center"/>
          </w:tcPr>
          <w:p w14:paraId="3A05CAFF" w14:textId="77777777" w:rsidR="003E0237" w:rsidRPr="00CF77C1" w:rsidRDefault="003E0237" w:rsidP="0080044B">
            <w:pPr>
              <w:jc w:val="center"/>
              <w:rPr>
                <w:lang w:val="sr-Cyrl-RS"/>
              </w:rPr>
            </w:pPr>
            <w:r w:rsidRPr="00CF77C1">
              <w:rPr>
                <w:lang w:val="sr-Cyrl-RS"/>
              </w:rPr>
              <w:t>2018.</w:t>
            </w:r>
          </w:p>
        </w:tc>
        <w:tc>
          <w:tcPr>
            <w:tcW w:w="1195" w:type="dxa"/>
            <w:shd w:val="clear" w:color="auto" w:fill="auto"/>
            <w:vAlign w:val="center"/>
          </w:tcPr>
          <w:p w14:paraId="0B49672A" w14:textId="77777777" w:rsidR="003E0237" w:rsidRPr="00CF77C1" w:rsidRDefault="003E0237" w:rsidP="0080044B">
            <w:pPr>
              <w:jc w:val="center"/>
              <w:rPr>
                <w:lang w:val="sr-Cyrl-RS"/>
              </w:rPr>
            </w:pPr>
            <w:r w:rsidRPr="00CF77C1">
              <w:rPr>
                <w:lang w:val="sr-Cyrl-RS"/>
              </w:rPr>
              <w:t>2019.</w:t>
            </w:r>
          </w:p>
        </w:tc>
        <w:tc>
          <w:tcPr>
            <w:tcW w:w="1194" w:type="dxa"/>
            <w:shd w:val="clear" w:color="auto" w:fill="auto"/>
            <w:vAlign w:val="center"/>
          </w:tcPr>
          <w:p w14:paraId="1A077786" w14:textId="77777777" w:rsidR="003E0237" w:rsidRPr="00CF77C1" w:rsidRDefault="003E0237" w:rsidP="0080044B">
            <w:pPr>
              <w:jc w:val="center"/>
              <w:rPr>
                <w:lang w:val="sr-Cyrl-RS"/>
              </w:rPr>
            </w:pPr>
            <w:r w:rsidRPr="00CF77C1">
              <w:rPr>
                <w:lang w:val="sr-Cyrl-RS"/>
              </w:rPr>
              <w:t>2020.</w:t>
            </w:r>
          </w:p>
        </w:tc>
        <w:tc>
          <w:tcPr>
            <w:tcW w:w="1195" w:type="dxa"/>
            <w:shd w:val="clear" w:color="auto" w:fill="auto"/>
            <w:vAlign w:val="center"/>
          </w:tcPr>
          <w:p w14:paraId="2B810B2D" w14:textId="77777777" w:rsidR="003E0237" w:rsidRPr="00CF77C1" w:rsidRDefault="003E0237" w:rsidP="0080044B">
            <w:pPr>
              <w:jc w:val="center"/>
              <w:rPr>
                <w:lang w:val="sr-Cyrl-RS"/>
              </w:rPr>
            </w:pPr>
            <w:r w:rsidRPr="00CF77C1">
              <w:rPr>
                <w:lang w:val="sr-Cyrl-RS"/>
              </w:rPr>
              <w:t>2021.</w:t>
            </w:r>
          </w:p>
        </w:tc>
        <w:tc>
          <w:tcPr>
            <w:tcW w:w="1195" w:type="dxa"/>
            <w:shd w:val="clear" w:color="auto" w:fill="auto"/>
            <w:vAlign w:val="center"/>
          </w:tcPr>
          <w:p w14:paraId="1096795E" w14:textId="77777777" w:rsidR="003E0237" w:rsidRPr="00CF77C1" w:rsidRDefault="003E0237" w:rsidP="0080044B">
            <w:pPr>
              <w:jc w:val="center"/>
              <w:rPr>
                <w:lang w:val="sr-Cyrl-RS"/>
              </w:rPr>
            </w:pPr>
            <w:r w:rsidRPr="00CF77C1">
              <w:rPr>
                <w:lang w:val="sr-Cyrl-RS"/>
              </w:rPr>
              <w:t>2022.</w:t>
            </w:r>
          </w:p>
        </w:tc>
        <w:tc>
          <w:tcPr>
            <w:tcW w:w="1195" w:type="dxa"/>
            <w:shd w:val="clear" w:color="auto" w:fill="auto"/>
            <w:vAlign w:val="center"/>
          </w:tcPr>
          <w:p w14:paraId="77BAD194" w14:textId="77777777" w:rsidR="003E0237" w:rsidRPr="00CF77C1" w:rsidRDefault="003E0237" w:rsidP="0080044B">
            <w:pPr>
              <w:jc w:val="center"/>
              <w:rPr>
                <w:lang w:val="sr-Cyrl-RS"/>
              </w:rPr>
            </w:pPr>
            <w:r w:rsidRPr="00CF77C1">
              <w:rPr>
                <w:lang w:val="sr-Cyrl-RS"/>
              </w:rPr>
              <w:t>2023.</w:t>
            </w:r>
          </w:p>
        </w:tc>
      </w:tr>
      <w:tr w:rsidR="00510825" w:rsidRPr="00CF77C1" w14:paraId="2EDD8161" w14:textId="77777777" w:rsidTr="003E0237">
        <w:tc>
          <w:tcPr>
            <w:tcW w:w="4476" w:type="dxa"/>
            <w:shd w:val="clear" w:color="auto" w:fill="auto"/>
            <w:vAlign w:val="center"/>
          </w:tcPr>
          <w:p w14:paraId="0B26FEEA" w14:textId="77777777" w:rsidR="00510825" w:rsidRPr="00CF77C1" w:rsidRDefault="00510825" w:rsidP="0080044B">
            <w:pPr>
              <w:spacing w:before="20" w:after="20"/>
              <w:jc w:val="left"/>
              <w:rPr>
                <w:lang w:val="sr-Cyrl-RS"/>
              </w:rPr>
            </w:pPr>
            <w:r w:rsidRPr="00CF77C1">
              <w:rPr>
                <w:lang w:val="sr-Cyrl-RS"/>
              </w:rPr>
              <w:t>Организациони и послови руковођења пројектом</w:t>
            </w:r>
          </w:p>
        </w:tc>
        <w:tc>
          <w:tcPr>
            <w:tcW w:w="2011" w:type="dxa"/>
            <w:vMerge w:val="restart"/>
            <w:shd w:val="clear" w:color="auto" w:fill="auto"/>
            <w:vAlign w:val="center"/>
          </w:tcPr>
          <w:p w14:paraId="720E17E5" w14:textId="77777777" w:rsidR="00510825" w:rsidRPr="00CF77C1" w:rsidRDefault="001B761F" w:rsidP="0080044B">
            <w:pPr>
              <w:spacing w:before="20" w:after="20"/>
              <w:jc w:val="left"/>
              <w:rPr>
                <w:lang w:val="sr-Cyrl-RS"/>
              </w:rPr>
            </w:pPr>
            <w:r w:rsidRPr="00CF77C1">
              <w:rPr>
                <w:lang w:val="sr-Cyrl-RS"/>
              </w:rPr>
              <w:t>ЕПС</w:t>
            </w:r>
            <w:r w:rsidR="00510825" w:rsidRPr="00CF77C1">
              <w:rPr>
                <w:lang w:val="sr-Cyrl-RS"/>
              </w:rPr>
              <w:t>, ОДС</w:t>
            </w:r>
          </w:p>
        </w:tc>
        <w:tc>
          <w:tcPr>
            <w:tcW w:w="1194" w:type="dxa"/>
            <w:shd w:val="clear" w:color="auto" w:fill="auto"/>
            <w:vAlign w:val="center"/>
          </w:tcPr>
          <w:p w14:paraId="21B79192" w14:textId="77777777" w:rsidR="00510825" w:rsidRPr="00CF77C1" w:rsidRDefault="00510825" w:rsidP="0080044B">
            <w:pPr>
              <w:spacing w:before="20" w:after="20"/>
              <w:jc w:val="center"/>
              <w:rPr>
                <w:lang w:val="sr-Cyrl-RS"/>
              </w:rPr>
            </w:pPr>
            <w:r w:rsidRPr="00CF77C1">
              <w:rPr>
                <w:lang w:val="sr-Cyrl-RS"/>
              </w:rPr>
              <w:t>x</w:t>
            </w:r>
          </w:p>
        </w:tc>
        <w:tc>
          <w:tcPr>
            <w:tcW w:w="1195" w:type="dxa"/>
            <w:shd w:val="clear" w:color="auto" w:fill="auto"/>
            <w:vAlign w:val="center"/>
          </w:tcPr>
          <w:p w14:paraId="1A585EBD" w14:textId="77777777" w:rsidR="00510825" w:rsidRPr="00CF77C1" w:rsidRDefault="00510825" w:rsidP="0080044B">
            <w:pPr>
              <w:spacing w:before="20" w:after="20"/>
              <w:jc w:val="center"/>
              <w:rPr>
                <w:lang w:val="sr-Cyrl-RS"/>
              </w:rPr>
            </w:pPr>
            <w:r w:rsidRPr="00CF77C1">
              <w:rPr>
                <w:lang w:val="sr-Cyrl-RS"/>
              </w:rPr>
              <w:t>x</w:t>
            </w:r>
          </w:p>
        </w:tc>
        <w:tc>
          <w:tcPr>
            <w:tcW w:w="1195" w:type="dxa"/>
            <w:shd w:val="clear" w:color="auto" w:fill="auto"/>
            <w:vAlign w:val="center"/>
          </w:tcPr>
          <w:p w14:paraId="4B374430" w14:textId="77777777" w:rsidR="00510825" w:rsidRPr="00CF77C1" w:rsidRDefault="00510825" w:rsidP="0080044B">
            <w:pPr>
              <w:spacing w:before="20" w:after="20"/>
              <w:jc w:val="center"/>
              <w:rPr>
                <w:lang w:val="sr-Cyrl-RS"/>
              </w:rPr>
            </w:pPr>
            <w:r w:rsidRPr="00CF77C1">
              <w:rPr>
                <w:lang w:val="sr-Cyrl-RS"/>
              </w:rPr>
              <w:t>x</w:t>
            </w:r>
          </w:p>
        </w:tc>
        <w:tc>
          <w:tcPr>
            <w:tcW w:w="1194" w:type="dxa"/>
            <w:shd w:val="clear" w:color="auto" w:fill="auto"/>
            <w:vAlign w:val="center"/>
          </w:tcPr>
          <w:p w14:paraId="223FC2E0" w14:textId="77777777" w:rsidR="00510825" w:rsidRPr="00CF77C1" w:rsidRDefault="00510825" w:rsidP="0080044B">
            <w:pPr>
              <w:spacing w:before="20" w:after="20"/>
              <w:jc w:val="center"/>
              <w:rPr>
                <w:lang w:val="sr-Cyrl-RS"/>
              </w:rPr>
            </w:pPr>
            <w:r w:rsidRPr="00CF77C1">
              <w:rPr>
                <w:lang w:val="sr-Cyrl-RS"/>
              </w:rPr>
              <w:t>x</w:t>
            </w:r>
          </w:p>
        </w:tc>
        <w:tc>
          <w:tcPr>
            <w:tcW w:w="1195" w:type="dxa"/>
            <w:shd w:val="clear" w:color="auto" w:fill="auto"/>
            <w:vAlign w:val="center"/>
          </w:tcPr>
          <w:p w14:paraId="0323D243" w14:textId="77777777" w:rsidR="00510825" w:rsidRPr="00CF77C1" w:rsidRDefault="00510825" w:rsidP="0080044B">
            <w:pPr>
              <w:spacing w:before="20" w:after="20"/>
              <w:jc w:val="center"/>
              <w:rPr>
                <w:lang w:val="sr-Cyrl-RS"/>
              </w:rPr>
            </w:pPr>
            <w:r w:rsidRPr="00CF77C1">
              <w:rPr>
                <w:lang w:val="sr-Cyrl-RS"/>
              </w:rPr>
              <w:t>x</w:t>
            </w:r>
          </w:p>
        </w:tc>
        <w:tc>
          <w:tcPr>
            <w:tcW w:w="1195" w:type="dxa"/>
            <w:shd w:val="clear" w:color="auto" w:fill="auto"/>
            <w:vAlign w:val="center"/>
          </w:tcPr>
          <w:p w14:paraId="10460160" w14:textId="77777777" w:rsidR="00510825" w:rsidRPr="00CF77C1" w:rsidRDefault="00510825" w:rsidP="0080044B">
            <w:pPr>
              <w:spacing w:before="20" w:after="20"/>
              <w:jc w:val="center"/>
              <w:rPr>
                <w:lang w:val="sr-Cyrl-RS"/>
              </w:rPr>
            </w:pPr>
            <w:r w:rsidRPr="00CF77C1">
              <w:rPr>
                <w:lang w:val="sr-Cyrl-RS"/>
              </w:rPr>
              <w:t>x</w:t>
            </w:r>
          </w:p>
        </w:tc>
        <w:tc>
          <w:tcPr>
            <w:tcW w:w="1195" w:type="dxa"/>
            <w:shd w:val="clear" w:color="auto" w:fill="auto"/>
            <w:vAlign w:val="center"/>
          </w:tcPr>
          <w:p w14:paraId="68AF79B8" w14:textId="77777777" w:rsidR="00510825" w:rsidRPr="00CF77C1" w:rsidRDefault="00510825" w:rsidP="0080044B">
            <w:pPr>
              <w:spacing w:before="20" w:after="20"/>
              <w:jc w:val="center"/>
              <w:rPr>
                <w:lang w:val="sr-Cyrl-RS"/>
              </w:rPr>
            </w:pPr>
            <w:r w:rsidRPr="00CF77C1">
              <w:rPr>
                <w:lang w:val="sr-Cyrl-RS"/>
              </w:rPr>
              <w:t>x</w:t>
            </w:r>
          </w:p>
        </w:tc>
      </w:tr>
      <w:tr w:rsidR="00510825" w:rsidRPr="00CF77C1" w14:paraId="0E58CD6A" w14:textId="77777777" w:rsidTr="003E0237">
        <w:tc>
          <w:tcPr>
            <w:tcW w:w="4476" w:type="dxa"/>
            <w:shd w:val="clear" w:color="auto" w:fill="auto"/>
            <w:vAlign w:val="center"/>
          </w:tcPr>
          <w:p w14:paraId="02B9318C" w14:textId="77777777" w:rsidR="00510825" w:rsidRPr="00CF77C1" w:rsidRDefault="00510825" w:rsidP="0080044B">
            <w:pPr>
              <w:spacing w:before="20" w:after="20"/>
              <w:jc w:val="left"/>
              <w:rPr>
                <w:lang w:val="sr-Cyrl-RS"/>
              </w:rPr>
            </w:pPr>
            <w:r w:rsidRPr="00CF77C1">
              <w:rPr>
                <w:lang w:val="sr-Cyrl-RS"/>
              </w:rPr>
              <w:t>Припрема техничке документације</w:t>
            </w:r>
          </w:p>
        </w:tc>
        <w:tc>
          <w:tcPr>
            <w:tcW w:w="2011" w:type="dxa"/>
            <w:vMerge/>
            <w:shd w:val="clear" w:color="auto" w:fill="auto"/>
            <w:vAlign w:val="center"/>
          </w:tcPr>
          <w:p w14:paraId="15AE6A08" w14:textId="77777777" w:rsidR="00510825" w:rsidRPr="00CF77C1" w:rsidRDefault="00510825" w:rsidP="0080044B">
            <w:pPr>
              <w:spacing w:before="20" w:after="20"/>
              <w:jc w:val="left"/>
              <w:rPr>
                <w:lang w:val="sr-Cyrl-RS"/>
              </w:rPr>
            </w:pPr>
          </w:p>
        </w:tc>
        <w:tc>
          <w:tcPr>
            <w:tcW w:w="1194" w:type="dxa"/>
            <w:shd w:val="clear" w:color="auto" w:fill="auto"/>
            <w:vAlign w:val="center"/>
          </w:tcPr>
          <w:p w14:paraId="5F2661CA"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5E826BA8"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4C68EDBD" w14:textId="77777777" w:rsidR="00510825" w:rsidRPr="00CF77C1" w:rsidRDefault="00510825" w:rsidP="0080044B">
            <w:pPr>
              <w:jc w:val="center"/>
              <w:rPr>
                <w:lang w:val="sr-Cyrl-RS"/>
              </w:rPr>
            </w:pPr>
            <w:r w:rsidRPr="00CF77C1">
              <w:rPr>
                <w:lang w:val="sr-Cyrl-RS"/>
              </w:rPr>
              <w:t>150</w:t>
            </w:r>
          </w:p>
        </w:tc>
        <w:tc>
          <w:tcPr>
            <w:tcW w:w="1194" w:type="dxa"/>
            <w:shd w:val="clear" w:color="auto" w:fill="auto"/>
            <w:vAlign w:val="center"/>
          </w:tcPr>
          <w:p w14:paraId="7075401A"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5D291A7B"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0CE9D666"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01D2C83F" w14:textId="77777777" w:rsidR="00510825" w:rsidRPr="00CF77C1" w:rsidRDefault="00510825" w:rsidP="0080044B">
            <w:pPr>
              <w:jc w:val="center"/>
              <w:rPr>
                <w:lang w:val="sr-Cyrl-RS"/>
              </w:rPr>
            </w:pPr>
            <w:r w:rsidRPr="00CF77C1">
              <w:rPr>
                <w:lang w:val="sr-Cyrl-RS"/>
              </w:rPr>
              <w:t>150</w:t>
            </w:r>
          </w:p>
        </w:tc>
      </w:tr>
      <w:tr w:rsidR="00510825" w:rsidRPr="00CF77C1" w14:paraId="111432E9" w14:textId="77777777" w:rsidTr="003E0237">
        <w:tc>
          <w:tcPr>
            <w:tcW w:w="4476" w:type="dxa"/>
            <w:shd w:val="clear" w:color="auto" w:fill="auto"/>
            <w:vAlign w:val="center"/>
          </w:tcPr>
          <w:p w14:paraId="7FCD1BA5" w14:textId="77777777" w:rsidR="00510825" w:rsidRPr="00CF77C1" w:rsidRDefault="00510825" w:rsidP="0080044B">
            <w:pPr>
              <w:spacing w:before="20" w:after="20"/>
              <w:jc w:val="left"/>
              <w:rPr>
                <w:lang w:val="sr-Cyrl-RS"/>
              </w:rPr>
            </w:pPr>
            <w:r w:rsidRPr="00CF77C1">
              <w:rPr>
                <w:lang w:val="sr-Cyrl-RS"/>
              </w:rPr>
              <w:t>Дозволе</w:t>
            </w:r>
          </w:p>
        </w:tc>
        <w:tc>
          <w:tcPr>
            <w:tcW w:w="2011" w:type="dxa"/>
            <w:vMerge/>
            <w:shd w:val="clear" w:color="auto" w:fill="auto"/>
          </w:tcPr>
          <w:p w14:paraId="7AAA8C5D" w14:textId="77777777" w:rsidR="00510825" w:rsidRPr="00CF77C1" w:rsidRDefault="00510825" w:rsidP="0080044B">
            <w:pPr>
              <w:spacing w:before="20" w:after="20"/>
              <w:rPr>
                <w:lang w:val="sr-Cyrl-RS"/>
              </w:rPr>
            </w:pPr>
          </w:p>
        </w:tc>
        <w:tc>
          <w:tcPr>
            <w:tcW w:w="1194" w:type="dxa"/>
            <w:shd w:val="clear" w:color="auto" w:fill="auto"/>
            <w:vAlign w:val="center"/>
          </w:tcPr>
          <w:p w14:paraId="7BD7BCB3"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1E6F150B"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2686FDC5" w14:textId="77777777" w:rsidR="00510825" w:rsidRPr="00CF77C1" w:rsidRDefault="00510825" w:rsidP="0080044B">
            <w:pPr>
              <w:jc w:val="center"/>
              <w:rPr>
                <w:lang w:val="sr-Cyrl-RS"/>
              </w:rPr>
            </w:pPr>
            <w:r w:rsidRPr="00CF77C1">
              <w:rPr>
                <w:lang w:val="sr-Cyrl-RS"/>
              </w:rPr>
              <w:t>150</w:t>
            </w:r>
          </w:p>
        </w:tc>
        <w:tc>
          <w:tcPr>
            <w:tcW w:w="1194" w:type="dxa"/>
            <w:shd w:val="clear" w:color="auto" w:fill="auto"/>
            <w:vAlign w:val="center"/>
          </w:tcPr>
          <w:p w14:paraId="23C23FF1"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6E1BBE10"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395770E3"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6A927EB7" w14:textId="77777777" w:rsidR="00510825" w:rsidRPr="00CF77C1" w:rsidRDefault="00510825" w:rsidP="0080044B">
            <w:pPr>
              <w:jc w:val="center"/>
              <w:rPr>
                <w:lang w:val="sr-Cyrl-RS"/>
              </w:rPr>
            </w:pPr>
            <w:r w:rsidRPr="00CF77C1">
              <w:rPr>
                <w:lang w:val="sr-Cyrl-RS"/>
              </w:rPr>
              <w:t>150</w:t>
            </w:r>
          </w:p>
        </w:tc>
      </w:tr>
      <w:tr w:rsidR="00510825" w:rsidRPr="00CF77C1" w14:paraId="2F9D2C56" w14:textId="77777777" w:rsidTr="003E0237">
        <w:tc>
          <w:tcPr>
            <w:tcW w:w="4476" w:type="dxa"/>
            <w:shd w:val="clear" w:color="auto" w:fill="auto"/>
            <w:vAlign w:val="center"/>
          </w:tcPr>
          <w:p w14:paraId="4EF1D4DC" w14:textId="77777777" w:rsidR="00510825" w:rsidRPr="00CF77C1" w:rsidRDefault="00510825" w:rsidP="0080044B">
            <w:pPr>
              <w:spacing w:before="20" w:after="20"/>
              <w:jc w:val="left"/>
              <w:rPr>
                <w:lang w:val="sr-Cyrl-RS"/>
              </w:rPr>
            </w:pPr>
            <w:r w:rsidRPr="00CF77C1">
              <w:rPr>
                <w:lang w:val="sr-Cyrl-RS"/>
              </w:rPr>
              <w:t>Реализација пројекта</w:t>
            </w:r>
          </w:p>
        </w:tc>
        <w:tc>
          <w:tcPr>
            <w:tcW w:w="2011" w:type="dxa"/>
            <w:vMerge/>
            <w:shd w:val="clear" w:color="auto" w:fill="auto"/>
          </w:tcPr>
          <w:p w14:paraId="2E7FC8F3" w14:textId="77777777" w:rsidR="00510825" w:rsidRPr="00CF77C1" w:rsidRDefault="00510825" w:rsidP="0080044B">
            <w:pPr>
              <w:spacing w:before="20" w:after="20"/>
              <w:rPr>
                <w:lang w:val="sr-Cyrl-RS"/>
              </w:rPr>
            </w:pPr>
          </w:p>
        </w:tc>
        <w:tc>
          <w:tcPr>
            <w:tcW w:w="1194" w:type="dxa"/>
            <w:shd w:val="clear" w:color="auto" w:fill="auto"/>
            <w:vAlign w:val="center"/>
          </w:tcPr>
          <w:p w14:paraId="774CE1A0"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5B789EAD"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3D6C2DE3" w14:textId="77777777" w:rsidR="00510825" w:rsidRPr="00CF77C1" w:rsidRDefault="00510825" w:rsidP="0080044B">
            <w:pPr>
              <w:jc w:val="center"/>
              <w:rPr>
                <w:lang w:val="sr-Cyrl-RS"/>
              </w:rPr>
            </w:pPr>
            <w:r w:rsidRPr="00CF77C1">
              <w:rPr>
                <w:lang w:val="sr-Cyrl-RS"/>
              </w:rPr>
              <w:t>150</w:t>
            </w:r>
          </w:p>
        </w:tc>
        <w:tc>
          <w:tcPr>
            <w:tcW w:w="1194" w:type="dxa"/>
            <w:shd w:val="clear" w:color="auto" w:fill="auto"/>
            <w:vAlign w:val="center"/>
          </w:tcPr>
          <w:p w14:paraId="7A292B89"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18783151"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56089E5B" w14:textId="77777777" w:rsidR="00510825" w:rsidRPr="00CF77C1" w:rsidRDefault="00510825" w:rsidP="0080044B">
            <w:pPr>
              <w:jc w:val="center"/>
              <w:rPr>
                <w:lang w:val="sr-Cyrl-RS"/>
              </w:rPr>
            </w:pPr>
            <w:r w:rsidRPr="00CF77C1">
              <w:rPr>
                <w:lang w:val="sr-Cyrl-RS"/>
              </w:rPr>
              <w:t>150</w:t>
            </w:r>
          </w:p>
        </w:tc>
        <w:tc>
          <w:tcPr>
            <w:tcW w:w="1195" w:type="dxa"/>
            <w:shd w:val="clear" w:color="auto" w:fill="auto"/>
            <w:vAlign w:val="center"/>
          </w:tcPr>
          <w:p w14:paraId="23AFF029" w14:textId="77777777" w:rsidR="00510825" w:rsidRPr="00CF77C1" w:rsidRDefault="00510825" w:rsidP="0080044B">
            <w:pPr>
              <w:jc w:val="center"/>
              <w:rPr>
                <w:lang w:val="sr-Cyrl-RS"/>
              </w:rPr>
            </w:pPr>
            <w:r w:rsidRPr="00CF77C1">
              <w:rPr>
                <w:lang w:val="sr-Cyrl-RS"/>
              </w:rPr>
              <w:t>150</w:t>
            </w:r>
          </w:p>
        </w:tc>
      </w:tr>
    </w:tbl>
    <w:p w14:paraId="3BBAB81C" w14:textId="77777777" w:rsidR="00055C90" w:rsidRPr="00CF77C1" w:rsidRDefault="00055C90" w:rsidP="0080044B">
      <w:pPr>
        <w:rPr>
          <w:lang w:val="sr-Cyrl-RS"/>
        </w:rPr>
        <w:sectPr w:rsidR="00055C90" w:rsidRPr="00CF77C1" w:rsidSect="00017454">
          <w:headerReference w:type="default" r:id="rId35"/>
          <w:footerReference w:type="even" r:id="rId36"/>
          <w:footerReference w:type="default" r:id="rId37"/>
          <w:pgSz w:w="16839" w:h="11907" w:orient="landscape" w:code="9"/>
          <w:pgMar w:top="1418" w:right="1134" w:bottom="1134" w:left="1134" w:header="1004" w:footer="720" w:gutter="0"/>
          <w:cols w:space="720"/>
          <w:docGrid w:linePitch="360"/>
        </w:sectPr>
      </w:pPr>
    </w:p>
    <w:p w14:paraId="0535CDFC" w14:textId="4A4A08D1" w:rsidR="00F23030" w:rsidRPr="00CF77C1" w:rsidRDefault="00F23030" w:rsidP="00242883">
      <w:pPr>
        <w:pStyle w:val="ListParagraph"/>
        <w:keepNext/>
        <w:numPr>
          <w:ilvl w:val="0"/>
          <w:numId w:val="14"/>
        </w:numPr>
        <w:ind w:left="0" w:firstLine="720"/>
        <w:rPr>
          <w:lang w:val="sr-Cyrl-RS"/>
        </w:rPr>
      </w:pPr>
      <w:bookmarkStart w:id="42" w:name="_Ref476806007"/>
      <w:r w:rsidRPr="00CF77C1">
        <w:rPr>
          <w:lang w:val="sr-Cyrl-RS"/>
        </w:rPr>
        <w:t xml:space="preserve">Пројекат реконструкције ТС 110/X kV </w:t>
      </w:r>
      <w:r w:rsidR="00510825" w:rsidRPr="00CF77C1">
        <w:rPr>
          <w:lang w:val="sr-Cyrl-RS"/>
        </w:rPr>
        <w:t xml:space="preserve">на крају експлоатационог века </w:t>
      </w:r>
      <w:r w:rsidRPr="00CF77C1">
        <w:rPr>
          <w:lang w:val="sr-Cyrl-RS"/>
        </w:rPr>
        <w:t>у циљу повећања безбедности рада и сигурности напајања и повећања ефикасности дистрибуције електричне енергије на напонском нивоу 110 kV</w:t>
      </w:r>
      <w:bookmarkEnd w:id="42"/>
    </w:p>
    <w:p w14:paraId="7C2BFEC8" w14:textId="1ECBEC4A" w:rsidR="00F23030" w:rsidRPr="00CF77C1" w:rsidRDefault="00712AFA" w:rsidP="00242883">
      <w:pPr>
        <w:ind w:firstLine="357"/>
        <w:rPr>
          <w:lang w:val="sr-Cyrl-RS"/>
        </w:rPr>
      </w:pPr>
      <w:r w:rsidRPr="00CF77C1">
        <w:rPr>
          <w:lang w:val="sr-Cyrl-RS"/>
        </w:rPr>
        <w:t xml:space="preserve">Више од 50 ТС 110/X kV на подручју </w:t>
      </w:r>
      <w:r w:rsidR="00510825" w:rsidRPr="00CF77C1">
        <w:rPr>
          <w:lang w:val="sr-Cyrl-RS"/>
        </w:rPr>
        <w:t>енергетских субјеката за дистрибуцију електричне енергије у</w:t>
      </w:r>
      <w:r w:rsidR="00EC16A1" w:rsidRPr="00CF77C1">
        <w:rPr>
          <w:lang w:val="sr-Cyrl-RS"/>
        </w:rPr>
        <w:t xml:space="preserve"> Републици</w:t>
      </w:r>
      <w:r w:rsidR="00510825" w:rsidRPr="00CF77C1">
        <w:rPr>
          <w:lang w:val="sr-Cyrl-RS"/>
        </w:rPr>
        <w:t xml:space="preserve"> Србији</w:t>
      </w:r>
      <w:r w:rsidRPr="00CF77C1">
        <w:rPr>
          <w:lang w:val="sr-Cyrl-RS"/>
        </w:rPr>
        <w:t xml:space="preserve"> је старо 40 и више година. Мада је у међувремену у појединим </w:t>
      </w:r>
      <w:r w:rsidR="00510825" w:rsidRPr="00CF77C1">
        <w:rPr>
          <w:lang w:val="sr-Cyrl-RS"/>
        </w:rPr>
        <w:t xml:space="preserve">трансформаторским станицама </w:t>
      </w:r>
      <w:r w:rsidRPr="00CF77C1">
        <w:rPr>
          <w:lang w:val="sr-Cyrl-RS"/>
        </w:rPr>
        <w:t xml:space="preserve">вршена замена </w:t>
      </w:r>
      <w:r w:rsidR="00510825" w:rsidRPr="00CF77C1">
        <w:rPr>
          <w:lang w:val="sr-Cyrl-RS"/>
        </w:rPr>
        <w:t xml:space="preserve">неисправне </w:t>
      </w:r>
      <w:r w:rsidRPr="00CF77C1">
        <w:rPr>
          <w:lang w:val="sr-Cyrl-RS"/>
        </w:rPr>
        <w:t xml:space="preserve">опреме и реконструкције </w:t>
      </w:r>
      <w:r w:rsidR="00510825" w:rsidRPr="00CF77C1">
        <w:rPr>
          <w:lang w:val="sr-Cyrl-RS"/>
        </w:rPr>
        <w:t xml:space="preserve">најмањег обима </w:t>
      </w:r>
      <w:r w:rsidRPr="00CF77C1">
        <w:rPr>
          <w:lang w:val="sr-Cyrl-RS"/>
        </w:rPr>
        <w:t>да би се омогућио њихов безбедан рад, већина ових ТС функционише са старом и неуједначеном опремом, а и њихова улога у мрежи је значајно промењена од момента њиховог уласка у рад (ове ТС су углавном биле грађене изван урбанизованих зона, а данас су у потпуно урбанизованим подручјима са различитом структуром мреже која се из њих или у њиховој околини напаја са напонског нивоа 110 kV).</w:t>
      </w:r>
      <w:r w:rsidR="00164D6D" w:rsidRPr="00CF77C1">
        <w:rPr>
          <w:lang w:val="sr-Cyrl-RS"/>
        </w:rPr>
        <w:t xml:space="preserve"> Такође, промењена је и структура и функција напојне 110 kV мреже, што </w:t>
      </w:r>
      <w:r w:rsidR="00510825" w:rsidRPr="00CF77C1">
        <w:rPr>
          <w:lang w:val="sr-Cyrl-RS"/>
        </w:rPr>
        <w:t>захтева</w:t>
      </w:r>
      <w:r w:rsidR="00164D6D" w:rsidRPr="00CF77C1">
        <w:rPr>
          <w:lang w:val="sr-Cyrl-RS"/>
        </w:rPr>
        <w:t xml:space="preserve"> и евентуалну измену начина повезивања ових објеката. Због наведених разлога, а да би се обезбедило сигурно снабдевање купаца који се напајају посредством ових ТС, неопходна је хитна реконструкција великог броја ТС 110/X kV у дистрибутивној мрежи. Пројекат реконструкције садржи следећи скуп потпројеката</w:t>
      </w:r>
      <w:r w:rsidR="0034721E" w:rsidRPr="00CF77C1">
        <w:rPr>
          <w:lang w:val="sr-Cyrl-RS"/>
        </w:rPr>
        <w:t xml:space="preserve"> реконструкције појединих ТС 110/X kV</w:t>
      </w:r>
      <w:r w:rsidR="00192730" w:rsidRPr="00CF77C1">
        <w:rPr>
          <w:lang w:val="sr-Cyrl-RS"/>
        </w:rPr>
        <w:t xml:space="preserve"> који би требало да се реализује у периоду који покрива ПОС</w:t>
      </w:r>
      <w:r w:rsidR="0034721E" w:rsidRPr="00CF77C1">
        <w:rPr>
          <w:lang w:val="sr-Cyrl-RS"/>
        </w:rPr>
        <w:t>:</w:t>
      </w:r>
    </w:p>
    <w:p w14:paraId="3EDA2E60" w14:textId="63C67CC6"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 kV Пожаревац 1 (инсталисана снага 20+31,5 MVA, пројектована снага 2x31,5 MVA, процењена вредност реконструкције 2,5 милиона </w:t>
      </w:r>
      <w:r w:rsidR="006510C8" w:rsidRPr="00CF77C1">
        <w:rPr>
          <w:lang w:val="sr-Cyrl-RS"/>
        </w:rPr>
        <w:t>€</w:t>
      </w:r>
      <w:r w:rsidR="00997F7E" w:rsidRPr="00CF77C1">
        <w:rPr>
          <w:lang w:val="sr-Cyrl-RS"/>
        </w:rPr>
        <w:t xml:space="preserve"> - 3</w:t>
      </w:r>
      <w:r w:rsidR="00B71B24" w:rsidRPr="00CF77C1">
        <w:rPr>
          <w:lang w:val="sr-Cyrl-RS"/>
        </w:rPr>
        <w:t>09</w:t>
      </w:r>
      <w:r w:rsidR="00997F7E" w:rsidRPr="00CF77C1">
        <w:rPr>
          <w:lang w:val="sr-Cyrl-RS"/>
        </w:rPr>
        <w:t xml:space="preserve"> милиона </w:t>
      </w:r>
      <w:r w:rsidR="001716F2" w:rsidRPr="00CF77C1">
        <w:rPr>
          <w:lang w:val="sr-Cyrl-RS"/>
        </w:rPr>
        <w:t>РСД</w:t>
      </w:r>
      <w:r w:rsidR="00997F7E" w:rsidRPr="00CF77C1">
        <w:rPr>
          <w:lang w:val="sr-Cyrl-RS"/>
        </w:rPr>
        <w:t>);</w:t>
      </w:r>
    </w:p>
    <w:p w14:paraId="5331EC1F" w14:textId="3328906D"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 kV Петровац (инсталисана снага 20+31,5 MVA, пројектована снага 2x31,5 MVA, процењена вредност реконструкције </w:t>
      </w:r>
      <w:r w:rsidR="00B71B24" w:rsidRPr="00CF77C1">
        <w:rPr>
          <w:lang w:val="sr-Cyrl-RS"/>
        </w:rPr>
        <w:t>3</w:t>
      </w:r>
      <w:r w:rsidR="00997F7E" w:rsidRPr="00CF77C1">
        <w:rPr>
          <w:lang w:val="sr-Cyrl-RS"/>
        </w:rPr>
        <w:t>,</w:t>
      </w:r>
      <w:r w:rsidR="00B71B24" w:rsidRPr="00CF77C1">
        <w:rPr>
          <w:lang w:val="sr-Cyrl-RS"/>
        </w:rPr>
        <w:t>3</w:t>
      </w:r>
      <w:r w:rsidR="00997F7E" w:rsidRPr="00CF77C1">
        <w:rPr>
          <w:lang w:val="sr-Cyrl-RS"/>
        </w:rPr>
        <w:t xml:space="preserve"> милиона </w:t>
      </w:r>
      <w:r w:rsidR="006510C8" w:rsidRPr="00CF77C1">
        <w:rPr>
          <w:lang w:val="sr-Cyrl-RS"/>
        </w:rPr>
        <w:t>€</w:t>
      </w:r>
      <w:r w:rsidR="00997F7E" w:rsidRPr="00CF77C1">
        <w:rPr>
          <w:lang w:val="sr-Cyrl-RS"/>
        </w:rPr>
        <w:t xml:space="preserve"> - </w:t>
      </w:r>
      <w:r w:rsidR="00B71B24" w:rsidRPr="00CF77C1">
        <w:rPr>
          <w:lang w:val="sr-Cyrl-RS"/>
        </w:rPr>
        <w:t>408</w:t>
      </w:r>
      <w:r w:rsidR="00997F7E" w:rsidRPr="00CF77C1">
        <w:rPr>
          <w:lang w:val="sr-Cyrl-RS"/>
        </w:rPr>
        <w:t xml:space="preserve"> милиона </w:t>
      </w:r>
      <w:r w:rsidR="001716F2" w:rsidRPr="00CF77C1">
        <w:rPr>
          <w:lang w:val="sr-Cyrl-RS"/>
        </w:rPr>
        <w:t>РСД</w:t>
      </w:r>
      <w:r w:rsidR="00997F7E" w:rsidRPr="00CF77C1">
        <w:rPr>
          <w:lang w:val="sr-Cyrl-RS"/>
        </w:rPr>
        <w:t>);</w:t>
      </w:r>
    </w:p>
    <w:p w14:paraId="3D3C3389" w14:textId="402282DF"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110/35/10 kV Лапово (инсталисана снага 31,5 MVA, пројектована снага 2x31,5 MVA, процењена вредност реконструкције 2,35 милиона </w:t>
      </w:r>
      <w:r w:rsidR="006510C8" w:rsidRPr="00CF77C1">
        <w:rPr>
          <w:lang w:val="sr-Cyrl-RS"/>
        </w:rPr>
        <w:t>€</w:t>
      </w:r>
      <w:r w:rsidR="00997F7E" w:rsidRPr="00CF77C1">
        <w:rPr>
          <w:lang w:val="sr-Cyrl-RS"/>
        </w:rPr>
        <w:t xml:space="preserve"> - 2</w:t>
      </w:r>
      <w:r w:rsidR="00B71B24" w:rsidRPr="00CF77C1">
        <w:rPr>
          <w:lang w:val="sr-Cyrl-RS"/>
        </w:rPr>
        <w:t>90</w:t>
      </w:r>
      <w:r w:rsidR="00997F7E" w:rsidRPr="00CF77C1">
        <w:rPr>
          <w:lang w:val="sr-Cyrl-RS"/>
        </w:rPr>
        <w:t xml:space="preserve"> милиона </w:t>
      </w:r>
      <w:r w:rsidR="001716F2" w:rsidRPr="00CF77C1">
        <w:rPr>
          <w:lang w:val="sr-Cyrl-RS"/>
        </w:rPr>
        <w:t>РСД</w:t>
      </w:r>
      <w:r w:rsidR="00997F7E" w:rsidRPr="00CF77C1">
        <w:rPr>
          <w:lang w:val="sr-Cyrl-RS"/>
        </w:rPr>
        <w:t>);</w:t>
      </w:r>
    </w:p>
    <w:p w14:paraId="4991D32E" w14:textId="0F3AF42A"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110/10 kV Крагујевац 5 (Дивље Поље) (инсталисана снага 31,5 MVA, пројектована снага 2x31,5 MVA, процењена вредност реконструкције 3,142 милиона </w:t>
      </w:r>
      <w:r w:rsidR="006510C8" w:rsidRPr="00CF77C1">
        <w:rPr>
          <w:lang w:val="sr-Cyrl-RS"/>
        </w:rPr>
        <w:t>€</w:t>
      </w:r>
      <w:r w:rsidR="00997F7E" w:rsidRPr="00CF77C1">
        <w:rPr>
          <w:lang w:val="sr-Cyrl-RS"/>
        </w:rPr>
        <w:t xml:space="preserve"> - 388 милиона </w:t>
      </w:r>
      <w:r w:rsidR="001716F2" w:rsidRPr="00CF77C1">
        <w:rPr>
          <w:lang w:val="sr-Cyrl-RS"/>
        </w:rPr>
        <w:t>РСД</w:t>
      </w:r>
      <w:r w:rsidR="00997F7E" w:rsidRPr="00CF77C1">
        <w:rPr>
          <w:lang w:val="sr-Cyrl-RS"/>
        </w:rPr>
        <w:t>);</w:t>
      </w:r>
    </w:p>
    <w:p w14:paraId="7A5F5F54" w14:textId="5E3F3F36"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 kV Рашка (инсталисана снага 31,5+20 MVA, пројектована снага 2x31,5 MVA, процењена вредност реконструкције </w:t>
      </w:r>
      <w:r w:rsidR="00B71B24" w:rsidRPr="00CF77C1">
        <w:rPr>
          <w:lang w:val="sr-Cyrl-RS"/>
        </w:rPr>
        <w:t>2,5</w:t>
      </w:r>
      <w:r w:rsidR="00997F7E" w:rsidRPr="00CF77C1">
        <w:rPr>
          <w:lang w:val="sr-Cyrl-RS"/>
        </w:rPr>
        <w:t> милиона </w:t>
      </w:r>
      <w:r w:rsidR="006510C8" w:rsidRPr="00CF77C1">
        <w:rPr>
          <w:lang w:val="sr-Cyrl-RS"/>
        </w:rPr>
        <w:t>€</w:t>
      </w:r>
      <w:r w:rsidR="00997F7E" w:rsidRPr="00CF77C1">
        <w:rPr>
          <w:lang w:val="sr-Cyrl-RS"/>
        </w:rPr>
        <w:t xml:space="preserve"> - </w:t>
      </w:r>
      <w:r w:rsidR="00B71B24" w:rsidRPr="00CF77C1">
        <w:rPr>
          <w:lang w:val="sr-Cyrl-RS"/>
        </w:rPr>
        <w:t>309</w:t>
      </w:r>
      <w:r w:rsidR="00997F7E" w:rsidRPr="00CF77C1">
        <w:rPr>
          <w:lang w:val="sr-Cyrl-RS"/>
        </w:rPr>
        <w:t xml:space="preserve"> милиона </w:t>
      </w:r>
      <w:r w:rsidR="001716F2" w:rsidRPr="00CF77C1">
        <w:rPr>
          <w:lang w:val="sr-Cyrl-RS"/>
        </w:rPr>
        <w:t>РСД</w:t>
      </w:r>
      <w:r w:rsidR="00997F7E" w:rsidRPr="00CF77C1">
        <w:rPr>
          <w:lang w:val="sr-Cyrl-RS"/>
        </w:rPr>
        <w:t>);</w:t>
      </w:r>
    </w:p>
    <w:p w14:paraId="37D90EA1" w14:textId="61CEBD85"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w:t>
      </w:r>
      <w:r w:rsidR="00C42B52" w:rsidRPr="00CF77C1">
        <w:rPr>
          <w:lang w:val="sr-Cyrl-RS"/>
        </w:rPr>
        <w:t>10</w:t>
      </w:r>
      <w:r w:rsidR="00997F7E" w:rsidRPr="00CF77C1">
        <w:rPr>
          <w:lang w:val="sr-Cyrl-RS"/>
        </w:rPr>
        <w:t xml:space="preserve"> kV </w:t>
      </w:r>
      <w:r w:rsidR="00C42B52" w:rsidRPr="00CF77C1">
        <w:rPr>
          <w:lang w:val="sr-Cyrl-RS"/>
        </w:rPr>
        <w:t>Нови Пазар 2</w:t>
      </w:r>
      <w:r w:rsidR="00997F7E" w:rsidRPr="00CF77C1">
        <w:rPr>
          <w:lang w:val="sr-Cyrl-RS"/>
        </w:rPr>
        <w:t xml:space="preserve"> (инсталисана снага 31,5 MVA, пројектована снага 2x31,5 MVA, процењена вредност реконструкције 1,6 милиона </w:t>
      </w:r>
      <w:r w:rsidR="006510C8" w:rsidRPr="00CF77C1">
        <w:rPr>
          <w:lang w:val="sr-Cyrl-RS"/>
        </w:rPr>
        <w:t>€</w:t>
      </w:r>
      <w:r w:rsidR="00997F7E" w:rsidRPr="00CF77C1">
        <w:rPr>
          <w:lang w:val="sr-Cyrl-RS"/>
        </w:rPr>
        <w:t xml:space="preserve"> - </w:t>
      </w:r>
      <w:r w:rsidR="00B71B24" w:rsidRPr="00CF77C1">
        <w:rPr>
          <w:lang w:val="sr-Cyrl-RS"/>
        </w:rPr>
        <w:t>198</w:t>
      </w:r>
      <w:r w:rsidR="00997F7E" w:rsidRPr="00CF77C1">
        <w:rPr>
          <w:lang w:val="sr-Cyrl-RS"/>
        </w:rPr>
        <w:t xml:space="preserve"> милиона </w:t>
      </w:r>
      <w:r w:rsidR="001716F2" w:rsidRPr="00CF77C1">
        <w:rPr>
          <w:lang w:val="sr-Cyrl-RS"/>
        </w:rPr>
        <w:t>РСД</w:t>
      </w:r>
      <w:r w:rsidR="00997F7E" w:rsidRPr="00CF77C1">
        <w:rPr>
          <w:lang w:val="sr-Cyrl-RS"/>
        </w:rPr>
        <w:t>);</w:t>
      </w:r>
    </w:p>
    <w:p w14:paraId="1D130CBC" w14:textId="12B11CA0"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110/10 kV Параћин 3 (инсталисана снага 31,5 MVA, пројектована снага 2x31,5 MVA, процењена вредност реконструкције 0,68 милиона </w:t>
      </w:r>
      <w:r w:rsidR="006510C8" w:rsidRPr="00CF77C1">
        <w:rPr>
          <w:lang w:val="sr-Cyrl-RS"/>
        </w:rPr>
        <w:t>€</w:t>
      </w:r>
      <w:r w:rsidR="00997F7E" w:rsidRPr="00CF77C1">
        <w:rPr>
          <w:lang w:val="sr-Cyrl-RS"/>
        </w:rPr>
        <w:t xml:space="preserve"> - </w:t>
      </w:r>
      <w:r w:rsidR="00B71B24" w:rsidRPr="00CF77C1">
        <w:rPr>
          <w:lang w:val="sr-Cyrl-RS"/>
        </w:rPr>
        <w:t>84</w:t>
      </w:r>
      <w:r w:rsidR="00997F7E" w:rsidRPr="00CF77C1">
        <w:rPr>
          <w:lang w:val="sr-Cyrl-RS"/>
        </w:rPr>
        <w:t xml:space="preserve"> милиона </w:t>
      </w:r>
      <w:r w:rsidR="001716F2" w:rsidRPr="00CF77C1">
        <w:rPr>
          <w:lang w:val="sr-Cyrl-RS"/>
        </w:rPr>
        <w:t>РСД</w:t>
      </w:r>
      <w:r w:rsidR="00997F7E" w:rsidRPr="00CF77C1">
        <w:rPr>
          <w:lang w:val="sr-Cyrl-RS"/>
        </w:rPr>
        <w:t>);</w:t>
      </w:r>
    </w:p>
    <w:p w14:paraId="7EDC3E64" w14:textId="612017FB"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Ћићевац (</w:t>
      </w:r>
      <w:r w:rsidR="00B71B24" w:rsidRPr="00CF77C1">
        <w:rPr>
          <w:lang w:val="sr-Cyrl-RS"/>
        </w:rPr>
        <w:t xml:space="preserve">инсталисана снага 31,5 MVA, пројектована снага 2x31,5 MVA, </w:t>
      </w:r>
      <w:r w:rsidR="00997F7E" w:rsidRPr="00CF77C1">
        <w:rPr>
          <w:lang w:val="sr-Cyrl-RS"/>
        </w:rPr>
        <w:t xml:space="preserve">процењена вредност реконструкције 0,68 милиона </w:t>
      </w:r>
      <w:r w:rsidR="006510C8" w:rsidRPr="00CF77C1">
        <w:rPr>
          <w:lang w:val="sr-Cyrl-RS"/>
        </w:rPr>
        <w:t>€</w:t>
      </w:r>
      <w:r w:rsidR="00997F7E" w:rsidRPr="00CF77C1">
        <w:rPr>
          <w:lang w:val="sr-Cyrl-RS"/>
        </w:rPr>
        <w:t xml:space="preserve"> - </w:t>
      </w:r>
      <w:r w:rsidR="00B71B24" w:rsidRPr="00CF77C1">
        <w:rPr>
          <w:lang w:val="sr-Cyrl-RS"/>
        </w:rPr>
        <w:t>84</w:t>
      </w:r>
      <w:r w:rsidR="00997F7E" w:rsidRPr="00CF77C1">
        <w:rPr>
          <w:lang w:val="sr-Cyrl-RS"/>
        </w:rPr>
        <w:t> милиона </w:t>
      </w:r>
      <w:r w:rsidR="001716F2" w:rsidRPr="00CF77C1">
        <w:rPr>
          <w:lang w:val="sr-Cyrl-RS"/>
        </w:rPr>
        <w:t>РСД</w:t>
      </w:r>
      <w:r w:rsidR="00997F7E" w:rsidRPr="00CF77C1">
        <w:rPr>
          <w:lang w:val="sr-Cyrl-RS"/>
        </w:rPr>
        <w:t>);</w:t>
      </w:r>
    </w:p>
    <w:p w14:paraId="62528813" w14:textId="42C1C04E"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110/35/10 kV Лешница (инсталисана и пројектована снага 2x20 MVA, процењена вредност реконструкције 3 милиона </w:t>
      </w:r>
      <w:r w:rsidR="006510C8" w:rsidRPr="00CF77C1">
        <w:rPr>
          <w:lang w:val="sr-Cyrl-RS"/>
        </w:rPr>
        <w:t>€</w:t>
      </w:r>
      <w:r w:rsidR="00B71B24" w:rsidRPr="00CF77C1">
        <w:rPr>
          <w:lang w:val="sr-Cyrl-RS"/>
        </w:rPr>
        <w:t xml:space="preserve"> - 371</w:t>
      </w:r>
      <w:r w:rsidR="00997F7E" w:rsidRPr="00CF77C1">
        <w:rPr>
          <w:lang w:val="sr-Cyrl-RS"/>
        </w:rPr>
        <w:t> милиона </w:t>
      </w:r>
      <w:r w:rsidR="001716F2" w:rsidRPr="00CF77C1">
        <w:rPr>
          <w:lang w:val="sr-Cyrl-RS"/>
        </w:rPr>
        <w:t>РСД</w:t>
      </w:r>
      <w:r w:rsidR="00997F7E" w:rsidRPr="00CF77C1">
        <w:rPr>
          <w:lang w:val="sr-Cyrl-RS"/>
        </w:rPr>
        <w:t>);</w:t>
      </w:r>
    </w:p>
    <w:p w14:paraId="133B2396" w14:textId="100CF5ED"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 kV Ужице 1 (инсталисана и пројектована снага 2x31,5 MVA, процењена вредност реконструкције 0,72 милиона </w:t>
      </w:r>
      <w:r w:rsidR="006510C8" w:rsidRPr="00CF77C1">
        <w:rPr>
          <w:lang w:val="sr-Cyrl-RS"/>
        </w:rPr>
        <w:t>€</w:t>
      </w:r>
      <w:r w:rsidR="00997F7E" w:rsidRPr="00CF77C1">
        <w:rPr>
          <w:lang w:val="sr-Cyrl-RS"/>
        </w:rPr>
        <w:t xml:space="preserve"> - </w:t>
      </w:r>
      <w:r w:rsidR="00B71B24" w:rsidRPr="00CF77C1">
        <w:rPr>
          <w:lang w:val="sr-Cyrl-RS"/>
        </w:rPr>
        <w:t>89</w:t>
      </w:r>
      <w:r w:rsidR="00997F7E" w:rsidRPr="00CF77C1">
        <w:rPr>
          <w:lang w:val="sr-Cyrl-RS"/>
        </w:rPr>
        <w:t> милиона </w:t>
      </w:r>
      <w:r w:rsidR="001716F2" w:rsidRPr="00CF77C1">
        <w:rPr>
          <w:lang w:val="sr-Cyrl-RS"/>
        </w:rPr>
        <w:t>РСД</w:t>
      </w:r>
      <w:r w:rsidR="00997F7E" w:rsidRPr="00CF77C1">
        <w:rPr>
          <w:lang w:val="sr-Cyrl-RS"/>
        </w:rPr>
        <w:t>);</w:t>
      </w:r>
    </w:p>
    <w:p w14:paraId="5ED0ED6F" w14:textId="1765E747"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110/20 kV Шабац 5 (инсталисана снага 31,5 MVA, пројектована снага 2x31,5 MVA, процењена вредност реконструкције </w:t>
      </w:r>
      <w:r w:rsidR="00B71B24" w:rsidRPr="00CF77C1">
        <w:rPr>
          <w:lang w:val="sr-Cyrl-RS"/>
        </w:rPr>
        <w:t>1,2</w:t>
      </w:r>
      <w:r w:rsidR="00997F7E" w:rsidRPr="00CF77C1">
        <w:rPr>
          <w:lang w:val="sr-Cyrl-RS"/>
        </w:rPr>
        <w:t xml:space="preserve"> милиона </w:t>
      </w:r>
      <w:r w:rsidR="006510C8" w:rsidRPr="00CF77C1">
        <w:rPr>
          <w:lang w:val="sr-Cyrl-RS"/>
        </w:rPr>
        <w:t>€</w:t>
      </w:r>
      <w:r w:rsidR="00997F7E" w:rsidRPr="00CF77C1">
        <w:rPr>
          <w:lang w:val="sr-Cyrl-RS"/>
        </w:rPr>
        <w:t xml:space="preserve"> - </w:t>
      </w:r>
      <w:r w:rsidR="00B71B24" w:rsidRPr="00CF77C1">
        <w:rPr>
          <w:lang w:val="sr-Cyrl-RS"/>
        </w:rPr>
        <w:t>148</w:t>
      </w:r>
      <w:r w:rsidR="00997F7E" w:rsidRPr="00CF77C1">
        <w:rPr>
          <w:lang w:val="sr-Cyrl-RS"/>
        </w:rPr>
        <w:t xml:space="preserve"> милиона </w:t>
      </w:r>
      <w:r w:rsidR="001716F2" w:rsidRPr="00CF77C1">
        <w:rPr>
          <w:lang w:val="sr-Cyrl-RS"/>
        </w:rPr>
        <w:t>РСД</w:t>
      </w:r>
      <w:r w:rsidR="00997F7E" w:rsidRPr="00CF77C1">
        <w:rPr>
          <w:lang w:val="sr-Cyrl-RS"/>
        </w:rPr>
        <w:t>);</w:t>
      </w:r>
    </w:p>
    <w:p w14:paraId="1031A128" w14:textId="78E742EC"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110/35/6,3 kV Шабац 1 (инсталисана снага 3x31,5+20 MVA, пројектована снага 4x31,5 MVA, процењена вредност реконструкције 2,8 милиона </w:t>
      </w:r>
      <w:r w:rsidR="006510C8" w:rsidRPr="00CF77C1">
        <w:rPr>
          <w:lang w:val="sr-Cyrl-RS"/>
        </w:rPr>
        <w:t>€</w:t>
      </w:r>
      <w:r w:rsidR="00B71B24" w:rsidRPr="00CF77C1">
        <w:rPr>
          <w:lang w:val="sr-Cyrl-RS"/>
        </w:rPr>
        <w:t xml:space="preserve"> - 346</w:t>
      </w:r>
      <w:r w:rsidR="00997F7E" w:rsidRPr="00CF77C1">
        <w:rPr>
          <w:lang w:val="sr-Cyrl-RS"/>
        </w:rPr>
        <w:t xml:space="preserve"> милиона </w:t>
      </w:r>
      <w:r w:rsidR="001716F2" w:rsidRPr="00CF77C1">
        <w:rPr>
          <w:lang w:val="sr-Cyrl-RS"/>
        </w:rPr>
        <w:t>РСД</w:t>
      </w:r>
      <w:r w:rsidR="00997F7E" w:rsidRPr="00CF77C1">
        <w:rPr>
          <w:lang w:val="sr-Cyrl-RS"/>
        </w:rPr>
        <w:t>);</w:t>
      </w:r>
    </w:p>
    <w:p w14:paraId="5B00293C" w14:textId="3DF60C8A"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Горњи Милановац</w:t>
      </w:r>
      <w:r w:rsidR="001329A4" w:rsidRPr="00CF77C1">
        <w:rPr>
          <w:lang w:val="sr-Cyrl-RS"/>
        </w:rPr>
        <w:t xml:space="preserve"> 1</w:t>
      </w:r>
      <w:r w:rsidR="00997F7E" w:rsidRPr="00CF77C1">
        <w:rPr>
          <w:lang w:val="sr-Cyrl-RS"/>
        </w:rPr>
        <w:t xml:space="preserve"> (инсталисана и пројектована снага 2x31,5 MVA, процењена вредност реконструкције 2,7 милиона </w:t>
      </w:r>
      <w:r w:rsidR="006510C8" w:rsidRPr="00CF77C1">
        <w:rPr>
          <w:lang w:val="sr-Cyrl-RS"/>
        </w:rPr>
        <w:t>€</w:t>
      </w:r>
      <w:r w:rsidR="00B71B24" w:rsidRPr="00CF77C1">
        <w:rPr>
          <w:lang w:val="sr-Cyrl-RS"/>
        </w:rPr>
        <w:t xml:space="preserve"> - 333</w:t>
      </w:r>
      <w:r w:rsidR="00997F7E" w:rsidRPr="00CF77C1">
        <w:rPr>
          <w:lang w:val="sr-Cyrl-RS"/>
        </w:rPr>
        <w:t xml:space="preserve"> милиона </w:t>
      </w:r>
      <w:r w:rsidR="001716F2" w:rsidRPr="00CF77C1">
        <w:rPr>
          <w:lang w:val="sr-Cyrl-RS"/>
        </w:rPr>
        <w:t>РСД</w:t>
      </w:r>
      <w:r w:rsidR="00997F7E" w:rsidRPr="00CF77C1">
        <w:rPr>
          <w:lang w:val="sr-Cyrl-RS"/>
        </w:rPr>
        <w:t>);</w:t>
      </w:r>
    </w:p>
    <w:p w14:paraId="303ADB5C" w14:textId="0D83F4FC"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110/10 kV Ниш 5 (инсталисана снага 20 MVA, пројектована снага 2</w:t>
      </w:r>
      <w:r w:rsidR="006C31BF" w:rsidRPr="00CF77C1">
        <w:rPr>
          <w:lang w:val="sr-Cyrl-RS"/>
        </w:rPr>
        <w:t>x20</w:t>
      </w:r>
      <w:r w:rsidR="00997F7E" w:rsidRPr="00CF77C1">
        <w:rPr>
          <w:lang w:val="sr-Cyrl-RS"/>
        </w:rPr>
        <w:t xml:space="preserve"> MVA, процењена вредност реконструкције </w:t>
      </w:r>
      <w:r w:rsidR="00B71B24" w:rsidRPr="00CF77C1">
        <w:rPr>
          <w:lang w:val="sr-Cyrl-RS"/>
        </w:rPr>
        <w:t>0,5</w:t>
      </w:r>
      <w:r w:rsidR="00997F7E" w:rsidRPr="00CF77C1">
        <w:rPr>
          <w:lang w:val="sr-Cyrl-RS"/>
        </w:rPr>
        <w:t xml:space="preserve"> милиона </w:t>
      </w:r>
      <w:r w:rsidR="006510C8" w:rsidRPr="00CF77C1">
        <w:rPr>
          <w:lang w:val="sr-Cyrl-RS"/>
        </w:rPr>
        <w:t>€</w:t>
      </w:r>
      <w:r w:rsidR="00997F7E" w:rsidRPr="00CF77C1">
        <w:rPr>
          <w:lang w:val="sr-Cyrl-RS"/>
        </w:rPr>
        <w:t xml:space="preserve"> - 62 милиона </w:t>
      </w:r>
      <w:r w:rsidR="001716F2" w:rsidRPr="00CF77C1">
        <w:rPr>
          <w:lang w:val="sr-Cyrl-RS"/>
        </w:rPr>
        <w:t>РСД</w:t>
      </w:r>
      <w:r w:rsidR="00997F7E" w:rsidRPr="00CF77C1">
        <w:rPr>
          <w:lang w:val="sr-Cyrl-RS"/>
        </w:rPr>
        <w:t>);</w:t>
      </w:r>
    </w:p>
    <w:p w14:paraId="5CFE15DD" w14:textId="02D711A2"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Алексинац (инсталисана снага 31,5+20 MVA, пројектована снага 2x31,5 MVA, процењена вредност реконструкције 3,3 милиона </w:t>
      </w:r>
      <w:r w:rsidR="006510C8" w:rsidRPr="00CF77C1">
        <w:rPr>
          <w:lang w:val="sr-Cyrl-RS"/>
        </w:rPr>
        <w:t>€</w:t>
      </w:r>
      <w:r w:rsidR="00B71B24" w:rsidRPr="00CF77C1">
        <w:rPr>
          <w:lang w:val="sr-Cyrl-RS"/>
        </w:rPr>
        <w:t xml:space="preserve"> - 408</w:t>
      </w:r>
      <w:r w:rsidR="00997F7E" w:rsidRPr="00CF77C1">
        <w:rPr>
          <w:lang w:val="sr-Cyrl-RS"/>
        </w:rPr>
        <w:t xml:space="preserve"> милиона </w:t>
      </w:r>
      <w:r w:rsidR="001716F2" w:rsidRPr="00CF77C1">
        <w:rPr>
          <w:lang w:val="sr-Cyrl-RS"/>
        </w:rPr>
        <w:t>РСД</w:t>
      </w:r>
      <w:r w:rsidR="00997F7E" w:rsidRPr="00CF77C1">
        <w:rPr>
          <w:lang w:val="sr-Cyrl-RS"/>
        </w:rPr>
        <w:t>);</w:t>
      </w:r>
    </w:p>
    <w:p w14:paraId="1A999707" w14:textId="71622E8A"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Ниш 1 (инсталисана и пројектована снага 2</w:t>
      </w:r>
      <w:r w:rsidR="00B71B24" w:rsidRPr="00CF77C1">
        <w:rPr>
          <w:lang w:val="sr-Cyrl-RS"/>
        </w:rPr>
        <w:t>x31,5 </w:t>
      </w:r>
      <w:r w:rsidR="00997F7E" w:rsidRPr="00CF77C1">
        <w:rPr>
          <w:lang w:val="sr-Cyrl-RS"/>
        </w:rPr>
        <w:t xml:space="preserve">MVA, процењена вредност реконструкције </w:t>
      </w:r>
      <w:r w:rsidR="00146161" w:rsidRPr="00CF77C1">
        <w:rPr>
          <w:lang w:val="sr-Cyrl-RS"/>
        </w:rPr>
        <w:t>2</w:t>
      </w:r>
      <w:r w:rsidR="00997F7E" w:rsidRPr="00CF77C1">
        <w:rPr>
          <w:lang w:val="sr-Cyrl-RS"/>
        </w:rPr>
        <w:t xml:space="preserve"> милиона </w:t>
      </w:r>
      <w:r w:rsidR="006510C8" w:rsidRPr="00CF77C1">
        <w:rPr>
          <w:lang w:val="sr-Cyrl-RS"/>
        </w:rPr>
        <w:t>€</w:t>
      </w:r>
      <w:r w:rsidR="00997F7E" w:rsidRPr="00CF77C1">
        <w:rPr>
          <w:lang w:val="sr-Cyrl-RS"/>
        </w:rPr>
        <w:t xml:space="preserve"> - </w:t>
      </w:r>
      <w:r w:rsidR="00B71B24" w:rsidRPr="00CF77C1">
        <w:rPr>
          <w:lang w:val="sr-Cyrl-RS"/>
        </w:rPr>
        <w:t>247</w:t>
      </w:r>
      <w:r w:rsidR="00997F7E" w:rsidRPr="00CF77C1">
        <w:rPr>
          <w:lang w:val="sr-Cyrl-RS"/>
        </w:rPr>
        <w:t xml:space="preserve"> милиона </w:t>
      </w:r>
      <w:r w:rsidR="001716F2" w:rsidRPr="00CF77C1">
        <w:rPr>
          <w:lang w:val="sr-Cyrl-RS"/>
        </w:rPr>
        <w:t>РСД</w:t>
      </w:r>
      <w:r w:rsidR="00997F7E" w:rsidRPr="00CF77C1">
        <w:rPr>
          <w:lang w:val="sr-Cyrl-RS"/>
        </w:rPr>
        <w:t>);</w:t>
      </w:r>
    </w:p>
    <w:p w14:paraId="1143B5EC" w14:textId="5009F5A8"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110/10 kV Ристовац (</w:t>
      </w:r>
      <w:r w:rsidR="00EE7C43" w:rsidRPr="00CF77C1">
        <w:rPr>
          <w:lang w:val="sr-Cyrl-RS"/>
        </w:rPr>
        <w:t xml:space="preserve">инсталисана снага </w:t>
      </w:r>
      <w:r w:rsidR="00997F7E" w:rsidRPr="00CF77C1">
        <w:rPr>
          <w:lang w:val="sr-Cyrl-RS"/>
        </w:rPr>
        <w:t xml:space="preserve">10 MVA, </w:t>
      </w:r>
      <w:r w:rsidR="00EE7C43" w:rsidRPr="00CF77C1">
        <w:rPr>
          <w:lang w:val="sr-Cyrl-RS"/>
        </w:rPr>
        <w:t xml:space="preserve">пројектована снага 2x16 MVA, </w:t>
      </w:r>
      <w:r w:rsidR="00997F7E" w:rsidRPr="00CF77C1">
        <w:rPr>
          <w:lang w:val="sr-Cyrl-RS"/>
        </w:rPr>
        <w:t xml:space="preserve">процењена вредност реконструкције 1 милион </w:t>
      </w:r>
      <w:r w:rsidR="006510C8" w:rsidRPr="00CF77C1">
        <w:rPr>
          <w:lang w:val="sr-Cyrl-RS"/>
        </w:rPr>
        <w:t>€</w:t>
      </w:r>
      <w:r w:rsidR="00B71B24" w:rsidRPr="00CF77C1">
        <w:rPr>
          <w:lang w:val="sr-Cyrl-RS"/>
        </w:rPr>
        <w:t xml:space="preserve"> - 124</w:t>
      </w:r>
      <w:r w:rsidR="00EE7C43" w:rsidRPr="00CF77C1">
        <w:rPr>
          <w:lang w:val="sr-Cyrl-RS"/>
        </w:rPr>
        <w:t> </w:t>
      </w:r>
      <w:r w:rsidR="00997F7E" w:rsidRPr="00CF77C1">
        <w:rPr>
          <w:lang w:val="sr-Cyrl-RS"/>
        </w:rPr>
        <w:t xml:space="preserve">милиона </w:t>
      </w:r>
      <w:r w:rsidR="001716F2" w:rsidRPr="00CF77C1">
        <w:rPr>
          <w:lang w:val="sr-Cyrl-RS"/>
        </w:rPr>
        <w:t>РСД</w:t>
      </w:r>
      <w:r w:rsidR="00997F7E" w:rsidRPr="00CF77C1">
        <w:rPr>
          <w:lang w:val="sr-Cyrl-RS"/>
        </w:rPr>
        <w:t>);</w:t>
      </w:r>
    </w:p>
    <w:p w14:paraId="6DA6D20F" w14:textId="7519BA21"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Пирот 2 (</w:t>
      </w:r>
      <w:r w:rsidR="00EE7C43" w:rsidRPr="00CF77C1">
        <w:rPr>
          <w:lang w:val="sr-Cyrl-RS"/>
        </w:rPr>
        <w:t xml:space="preserve">инсталисана снага 31,5 MVA, пројектована снага 2x31,5 MVA, </w:t>
      </w:r>
      <w:r w:rsidR="00997F7E" w:rsidRPr="00CF77C1">
        <w:rPr>
          <w:lang w:val="sr-Cyrl-RS"/>
        </w:rPr>
        <w:t xml:space="preserve">процењена вредност реконструкције 1 милион </w:t>
      </w:r>
      <w:r w:rsidR="006510C8" w:rsidRPr="00CF77C1">
        <w:rPr>
          <w:lang w:val="sr-Cyrl-RS"/>
        </w:rPr>
        <w:t>€</w:t>
      </w:r>
      <w:r w:rsidR="00B71B24" w:rsidRPr="00CF77C1">
        <w:rPr>
          <w:lang w:val="sr-Cyrl-RS"/>
        </w:rPr>
        <w:t xml:space="preserve"> - 124</w:t>
      </w:r>
      <w:r w:rsidR="00EE7C43" w:rsidRPr="00CF77C1">
        <w:rPr>
          <w:lang w:val="sr-Cyrl-RS"/>
        </w:rPr>
        <w:t> </w:t>
      </w:r>
      <w:r w:rsidR="00997F7E" w:rsidRPr="00CF77C1">
        <w:rPr>
          <w:lang w:val="sr-Cyrl-RS"/>
        </w:rPr>
        <w:t xml:space="preserve">милиона </w:t>
      </w:r>
      <w:r w:rsidR="001716F2" w:rsidRPr="00CF77C1">
        <w:rPr>
          <w:lang w:val="sr-Cyrl-RS"/>
        </w:rPr>
        <w:t>РСД</w:t>
      </w:r>
      <w:r w:rsidR="00997F7E" w:rsidRPr="00CF77C1">
        <w:rPr>
          <w:lang w:val="sr-Cyrl-RS"/>
        </w:rPr>
        <w:t>);</w:t>
      </w:r>
    </w:p>
    <w:p w14:paraId="33D5738C" w14:textId="7433B881"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Власотинце (</w:t>
      </w:r>
      <w:r w:rsidR="00EE7C43" w:rsidRPr="00CF77C1">
        <w:rPr>
          <w:lang w:val="sr-Cyrl-RS"/>
        </w:rPr>
        <w:t xml:space="preserve">инсталисана снага 31,5 MVA, пројектована снага 2x31,5 MVA, </w:t>
      </w:r>
      <w:r w:rsidR="00997F7E" w:rsidRPr="00CF77C1">
        <w:rPr>
          <w:lang w:val="sr-Cyrl-RS"/>
        </w:rPr>
        <w:t>процењена вредност реконструкције 1</w:t>
      </w:r>
      <w:r w:rsidR="00EE7C43" w:rsidRPr="00CF77C1">
        <w:rPr>
          <w:lang w:val="sr-Cyrl-RS"/>
        </w:rPr>
        <w:t> </w:t>
      </w:r>
      <w:r w:rsidR="00997F7E" w:rsidRPr="00CF77C1">
        <w:rPr>
          <w:lang w:val="sr-Cyrl-RS"/>
        </w:rPr>
        <w:t>милион</w:t>
      </w:r>
      <w:r w:rsidR="00EE7C43" w:rsidRPr="00CF77C1">
        <w:rPr>
          <w:lang w:val="sr-Cyrl-RS"/>
        </w:rPr>
        <w:t> </w:t>
      </w:r>
      <w:r w:rsidR="006510C8" w:rsidRPr="00CF77C1">
        <w:rPr>
          <w:lang w:val="sr-Cyrl-RS"/>
        </w:rPr>
        <w:t>€</w:t>
      </w:r>
      <w:r w:rsidR="00997F7E" w:rsidRPr="00CF77C1">
        <w:rPr>
          <w:lang w:val="sr-Cyrl-RS"/>
        </w:rPr>
        <w:t xml:space="preserve"> - 1</w:t>
      </w:r>
      <w:r w:rsidR="006F0B1C" w:rsidRPr="00CF77C1">
        <w:rPr>
          <w:lang w:val="sr-Cyrl-RS"/>
        </w:rPr>
        <w:t>24</w:t>
      </w:r>
      <w:r w:rsidR="00997F7E" w:rsidRPr="00CF77C1">
        <w:rPr>
          <w:lang w:val="sr-Cyrl-RS"/>
        </w:rPr>
        <w:t xml:space="preserve"> милиона </w:t>
      </w:r>
      <w:r w:rsidR="001716F2" w:rsidRPr="00CF77C1">
        <w:rPr>
          <w:lang w:val="sr-Cyrl-RS"/>
        </w:rPr>
        <w:t>РСД</w:t>
      </w:r>
      <w:r w:rsidR="00997F7E" w:rsidRPr="00CF77C1">
        <w:rPr>
          <w:lang w:val="sr-Cyrl-RS"/>
        </w:rPr>
        <w:t>);</w:t>
      </w:r>
    </w:p>
    <w:p w14:paraId="1EBEA37E" w14:textId="4A0E9BBE"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Бор 1 (</w:t>
      </w:r>
      <w:r w:rsidR="00EE7C43" w:rsidRPr="00CF77C1">
        <w:rPr>
          <w:lang w:val="sr-Cyrl-RS"/>
        </w:rPr>
        <w:t xml:space="preserve">инсталисана и пројектована снага </w:t>
      </w:r>
      <w:r w:rsidR="00997F7E" w:rsidRPr="00CF77C1">
        <w:rPr>
          <w:lang w:val="sr-Cyrl-RS"/>
        </w:rPr>
        <w:t>2x31,5</w:t>
      </w:r>
      <w:r w:rsidR="00EE7C43" w:rsidRPr="00CF77C1">
        <w:rPr>
          <w:lang w:val="sr-Cyrl-RS"/>
        </w:rPr>
        <w:t> </w:t>
      </w:r>
      <w:r w:rsidR="00997F7E" w:rsidRPr="00CF77C1">
        <w:rPr>
          <w:lang w:val="sr-Cyrl-RS"/>
        </w:rPr>
        <w:t>MVA, процењена вредност реконструкције 2</w:t>
      </w:r>
      <w:r w:rsidR="006F0B1C" w:rsidRPr="00CF77C1">
        <w:rPr>
          <w:lang w:val="sr-Cyrl-RS"/>
        </w:rPr>
        <w:t>,5</w:t>
      </w:r>
      <w:r w:rsidR="00997F7E" w:rsidRPr="00CF77C1">
        <w:rPr>
          <w:lang w:val="sr-Cyrl-RS"/>
        </w:rPr>
        <w:t xml:space="preserve"> милиона </w:t>
      </w:r>
      <w:r w:rsidR="006510C8" w:rsidRPr="00CF77C1">
        <w:rPr>
          <w:lang w:val="sr-Cyrl-RS"/>
        </w:rPr>
        <w:t>€</w:t>
      </w:r>
      <w:r w:rsidR="00997F7E" w:rsidRPr="00CF77C1">
        <w:rPr>
          <w:lang w:val="sr-Cyrl-RS"/>
        </w:rPr>
        <w:t xml:space="preserve"> - </w:t>
      </w:r>
      <w:r w:rsidR="006F0B1C" w:rsidRPr="00CF77C1">
        <w:rPr>
          <w:lang w:val="sr-Cyrl-RS"/>
        </w:rPr>
        <w:t>309</w:t>
      </w:r>
      <w:r w:rsidR="00997F7E" w:rsidRPr="00CF77C1">
        <w:rPr>
          <w:lang w:val="sr-Cyrl-RS"/>
        </w:rPr>
        <w:t xml:space="preserve"> милиона </w:t>
      </w:r>
      <w:r w:rsidR="001716F2" w:rsidRPr="00CF77C1">
        <w:rPr>
          <w:lang w:val="sr-Cyrl-RS"/>
        </w:rPr>
        <w:t>РСД</w:t>
      </w:r>
      <w:r w:rsidR="00997F7E" w:rsidRPr="00CF77C1">
        <w:rPr>
          <w:lang w:val="sr-Cyrl-RS"/>
        </w:rPr>
        <w:t>);</w:t>
      </w:r>
    </w:p>
    <w:p w14:paraId="1292E641" w14:textId="4854E49E" w:rsidR="006F0B1C"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Врање 1 (</w:t>
      </w:r>
      <w:r w:rsidR="00EE7C43" w:rsidRPr="00CF77C1">
        <w:rPr>
          <w:lang w:val="sr-Cyrl-RS"/>
        </w:rPr>
        <w:t xml:space="preserve">инсталисана и пројектована снага </w:t>
      </w:r>
      <w:r w:rsidR="00997F7E" w:rsidRPr="00CF77C1">
        <w:rPr>
          <w:lang w:val="sr-Cyrl-RS"/>
        </w:rPr>
        <w:t>2x</w:t>
      </w:r>
      <w:r w:rsidR="00EE7C43" w:rsidRPr="00CF77C1">
        <w:rPr>
          <w:lang w:val="sr-Cyrl-RS"/>
        </w:rPr>
        <w:t>31,5 </w:t>
      </w:r>
      <w:r w:rsidR="00997F7E" w:rsidRPr="00CF77C1">
        <w:rPr>
          <w:lang w:val="sr-Cyrl-RS"/>
        </w:rPr>
        <w:t xml:space="preserve">MVA, процењена вредност реконструкције </w:t>
      </w:r>
      <w:r w:rsidR="006F0B1C" w:rsidRPr="00CF77C1">
        <w:rPr>
          <w:lang w:val="sr-Cyrl-RS"/>
        </w:rPr>
        <w:t>2,5 милиона € - 309 милиона РСД);</w:t>
      </w:r>
    </w:p>
    <w:p w14:paraId="2897F80C" w14:textId="7B82C811"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Куршумлија (</w:t>
      </w:r>
      <w:r w:rsidR="00EE7C43" w:rsidRPr="00CF77C1">
        <w:rPr>
          <w:lang w:val="sr-Cyrl-RS"/>
        </w:rPr>
        <w:t xml:space="preserve">инсталисана снага 31,5 MVA, пројектована снага 2x31,5 MVA, </w:t>
      </w:r>
      <w:r w:rsidR="00997F7E" w:rsidRPr="00CF77C1">
        <w:rPr>
          <w:lang w:val="sr-Cyrl-RS"/>
        </w:rPr>
        <w:t xml:space="preserve">процењена вредност реконструкције </w:t>
      </w:r>
      <w:r w:rsidR="006F0B1C" w:rsidRPr="00CF77C1">
        <w:rPr>
          <w:lang w:val="sr-Cyrl-RS"/>
        </w:rPr>
        <w:t>2,5 милиона € - 309 милиона РСД);</w:t>
      </w:r>
    </w:p>
    <w:p w14:paraId="6913B32F" w14:textId="6E362C7A"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Зрењанин 1 (</w:t>
      </w:r>
      <w:r w:rsidR="00EE7C43" w:rsidRPr="00CF77C1">
        <w:rPr>
          <w:lang w:val="sr-Cyrl-RS"/>
        </w:rPr>
        <w:t>инсталисана и пројектована снага 2</w:t>
      </w:r>
      <w:r w:rsidR="00997F7E" w:rsidRPr="00CF77C1">
        <w:rPr>
          <w:lang w:val="sr-Cyrl-RS"/>
        </w:rPr>
        <w:t xml:space="preserve">x31,5MVA, процењена вредност реконструкције 2,59 милиона </w:t>
      </w:r>
      <w:r w:rsidR="006510C8" w:rsidRPr="00CF77C1">
        <w:rPr>
          <w:lang w:val="sr-Cyrl-RS"/>
        </w:rPr>
        <w:t>€</w:t>
      </w:r>
      <w:r w:rsidR="00EE7C43" w:rsidRPr="00CF77C1">
        <w:rPr>
          <w:lang w:val="sr-Cyrl-RS"/>
        </w:rPr>
        <w:t xml:space="preserve"> - 320 милиона </w:t>
      </w:r>
      <w:r w:rsidR="001716F2" w:rsidRPr="00CF77C1">
        <w:rPr>
          <w:lang w:val="sr-Cyrl-RS"/>
        </w:rPr>
        <w:t>РСД</w:t>
      </w:r>
      <w:r w:rsidR="00997F7E" w:rsidRPr="00CF77C1">
        <w:rPr>
          <w:lang w:val="sr-Cyrl-RS"/>
        </w:rPr>
        <w:t>);</w:t>
      </w:r>
    </w:p>
    <w:p w14:paraId="33CDEF36" w14:textId="2FD3027F"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Нови Сад 4 (</w:t>
      </w:r>
      <w:r w:rsidR="00EE7C43" w:rsidRPr="00CF77C1">
        <w:rPr>
          <w:lang w:val="sr-Cyrl-RS"/>
        </w:rPr>
        <w:t xml:space="preserve">инсталисана и пројектована снага </w:t>
      </w:r>
      <w:r w:rsidR="00997F7E" w:rsidRPr="00CF77C1">
        <w:rPr>
          <w:lang w:val="sr-Cyrl-RS"/>
        </w:rPr>
        <w:t>2x63</w:t>
      </w:r>
      <w:r w:rsidR="00EE7C43" w:rsidRPr="00CF77C1">
        <w:rPr>
          <w:lang w:val="sr-Cyrl-RS"/>
        </w:rPr>
        <w:t> </w:t>
      </w:r>
      <w:r w:rsidR="00997F7E" w:rsidRPr="00CF77C1">
        <w:rPr>
          <w:lang w:val="sr-Cyrl-RS"/>
        </w:rPr>
        <w:t xml:space="preserve">MVA, процењена вредност реконструкције 2,45 милиона </w:t>
      </w:r>
      <w:r w:rsidR="006510C8" w:rsidRPr="00CF77C1">
        <w:rPr>
          <w:lang w:val="sr-Cyrl-RS"/>
        </w:rPr>
        <w:t>€</w:t>
      </w:r>
      <w:r w:rsidR="006F0B1C" w:rsidRPr="00CF77C1">
        <w:rPr>
          <w:lang w:val="sr-Cyrl-RS"/>
        </w:rPr>
        <w:t xml:space="preserve"> - 303</w:t>
      </w:r>
      <w:r w:rsidR="00EE7C43" w:rsidRPr="00CF77C1">
        <w:rPr>
          <w:lang w:val="sr-Cyrl-RS"/>
        </w:rPr>
        <w:t> милиона </w:t>
      </w:r>
      <w:r w:rsidR="001716F2" w:rsidRPr="00CF77C1">
        <w:rPr>
          <w:lang w:val="sr-Cyrl-RS"/>
        </w:rPr>
        <w:t>РСД</w:t>
      </w:r>
      <w:r w:rsidR="00997F7E" w:rsidRPr="00CF77C1">
        <w:rPr>
          <w:lang w:val="sr-Cyrl-RS"/>
        </w:rPr>
        <w:t>);</w:t>
      </w:r>
    </w:p>
    <w:p w14:paraId="7E5EBBFC" w14:textId="3D666906" w:rsidR="001716F2"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1716F2" w:rsidRPr="00CF77C1">
        <w:rPr>
          <w:lang w:val="sr-Cyrl-RS"/>
        </w:rPr>
        <w:t xml:space="preserve">еконструкција ТС 110/20 kV Нови Сад 5 (инсталисана и пројектована снага 2x31,5 MVA, процењена вредност реконструкције </w:t>
      </w:r>
      <w:r w:rsidR="006F0B1C" w:rsidRPr="00CF77C1">
        <w:rPr>
          <w:lang w:val="sr-Cyrl-RS"/>
        </w:rPr>
        <w:t>3,</w:t>
      </w:r>
      <w:r w:rsidR="001716F2" w:rsidRPr="00CF77C1">
        <w:rPr>
          <w:lang w:val="sr-Cyrl-RS"/>
        </w:rPr>
        <w:t xml:space="preserve">2 милиона </w:t>
      </w:r>
      <w:r w:rsidR="006510C8" w:rsidRPr="00CF77C1">
        <w:rPr>
          <w:lang w:val="sr-Cyrl-RS"/>
        </w:rPr>
        <w:t>€</w:t>
      </w:r>
      <w:r w:rsidR="001716F2" w:rsidRPr="00CF77C1">
        <w:rPr>
          <w:lang w:val="sr-Cyrl-RS"/>
        </w:rPr>
        <w:t xml:space="preserve"> - </w:t>
      </w:r>
      <w:r w:rsidR="006F0B1C" w:rsidRPr="00CF77C1">
        <w:rPr>
          <w:lang w:val="sr-Cyrl-RS"/>
        </w:rPr>
        <w:t>395</w:t>
      </w:r>
      <w:r w:rsidR="001716F2" w:rsidRPr="00CF77C1">
        <w:rPr>
          <w:lang w:val="sr-Cyrl-RS"/>
        </w:rPr>
        <w:t xml:space="preserve"> милиона РСД);</w:t>
      </w:r>
    </w:p>
    <w:p w14:paraId="135EBCCB" w14:textId="00E1BF67" w:rsidR="001716F2"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1716F2" w:rsidRPr="00CF77C1">
        <w:rPr>
          <w:lang w:val="sr-Cyrl-RS"/>
        </w:rPr>
        <w:t xml:space="preserve">еконструкција ТС 110/35/20 kV Суботица 1 (инсталисана и пројектована снага 2x31,5+20 MVA, процењена вредност реконструкције </w:t>
      </w:r>
      <w:r w:rsidR="006F0B1C" w:rsidRPr="00CF77C1">
        <w:rPr>
          <w:lang w:val="sr-Cyrl-RS"/>
        </w:rPr>
        <w:t>1</w:t>
      </w:r>
      <w:r w:rsidR="001C1467" w:rsidRPr="00CF77C1">
        <w:rPr>
          <w:lang w:val="sr-Cyrl-RS"/>
        </w:rPr>
        <w:t>,676</w:t>
      </w:r>
      <w:r w:rsidR="006F0B1C" w:rsidRPr="00CF77C1">
        <w:rPr>
          <w:lang w:val="sr-Cyrl-RS"/>
        </w:rPr>
        <w:t xml:space="preserve"> милион</w:t>
      </w:r>
      <w:r w:rsidR="001C1467" w:rsidRPr="00CF77C1">
        <w:rPr>
          <w:lang w:val="sr-Cyrl-RS"/>
        </w:rPr>
        <w:t>а</w:t>
      </w:r>
      <w:r w:rsidR="001716F2" w:rsidRPr="00CF77C1">
        <w:rPr>
          <w:lang w:val="sr-Cyrl-RS"/>
        </w:rPr>
        <w:t xml:space="preserve"> </w:t>
      </w:r>
      <w:r w:rsidR="006510C8" w:rsidRPr="00CF77C1">
        <w:rPr>
          <w:lang w:val="sr-Cyrl-RS"/>
        </w:rPr>
        <w:t>€</w:t>
      </w:r>
      <w:r w:rsidR="001716F2" w:rsidRPr="00CF77C1">
        <w:rPr>
          <w:lang w:val="sr-Cyrl-RS"/>
        </w:rPr>
        <w:t xml:space="preserve"> - </w:t>
      </w:r>
      <w:r w:rsidR="001C1467" w:rsidRPr="00CF77C1">
        <w:rPr>
          <w:lang w:val="sr-Cyrl-RS"/>
        </w:rPr>
        <w:t>207</w:t>
      </w:r>
      <w:r w:rsidR="001716F2" w:rsidRPr="00CF77C1">
        <w:rPr>
          <w:lang w:val="sr-Cyrl-RS"/>
        </w:rPr>
        <w:t xml:space="preserve"> милиона РСД);</w:t>
      </w:r>
    </w:p>
    <w:p w14:paraId="347D702B" w14:textId="12497335" w:rsidR="001716F2"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1716F2" w:rsidRPr="00CF77C1">
        <w:rPr>
          <w:lang w:val="sr-Cyrl-RS"/>
        </w:rPr>
        <w:t xml:space="preserve">еконструкција ТС 110/35 kV Кикинда 1 (инсталисана и пројектована снага 2x31,5 MVA, процењена вредност реконструкције 3,03 милиона </w:t>
      </w:r>
      <w:r w:rsidR="006510C8" w:rsidRPr="00CF77C1">
        <w:rPr>
          <w:lang w:val="sr-Cyrl-RS"/>
        </w:rPr>
        <w:t>€</w:t>
      </w:r>
      <w:r w:rsidR="001716F2" w:rsidRPr="00CF77C1">
        <w:rPr>
          <w:lang w:val="sr-Cyrl-RS"/>
        </w:rPr>
        <w:t xml:space="preserve"> - 374 милиона РСД);</w:t>
      </w:r>
    </w:p>
    <w:p w14:paraId="4B44F2D8" w14:textId="28E667D9"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110/10 kV ФОБ (</w:t>
      </w:r>
      <w:r w:rsidR="00EE7C43" w:rsidRPr="00CF77C1">
        <w:rPr>
          <w:lang w:val="sr-Cyrl-RS"/>
        </w:rPr>
        <w:t xml:space="preserve">инсталисана и пројектована снага </w:t>
      </w:r>
      <w:r w:rsidR="00997F7E" w:rsidRPr="00CF77C1">
        <w:rPr>
          <w:lang w:val="sr-Cyrl-RS"/>
        </w:rPr>
        <w:t>2x31,5 MVA, про</w:t>
      </w:r>
      <w:r w:rsidR="006F0B1C" w:rsidRPr="00CF77C1">
        <w:rPr>
          <w:lang w:val="sr-Cyrl-RS"/>
        </w:rPr>
        <w:t>цењена вредност реконструкције 3,17</w:t>
      </w:r>
      <w:r w:rsidR="00997F7E" w:rsidRPr="00CF77C1">
        <w:rPr>
          <w:lang w:val="sr-Cyrl-RS"/>
        </w:rPr>
        <w:t xml:space="preserve"> милиона </w:t>
      </w:r>
      <w:r w:rsidR="006510C8" w:rsidRPr="00CF77C1">
        <w:rPr>
          <w:lang w:val="sr-Cyrl-RS"/>
        </w:rPr>
        <w:t>€</w:t>
      </w:r>
      <w:r w:rsidR="00997F7E" w:rsidRPr="00CF77C1">
        <w:rPr>
          <w:lang w:val="sr-Cyrl-RS"/>
        </w:rPr>
        <w:t xml:space="preserve"> - 3</w:t>
      </w:r>
      <w:r w:rsidR="006F0B1C" w:rsidRPr="00CF77C1">
        <w:rPr>
          <w:lang w:val="sr-Cyrl-RS"/>
        </w:rPr>
        <w:t>91</w:t>
      </w:r>
      <w:r w:rsidR="00997F7E" w:rsidRPr="00CF77C1">
        <w:rPr>
          <w:lang w:val="sr-Cyrl-RS"/>
        </w:rPr>
        <w:t xml:space="preserve"> милиона </w:t>
      </w:r>
      <w:r w:rsidR="001716F2" w:rsidRPr="00CF77C1">
        <w:rPr>
          <w:lang w:val="sr-Cyrl-RS"/>
        </w:rPr>
        <w:t>РСД</w:t>
      </w:r>
      <w:r w:rsidR="00997F7E" w:rsidRPr="00CF77C1">
        <w:rPr>
          <w:lang w:val="sr-Cyrl-RS"/>
        </w:rPr>
        <w:t>);</w:t>
      </w:r>
    </w:p>
    <w:p w14:paraId="2F251E6A" w14:textId="0F2BE80F"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 xml:space="preserve">еконструкција ТС 110/35/10 kV Београд 1 (2x40+31,5+30 MVA, </w:t>
      </w:r>
      <w:r w:rsidR="00EE7C43" w:rsidRPr="00CF77C1">
        <w:rPr>
          <w:lang w:val="sr-Cyrl-RS"/>
        </w:rPr>
        <w:t xml:space="preserve">пројектована снага 2x40+2x31,5 MVA, </w:t>
      </w:r>
      <w:r w:rsidR="00997F7E" w:rsidRPr="00CF77C1">
        <w:rPr>
          <w:lang w:val="sr-Cyrl-RS"/>
        </w:rPr>
        <w:t xml:space="preserve">процењена вредност реконструкције </w:t>
      </w:r>
      <w:r w:rsidR="006F0B1C" w:rsidRPr="00CF77C1">
        <w:rPr>
          <w:lang w:val="sr-Cyrl-RS"/>
        </w:rPr>
        <w:t>3,17 милиона € - 391 милиона РСД);</w:t>
      </w:r>
    </w:p>
    <w:p w14:paraId="3E0C8919" w14:textId="5A179D23"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Београд 6 (</w:t>
      </w:r>
      <w:r w:rsidR="00EE7C43" w:rsidRPr="00CF77C1">
        <w:rPr>
          <w:lang w:val="sr-Cyrl-RS"/>
        </w:rPr>
        <w:t xml:space="preserve">инсталисана снага </w:t>
      </w:r>
      <w:r w:rsidR="00997F7E" w:rsidRPr="00CF77C1">
        <w:rPr>
          <w:lang w:val="sr-Cyrl-RS"/>
        </w:rPr>
        <w:t xml:space="preserve">63+60 MVA, </w:t>
      </w:r>
      <w:r w:rsidR="00EE7C43" w:rsidRPr="00CF77C1">
        <w:rPr>
          <w:lang w:val="sr-Cyrl-RS"/>
        </w:rPr>
        <w:t xml:space="preserve">пројектована снага 2x63 MVA, </w:t>
      </w:r>
      <w:r w:rsidR="00997F7E" w:rsidRPr="00CF77C1">
        <w:rPr>
          <w:lang w:val="sr-Cyrl-RS"/>
        </w:rPr>
        <w:t>процењена вредност реконструкције 4,891</w:t>
      </w:r>
      <w:r w:rsidR="00EE7C43" w:rsidRPr="00CF77C1">
        <w:rPr>
          <w:lang w:val="sr-Cyrl-RS"/>
        </w:rPr>
        <w:t> </w:t>
      </w:r>
      <w:r w:rsidR="00997F7E" w:rsidRPr="00CF77C1">
        <w:rPr>
          <w:lang w:val="sr-Cyrl-RS"/>
        </w:rPr>
        <w:t>милиона</w:t>
      </w:r>
      <w:r w:rsidR="00EE7C43" w:rsidRPr="00CF77C1">
        <w:rPr>
          <w:lang w:val="sr-Cyrl-RS"/>
        </w:rPr>
        <w:t> </w:t>
      </w:r>
      <w:r w:rsidR="006510C8" w:rsidRPr="00CF77C1">
        <w:rPr>
          <w:lang w:val="sr-Cyrl-RS"/>
        </w:rPr>
        <w:t>€</w:t>
      </w:r>
      <w:r w:rsidR="00997F7E" w:rsidRPr="00CF77C1">
        <w:rPr>
          <w:lang w:val="sr-Cyrl-RS"/>
        </w:rPr>
        <w:t xml:space="preserve"> - 604 милиона </w:t>
      </w:r>
      <w:r w:rsidR="001716F2" w:rsidRPr="00CF77C1">
        <w:rPr>
          <w:lang w:val="sr-Cyrl-RS"/>
        </w:rPr>
        <w:t>РСД</w:t>
      </w:r>
      <w:r w:rsidR="00997F7E" w:rsidRPr="00CF77C1">
        <w:rPr>
          <w:lang w:val="sr-Cyrl-RS"/>
        </w:rPr>
        <w:t>);</w:t>
      </w:r>
    </w:p>
    <w:p w14:paraId="01F44D97" w14:textId="0D8A73A6"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Београд 2 (</w:t>
      </w:r>
      <w:r w:rsidR="00EE7C43" w:rsidRPr="00CF77C1">
        <w:rPr>
          <w:lang w:val="sr-Cyrl-RS"/>
        </w:rPr>
        <w:t xml:space="preserve">инсталисана снага </w:t>
      </w:r>
      <w:r w:rsidR="00997F7E" w:rsidRPr="00CF77C1">
        <w:rPr>
          <w:lang w:val="sr-Cyrl-RS"/>
        </w:rPr>
        <w:t>2x31,5</w:t>
      </w:r>
      <w:r w:rsidR="00EE7C43" w:rsidRPr="00CF77C1">
        <w:rPr>
          <w:lang w:val="sr-Cyrl-RS"/>
        </w:rPr>
        <w:t> </w:t>
      </w:r>
      <w:r w:rsidR="00997F7E" w:rsidRPr="00CF77C1">
        <w:rPr>
          <w:lang w:val="sr-Cyrl-RS"/>
        </w:rPr>
        <w:t xml:space="preserve">MVA, </w:t>
      </w:r>
      <w:r w:rsidR="006F517C" w:rsidRPr="00CF77C1">
        <w:rPr>
          <w:lang w:val="sr-Cyrl-RS"/>
        </w:rPr>
        <w:t xml:space="preserve">пројектована снага 2x63 MVA, </w:t>
      </w:r>
      <w:r w:rsidR="00997F7E" w:rsidRPr="00CF77C1">
        <w:rPr>
          <w:lang w:val="sr-Cyrl-RS"/>
        </w:rPr>
        <w:t>про</w:t>
      </w:r>
      <w:r w:rsidR="006F0B1C" w:rsidRPr="00CF77C1">
        <w:rPr>
          <w:lang w:val="sr-Cyrl-RS"/>
        </w:rPr>
        <w:t>цењена вредност реконструкције 3,17</w:t>
      </w:r>
      <w:r w:rsidR="00997F7E" w:rsidRPr="00CF77C1">
        <w:rPr>
          <w:lang w:val="sr-Cyrl-RS"/>
        </w:rPr>
        <w:t xml:space="preserve"> милиона</w:t>
      </w:r>
      <w:r w:rsidR="006F517C" w:rsidRPr="00CF77C1">
        <w:rPr>
          <w:lang w:val="sr-Cyrl-RS"/>
        </w:rPr>
        <w:t> </w:t>
      </w:r>
      <w:r w:rsidR="006510C8" w:rsidRPr="00CF77C1">
        <w:rPr>
          <w:lang w:val="sr-Cyrl-RS"/>
        </w:rPr>
        <w:t>€</w:t>
      </w:r>
      <w:r w:rsidR="00EE7C43" w:rsidRPr="00CF77C1">
        <w:rPr>
          <w:lang w:val="sr-Cyrl-RS"/>
        </w:rPr>
        <w:t xml:space="preserve"> - </w:t>
      </w:r>
      <w:r w:rsidR="006F0B1C" w:rsidRPr="00CF77C1">
        <w:rPr>
          <w:lang w:val="sr-Cyrl-RS"/>
        </w:rPr>
        <w:t>391</w:t>
      </w:r>
      <w:r w:rsidR="00EE7C43" w:rsidRPr="00CF77C1">
        <w:rPr>
          <w:lang w:val="sr-Cyrl-RS"/>
        </w:rPr>
        <w:t> </w:t>
      </w:r>
      <w:r w:rsidR="00997F7E" w:rsidRPr="00CF77C1">
        <w:rPr>
          <w:lang w:val="sr-Cyrl-RS"/>
        </w:rPr>
        <w:t xml:space="preserve">милиона </w:t>
      </w:r>
      <w:r w:rsidR="001716F2" w:rsidRPr="00CF77C1">
        <w:rPr>
          <w:lang w:val="sr-Cyrl-RS"/>
        </w:rPr>
        <w:t>РСД</w:t>
      </w:r>
      <w:r w:rsidR="00997F7E" w:rsidRPr="00CF77C1">
        <w:rPr>
          <w:lang w:val="sr-Cyrl-RS"/>
        </w:rPr>
        <w:t>);</w:t>
      </w:r>
    </w:p>
    <w:p w14:paraId="1451549A" w14:textId="2E06E5D9"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Београд 9 (</w:t>
      </w:r>
      <w:r w:rsidR="00EE7C43" w:rsidRPr="00CF77C1">
        <w:rPr>
          <w:lang w:val="sr-Cyrl-RS"/>
        </w:rPr>
        <w:t xml:space="preserve">инсталисана и пројектована снага </w:t>
      </w:r>
      <w:r w:rsidR="00997F7E" w:rsidRPr="00CF77C1">
        <w:rPr>
          <w:lang w:val="sr-Cyrl-RS"/>
        </w:rPr>
        <w:t>2x63</w:t>
      </w:r>
      <w:r w:rsidR="00EE7C43" w:rsidRPr="00CF77C1">
        <w:rPr>
          <w:lang w:val="sr-Cyrl-RS"/>
        </w:rPr>
        <w:t> </w:t>
      </w:r>
      <w:r w:rsidR="00997F7E" w:rsidRPr="00CF77C1">
        <w:rPr>
          <w:lang w:val="sr-Cyrl-RS"/>
        </w:rPr>
        <w:t xml:space="preserve">MVA, процењена вредност реконструкције </w:t>
      </w:r>
      <w:r w:rsidR="006F0B1C" w:rsidRPr="00CF77C1">
        <w:rPr>
          <w:lang w:val="sr-Cyrl-RS"/>
        </w:rPr>
        <w:t>3,17 милиона € - 391 милиона РСД);</w:t>
      </w:r>
    </w:p>
    <w:p w14:paraId="0F275B03" w14:textId="5208E381" w:rsidR="00997F7E"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Београд 7 (</w:t>
      </w:r>
      <w:r w:rsidR="00EE7C43" w:rsidRPr="00CF77C1">
        <w:rPr>
          <w:lang w:val="sr-Cyrl-RS"/>
        </w:rPr>
        <w:t xml:space="preserve">инсталисана и пројектована снага </w:t>
      </w:r>
      <w:r w:rsidR="00997F7E" w:rsidRPr="00CF77C1">
        <w:rPr>
          <w:lang w:val="sr-Cyrl-RS"/>
        </w:rPr>
        <w:t>2x63</w:t>
      </w:r>
      <w:r w:rsidR="00EE7C43" w:rsidRPr="00CF77C1">
        <w:rPr>
          <w:lang w:val="sr-Cyrl-RS"/>
        </w:rPr>
        <w:t> </w:t>
      </w:r>
      <w:r w:rsidR="00997F7E" w:rsidRPr="00CF77C1">
        <w:rPr>
          <w:lang w:val="sr-Cyrl-RS"/>
        </w:rPr>
        <w:t xml:space="preserve">MVA, процењена вредност реконструкције </w:t>
      </w:r>
      <w:r w:rsidR="006F0B1C" w:rsidRPr="00CF77C1">
        <w:rPr>
          <w:lang w:val="sr-Cyrl-RS"/>
        </w:rPr>
        <w:t>3,17 милиона € - 391 милиона РСД);</w:t>
      </w:r>
    </w:p>
    <w:p w14:paraId="73DB3C02" w14:textId="2524B012" w:rsidR="00F23030" w:rsidRPr="00CF77C1" w:rsidRDefault="00775311" w:rsidP="00242883">
      <w:pPr>
        <w:pStyle w:val="ListParagraph"/>
        <w:numPr>
          <w:ilvl w:val="0"/>
          <w:numId w:val="17"/>
        </w:numPr>
        <w:spacing w:before="60" w:after="60"/>
        <w:ind w:left="0" w:firstLine="720"/>
        <w:contextualSpacing w:val="0"/>
        <w:rPr>
          <w:lang w:val="sr-Cyrl-RS"/>
        </w:rPr>
      </w:pPr>
      <w:r w:rsidRPr="00CF77C1">
        <w:rPr>
          <w:lang w:val="sr-Cyrl-RS"/>
        </w:rPr>
        <w:t>р</w:t>
      </w:r>
      <w:r w:rsidR="00997F7E" w:rsidRPr="00CF77C1">
        <w:rPr>
          <w:lang w:val="sr-Cyrl-RS"/>
        </w:rPr>
        <w:t>еконструкција ТС 110/35 kV Београд 10 (</w:t>
      </w:r>
      <w:r w:rsidR="00EE7C43" w:rsidRPr="00CF77C1">
        <w:rPr>
          <w:lang w:val="sr-Cyrl-RS"/>
        </w:rPr>
        <w:t xml:space="preserve">инсталисана и пројектована снага </w:t>
      </w:r>
      <w:r w:rsidR="00997F7E" w:rsidRPr="00CF77C1">
        <w:rPr>
          <w:lang w:val="sr-Cyrl-RS"/>
        </w:rPr>
        <w:t>2x31,5</w:t>
      </w:r>
      <w:r w:rsidR="00EE7C43" w:rsidRPr="00CF77C1">
        <w:rPr>
          <w:lang w:val="sr-Cyrl-RS"/>
        </w:rPr>
        <w:t> </w:t>
      </w:r>
      <w:r w:rsidR="00997F7E" w:rsidRPr="00CF77C1">
        <w:rPr>
          <w:lang w:val="sr-Cyrl-RS"/>
        </w:rPr>
        <w:t xml:space="preserve">MVA, процењена вредност реконструкције </w:t>
      </w:r>
      <w:r w:rsidR="001C1467" w:rsidRPr="00CF77C1">
        <w:rPr>
          <w:lang w:val="sr-Cyrl-RS"/>
        </w:rPr>
        <w:t>3</w:t>
      </w:r>
      <w:r w:rsidR="00997F7E" w:rsidRPr="00CF77C1">
        <w:rPr>
          <w:lang w:val="sr-Cyrl-RS"/>
        </w:rPr>
        <w:t>,</w:t>
      </w:r>
      <w:r w:rsidR="001C1467" w:rsidRPr="00CF77C1">
        <w:rPr>
          <w:lang w:val="sr-Cyrl-RS"/>
        </w:rPr>
        <w:t>25</w:t>
      </w:r>
      <w:r w:rsidR="00997F7E" w:rsidRPr="00CF77C1">
        <w:rPr>
          <w:lang w:val="sr-Cyrl-RS"/>
        </w:rPr>
        <w:t xml:space="preserve"> милиона </w:t>
      </w:r>
      <w:r w:rsidR="006510C8" w:rsidRPr="00CF77C1">
        <w:rPr>
          <w:lang w:val="sr-Cyrl-RS"/>
        </w:rPr>
        <w:t>€</w:t>
      </w:r>
      <w:r w:rsidR="00EE7C43" w:rsidRPr="00CF77C1">
        <w:rPr>
          <w:lang w:val="sr-Cyrl-RS"/>
        </w:rPr>
        <w:t xml:space="preserve"> - </w:t>
      </w:r>
      <w:r w:rsidR="001C1467" w:rsidRPr="00CF77C1">
        <w:rPr>
          <w:lang w:val="sr-Cyrl-RS"/>
        </w:rPr>
        <w:t>401</w:t>
      </w:r>
      <w:r w:rsidR="00EE7C43" w:rsidRPr="00CF77C1">
        <w:rPr>
          <w:lang w:val="sr-Cyrl-RS"/>
        </w:rPr>
        <w:t> </w:t>
      </w:r>
      <w:r w:rsidR="00997F7E" w:rsidRPr="00CF77C1">
        <w:rPr>
          <w:lang w:val="sr-Cyrl-RS"/>
        </w:rPr>
        <w:t xml:space="preserve">милиона </w:t>
      </w:r>
      <w:r w:rsidR="001716F2" w:rsidRPr="00CF77C1">
        <w:rPr>
          <w:lang w:val="sr-Cyrl-RS"/>
        </w:rPr>
        <w:t>РСД</w:t>
      </w:r>
      <w:r w:rsidR="00997F7E" w:rsidRPr="00CF77C1">
        <w:rPr>
          <w:lang w:val="sr-Cyrl-RS"/>
        </w:rPr>
        <w:t>).</w:t>
      </w:r>
    </w:p>
    <w:p w14:paraId="3C9A023A" w14:textId="70FD1D28" w:rsidR="00320657" w:rsidRPr="00CF77C1" w:rsidRDefault="00320657" w:rsidP="00242883">
      <w:pPr>
        <w:ind w:firstLine="720"/>
        <w:rPr>
          <w:lang w:val="sr-Cyrl-RS"/>
        </w:rPr>
      </w:pPr>
      <w:r w:rsidRPr="00CF77C1">
        <w:rPr>
          <w:lang w:val="sr-Cyrl-RS"/>
        </w:rPr>
        <w:t>Планира с</w:t>
      </w:r>
      <w:r w:rsidR="00916B9F">
        <w:rPr>
          <w:lang w:val="sr-Cyrl-RS"/>
        </w:rPr>
        <w:t>е да се у току реализације ПОС</w:t>
      </w:r>
      <w:r w:rsidRPr="00CF77C1">
        <w:rPr>
          <w:lang w:val="sr-Cyrl-RS"/>
        </w:rPr>
        <w:t xml:space="preserve"> заврши реконструкција 28 ТС 110/X kV, да буде у току реконструкција три ТС 110/X kV (Параћин 3, Ћићевац и Куршумлија), а да буде припремљена потребна просторно-планска и техничка документација за три ТС 110/X kV (Ристовац, Пирот 2 и Власотинце).</w:t>
      </w:r>
    </w:p>
    <w:p w14:paraId="7B543B51" w14:textId="77777777" w:rsidR="00320657" w:rsidRPr="00CF77C1" w:rsidRDefault="00320657" w:rsidP="007D1A88">
      <w:pPr>
        <w:ind w:firstLine="720"/>
        <w:rPr>
          <w:lang w:val="sr-Cyrl-RS"/>
        </w:rPr>
      </w:pPr>
      <w:r w:rsidRPr="00CF77C1">
        <w:rPr>
          <w:lang w:val="sr-Cyrl-RS"/>
        </w:rPr>
        <w:t>Реконструкција осталих поменутих ТС (старијих од 40 година), која је потребна у циљу повећања безбедности рада и сигурности напајања и повећања ефикасности дистрибуције електричне енергије на напонском нивоу 110 kV биће започета у периоду након 2023. године.</w:t>
      </w:r>
    </w:p>
    <w:p w14:paraId="697480DE" w14:textId="77777777" w:rsidR="00FF0E37" w:rsidRPr="00CF77C1" w:rsidRDefault="00FF0E37" w:rsidP="00242883">
      <w:pPr>
        <w:ind w:firstLine="720"/>
        <w:rPr>
          <w:lang w:val="sr-Cyrl-RS"/>
        </w:rPr>
      </w:pPr>
      <w:r w:rsidRPr="00CF77C1">
        <w:rPr>
          <w:lang w:val="sr-Cyrl-RS"/>
        </w:rPr>
        <w:t>Са аспекта енергетске ефикасности процењени ефекат пројекта је смањење губитака од 1,5 GWh годишње што чини око 0,0015% финалне потрошње енергије (за енергетске и неенергетске сврхе) у 2015. години. Процена је формирана на основу података о повећању и</w:t>
      </w:r>
      <w:r w:rsidR="00EC7E28" w:rsidRPr="00CF77C1">
        <w:rPr>
          <w:lang w:val="sr-Cyrl-RS"/>
        </w:rPr>
        <w:t>н</w:t>
      </w:r>
      <w:r w:rsidRPr="00CF77C1">
        <w:rPr>
          <w:lang w:val="sr-Cyrl-RS"/>
        </w:rPr>
        <w:t xml:space="preserve">сталисане снаге </w:t>
      </w:r>
      <w:r w:rsidR="00312709" w:rsidRPr="00CF77C1">
        <w:rPr>
          <w:lang w:val="sr-Cyrl-RS"/>
        </w:rPr>
        <w:t>трансформаторских станица</w:t>
      </w:r>
      <w:r w:rsidRPr="00CF77C1">
        <w:rPr>
          <w:lang w:val="sr-Cyrl-RS"/>
        </w:rPr>
        <w:t xml:space="preserve"> и претпоставци о просечном оптерећењу трансформатора који се замењују или којима се придружује нова јединица у </w:t>
      </w:r>
      <w:r w:rsidR="00312709" w:rsidRPr="00CF77C1">
        <w:rPr>
          <w:lang w:val="sr-Cyrl-RS"/>
        </w:rPr>
        <w:t>трансформаторској станици</w:t>
      </w:r>
      <w:r w:rsidRPr="00CF77C1">
        <w:rPr>
          <w:lang w:val="sr-Cyrl-RS"/>
        </w:rPr>
        <w:t>.</w:t>
      </w:r>
    </w:p>
    <w:p w14:paraId="3580BAF6" w14:textId="77777777" w:rsidR="00F23030" w:rsidRPr="00CF77C1" w:rsidRDefault="00F23030" w:rsidP="0080044B">
      <w:pPr>
        <w:rPr>
          <w:lang w:val="sr-Cyrl-RS"/>
        </w:rPr>
        <w:sectPr w:rsidR="00F23030" w:rsidRPr="00CF77C1" w:rsidSect="00096A0D">
          <w:headerReference w:type="default" r:id="rId38"/>
          <w:footerReference w:type="default" r:id="rId39"/>
          <w:pgSz w:w="11907" w:h="16839" w:code="9"/>
          <w:pgMar w:top="1134" w:right="1134" w:bottom="1134" w:left="1418" w:header="720" w:footer="720" w:gutter="0"/>
          <w:cols w:space="720"/>
          <w:docGrid w:linePitch="360"/>
        </w:sectPr>
      </w:pPr>
    </w:p>
    <w:p w14:paraId="269141F1" w14:textId="44E5591F" w:rsidR="00F23030" w:rsidRPr="00CF77C1" w:rsidRDefault="00D61BC9" w:rsidP="00242883">
      <w:pPr>
        <w:pStyle w:val="Caption"/>
        <w:ind w:firstLine="720"/>
        <w:rPr>
          <w:b w:val="0"/>
          <w:lang w:val="sr-Cyrl-RS"/>
        </w:rPr>
      </w:pPr>
      <w:r w:rsidRPr="00CF77C1">
        <w:rPr>
          <w:b w:val="0"/>
          <w:lang w:val="sr-Cyrl-RS"/>
        </w:rPr>
        <w:t>таб.</w:t>
      </w:r>
      <w:r w:rsidR="00F23030"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22</w:t>
      </w:r>
      <w:r w:rsidR="0092145E" w:rsidRPr="00CF77C1">
        <w:rPr>
          <w:b w:val="0"/>
          <w:lang w:val="sr-Cyrl-RS"/>
        </w:rPr>
        <w:fldChar w:fldCharType="end"/>
      </w:r>
      <w:r w:rsidR="00F23030"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977"/>
        <w:gridCol w:w="3827"/>
        <w:gridCol w:w="5239"/>
      </w:tblGrid>
      <w:tr w:rsidR="006C31BF" w:rsidRPr="00CF77C1" w14:paraId="0BE64D26" w14:textId="77777777" w:rsidTr="00BC3ACE">
        <w:trPr>
          <w:cantSplit/>
          <w:tblHeader/>
        </w:trPr>
        <w:tc>
          <w:tcPr>
            <w:tcW w:w="2518" w:type="dxa"/>
            <w:shd w:val="clear" w:color="auto" w:fill="auto"/>
            <w:vAlign w:val="center"/>
          </w:tcPr>
          <w:p w14:paraId="2D9B7479" w14:textId="77777777" w:rsidR="006C31BF" w:rsidRPr="00CF77C1" w:rsidRDefault="006C31BF" w:rsidP="0080044B">
            <w:pPr>
              <w:jc w:val="center"/>
              <w:rPr>
                <w:lang w:val="sr-Cyrl-RS"/>
              </w:rPr>
            </w:pPr>
            <w:r w:rsidRPr="00CF77C1">
              <w:rPr>
                <w:lang w:val="sr-Cyrl-RS"/>
              </w:rPr>
              <w:t>Техничке карактеристике</w:t>
            </w:r>
          </w:p>
        </w:tc>
        <w:tc>
          <w:tcPr>
            <w:tcW w:w="2977" w:type="dxa"/>
            <w:shd w:val="clear" w:color="auto" w:fill="auto"/>
            <w:vAlign w:val="center"/>
          </w:tcPr>
          <w:p w14:paraId="3FD00918" w14:textId="77777777" w:rsidR="006C31BF" w:rsidRPr="00CF77C1" w:rsidRDefault="006C31BF" w:rsidP="0080044B">
            <w:pPr>
              <w:jc w:val="center"/>
              <w:rPr>
                <w:lang w:val="sr-Cyrl-RS"/>
              </w:rPr>
            </w:pPr>
            <w:r w:rsidRPr="00CF77C1">
              <w:rPr>
                <w:lang w:val="sr-Cyrl-RS"/>
              </w:rPr>
              <w:t>Вредност пројекта и извор средстава</w:t>
            </w:r>
          </w:p>
        </w:tc>
        <w:tc>
          <w:tcPr>
            <w:tcW w:w="3827" w:type="dxa"/>
            <w:shd w:val="clear" w:color="auto" w:fill="auto"/>
            <w:vAlign w:val="center"/>
          </w:tcPr>
          <w:p w14:paraId="2AF9ADF8" w14:textId="77777777" w:rsidR="006C31BF" w:rsidRPr="00CF77C1" w:rsidRDefault="006C31BF" w:rsidP="0080044B">
            <w:pPr>
              <w:jc w:val="center"/>
              <w:rPr>
                <w:lang w:val="sr-Cyrl-RS"/>
              </w:rPr>
            </w:pPr>
            <w:r w:rsidRPr="00CF77C1">
              <w:rPr>
                <w:lang w:val="sr-Cyrl-RS"/>
              </w:rPr>
              <w:t>Опис ефеката реализације</w:t>
            </w:r>
          </w:p>
        </w:tc>
        <w:tc>
          <w:tcPr>
            <w:tcW w:w="5239" w:type="dxa"/>
            <w:shd w:val="clear" w:color="auto" w:fill="auto"/>
            <w:vAlign w:val="center"/>
          </w:tcPr>
          <w:p w14:paraId="4793CB2D" w14:textId="77777777" w:rsidR="006C31BF" w:rsidRPr="00CF77C1" w:rsidRDefault="006C31BF" w:rsidP="0080044B">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6C31BF" w:rsidRPr="00CF77C1" w14:paraId="176B266C" w14:textId="77777777" w:rsidTr="00BC3ACE">
        <w:trPr>
          <w:cantSplit/>
        </w:trPr>
        <w:tc>
          <w:tcPr>
            <w:tcW w:w="2518" w:type="dxa"/>
            <w:shd w:val="clear" w:color="auto" w:fill="auto"/>
            <w:vAlign w:val="center"/>
          </w:tcPr>
          <w:p w14:paraId="1D2A6F71" w14:textId="77777777" w:rsidR="006C31BF" w:rsidRPr="00CF77C1" w:rsidRDefault="003C2E45" w:rsidP="0080044B">
            <w:pPr>
              <w:jc w:val="left"/>
              <w:rPr>
                <w:lang w:val="sr-Cyrl-RS"/>
              </w:rPr>
            </w:pPr>
            <w:r w:rsidRPr="00CF77C1">
              <w:rPr>
                <w:lang w:val="sr-Cyrl-RS"/>
              </w:rPr>
              <w:t>Реконструкција</w:t>
            </w:r>
            <w:r w:rsidR="006F0B1C" w:rsidRPr="00CF77C1">
              <w:rPr>
                <w:lang w:val="sr-Cyrl-RS"/>
              </w:rPr>
              <w:t xml:space="preserve"> 34</w:t>
            </w:r>
            <w:r w:rsidR="006C31BF" w:rsidRPr="00CF77C1">
              <w:rPr>
                <w:lang w:val="sr-Cyrl-RS"/>
              </w:rPr>
              <w:t xml:space="preserve"> ТС 110/X kV укупне инсталисане снаге у планском периоду 2</w:t>
            </w:r>
            <w:r w:rsidR="00EC7E28" w:rsidRPr="00CF77C1">
              <w:rPr>
                <w:lang w:val="sr-Cyrl-RS"/>
              </w:rPr>
              <w:t>.</w:t>
            </w:r>
            <w:r w:rsidR="00B26683" w:rsidRPr="00CF77C1">
              <w:rPr>
                <w:lang w:val="sr-Cyrl-RS"/>
              </w:rPr>
              <w:t>638</w:t>
            </w:r>
            <w:r w:rsidR="006C31BF" w:rsidRPr="00CF77C1">
              <w:rPr>
                <w:lang w:val="sr-Cyrl-RS"/>
              </w:rPr>
              <w:t> MVA</w:t>
            </w:r>
          </w:p>
        </w:tc>
        <w:tc>
          <w:tcPr>
            <w:tcW w:w="2977" w:type="dxa"/>
            <w:shd w:val="clear" w:color="auto" w:fill="auto"/>
            <w:vAlign w:val="center"/>
          </w:tcPr>
          <w:p w14:paraId="00020437" w14:textId="77777777" w:rsidR="006C31BF" w:rsidRPr="00CF77C1" w:rsidRDefault="005D798E" w:rsidP="0080044B">
            <w:pPr>
              <w:jc w:val="left"/>
              <w:rPr>
                <w:lang w:val="sr-Cyrl-RS"/>
              </w:rPr>
            </w:pPr>
            <w:r w:rsidRPr="00CF77C1">
              <w:rPr>
                <w:lang w:val="sr-Cyrl-RS"/>
              </w:rPr>
              <w:t>80</w:t>
            </w:r>
            <w:r w:rsidR="006510C8" w:rsidRPr="00CF77C1">
              <w:rPr>
                <w:lang w:val="sr-Cyrl-RS"/>
              </w:rPr>
              <w:t>,</w:t>
            </w:r>
            <w:r w:rsidRPr="00CF77C1">
              <w:rPr>
                <w:lang w:val="sr-Cyrl-RS"/>
              </w:rPr>
              <w:t>409</w:t>
            </w:r>
            <w:r w:rsidR="006C31BF" w:rsidRPr="00CF77C1">
              <w:rPr>
                <w:lang w:val="sr-Cyrl-RS"/>
              </w:rPr>
              <w:t xml:space="preserve"> милиона </w:t>
            </w:r>
            <w:r w:rsidR="006510C8" w:rsidRPr="00CF77C1">
              <w:rPr>
                <w:lang w:val="sr-Cyrl-RS"/>
              </w:rPr>
              <w:t>€</w:t>
            </w:r>
            <w:r w:rsidR="006C31BF" w:rsidRPr="00CF77C1">
              <w:rPr>
                <w:lang w:val="sr-Cyrl-RS"/>
              </w:rPr>
              <w:t xml:space="preserve"> (</w:t>
            </w:r>
            <w:r w:rsidRPr="00CF77C1">
              <w:rPr>
                <w:lang w:val="sr-Cyrl-RS"/>
              </w:rPr>
              <w:t>9</w:t>
            </w:r>
            <w:r w:rsidR="00EC7E28" w:rsidRPr="00CF77C1">
              <w:rPr>
                <w:lang w:val="sr-Cyrl-RS"/>
              </w:rPr>
              <w:t>.</w:t>
            </w:r>
            <w:r w:rsidRPr="00CF77C1">
              <w:rPr>
                <w:lang w:val="sr-Cyrl-RS"/>
              </w:rPr>
              <w:t>931</w:t>
            </w:r>
            <w:r w:rsidR="006C31BF" w:rsidRPr="00CF77C1">
              <w:rPr>
                <w:lang w:val="sr-Cyrl-RS"/>
              </w:rPr>
              <w:t xml:space="preserve"> милиона РСД)</w:t>
            </w:r>
          </w:p>
          <w:p w14:paraId="6868745D" w14:textId="77777777" w:rsidR="006C31BF" w:rsidRPr="00CF77C1" w:rsidRDefault="006C31BF" w:rsidP="0080044B">
            <w:pPr>
              <w:jc w:val="left"/>
              <w:rPr>
                <w:lang w:val="sr-Cyrl-RS"/>
              </w:rPr>
            </w:pPr>
            <w:r w:rsidRPr="00CF77C1">
              <w:rPr>
                <w:lang w:val="sr-Cyrl-RS"/>
              </w:rPr>
              <w:t xml:space="preserve">(сопствена средства </w:t>
            </w:r>
            <w:r w:rsidR="001B761F" w:rsidRPr="00CF77C1">
              <w:rPr>
                <w:lang w:val="sr-Cyrl-RS"/>
              </w:rPr>
              <w:t>ЕПС</w:t>
            </w:r>
            <w:r w:rsidRPr="00CF77C1">
              <w:rPr>
                <w:lang w:val="sr-Cyrl-RS"/>
              </w:rPr>
              <w:t xml:space="preserve"> и кредити страних финансијских институција: Светскe банкe, ЕБРД, ЕИБ, итд.)</w:t>
            </w:r>
          </w:p>
        </w:tc>
        <w:tc>
          <w:tcPr>
            <w:tcW w:w="3827" w:type="dxa"/>
            <w:shd w:val="clear" w:color="auto" w:fill="auto"/>
            <w:vAlign w:val="center"/>
          </w:tcPr>
          <w:p w14:paraId="0A451172" w14:textId="77777777" w:rsidR="006C31BF" w:rsidRPr="00CF77C1" w:rsidRDefault="006C31BF" w:rsidP="0080044B">
            <w:pPr>
              <w:jc w:val="left"/>
              <w:rPr>
                <w:lang w:val="sr-Cyrl-RS"/>
              </w:rPr>
            </w:pPr>
            <w:r w:rsidRPr="00CF77C1">
              <w:rPr>
                <w:lang w:val="sr-Cyrl-RS"/>
              </w:rPr>
              <w:t>Подизање нивоа сигурности снабдевања, оптималан развој мреже средњег напона.</w:t>
            </w:r>
          </w:p>
        </w:tc>
        <w:tc>
          <w:tcPr>
            <w:tcW w:w="5239" w:type="dxa"/>
            <w:shd w:val="clear" w:color="auto" w:fill="auto"/>
            <w:vAlign w:val="center"/>
          </w:tcPr>
          <w:p w14:paraId="16BAF4D8" w14:textId="77777777" w:rsidR="006C31BF" w:rsidRPr="00CF77C1" w:rsidRDefault="006C31BF" w:rsidP="0080044B">
            <w:pPr>
              <w:jc w:val="left"/>
              <w:rPr>
                <w:lang w:val="sr-Cyrl-RS"/>
              </w:rPr>
            </w:pPr>
            <w:r w:rsidRPr="00CF77C1">
              <w:rPr>
                <w:lang w:val="sr-Cyrl-RS"/>
              </w:rPr>
              <w:t>Повећање сигурности снабдевања за укупну испоручену енергију: 6</w:t>
            </w:r>
            <w:r w:rsidR="00EC7E28" w:rsidRPr="00CF77C1">
              <w:rPr>
                <w:lang w:val="sr-Cyrl-RS"/>
              </w:rPr>
              <w:t>.</w:t>
            </w:r>
            <w:r w:rsidR="006F0B1C" w:rsidRPr="00CF77C1">
              <w:rPr>
                <w:lang w:val="sr-Cyrl-RS"/>
              </w:rPr>
              <w:t>62</w:t>
            </w:r>
            <w:r w:rsidR="006510C8" w:rsidRPr="00CF77C1">
              <w:rPr>
                <w:lang w:val="sr-Cyrl-RS"/>
              </w:rPr>
              <w:t>1</w:t>
            </w:r>
            <w:r w:rsidRPr="00CF77C1">
              <w:rPr>
                <w:lang w:val="sr-Cyrl-RS"/>
              </w:rPr>
              <w:t xml:space="preserve"> GWh;</w:t>
            </w:r>
          </w:p>
          <w:p w14:paraId="1D4FBF50" w14:textId="43538000" w:rsidR="006C31BF" w:rsidRPr="00CF77C1" w:rsidRDefault="006C31BF" w:rsidP="0080044B">
            <w:pPr>
              <w:jc w:val="left"/>
              <w:rPr>
                <w:lang w:val="sr-Cyrl-RS"/>
              </w:rPr>
            </w:pPr>
            <w:r w:rsidRPr="00CF77C1">
              <w:rPr>
                <w:lang w:val="sr-Cyrl-RS"/>
              </w:rPr>
              <w:t>Број купаца за које се обезбеђује сигурност напајања: ≈</w:t>
            </w:r>
            <w:r w:rsidR="006F0B1C" w:rsidRPr="00CF77C1">
              <w:rPr>
                <w:lang w:val="sr-Cyrl-RS"/>
              </w:rPr>
              <w:t>920</w:t>
            </w:r>
            <w:r w:rsidR="006510C8" w:rsidRPr="00CF77C1">
              <w:rPr>
                <w:lang w:val="sr-Cyrl-RS"/>
              </w:rPr>
              <w:t>.000</w:t>
            </w:r>
            <w:r w:rsidR="007D1A88">
              <w:rPr>
                <w:lang w:val="sr-Cyrl-RS"/>
              </w:rPr>
              <w:t>.</w:t>
            </w:r>
          </w:p>
        </w:tc>
      </w:tr>
    </w:tbl>
    <w:p w14:paraId="04ADC638" w14:textId="468582B0" w:rsidR="00F23030" w:rsidRPr="00CF77C1" w:rsidRDefault="00D61BC9" w:rsidP="00242883">
      <w:pPr>
        <w:pStyle w:val="Caption"/>
        <w:ind w:firstLine="720"/>
        <w:rPr>
          <w:b w:val="0"/>
          <w:lang w:val="sr-Cyrl-RS"/>
        </w:rPr>
      </w:pPr>
      <w:r w:rsidRPr="00CF77C1">
        <w:rPr>
          <w:b w:val="0"/>
          <w:lang w:val="sr-Cyrl-RS"/>
        </w:rPr>
        <w:t>таб.</w:t>
      </w:r>
      <w:r w:rsidR="00F23030"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23</w:t>
      </w:r>
      <w:r w:rsidR="0092145E" w:rsidRPr="00CF77C1">
        <w:rPr>
          <w:b w:val="0"/>
          <w:lang w:val="sr-Cyrl-RS"/>
        </w:rPr>
        <w:fldChar w:fldCharType="end"/>
      </w:r>
      <w:r w:rsidR="00F23030" w:rsidRPr="00CF77C1">
        <w:rPr>
          <w:b w:val="0"/>
          <w:lang w:val="sr-Cyrl-RS"/>
        </w:rPr>
        <w:t>: Недостајућа планска и техничка документација</w:t>
      </w:r>
    </w:p>
    <w:tbl>
      <w:tblPr>
        <w:tblW w:w="14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03"/>
        <w:gridCol w:w="3686"/>
        <w:gridCol w:w="3784"/>
      </w:tblGrid>
      <w:tr w:rsidR="006C31BF" w:rsidRPr="00CF77C1" w14:paraId="3C4737A6" w14:textId="77777777" w:rsidTr="006F517C">
        <w:trPr>
          <w:cantSplit/>
          <w:tblHead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199A02AD" w14:textId="77777777" w:rsidR="006C31BF" w:rsidRPr="00CF77C1" w:rsidRDefault="006C31BF" w:rsidP="0080044B">
            <w:pPr>
              <w:jc w:val="center"/>
              <w:rPr>
                <w:lang w:val="sr-Cyrl-RS"/>
              </w:rPr>
            </w:pPr>
            <w:r w:rsidRPr="00CF77C1">
              <w:rPr>
                <w:lang w:val="sr-Cyrl-RS"/>
              </w:rPr>
              <w:t>Пројекат</w:t>
            </w:r>
          </w:p>
        </w:tc>
        <w:tc>
          <w:tcPr>
            <w:tcW w:w="5103" w:type="dxa"/>
            <w:tcBorders>
              <w:top w:val="single" w:sz="4" w:space="0" w:color="auto"/>
              <w:left w:val="single" w:sz="4" w:space="0" w:color="auto"/>
              <w:bottom w:val="single" w:sz="4" w:space="0" w:color="auto"/>
              <w:right w:val="single" w:sz="4" w:space="0" w:color="auto"/>
            </w:tcBorders>
            <w:vAlign w:val="center"/>
          </w:tcPr>
          <w:p w14:paraId="44656065" w14:textId="77777777" w:rsidR="006C31BF" w:rsidRPr="00CF77C1" w:rsidRDefault="006C31BF" w:rsidP="0080044B">
            <w:pPr>
              <w:jc w:val="center"/>
              <w:rPr>
                <w:lang w:val="sr-Cyrl-RS"/>
              </w:rPr>
            </w:pPr>
            <w:r w:rsidRPr="00CF77C1">
              <w:rPr>
                <w:lang w:val="sr-Cyrl-RS"/>
              </w:rPr>
              <w:t>Oпис реконструкције</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002FC95A" w14:textId="77777777" w:rsidR="006C31BF" w:rsidRPr="00CF77C1" w:rsidRDefault="006C31BF" w:rsidP="0080044B">
            <w:pPr>
              <w:jc w:val="center"/>
              <w:rPr>
                <w:lang w:val="sr-Cyrl-RS"/>
              </w:rPr>
            </w:pPr>
            <w:r w:rsidRPr="00CF77C1">
              <w:rPr>
                <w:lang w:val="sr-Cyrl-RS"/>
              </w:rPr>
              <w:t>Статус припреме пројекта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444C4030" w14:textId="77777777" w:rsidR="006C31BF" w:rsidRPr="00CF77C1" w:rsidRDefault="006C31BF" w:rsidP="0080044B">
            <w:pPr>
              <w:jc w:val="center"/>
              <w:rPr>
                <w:lang w:val="sr-Cyrl-RS"/>
              </w:rPr>
            </w:pPr>
            <w:r w:rsidRPr="00CF77C1">
              <w:rPr>
                <w:lang w:val="sr-Cyrl-RS"/>
              </w:rPr>
              <w:t>Недостајућа планска и техничка документација</w:t>
            </w:r>
          </w:p>
        </w:tc>
      </w:tr>
      <w:tr w:rsidR="006C31BF" w:rsidRPr="00CF77C1" w14:paraId="17E596D7"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132EA4BD" w14:textId="77777777" w:rsidR="006C31BF" w:rsidRPr="00CF77C1" w:rsidRDefault="006C31BF" w:rsidP="0080044B">
            <w:pPr>
              <w:jc w:val="left"/>
              <w:rPr>
                <w:lang w:val="sr-Cyrl-RS"/>
              </w:rPr>
            </w:pPr>
            <w:r w:rsidRPr="00CF77C1">
              <w:rPr>
                <w:lang w:val="sr-Cyrl-RS"/>
              </w:rPr>
              <w:t>ТС 110/35 kV Пожаревац 1</w:t>
            </w:r>
          </w:p>
        </w:tc>
        <w:tc>
          <w:tcPr>
            <w:tcW w:w="5103" w:type="dxa"/>
            <w:tcBorders>
              <w:top w:val="single" w:sz="4" w:space="0" w:color="auto"/>
              <w:left w:val="single" w:sz="4" w:space="0" w:color="auto"/>
              <w:bottom w:val="single" w:sz="4" w:space="0" w:color="auto"/>
              <w:right w:val="single" w:sz="4" w:space="0" w:color="auto"/>
            </w:tcBorders>
            <w:vAlign w:val="center"/>
          </w:tcPr>
          <w:p w14:paraId="7F729A6F" w14:textId="77777777" w:rsidR="006C31BF" w:rsidRPr="00CF77C1" w:rsidRDefault="005D798E" w:rsidP="0080044B">
            <w:pPr>
              <w:jc w:val="left"/>
              <w:rPr>
                <w:lang w:val="sr-Cyrl-RS"/>
              </w:rPr>
            </w:pPr>
            <w:r w:rsidRPr="00CF77C1">
              <w:rPr>
                <w:lang w:val="sr-Cyrl-RS"/>
              </w:rPr>
              <w:t>Замена комплетне електроенергетске опреме свих напонских нивоа којој је истекао експлоатациони век (осим трансформатора) и изградња нове погонске зграде за опрему 35 kV. Имплементација нових технологија.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6A9B81DE" w14:textId="41F7C48E" w:rsidR="006C31BF" w:rsidRPr="00CF77C1" w:rsidRDefault="005D798E" w:rsidP="0080044B">
            <w:pPr>
              <w:jc w:val="left"/>
              <w:rPr>
                <w:lang w:val="sr-Cyrl-RS"/>
              </w:rPr>
            </w:pPr>
            <w:r w:rsidRPr="00CF77C1">
              <w:rPr>
                <w:lang w:val="sr-Cyrl-RS"/>
              </w:rPr>
              <w:t>Не постоји урађена инвестиционо-техничка документација. Усвојен пројектни з</w:t>
            </w:r>
            <w:r w:rsidR="001741AC" w:rsidRPr="00CF77C1">
              <w:rPr>
                <w:lang w:val="sr-Cyrl-RS"/>
              </w:rPr>
              <w:t>адатак на Техничком савету ЕПС.</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AD21111" w14:textId="77777777" w:rsidR="006C31BF" w:rsidRPr="00CF77C1" w:rsidRDefault="005D798E" w:rsidP="0080044B">
            <w:pPr>
              <w:jc w:val="left"/>
              <w:rPr>
                <w:lang w:val="sr-Cyrl-RS"/>
              </w:rPr>
            </w:pPr>
            <w:r w:rsidRPr="00CF77C1">
              <w:rPr>
                <w:lang w:val="sr-Cyrl-RS"/>
              </w:rPr>
              <w:t xml:space="preserve">Идејно решење, студија оправданости, идејни пројекат, </w:t>
            </w:r>
            <w:r w:rsidR="0074146B" w:rsidRPr="00CF77C1">
              <w:rPr>
                <w:lang w:val="sr-Cyrl-RS"/>
              </w:rPr>
              <w:t xml:space="preserve">спецификација за опрему и радове и тендерска документација, </w:t>
            </w:r>
            <w:r w:rsidRPr="00CF77C1">
              <w:rPr>
                <w:lang w:val="sr-Cyrl-RS"/>
              </w:rPr>
              <w:t>пројекат за грађевинску дозволу, грађевинска дозвола, пројекат за извођење, употребна дозвола.</w:t>
            </w:r>
          </w:p>
        </w:tc>
      </w:tr>
      <w:tr w:rsidR="006C31BF" w:rsidRPr="00CF77C1" w14:paraId="7F3502AC"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5DD86BAD" w14:textId="77777777" w:rsidR="006C31BF" w:rsidRPr="00CF77C1" w:rsidRDefault="006C31BF" w:rsidP="0080044B">
            <w:pPr>
              <w:jc w:val="left"/>
              <w:rPr>
                <w:lang w:val="sr-Cyrl-RS"/>
              </w:rPr>
            </w:pPr>
            <w:r w:rsidRPr="00CF77C1">
              <w:rPr>
                <w:lang w:val="sr-Cyrl-RS"/>
              </w:rPr>
              <w:t>ТС 110/35 kV Петровац</w:t>
            </w:r>
          </w:p>
        </w:tc>
        <w:tc>
          <w:tcPr>
            <w:tcW w:w="5103" w:type="dxa"/>
            <w:tcBorders>
              <w:top w:val="single" w:sz="4" w:space="0" w:color="auto"/>
              <w:left w:val="single" w:sz="4" w:space="0" w:color="auto"/>
              <w:bottom w:val="single" w:sz="4" w:space="0" w:color="auto"/>
              <w:right w:val="single" w:sz="4" w:space="0" w:color="auto"/>
            </w:tcBorders>
            <w:vAlign w:val="center"/>
          </w:tcPr>
          <w:p w14:paraId="52A7C72E" w14:textId="77777777" w:rsidR="006C31BF" w:rsidRPr="00CF77C1" w:rsidRDefault="006F517C" w:rsidP="0080044B">
            <w:pPr>
              <w:jc w:val="left"/>
              <w:rPr>
                <w:lang w:val="sr-Cyrl-RS"/>
              </w:rPr>
            </w:pPr>
            <w:r w:rsidRPr="00CF77C1">
              <w:rPr>
                <w:lang w:val="sr-Cyrl-RS"/>
              </w:rPr>
              <w:t xml:space="preserve">Комплетна замена опреме </w:t>
            </w:r>
            <w:r w:rsidR="00510825" w:rsidRPr="00CF77C1">
              <w:rPr>
                <w:lang w:val="sr-Cyrl-RS"/>
              </w:rPr>
              <w:t xml:space="preserve">на крају експлоатационог века </w:t>
            </w:r>
            <w:r w:rsidRPr="00CF77C1">
              <w:rPr>
                <w:lang w:val="sr-Cyrl-RS"/>
              </w:rPr>
              <w:t>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099108CE" w14:textId="77777777" w:rsidR="006C31BF" w:rsidRPr="00CF77C1" w:rsidRDefault="006F517C" w:rsidP="0080044B">
            <w:pPr>
              <w:jc w:val="left"/>
              <w:rPr>
                <w:lang w:val="sr-Cyrl-RS"/>
              </w:rPr>
            </w:pPr>
            <w:r w:rsidRPr="00CF77C1">
              <w:rPr>
                <w:lang w:val="sr-Cyrl-RS"/>
              </w:rPr>
              <w:t>Постоји</w:t>
            </w:r>
            <w:r w:rsidR="006C31BF" w:rsidRPr="00CF77C1">
              <w:rPr>
                <w:lang w:val="sr-Cyrl-RS"/>
              </w:rPr>
              <w:t xml:space="preserve"> претходна студија оправданости, </w:t>
            </w:r>
            <w:r w:rsidR="005D798E" w:rsidRPr="00CF77C1">
              <w:rPr>
                <w:lang w:val="sr-Cyrl-RS"/>
              </w:rPr>
              <w:t xml:space="preserve">идејно решење, </w:t>
            </w:r>
            <w:r w:rsidR="006C31BF" w:rsidRPr="00CF77C1">
              <w:rPr>
                <w:lang w:val="sr-Cyrl-RS"/>
              </w:rPr>
              <w:t xml:space="preserve">студија оправданости, идејни пројекат, решени су имовинско правни односи и обезбеђен доказ о праву својине, формирана је спецификација за опрему и радове и </w:t>
            </w:r>
            <w:r w:rsidR="004B2962" w:rsidRPr="00CF77C1">
              <w:rPr>
                <w:lang w:val="sr-Cyrl-RS"/>
              </w:rPr>
              <w:t>тендерска</w:t>
            </w:r>
            <w:r w:rsidR="006C31BF" w:rsidRPr="00CF77C1">
              <w:rPr>
                <w:lang w:val="sr-Cyrl-RS"/>
              </w:rPr>
              <w:t xml:space="preserve">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1C0B7931" w14:textId="77777777" w:rsidR="006C31BF" w:rsidRPr="00CF77C1" w:rsidRDefault="00437C2E" w:rsidP="0080044B">
            <w:pPr>
              <w:jc w:val="left"/>
              <w:rPr>
                <w:lang w:val="sr-Cyrl-RS"/>
              </w:rPr>
            </w:pPr>
            <w:r w:rsidRPr="00CF77C1">
              <w:rPr>
                <w:lang w:val="sr-Cyrl-RS"/>
              </w:rPr>
              <w:t>П</w:t>
            </w:r>
            <w:r w:rsidR="006C31BF" w:rsidRPr="00CF77C1">
              <w:rPr>
                <w:lang w:val="sr-Cyrl-RS"/>
              </w:rPr>
              <w:t>ројекат за грађевинску дозволу, грађевинска дозвола</w:t>
            </w:r>
            <w:r w:rsidR="005D798E" w:rsidRPr="00CF77C1">
              <w:rPr>
                <w:lang w:val="sr-Cyrl-RS"/>
              </w:rPr>
              <w:t>, пројекат за извођење, употребна дозвола</w:t>
            </w:r>
            <w:r w:rsidR="006C31BF" w:rsidRPr="00CF77C1">
              <w:rPr>
                <w:lang w:val="sr-Cyrl-RS"/>
              </w:rPr>
              <w:t>.</w:t>
            </w:r>
          </w:p>
        </w:tc>
      </w:tr>
      <w:tr w:rsidR="006C31BF" w:rsidRPr="00CF77C1" w14:paraId="58445825"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2FB47154" w14:textId="77777777" w:rsidR="006C31BF" w:rsidRPr="00CF77C1" w:rsidRDefault="006C31BF" w:rsidP="0080044B">
            <w:pPr>
              <w:jc w:val="left"/>
              <w:rPr>
                <w:lang w:val="sr-Cyrl-RS"/>
              </w:rPr>
            </w:pPr>
            <w:r w:rsidRPr="00CF77C1">
              <w:rPr>
                <w:lang w:val="sr-Cyrl-RS"/>
              </w:rPr>
              <w:t>ТС 110/35/10 kV Лапово</w:t>
            </w:r>
          </w:p>
        </w:tc>
        <w:tc>
          <w:tcPr>
            <w:tcW w:w="5103" w:type="dxa"/>
            <w:tcBorders>
              <w:top w:val="single" w:sz="4" w:space="0" w:color="auto"/>
              <w:left w:val="single" w:sz="4" w:space="0" w:color="auto"/>
              <w:bottom w:val="single" w:sz="4" w:space="0" w:color="auto"/>
              <w:right w:val="single" w:sz="4" w:space="0" w:color="auto"/>
            </w:tcBorders>
            <w:vAlign w:val="center"/>
          </w:tcPr>
          <w:p w14:paraId="386C6C46" w14:textId="77777777" w:rsidR="006C31BF" w:rsidRPr="00CF77C1" w:rsidRDefault="005D798E" w:rsidP="0080044B">
            <w:pPr>
              <w:jc w:val="left"/>
              <w:rPr>
                <w:lang w:val="sr-Cyrl-RS"/>
              </w:rPr>
            </w:pPr>
            <w:r w:rsidRPr="00CF77C1">
              <w:rPr>
                <w:lang w:val="sr-Cyrl-RS"/>
              </w:rPr>
              <w:t>Уградња и повезивање</w:t>
            </w:r>
            <w:r w:rsidR="006C31BF" w:rsidRPr="00CF77C1">
              <w:rPr>
                <w:lang w:val="sr-Cyrl-RS"/>
              </w:rPr>
              <w:t xml:space="preserve"> другог трансформатора </w:t>
            </w:r>
            <w:r w:rsidRPr="00CF77C1">
              <w:rPr>
                <w:lang w:val="sr-Cyrl-RS"/>
              </w:rPr>
              <w:t xml:space="preserve">који је већ </w:t>
            </w:r>
            <w:r w:rsidR="00127AC9" w:rsidRPr="00CF77C1">
              <w:rPr>
                <w:lang w:val="sr-Cyrl-RS"/>
              </w:rPr>
              <w:t>набављен</w:t>
            </w:r>
            <w:r w:rsidR="00EC7E28" w:rsidRPr="00CF77C1">
              <w:rPr>
                <w:lang w:val="sr-Cyrl-RS"/>
              </w:rPr>
              <w:t>,</w:t>
            </w:r>
            <w:r w:rsidRPr="00CF77C1">
              <w:rPr>
                <w:lang w:val="sr-Cyrl-RS"/>
              </w:rPr>
              <w:t xml:space="preserve"> </w:t>
            </w:r>
            <w:r w:rsidR="006C31BF" w:rsidRPr="00CF77C1">
              <w:rPr>
                <w:lang w:val="sr-Cyrl-RS"/>
              </w:rPr>
              <w:t xml:space="preserve">са </w:t>
            </w:r>
            <w:r w:rsidRPr="00CF77C1">
              <w:rPr>
                <w:lang w:val="sr-Cyrl-RS"/>
              </w:rPr>
              <w:t>опремањем комплетних пољ</w:t>
            </w:r>
            <w:r w:rsidR="006C31BF" w:rsidRPr="00CF77C1">
              <w:rPr>
                <w:lang w:val="sr-Cyrl-RS"/>
              </w:rPr>
              <w:t xml:space="preserve">а на примару, секундару и терцијеру и </w:t>
            </w:r>
            <w:r w:rsidRPr="00CF77C1">
              <w:rPr>
                <w:lang w:val="sr-Cyrl-RS"/>
              </w:rPr>
              <w:t>замена опреме којој је истекао експлоатациони век у прикључним пољима постојећег трансформатора.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32827B38" w14:textId="77777777" w:rsidR="006C31BF" w:rsidRPr="00CF77C1" w:rsidRDefault="006C31BF" w:rsidP="0080044B">
            <w:pPr>
              <w:jc w:val="left"/>
              <w:rPr>
                <w:lang w:val="sr-Cyrl-RS"/>
              </w:rPr>
            </w:pPr>
            <w:r w:rsidRPr="00CF77C1">
              <w:rPr>
                <w:lang w:val="sr-Cyrl-RS"/>
              </w:rPr>
              <w:t xml:space="preserve">Постоји инвестиционо-техничка документација, у току је </w:t>
            </w:r>
            <w:r w:rsidR="005D798E" w:rsidRPr="00CF77C1">
              <w:rPr>
                <w:lang w:val="sr-Cyrl-RS"/>
              </w:rPr>
              <w:t>припрема тендерске</w:t>
            </w:r>
            <w:r w:rsidRPr="00CF77C1">
              <w:rPr>
                <w:lang w:val="sr-Cyrl-RS"/>
              </w:rPr>
              <w:t xml:space="preserve"> </w:t>
            </w:r>
            <w:r w:rsidR="005D798E" w:rsidRPr="00CF77C1">
              <w:rPr>
                <w:lang w:val="sr-Cyrl-RS"/>
              </w:rPr>
              <w:t>документације за опрему и радове.</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52BDD940" w14:textId="77777777" w:rsidR="006C31BF" w:rsidRPr="00CF77C1" w:rsidRDefault="005D798E" w:rsidP="0080044B">
            <w:pPr>
              <w:jc w:val="left"/>
              <w:rPr>
                <w:lang w:val="sr-Cyrl-RS"/>
              </w:rPr>
            </w:pPr>
            <w:r w:rsidRPr="00CF77C1">
              <w:rPr>
                <w:lang w:val="sr-Cyrl-RS"/>
              </w:rPr>
              <w:t>У току је поступак за добијање решења о одобрењу за извођење радова. Постојећи објекат има грађевинску и употребну дозволу на пројектну документацију са два трансформатора.</w:t>
            </w:r>
          </w:p>
        </w:tc>
      </w:tr>
      <w:tr w:rsidR="005D798E" w:rsidRPr="00CF77C1" w14:paraId="5AF0B8C0"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50F672DC" w14:textId="77777777" w:rsidR="005D798E" w:rsidRPr="00CF77C1" w:rsidRDefault="005D798E" w:rsidP="0080044B">
            <w:pPr>
              <w:jc w:val="left"/>
              <w:rPr>
                <w:lang w:val="sr-Cyrl-RS"/>
              </w:rPr>
            </w:pPr>
            <w:r w:rsidRPr="00CF77C1">
              <w:rPr>
                <w:lang w:val="sr-Cyrl-RS"/>
              </w:rPr>
              <w:t>ТС 110/10 kV Крагујевац 5 (Дивље Поље)</w:t>
            </w:r>
          </w:p>
        </w:tc>
        <w:tc>
          <w:tcPr>
            <w:tcW w:w="5103" w:type="dxa"/>
            <w:tcBorders>
              <w:top w:val="single" w:sz="4" w:space="0" w:color="auto"/>
              <w:left w:val="single" w:sz="4" w:space="0" w:color="auto"/>
              <w:bottom w:val="single" w:sz="4" w:space="0" w:color="auto"/>
              <w:right w:val="single" w:sz="4" w:space="0" w:color="auto"/>
            </w:tcBorders>
            <w:vAlign w:val="center"/>
          </w:tcPr>
          <w:p w14:paraId="19A13F96" w14:textId="6C327D22" w:rsidR="005D798E" w:rsidRPr="00CF77C1" w:rsidRDefault="005D798E" w:rsidP="0080044B">
            <w:pPr>
              <w:jc w:val="left"/>
              <w:rPr>
                <w:lang w:val="sr-Cyrl-RS"/>
              </w:rPr>
            </w:pPr>
            <w:r w:rsidRPr="00CF77C1">
              <w:rPr>
                <w:lang w:val="sr-Cyrl-RS"/>
              </w:rPr>
              <w:t xml:space="preserve">Уградња и повезивање другог трансформатора који је већ </w:t>
            </w:r>
            <w:r w:rsidR="00127AC9" w:rsidRPr="00CF77C1">
              <w:rPr>
                <w:lang w:val="sr-Cyrl-RS"/>
              </w:rPr>
              <w:t>набављен</w:t>
            </w:r>
            <w:r w:rsidR="00EC7E28" w:rsidRPr="00CF77C1">
              <w:rPr>
                <w:lang w:val="sr-Cyrl-RS"/>
              </w:rPr>
              <w:t>,</w:t>
            </w:r>
            <w:r w:rsidRPr="00CF77C1">
              <w:rPr>
                <w:lang w:val="sr-Cyrl-RS"/>
              </w:rPr>
              <w:t xml:space="preserve"> са опремањем комплетних поља на примару, секундару и терцијеру и замена опреме којој је истекао експлоатациони век у прикључним пољима постојећег трансформатора.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5A1112EA" w14:textId="77777777" w:rsidR="005D798E" w:rsidRPr="00CF77C1" w:rsidRDefault="005D798E" w:rsidP="0080044B">
            <w:pPr>
              <w:jc w:val="left"/>
              <w:rPr>
                <w:lang w:val="sr-Cyrl-RS"/>
              </w:rPr>
            </w:pPr>
            <w:r w:rsidRPr="00CF77C1">
              <w:rPr>
                <w:lang w:val="sr-Cyrl-RS"/>
              </w:rPr>
              <w:t>Постоји инвестиционо-техничка документација, у току је припрема тендерске документације за опрему и радове.</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5C0F8867" w14:textId="77777777" w:rsidR="005D798E" w:rsidRPr="00CF77C1" w:rsidRDefault="005D798E" w:rsidP="0080044B">
            <w:pPr>
              <w:jc w:val="left"/>
              <w:rPr>
                <w:lang w:val="sr-Cyrl-RS"/>
              </w:rPr>
            </w:pPr>
            <w:r w:rsidRPr="00CF77C1">
              <w:rPr>
                <w:lang w:val="sr-Cyrl-RS"/>
              </w:rPr>
              <w:t>У току је поступак за добијање решења о одобрењу за извођење радова. Постојећи објекат има грађевинску и употребну дозволу на пројектну документацију са два трансформатора.</w:t>
            </w:r>
          </w:p>
        </w:tc>
      </w:tr>
      <w:tr w:rsidR="006C31BF" w:rsidRPr="00CF77C1" w14:paraId="552AA9C0"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5FEC75B7" w14:textId="77777777" w:rsidR="006C31BF" w:rsidRPr="00CF77C1" w:rsidRDefault="006C31BF" w:rsidP="0080044B">
            <w:pPr>
              <w:jc w:val="left"/>
              <w:rPr>
                <w:lang w:val="sr-Cyrl-RS"/>
              </w:rPr>
            </w:pPr>
            <w:r w:rsidRPr="00CF77C1">
              <w:rPr>
                <w:lang w:val="sr-Cyrl-RS"/>
              </w:rPr>
              <w:t>ТС 110/35 kV Рашка</w:t>
            </w:r>
          </w:p>
        </w:tc>
        <w:tc>
          <w:tcPr>
            <w:tcW w:w="5103" w:type="dxa"/>
            <w:tcBorders>
              <w:top w:val="single" w:sz="4" w:space="0" w:color="auto"/>
              <w:left w:val="single" w:sz="4" w:space="0" w:color="auto"/>
              <w:bottom w:val="single" w:sz="4" w:space="0" w:color="auto"/>
              <w:right w:val="single" w:sz="4" w:space="0" w:color="auto"/>
            </w:tcBorders>
            <w:vAlign w:val="center"/>
          </w:tcPr>
          <w:p w14:paraId="0D6CD0C4" w14:textId="77777777" w:rsidR="006C31BF" w:rsidRPr="00CF77C1" w:rsidRDefault="005D798E" w:rsidP="0080044B">
            <w:pPr>
              <w:jc w:val="left"/>
              <w:rPr>
                <w:lang w:val="sr-Cyrl-RS"/>
              </w:rPr>
            </w:pPr>
            <w:r w:rsidRPr="00CF77C1">
              <w:rPr>
                <w:lang w:val="sr-Cyrl-RS"/>
              </w:rPr>
              <w:t>Комплетна замена опреме на крају експлоатационог века 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2291962B" w14:textId="77777777" w:rsidR="006C31BF" w:rsidRPr="00CF77C1" w:rsidRDefault="006C31BF" w:rsidP="0080044B">
            <w:pPr>
              <w:jc w:val="left"/>
              <w:rPr>
                <w:lang w:val="sr-Cyrl-RS"/>
              </w:rPr>
            </w:pPr>
            <w:r w:rsidRPr="00CF77C1">
              <w:rPr>
                <w:lang w:val="sr-Cyrl-RS"/>
              </w:rPr>
              <w:t xml:space="preserve">Постоји просторно-планска документација. У току је израда Идејног пројекта. Спецификација за опрему и радове и </w:t>
            </w:r>
            <w:r w:rsidR="004B2962" w:rsidRPr="00CF77C1">
              <w:rPr>
                <w:lang w:val="sr-Cyrl-RS"/>
              </w:rPr>
              <w:t>тендерска</w:t>
            </w:r>
            <w:r w:rsidRPr="00CF77C1">
              <w:rPr>
                <w:lang w:val="sr-Cyrl-RS"/>
              </w:rPr>
              <w:t xml:space="preserve"> документација су у фази припреме.</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463AB47B" w14:textId="77777777" w:rsidR="006C31BF" w:rsidRPr="00CF77C1" w:rsidRDefault="005D798E" w:rsidP="0080044B">
            <w:pPr>
              <w:jc w:val="left"/>
              <w:rPr>
                <w:lang w:val="sr-Cyrl-RS"/>
              </w:rPr>
            </w:pPr>
            <w:r w:rsidRPr="00CF77C1">
              <w:rPr>
                <w:lang w:val="sr-Cyrl-RS"/>
              </w:rPr>
              <w:t>Студија оправданости, идејни пројекат, пројекат за извођење, решење о одобрењу за извођење радова. Постојећи објекат има грађевинску и употребну дозволу на пројектну документацију са два трансформатора.</w:t>
            </w:r>
          </w:p>
        </w:tc>
      </w:tr>
      <w:tr w:rsidR="006C31BF" w:rsidRPr="00CF77C1" w14:paraId="5EDC6985"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60BF0723" w14:textId="77777777" w:rsidR="006C31BF" w:rsidRPr="00CF77C1" w:rsidRDefault="006C31BF" w:rsidP="0080044B">
            <w:pPr>
              <w:jc w:val="left"/>
              <w:rPr>
                <w:lang w:val="sr-Cyrl-RS"/>
              </w:rPr>
            </w:pPr>
            <w:r w:rsidRPr="00CF77C1">
              <w:rPr>
                <w:lang w:val="sr-Cyrl-RS"/>
              </w:rPr>
              <w:t xml:space="preserve">ТС 110/10 kV Нови Пазар </w:t>
            </w:r>
            <w:r w:rsidR="00BC3ACE" w:rsidRPr="00CF77C1">
              <w:rPr>
                <w:lang w:val="sr-Cyrl-RS"/>
              </w:rPr>
              <w:t>2</w:t>
            </w:r>
          </w:p>
        </w:tc>
        <w:tc>
          <w:tcPr>
            <w:tcW w:w="5103" w:type="dxa"/>
            <w:tcBorders>
              <w:top w:val="single" w:sz="4" w:space="0" w:color="auto"/>
              <w:left w:val="single" w:sz="4" w:space="0" w:color="auto"/>
              <w:bottom w:val="single" w:sz="4" w:space="0" w:color="auto"/>
              <w:right w:val="single" w:sz="4" w:space="0" w:color="auto"/>
            </w:tcBorders>
            <w:vAlign w:val="center"/>
          </w:tcPr>
          <w:p w14:paraId="1B81A222" w14:textId="29587459" w:rsidR="006C31BF" w:rsidRPr="00CF77C1" w:rsidRDefault="005D798E" w:rsidP="0080044B">
            <w:pPr>
              <w:jc w:val="left"/>
              <w:rPr>
                <w:lang w:val="sr-Cyrl-RS"/>
              </w:rPr>
            </w:pPr>
            <w:r w:rsidRPr="00CF77C1">
              <w:rPr>
                <w:lang w:val="sr-Cyrl-RS"/>
              </w:rPr>
              <w:t>У</w:t>
            </w:r>
            <w:r w:rsidR="006C31BF" w:rsidRPr="00CF77C1">
              <w:rPr>
                <w:lang w:val="sr-Cyrl-RS"/>
              </w:rPr>
              <w:t>градња другог трансформатора 110/10 kV</w:t>
            </w:r>
            <w:r w:rsidRPr="00CF77C1">
              <w:rPr>
                <w:lang w:val="sr-Cyrl-RS"/>
              </w:rPr>
              <w:t xml:space="preserve"> и опремање прикључних поља 110</w:t>
            </w:r>
            <w:r w:rsidR="00F10D3F" w:rsidRPr="00CF77C1">
              <w:rPr>
                <w:lang w:val="sr-Cyrl-RS"/>
              </w:rPr>
              <w:t xml:space="preserve"> kV</w:t>
            </w:r>
            <w:r w:rsidRPr="00CF77C1">
              <w:rPr>
                <w:lang w:val="sr-Cyrl-RS"/>
              </w:rPr>
              <w:t xml:space="preserve"> и 10 kV и уградња додатних ћелија 10 kV.</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5735B2B7" w14:textId="77777777" w:rsidR="006C31BF" w:rsidRPr="00CF77C1" w:rsidRDefault="006C31BF" w:rsidP="0080044B">
            <w:pPr>
              <w:jc w:val="left"/>
              <w:rPr>
                <w:lang w:val="sr-Cyrl-RS"/>
              </w:rPr>
            </w:pPr>
            <w:r w:rsidRPr="00CF77C1">
              <w:rPr>
                <w:lang w:val="sr-Cyrl-RS"/>
              </w:rPr>
              <w:t>Постоји просторно-п</w:t>
            </w:r>
            <w:r w:rsidR="00BC3ACE" w:rsidRPr="00CF77C1">
              <w:rPr>
                <w:lang w:val="sr-Cyrl-RS"/>
              </w:rPr>
              <w:t>ланска и техничка документација</w:t>
            </w:r>
            <w:r w:rsidRPr="00CF77C1">
              <w:rPr>
                <w:lang w:val="sr-Cyrl-RS"/>
              </w:rPr>
              <w:t xml:space="preserve">. Спецификација за опрему и радове и </w:t>
            </w:r>
            <w:r w:rsidR="004B2962" w:rsidRPr="00CF77C1">
              <w:rPr>
                <w:lang w:val="sr-Cyrl-RS"/>
              </w:rPr>
              <w:t>тендерска</w:t>
            </w:r>
            <w:r w:rsidRPr="00CF77C1">
              <w:rPr>
                <w:lang w:val="sr-Cyrl-RS"/>
              </w:rPr>
              <w:t xml:space="preserve"> документација су у фази припреме.</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4215F172" w14:textId="77777777" w:rsidR="006C31BF" w:rsidRPr="00CF77C1" w:rsidRDefault="005D798E" w:rsidP="0080044B">
            <w:pPr>
              <w:jc w:val="left"/>
              <w:rPr>
                <w:lang w:val="sr-Cyrl-RS"/>
              </w:rPr>
            </w:pPr>
            <w:r w:rsidRPr="00CF77C1">
              <w:rPr>
                <w:lang w:val="sr-Cyrl-RS"/>
              </w:rPr>
              <w:t>Пројекат за грађевинску дозволу, грађевинска дозвола, пројекат за извођење, употребна дозвола.</w:t>
            </w:r>
          </w:p>
        </w:tc>
      </w:tr>
      <w:tr w:rsidR="005D798E" w:rsidRPr="00CF77C1" w14:paraId="5C0B6292"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48C8FB9E" w14:textId="77777777" w:rsidR="005D798E" w:rsidRPr="00CF77C1" w:rsidRDefault="005D798E" w:rsidP="0080044B">
            <w:pPr>
              <w:jc w:val="left"/>
              <w:rPr>
                <w:lang w:val="sr-Cyrl-RS"/>
              </w:rPr>
            </w:pPr>
            <w:r w:rsidRPr="00CF77C1">
              <w:rPr>
                <w:lang w:val="sr-Cyrl-RS"/>
              </w:rPr>
              <w:t>ТС 110/10 kV Параћин 3</w:t>
            </w:r>
          </w:p>
        </w:tc>
        <w:tc>
          <w:tcPr>
            <w:tcW w:w="5103" w:type="dxa"/>
            <w:tcBorders>
              <w:top w:val="single" w:sz="4" w:space="0" w:color="auto"/>
              <w:left w:val="single" w:sz="4" w:space="0" w:color="auto"/>
              <w:bottom w:val="single" w:sz="4" w:space="0" w:color="auto"/>
              <w:right w:val="single" w:sz="4" w:space="0" w:color="auto"/>
            </w:tcBorders>
            <w:vAlign w:val="center"/>
          </w:tcPr>
          <w:p w14:paraId="6169B03E" w14:textId="41745106" w:rsidR="005D798E" w:rsidRPr="00CF77C1" w:rsidRDefault="005D798E" w:rsidP="0080044B">
            <w:pPr>
              <w:jc w:val="left"/>
              <w:rPr>
                <w:lang w:val="sr-Cyrl-RS"/>
              </w:rPr>
            </w:pPr>
            <w:r w:rsidRPr="00CF77C1">
              <w:rPr>
                <w:lang w:val="sr-Cyrl-RS"/>
              </w:rPr>
              <w:t xml:space="preserve">Уградња другог трансформатора 110/10 kV и опремање прикључних поља 110 </w:t>
            </w:r>
            <w:r w:rsidR="00F10D3F" w:rsidRPr="00CF77C1">
              <w:rPr>
                <w:lang w:val="sr-Cyrl-RS"/>
              </w:rPr>
              <w:t xml:space="preserve">kV </w:t>
            </w:r>
            <w:r w:rsidRPr="00CF77C1">
              <w:rPr>
                <w:lang w:val="sr-Cyrl-RS"/>
              </w:rPr>
              <w:t>и 10 kV и уградња додатних ћелија 10 kV.</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2E9B1E2E" w14:textId="77777777" w:rsidR="005D798E" w:rsidRPr="00CF77C1" w:rsidRDefault="005D798E" w:rsidP="0080044B">
            <w:pPr>
              <w:jc w:val="left"/>
              <w:rPr>
                <w:lang w:val="sr-Cyrl-RS"/>
              </w:rPr>
            </w:pPr>
            <w:r w:rsidRPr="00CF77C1">
              <w:rPr>
                <w:lang w:val="sr-Cyrl-RS"/>
              </w:rPr>
              <w:t>Не постоји урађена инвестиционо-техничка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FE19485" w14:textId="77777777" w:rsidR="005D798E" w:rsidRPr="00CF77C1" w:rsidRDefault="005D798E" w:rsidP="0080044B">
            <w:pPr>
              <w:jc w:val="left"/>
              <w:rPr>
                <w:lang w:val="sr-Cyrl-RS"/>
              </w:rPr>
            </w:pPr>
            <w:r w:rsidRPr="00CF77C1">
              <w:rPr>
                <w:lang w:val="sr-Cyrl-RS"/>
              </w:rPr>
              <w:t xml:space="preserve">Идејно решење, студија оправданости, идејни пројекат, </w:t>
            </w:r>
            <w:r w:rsidR="0074146B" w:rsidRPr="00CF77C1">
              <w:rPr>
                <w:lang w:val="sr-Cyrl-RS"/>
              </w:rPr>
              <w:t xml:space="preserve">спецификација за опрему и радове и тендерска документација, </w:t>
            </w:r>
            <w:r w:rsidRPr="00CF77C1">
              <w:rPr>
                <w:lang w:val="sr-Cyrl-RS"/>
              </w:rPr>
              <w:t>пројекат за грађевинску дозволу, грађевинска дозвола, пројекат за извођење, употребна дозвола.</w:t>
            </w:r>
          </w:p>
        </w:tc>
      </w:tr>
      <w:tr w:rsidR="005D798E" w:rsidRPr="00CF77C1" w14:paraId="047708F7"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3BD153FB" w14:textId="77777777" w:rsidR="005D798E" w:rsidRPr="00CF77C1" w:rsidRDefault="005D798E" w:rsidP="0080044B">
            <w:pPr>
              <w:jc w:val="left"/>
              <w:rPr>
                <w:lang w:val="sr-Cyrl-RS"/>
              </w:rPr>
            </w:pPr>
            <w:r w:rsidRPr="00CF77C1">
              <w:rPr>
                <w:lang w:val="sr-Cyrl-RS"/>
              </w:rPr>
              <w:t>ТС 110/35 kV Ћићевац</w:t>
            </w:r>
          </w:p>
        </w:tc>
        <w:tc>
          <w:tcPr>
            <w:tcW w:w="5103" w:type="dxa"/>
            <w:tcBorders>
              <w:top w:val="single" w:sz="4" w:space="0" w:color="auto"/>
              <w:left w:val="single" w:sz="4" w:space="0" w:color="auto"/>
              <w:bottom w:val="single" w:sz="4" w:space="0" w:color="auto"/>
              <w:right w:val="single" w:sz="4" w:space="0" w:color="auto"/>
            </w:tcBorders>
            <w:vAlign w:val="center"/>
          </w:tcPr>
          <w:p w14:paraId="688F8EF6" w14:textId="26553317" w:rsidR="005D798E" w:rsidRPr="00CF77C1" w:rsidRDefault="005D798E" w:rsidP="0080044B">
            <w:pPr>
              <w:jc w:val="left"/>
              <w:rPr>
                <w:lang w:val="sr-Cyrl-RS"/>
              </w:rPr>
            </w:pPr>
            <w:r w:rsidRPr="00CF77C1">
              <w:rPr>
                <w:lang w:val="sr-Cyrl-RS"/>
              </w:rPr>
              <w:t xml:space="preserve">Уградња другог трансформатора 110/35 kV и опремање прикључних поља 110 </w:t>
            </w:r>
            <w:r w:rsidR="00F10D3F" w:rsidRPr="00CF77C1">
              <w:rPr>
                <w:lang w:val="sr-Cyrl-RS"/>
              </w:rPr>
              <w:t xml:space="preserve">kV </w:t>
            </w:r>
            <w:r w:rsidRPr="00CF77C1">
              <w:rPr>
                <w:lang w:val="sr-Cyrl-RS"/>
              </w:rPr>
              <w:t>и 35 kV.</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666C57D8" w14:textId="77777777" w:rsidR="005D798E" w:rsidRPr="00CF77C1" w:rsidRDefault="005D798E" w:rsidP="0080044B">
            <w:pPr>
              <w:jc w:val="left"/>
              <w:rPr>
                <w:lang w:val="sr-Cyrl-RS"/>
              </w:rPr>
            </w:pPr>
            <w:r w:rsidRPr="00CF77C1">
              <w:rPr>
                <w:lang w:val="sr-Cyrl-RS"/>
              </w:rPr>
              <w:t>Не постоји урађена инвестиционо-техничка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572E98F" w14:textId="77777777" w:rsidR="005D798E" w:rsidRPr="00CF77C1" w:rsidRDefault="005D798E" w:rsidP="0080044B">
            <w:pPr>
              <w:jc w:val="left"/>
              <w:rPr>
                <w:lang w:val="sr-Cyrl-RS"/>
              </w:rPr>
            </w:pPr>
            <w:r w:rsidRPr="00CF77C1">
              <w:rPr>
                <w:lang w:val="sr-Cyrl-RS"/>
              </w:rPr>
              <w:t xml:space="preserve">Идејно решење, студија оправданости, идејни пројекат, </w:t>
            </w:r>
            <w:r w:rsidR="0074146B" w:rsidRPr="00CF77C1">
              <w:rPr>
                <w:lang w:val="sr-Cyrl-RS"/>
              </w:rPr>
              <w:t xml:space="preserve">спецификација за опрему и радове и тендерска документација, </w:t>
            </w:r>
            <w:r w:rsidRPr="00CF77C1">
              <w:rPr>
                <w:lang w:val="sr-Cyrl-RS"/>
              </w:rPr>
              <w:t>пројекат за грађевинску дозволу, грађевинска дозвола, пројекат за извођење, употребна дозвола.</w:t>
            </w:r>
          </w:p>
        </w:tc>
      </w:tr>
      <w:tr w:rsidR="005D798E" w:rsidRPr="00CF77C1" w14:paraId="66D7C8D5"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659FA26D" w14:textId="77777777" w:rsidR="005D798E" w:rsidRPr="00CF77C1" w:rsidRDefault="005D798E" w:rsidP="0080044B">
            <w:pPr>
              <w:jc w:val="left"/>
              <w:rPr>
                <w:lang w:val="sr-Cyrl-RS"/>
              </w:rPr>
            </w:pPr>
            <w:r w:rsidRPr="00CF77C1">
              <w:rPr>
                <w:lang w:val="sr-Cyrl-RS"/>
              </w:rPr>
              <w:t>ТС 110/35/10 kV Лешница</w:t>
            </w:r>
          </w:p>
        </w:tc>
        <w:tc>
          <w:tcPr>
            <w:tcW w:w="5103" w:type="dxa"/>
            <w:tcBorders>
              <w:top w:val="single" w:sz="4" w:space="0" w:color="auto"/>
              <w:left w:val="single" w:sz="4" w:space="0" w:color="auto"/>
              <w:bottom w:val="single" w:sz="4" w:space="0" w:color="auto"/>
              <w:right w:val="single" w:sz="4" w:space="0" w:color="auto"/>
            </w:tcBorders>
            <w:vAlign w:val="center"/>
          </w:tcPr>
          <w:p w14:paraId="3827205E" w14:textId="77777777" w:rsidR="005D798E" w:rsidRPr="00CF77C1" w:rsidRDefault="005D798E" w:rsidP="0080044B">
            <w:pPr>
              <w:jc w:val="left"/>
              <w:rPr>
                <w:lang w:val="sr-Cyrl-RS"/>
              </w:rPr>
            </w:pPr>
            <w:r w:rsidRPr="00CF77C1">
              <w:rPr>
                <w:lang w:val="sr-Cyrl-RS"/>
              </w:rPr>
              <w:t>Комплетна замена опреме на крају експлоатационог века 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501177C9" w14:textId="77777777" w:rsidR="005D798E" w:rsidRPr="00CF77C1" w:rsidRDefault="005D798E" w:rsidP="0080044B">
            <w:pPr>
              <w:jc w:val="left"/>
              <w:rPr>
                <w:lang w:val="sr-Cyrl-RS"/>
              </w:rPr>
            </w:pPr>
            <w:r w:rsidRPr="00CF77C1">
              <w:rPr>
                <w:lang w:val="sr-Cyrl-RS"/>
              </w:rPr>
              <w:t>Постоји претходна студија оправданости, идејно решење, студија оправданости, идејни пројекат, решени су имовинско правни односи и обезбеђен доказ о праву својине, формирана је спецификација за опрему и радове и тендерска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492D385B" w14:textId="77777777" w:rsidR="005D798E" w:rsidRPr="00CF77C1" w:rsidRDefault="005D798E" w:rsidP="0080044B">
            <w:pPr>
              <w:jc w:val="left"/>
              <w:rPr>
                <w:lang w:val="sr-Cyrl-RS"/>
              </w:rPr>
            </w:pPr>
            <w:r w:rsidRPr="00CF77C1">
              <w:rPr>
                <w:lang w:val="sr-Cyrl-RS"/>
              </w:rPr>
              <w:t>Пројекат за грађевинску дозволу, грађевинска дозвола, пројекат за извођење, употребна дозвола.</w:t>
            </w:r>
          </w:p>
        </w:tc>
      </w:tr>
      <w:tr w:rsidR="006C31BF" w:rsidRPr="00CF77C1" w14:paraId="787BDDA6"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7F40820B" w14:textId="77777777" w:rsidR="006C31BF" w:rsidRPr="00CF77C1" w:rsidRDefault="006C31BF" w:rsidP="0080044B">
            <w:pPr>
              <w:jc w:val="left"/>
              <w:rPr>
                <w:lang w:val="sr-Cyrl-RS"/>
              </w:rPr>
            </w:pPr>
            <w:r w:rsidRPr="00CF77C1">
              <w:rPr>
                <w:lang w:val="sr-Cyrl-RS"/>
              </w:rPr>
              <w:t>ТС 110/35 kV Ужице 1</w:t>
            </w:r>
          </w:p>
        </w:tc>
        <w:tc>
          <w:tcPr>
            <w:tcW w:w="5103" w:type="dxa"/>
            <w:tcBorders>
              <w:top w:val="single" w:sz="4" w:space="0" w:color="auto"/>
              <w:left w:val="single" w:sz="4" w:space="0" w:color="auto"/>
              <w:bottom w:val="single" w:sz="4" w:space="0" w:color="auto"/>
              <w:right w:val="single" w:sz="4" w:space="0" w:color="auto"/>
            </w:tcBorders>
            <w:vAlign w:val="center"/>
          </w:tcPr>
          <w:p w14:paraId="68C9EB10" w14:textId="1D9F610D" w:rsidR="007D06BF" w:rsidRPr="00CF77C1" w:rsidRDefault="007D06BF" w:rsidP="0080044B">
            <w:pPr>
              <w:jc w:val="left"/>
              <w:rPr>
                <w:lang w:val="sr-Cyrl-RS"/>
              </w:rPr>
            </w:pPr>
            <w:r w:rsidRPr="00CF77C1">
              <w:rPr>
                <w:lang w:val="sr-Cyrl-RS"/>
              </w:rPr>
              <w:t>Постројење 110 kV: замена постојеће опреме са израдом нових темеља у трафо пољима, демонтажа постојеће опреме и темеља у далеководним пољима и изградња нових далеководних поља према „H</w:t>
            </w:r>
            <w:r w:rsidR="00AD5740" w:rsidRPr="00CF77C1">
              <w:rPr>
                <w:lang w:val="sr-Cyrl-RS"/>
              </w:rPr>
              <w:t>”</w:t>
            </w:r>
            <w:r w:rsidRPr="00CF77C1">
              <w:rPr>
                <w:lang w:val="sr-Cyrl-RS"/>
              </w:rPr>
              <w:t xml:space="preserve"> - шеми, комплетна реконструкција система заштите и управљања, реконструкција и изградња саобраћајница и проширење ограде око постројења;</w:t>
            </w:r>
          </w:p>
          <w:p w14:paraId="254BA373" w14:textId="75625185" w:rsidR="006C31BF" w:rsidRPr="00CF77C1" w:rsidRDefault="007D06BF" w:rsidP="0080044B">
            <w:pPr>
              <w:jc w:val="left"/>
              <w:rPr>
                <w:lang w:val="sr-Cyrl-RS"/>
              </w:rPr>
            </w:pPr>
            <w:r w:rsidRPr="00CF77C1">
              <w:rPr>
                <w:lang w:val="sr-Cyrl-RS"/>
              </w:rPr>
              <w:t>Постројење 35 kV: демонтажа темеља и опреме разводног постројења на отвореном и комплетна изградња затвореног разводног постројења са системом заштите и управљања</w:t>
            </w:r>
            <w:r w:rsidR="007D1A88">
              <w:rPr>
                <w:lang w:val="sr-Cyrl-RS"/>
              </w:rPr>
              <w:t>.</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61CA3610" w14:textId="77777777" w:rsidR="007D06BF" w:rsidRPr="00CF77C1" w:rsidRDefault="007D06BF" w:rsidP="0080044B">
            <w:pPr>
              <w:jc w:val="left"/>
              <w:rPr>
                <w:lang w:val="sr-Cyrl-RS"/>
              </w:rPr>
            </w:pPr>
            <w:r w:rsidRPr="00CF77C1">
              <w:rPr>
                <w:lang w:val="sr-Cyrl-RS"/>
              </w:rPr>
              <w:t>Постројење 110 kV: прибављена грађевинска дозвола,одабран извођач радова, радови у току;</w:t>
            </w:r>
          </w:p>
          <w:p w14:paraId="2588E200" w14:textId="68EED2E0" w:rsidR="006C31BF" w:rsidRPr="00CF77C1" w:rsidRDefault="007D06BF" w:rsidP="0080044B">
            <w:pPr>
              <w:jc w:val="left"/>
              <w:rPr>
                <w:lang w:val="sr-Cyrl-RS"/>
              </w:rPr>
            </w:pPr>
            <w:r w:rsidRPr="00CF77C1">
              <w:rPr>
                <w:lang w:val="sr-Cyrl-RS"/>
              </w:rPr>
              <w:t>Постројење 35 kV: Изабран је обрађивач који ће израдити</w:t>
            </w:r>
            <w:r w:rsidR="006C31BF" w:rsidRPr="00CF77C1">
              <w:rPr>
                <w:lang w:val="sr-Cyrl-RS"/>
              </w:rPr>
              <w:t xml:space="preserve"> </w:t>
            </w:r>
            <w:r w:rsidRPr="00CF77C1">
              <w:rPr>
                <w:lang w:val="sr-Cyrl-RS"/>
              </w:rPr>
              <w:t xml:space="preserve">потребну </w:t>
            </w:r>
            <w:r w:rsidR="006C31BF" w:rsidRPr="00CF77C1">
              <w:rPr>
                <w:lang w:val="sr-Cyrl-RS"/>
              </w:rPr>
              <w:t>и</w:t>
            </w:r>
            <w:r w:rsidRPr="00CF77C1">
              <w:rPr>
                <w:lang w:val="sr-Cyrl-RS"/>
              </w:rPr>
              <w:t>нвестиционо-техничку</w:t>
            </w:r>
            <w:r w:rsidR="006C31BF" w:rsidRPr="00CF77C1">
              <w:rPr>
                <w:lang w:val="sr-Cyrl-RS"/>
              </w:rPr>
              <w:t xml:space="preserve"> </w:t>
            </w:r>
            <w:r w:rsidRPr="00CF77C1">
              <w:rPr>
                <w:lang w:val="sr-Cyrl-RS"/>
              </w:rPr>
              <w:t>документацију, на основу које ће се формирати</w:t>
            </w:r>
            <w:r w:rsidR="00BD44C7" w:rsidRPr="00CF77C1">
              <w:rPr>
                <w:lang w:val="sr-Cyrl-RS"/>
              </w:rPr>
              <w:t xml:space="preserve"> </w:t>
            </w:r>
            <w:r w:rsidRPr="00CF77C1">
              <w:rPr>
                <w:lang w:val="sr-Cyrl-RS"/>
              </w:rPr>
              <w:t>и обезбедити</w:t>
            </w:r>
            <w:r w:rsidR="006C31BF" w:rsidRPr="00CF77C1">
              <w:rPr>
                <w:lang w:val="sr-Cyrl-RS"/>
              </w:rPr>
              <w:t xml:space="preserve"> </w:t>
            </w:r>
            <w:r w:rsidRPr="00CF77C1">
              <w:rPr>
                <w:lang w:val="sr-Cyrl-RS"/>
              </w:rPr>
              <w:t>спецификација за опрему и радове и који ће прибавити све потребне дозволе</w:t>
            </w:r>
            <w:r w:rsidR="00B04066">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F52D9D8" w14:textId="77777777" w:rsidR="006C31BF" w:rsidRPr="00CF77C1" w:rsidRDefault="007D06BF" w:rsidP="0080044B">
            <w:pPr>
              <w:jc w:val="left"/>
              <w:rPr>
                <w:lang w:val="sr-Cyrl-RS"/>
              </w:rPr>
            </w:pPr>
            <w:r w:rsidRPr="00CF77C1">
              <w:rPr>
                <w:lang w:val="sr-Cyrl-RS"/>
              </w:rPr>
              <w:t>За постројење 110 kV: у</w:t>
            </w:r>
            <w:r w:rsidR="00BC3ACE" w:rsidRPr="00CF77C1">
              <w:rPr>
                <w:lang w:val="sr-Cyrl-RS"/>
              </w:rPr>
              <w:t>потребна дозвола</w:t>
            </w:r>
            <w:r w:rsidRPr="00CF77C1">
              <w:rPr>
                <w:lang w:val="sr-Cyrl-RS"/>
              </w:rPr>
              <w:t>, за постројење 35 kV: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6C31BF" w:rsidRPr="00CF77C1" w14:paraId="4536B30D"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42F3339F" w14:textId="77777777" w:rsidR="006C31BF" w:rsidRPr="00CF77C1" w:rsidRDefault="006C31BF" w:rsidP="0080044B">
            <w:pPr>
              <w:jc w:val="left"/>
              <w:rPr>
                <w:lang w:val="sr-Cyrl-RS"/>
              </w:rPr>
            </w:pPr>
            <w:r w:rsidRPr="00CF77C1">
              <w:rPr>
                <w:lang w:val="sr-Cyrl-RS"/>
              </w:rPr>
              <w:t>ТС 110/20 kV Шабац 5</w:t>
            </w:r>
          </w:p>
        </w:tc>
        <w:tc>
          <w:tcPr>
            <w:tcW w:w="5103" w:type="dxa"/>
            <w:tcBorders>
              <w:top w:val="single" w:sz="4" w:space="0" w:color="auto"/>
              <w:left w:val="single" w:sz="4" w:space="0" w:color="auto"/>
              <w:bottom w:val="single" w:sz="4" w:space="0" w:color="auto"/>
              <w:right w:val="single" w:sz="4" w:space="0" w:color="auto"/>
            </w:tcBorders>
            <w:vAlign w:val="center"/>
          </w:tcPr>
          <w:p w14:paraId="07104098" w14:textId="77777777" w:rsidR="006C31BF" w:rsidRPr="00CF77C1" w:rsidRDefault="00D05939" w:rsidP="0080044B">
            <w:pPr>
              <w:jc w:val="left"/>
              <w:rPr>
                <w:lang w:val="sr-Cyrl-RS"/>
              </w:rPr>
            </w:pPr>
            <w:r w:rsidRPr="00CF77C1">
              <w:rPr>
                <w:lang w:val="sr-Cyrl-RS"/>
              </w:rPr>
              <w:t>Комплетна замена опреме на крају експлоатационог века на високонапонској и средњенапонској страни, уградња новог трансформатора 110/20 kV 31,5 MVA, опремање 20 kV ћелија, грађевинска реконструкција (задржава се постојећи габарит постројења).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158AB4EE" w14:textId="0C4AB8A9" w:rsidR="006C31BF" w:rsidRPr="00CF77C1" w:rsidRDefault="00D05939" w:rsidP="004E5E18">
            <w:pPr>
              <w:jc w:val="left"/>
              <w:rPr>
                <w:lang w:val="sr-Cyrl-RS"/>
              </w:rPr>
            </w:pPr>
            <w:r w:rsidRPr="00CF77C1">
              <w:rPr>
                <w:lang w:val="sr-Cyrl-RS"/>
              </w:rPr>
              <w:t>Постоји комплетан пројекат и грађевинска дозвола из 2011. године. Документа треба да се прилагоде Закону о планирању и изградњи.</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54BBA4C" w14:textId="77777777" w:rsidR="006C31BF" w:rsidRPr="00CF77C1" w:rsidRDefault="00D05939" w:rsidP="0080044B">
            <w:pPr>
              <w:jc w:val="left"/>
              <w:rPr>
                <w:lang w:val="sr-Cyrl-RS"/>
              </w:rPr>
            </w:pPr>
            <w:r w:rsidRPr="00CF77C1">
              <w:rPr>
                <w:lang w:val="sr-Cyrl-RS"/>
              </w:rPr>
              <w:t>Студија оправданости, и</w:t>
            </w:r>
            <w:r w:rsidR="006C31BF" w:rsidRPr="00CF77C1">
              <w:rPr>
                <w:lang w:val="sr-Cyrl-RS"/>
              </w:rPr>
              <w:t>дејни пројекат</w:t>
            </w:r>
            <w:r w:rsidR="00BC3ACE" w:rsidRPr="00CF77C1">
              <w:rPr>
                <w:lang w:val="sr-Cyrl-RS"/>
              </w:rPr>
              <w:t xml:space="preserve">, </w:t>
            </w:r>
            <w:r w:rsidRPr="00CF77C1">
              <w:rPr>
                <w:lang w:val="sr-Cyrl-RS"/>
              </w:rPr>
              <w:t xml:space="preserve">спецификација за опрему и радове и тендерска документација, пројекат за грађевинску дозволу, грађевинска дозвола, </w:t>
            </w:r>
            <w:r w:rsidR="00BC3ACE" w:rsidRPr="00CF77C1">
              <w:rPr>
                <w:lang w:val="sr-Cyrl-RS"/>
              </w:rPr>
              <w:t>п</w:t>
            </w:r>
            <w:r w:rsidR="006C31BF" w:rsidRPr="00CF77C1">
              <w:rPr>
                <w:lang w:val="sr-Cyrl-RS"/>
              </w:rPr>
              <w:t>ројекат за извођење</w:t>
            </w:r>
            <w:r w:rsidR="00BC3ACE" w:rsidRPr="00CF77C1">
              <w:rPr>
                <w:lang w:val="sr-Cyrl-RS"/>
              </w:rPr>
              <w:t>,</w:t>
            </w:r>
            <w:r w:rsidRPr="00CF77C1">
              <w:rPr>
                <w:lang w:val="sr-Cyrl-RS"/>
              </w:rPr>
              <w:t xml:space="preserve"> </w:t>
            </w:r>
            <w:r w:rsidR="00BC3ACE" w:rsidRPr="00CF77C1">
              <w:rPr>
                <w:lang w:val="sr-Cyrl-RS"/>
              </w:rPr>
              <w:t>употребна дозвола</w:t>
            </w:r>
            <w:r w:rsidRPr="00CF77C1">
              <w:rPr>
                <w:lang w:val="sr-Cyrl-RS"/>
              </w:rPr>
              <w:t>.</w:t>
            </w:r>
          </w:p>
        </w:tc>
      </w:tr>
      <w:tr w:rsidR="006C31BF" w:rsidRPr="00CF77C1" w14:paraId="353768EE"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5E7FD176" w14:textId="77777777" w:rsidR="006C31BF" w:rsidRPr="00CF77C1" w:rsidRDefault="006C31BF" w:rsidP="0080044B">
            <w:pPr>
              <w:jc w:val="left"/>
              <w:rPr>
                <w:lang w:val="sr-Cyrl-RS"/>
              </w:rPr>
            </w:pPr>
            <w:r w:rsidRPr="00CF77C1">
              <w:rPr>
                <w:lang w:val="sr-Cyrl-RS"/>
              </w:rPr>
              <w:t>ТС 110/35/6,3 kV Шабац 1</w:t>
            </w:r>
            <w:r w:rsidR="00BC3ACE" w:rsidRPr="00CF77C1">
              <w:rPr>
                <w:lang w:val="sr-Cyrl-RS"/>
              </w:rPr>
              <w:t xml:space="preserve"> (будућа 110/35/20 kV)</w:t>
            </w:r>
          </w:p>
        </w:tc>
        <w:tc>
          <w:tcPr>
            <w:tcW w:w="5103" w:type="dxa"/>
            <w:tcBorders>
              <w:top w:val="single" w:sz="4" w:space="0" w:color="auto"/>
              <w:left w:val="single" w:sz="4" w:space="0" w:color="auto"/>
              <w:bottom w:val="single" w:sz="4" w:space="0" w:color="auto"/>
              <w:right w:val="single" w:sz="4" w:space="0" w:color="auto"/>
            </w:tcBorders>
            <w:vAlign w:val="center"/>
          </w:tcPr>
          <w:p w14:paraId="6893909A" w14:textId="77777777" w:rsidR="006C31BF" w:rsidRPr="00CF77C1" w:rsidRDefault="00D05939" w:rsidP="0080044B">
            <w:pPr>
              <w:jc w:val="left"/>
              <w:rPr>
                <w:lang w:val="sr-Cyrl-RS"/>
              </w:rPr>
            </w:pPr>
            <w:r w:rsidRPr="00CF77C1">
              <w:rPr>
                <w:lang w:val="sr-Cyrl-RS"/>
              </w:rPr>
              <w:t>Комплетна замена опреме на крају експлоатационог века на високонапонској и средњенапонској страни, замена једног постојећег трансформатора 110/6 kV трансформатором 110/20 kV, уградња новог постројења 20 kV и грађевинска реконструкција (задржава се постојећи габарит постројења).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001F6401" w14:textId="77777777" w:rsidR="006C31BF" w:rsidRPr="00CF77C1" w:rsidRDefault="00D05939" w:rsidP="0080044B">
            <w:pPr>
              <w:jc w:val="left"/>
              <w:rPr>
                <w:lang w:val="sr-Cyrl-RS"/>
              </w:rPr>
            </w:pPr>
            <w:r w:rsidRPr="00CF77C1">
              <w:rPr>
                <w:lang w:val="sr-Cyrl-RS"/>
              </w:rPr>
              <w:t>Усвојени су идејни пројекат и студија оправданости, завршена тендерска процедура набавке опреме.</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4F4C17BC" w14:textId="77777777" w:rsidR="006C31BF" w:rsidRPr="00CF77C1" w:rsidRDefault="001329A4" w:rsidP="0080044B">
            <w:pPr>
              <w:jc w:val="left"/>
              <w:rPr>
                <w:lang w:val="sr-Cyrl-RS"/>
              </w:rPr>
            </w:pPr>
            <w:r w:rsidRPr="00CF77C1">
              <w:rPr>
                <w:lang w:val="sr-Cyrl-RS"/>
              </w:rPr>
              <w:t>П</w:t>
            </w:r>
            <w:r w:rsidR="00BC3ACE" w:rsidRPr="00CF77C1">
              <w:rPr>
                <w:lang w:val="sr-Cyrl-RS"/>
              </w:rPr>
              <w:t xml:space="preserve">ројекат за грађевинску дозволу, </w:t>
            </w:r>
            <w:r w:rsidR="00D05939" w:rsidRPr="00CF77C1">
              <w:rPr>
                <w:lang w:val="sr-Cyrl-RS"/>
              </w:rPr>
              <w:t xml:space="preserve">грађевинска дозвола, </w:t>
            </w:r>
            <w:r w:rsidR="00BC3ACE" w:rsidRPr="00CF77C1">
              <w:rPr>
                <w:lang w:val="sr-Cyrl-RS"/>
              </w:rPr>
              <w:t xml:space="preserve">пројекат за извођење, </w:t>
            </w:r>
            <w:r w:rsidR="00D05939" w:rsidRPr="00CF77C1">
              <w:rPr>
                <w:lang w:val="sr-Cyrl-RS"/>
              </w:rPr>
              <w:t>употребна дозвола.</w:t>
            </w:r>
          </w:p>
        </w:tc>
      </w:tr>
      <w:tr w:rsidR="006C31BF" w:rsidRPr="00CF77C1" w14:paraId="17ED4B87"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29C14E53" w14:textId="77777777" w:rsidR="006C31BF" w:rsidRPr="00CF77C1" w:rsidRDefault="006C31BF" w:rsidP="0080044B">
            <w:pPr>
              <w:jc w:val="left"/>
              <w:rPr>
                <w:lang w:val="sr-Cyrl-RS"/>
              </w:rPr>
            </w:pPr>
            <w:r w:rsidRPr="00CF77C1">
              <w:rPr>
                <w:lang w:val="sr-Cyrl-RS"/>
              </w:rPr>
              <w:t>ТС 110/35 kV Горњи Милановац</w:t>
            </w:r>
            <w:r w:rsidR="001329A4" w:rsidRPr="00CF77C1">
              <w:rPr>
                <w:lang w:val="sr-Cyrl-RS"/>
              </w:rPr>
              <w:t xml:space="preserve"> 1</w:t>
            </w:r>
          </w:p>
        </w:tc>
        <w:tc>
          <w:tcPr>
            <w:tcW w:w="5103" w:type="dxa"/>
            <w:tcBorders>
              <w:top w:val="single" w:sz="4" w:space="0" w:color="auto"/>
              <w:left w:val="single" w:sz="4" w:space="0" w:color="auto"/>
              <w:bottom w:val="single" w:sz="4" w:space="0" w:color="auto"/>
              <w:right w:val="single" w:sz="4" w:space="0" w:color="auto"/>
            </w:tcBorders>
            <w:vAlign w:val="center"/>
          </w:tcPr>
          <w:p w14:paraId="77E69426" w14:textId="77777777" w:rsidR="006C31BF" w:rsidRPr="00CF77C1" w:rsidRDefault="00BC3ACE" w:rsidP="0080044B">
            <w:pPr>
              <w:jc w:val="left"/>
              <w:rPr>
                <w:lang w:val="sr-Cyrl-RS"/>
              </w:rPr>
            </w:pPr>
            <w:r w:rsidRPr="00CF77C1">
              <w:rPr>
                <w:lang w:val="sr-Cyrl-RS"/>
              </w:rPr>
              <w:t xml:space="preserve">Комплетна замена опреме </w:t>
            </w:r>
            <w:r w:rsidR="00510825" w:rsidRPr="00CF77C1">
              <w:rPr>
                <w:lang w:val="sr-Cyrl-RS"/>
              </w:rPr>
              <w:t xml:space="preserve">на крају експлоатационог века </w:t>
            </w:r>
            <w:r w:rsidRPr="00CF77C1">
              <w:rPr>
                <w:lang w:val="sr-Cyrl-RS"/>
              </w:rPr>
              <w:t>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63CE7960" w14:textId="77777777" w:rsidR="006C31BF" w:rsidRPr="00CF77C1" w:rsidRDefault="00BC3ACE" w:rsidP="0080044B">
            <w:pPr>
              <w:jc w:val="left"/>
              <w:rPr>
                <w:lang w:val="sr-Cyrl-RS"/>
              </w:rPr>
            </w:pPr>
            <w:r w:rsidRPr="00CF77C1">
              <w:rPr>
                <w:lang w:val="sr-Cyrl-RS"/>
              </w:rPr>
              <w:t xml:space="preserve">До сада је прикупљена следећа документација: претходна студија оправданости, идејно решење, студија оправданости, идејни пројекат, </w:t>
            </w:r>
            <w:r w:rsidR="001716F2" w:rsidRPr="00CF77C1">
              <w:rPr>
                <w:lang w:val="sr-Cyrl-RS"/>
              </w:rPr>
              <w:t xml:space="preserve">у току је решавање </w:t>
            </w:r>
            <w:r w:rsidR="00A71236" w:rsidRPr="00CF77C1">
              <w:rPr>
                <w:lang w:val="sr-Cyrl-RS"/>
              </w:rPr>
              <w:t>имовинско-правних</w:t>
            </w:r>
            <w:r w:rsidR="001716F2" w:rsidRPr="00CF77C1">
              <w:rPr>
                <w:lang w:val="sr-Cyrl-RS"/>
              </w:rPr>
              <w:t xml:space="preserve"> односа</w:t>
            </w:r>
            <w:r w:rsidRPr="00CF77C1">
              <w:rPr>
                <w:lang w:val="sr-Cyrl-RS"/>
              </w:rPr>
              <w:t xml:space="preserve">, формирана је спецификација за опрему и радове и </w:t>
            </w:r>
            <w:r w:rsidR="004B2962" w:rsidRPr="00CF77C1">
              <w:rPr>
                <w:lang w:val="sr-Cyrl-RS"/>
              </w:rPr>
              <w:t>тендерска</w:t>
            </w:r>
            <w:r w:rsidRPr="00CF77C1">
              <w:rPr>
                <w:lang w:val="sr-Cyrl-RS"/>
              </w:rPr>
              <w:t xml:space="preserve">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3135695" w14:textId="77777777" w:rsidR="006C31BF" w:rsidRPr="00CF77C1" w:rsidRDefault="00D05939" w:rsidP="0080044B">
            <w:pPr>
              <w:jc w:val="left"/>
              <w:rPr>
                <w:lang w:val="sr-Cyrl-RS"/>
              </w:rPr>
            </w:pPr>
            <w:r w:rsidRPr="00CF77C1">
              <w:rPr>
                <w:lang w:val="sr-Cyrl-RS"/>
              </w:rPr>
              <w:t>Пројекат за грађевинску дозволу, грађевинска дозвола, пројекат за извођење, употребна дозвола.</w:t>
            </w:r>
          </w:p>
        </w:tc>
      </w:tr>
      <w:tr w:rsidR="006C31BF" w:rsidRPr="00CF77C1" w14:paraId="39900D5C"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057732C5" w14:textId="77777777" w:rsidR="006C31BF" w:rsidRPr="00CF77C1" w:rsidRDefault="006C31BF" w:rsidP="0080044B">
            <w:pPr>
              <w:jc w:val="left"/>
              <w:rPr>
                <w:lang w:val="sr-Cyrl-RS"/>
              </w:rPr>
            </w:pPr>
            <w:r w:rsidRPr="00CF77C1">
              <w:rPr>
                <w:lang w:val="sr-Cyrl-RS"/>
              </w:rPr>
              <w:t>ТС 110/10 kV Ниш 5</w:t>
            </w:r>
          </w:p>
        </w:tc>
        <w:tc>
          <w:tcPr>
            <w:tcW w:w="5103" w:type="dxa"/>
            <w:tcBorders>
              <w:top w:val="single" w:sz="4" w:space="0" w:color="auto"/>
              <w:left w:val="single" w:sz="4" w:space="0" w:color="auto"/>
              <w:bottom w:val="single" w:sz="4" w:space="0" w:color="auto"/>
              <w:right w:val="single" w:sz="4" w:space="0" w:color="auto"/>
            </w:tcBorders>
            <w:vAlign w:val="center"/>
          </w:tcPr>
          <w:p w14:paraId="48E366F0" w14:textId="77777777" w:rsidR="006C31BF" w:rsidRPr="00CF77C1" w:rsidRDefault="006C31BF" w:rsidP="0080044B">
            <w:pPr>
              <w:jc w:val="left"/>
              <w:rPr>
                <w:lang w:val="sr-Cyrl-RS"/>
              </w:rPr>
            </w:pPr>
            <w:r w:rsidRPr="00CF77C1">
              <w:rPr>
                <w:lang w:val="sr-Cyrl-RS"/>
              </w:rPr>
              <w:t>Опремање два далеководна поља 110 kV, замена примарне опреме и опреме заштите и управљања.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56F0E7F1" w14:textId="77777777" w:rsidR="006C31BF" w:rsidRPr="00CF77C1" w:rsidRDefault="00D05939" w:rsidP="0080044B">
            <w:pPr>
              <w:jc w:val="left"/>
              <w:rPr>
                <w:lang w:val="sr-Cyrl-RS"/>
              </w:rPr>
            </w:pPr>
            <w:r w:rsidRPr="00CF77C1">
              <w:rPr>
                <w:lang w:val="sr-Cyrl-RS"/>
              </w:rPr>
              <w:t>Прикупљена је комплетна инвестиционо-техничка документација. Формирана је спецификација</w:t>
            </w:r>
            <w:r w:rsidR="006C31BF" w:rsidRPr="00CF77C1">
              <w:rPr>
                <w:lang w:val="sr-Cyrl-RS"/>
              </w:rPr>
              <w:t xml:space="preserve"> за опрему и радове и </w:t>
            </w:r>
            <w:r w:rsidR="004B2962" w:rsidRPr="00CF77C1">
              <w:rPr>
                <w:lang w:val="sr-Cyrl-RS"/>
              </w:rPr>
              <w:t>тендерск</w:t>
            </w:r>
            <w:r w:rsidRPr="00CF77C1">
              <w:rPr>
                <w:lang w:val="sr-Cyrl-RS"/>
              </w:rPr>
              <w:t>а документација</w:t>
            </w:r>
            <w:r w:rsidR="006C31BF" w:rsidRPr="00CF77C1">
              <w:rPr>
                <w:lang w:val="sr-Cyrl-RS"/>
              </w:rPr>
              <w:t xml:space="preserve"> </w:t>
            </w:r>
            <w:r w:rsidRPr="00CF77C1">
              <w:rPr>
                <w:lang w:val="sr-Cyrl-RS"/>
              </w:rPr>
              <w:t xml:space="preserve">и </w:t>
            </w:r>
            <w:r w:rsidR="006C31BF" w:rsidRPr="00CF77C1">
              <w:rPr>
                <w:lang w:val="sr-Cyrl-RS"/>
              </w:rPr>
              <w:t xml:space="preserve">завршен </w:t>
            </w:r>
            <w:r w:rsidRPr="00CF77C1">
              <w:rPr>
                <w:lang w:val="sr-Cyrl-RS"/>
              </w:rPr>
              <w:t>је тендер и уговорен део набавке опреме</w:t>
            </w:r>
            <w:r w:rsidR="006C31BF" w:rsidRPr="00CF77C1">
              <w:rPr>
                <w:lang w:val="sr-Cyrl-RS"/>
              </w:rPr>
              <w:t>. Радови се планирају за 2017. годину.</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72FEF1D2" w14:textId="77777777" w:rsidR="006C31BF" w:rsidRPr="00CF77C1" w:rsidRDefault="00D05939" w:rsidP="0080044B">
            <w:pPr>
              <w:jc w:val="left"/>
              <w:rPr>
                <w:lang w:val="sr-Cyrl-RS"/>
              </w:rPr>
            </w:pPr>
            <w:r w:rsidRPr="00CF77C1">
              <w:rPr>
                <w:lang w:val="sr-Cyrl-RS"/>
              </w:rPr>
              <w:t>Грађевинска дозвола, пројекат за извођење, употребна дозвола.</w:t>
            </w:r>
          </w:p>
        </w:tc>
      </w:tr>
      <w:tr w:rsidR="006F517C" w:rsidRPr="00CF77C1" w14:paraId="574F03D4"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665D56DD" w14:textId="77777777" w:rsidR="006F517C" w:rsidRPr="00CF77C1" w:rsidRDefault="006F517C" w:rsidP="0080044B">
            <w:pPr>
              <w:jc w:val="left"/>
              <w:rPr>
                <w:lang w:val="sr-Cyrl-RS"/>
              </w:rPr>
            </w:pPr>
            <w:r w:rsidRPr="00CF77C1">
              <w:rPr>
                <w:lang w:val="sr-Cyrl-RS"/>
              </w:rPr>
              <w:t>ТС 110/35 kV Алексинац</w:t>
            </w:r>
          </w:p>
        </w:tc>
        <w:tc>
          <w:tcPr>
            <w:tcW w:w="5103" w:type="dxa"/>
            <w:tcBorders>
              <w:top w:val="single" w:sz="4" w:space="0" w:color="auto"/>
              <w:left w:val="single" w:sz="4" w:space="0" w:color="auto"/>
              <w:bottom w:val="single" w:sz="4" w:space="0" w:color="auto"/>
              <w:right w:val="single" w:sz="4" w:space="0" w:color="auto"/>
            </w:tcBorders>
            <w:vAlign w:val="center"/>
          </w:tcPr>
          <w:p w14:paraId="25DA5153" w14:textId="77777777" w:rsidR="006F517C" w:rsidRPr="00CF77C1" w:rsidRDefault="006F517C" w:rsidP="0080044B">
            <w:pPr>
              <w:jc w:val="left"/>
              <w:rPr>
                <w:lang w:val="sr-Cyrl-RS"/>
              </w:rPr>
            </w:pPr>
            <w:r w:rsidRPr="00CF77C1">
              <w:rPr>
                <w:lang w:val="sr-Cyrl-RS"/>
              </w:rPr>
              <w:t xml:space="preserve">Комплетна замена опреме </w:t>
            </w:r>
            <w:r w:rsidR="00510825" w:rsidRPr="00CF77C1">
              <w:rPr>
                <w:lang w:val="sr-Cyrl-RS"/>
              </w:rPr>
              <w:t xml:space="preserve">на крају експлоатационог века </w:t>
            </w:r>
            <w:r w:rsidRPr="00CF77C1">
              <w:rPr>
                <w:lang w:val="sr-Cyrl-RS"/>
              </w:rPr>
              <w:t>на високонапонској и средњенапонској страни и доградња поља за прикључење 110 kV далековода ка ТС Соко Бања.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436EAC5A" w14:textId="77777777" w:rsidR="006F517C" w:rsidRPr="00CF77C1" w:rsidRDefault="006F517C" w:rsidP="0080044B">
            <w:pPr>
              <w:jc w:val="left"/>
              <w:rPr>
                <w:lang w:val="sr-Cyrl-RS"/>
              </w:rPr>
            </w:pPr>
            <w:r w:rsidRPr="00CF77C1">
              <w:rPr>
                <w:lang w:val="sr-Cyrl-RS"/>
              </w:rPr>
              <w:t xml:space="preserve">До сада је прикупљена следећа документација: претходна студија оправданости, идејно решење, студија оправданости, идејни пројекат, у току је решавање </w:t>
            </w:r>
            <w:r w:rsidR="00A71236" w:rsidRPr="00CF77C1">
              <w:rPr>
                <w:lang w:val="sr-Cyrl-RS"/>
              </w:rPr>
              <w:t>имовинско-правних</w:t>
            </w:r>
            <w:r w:rsidRPr="00CF77C1">
              <w:rPr>
                <w:lang w:val="sr-Cyrl-RS"/>
              </w:rPr>
              <w:t xml:space="preserve"> односа, а формирана је спецификација за опрему и радове и </w:t>
            </w:r>
            <w:r w:rsidR="004B2962" w:rsidRPr="00CF77C1">
              <w:rPr>
                <w:lang w:val="sr-Cyrl-RS"/>
              </w:rPr>
              <w:t>тендерска</w:t>
            </w:r>
            <w:r w:rsidRPr="00CF77C1">
              <w:rPr>
                <w:lang w:val="sr-Cyrl-RS"/>
              </w:rPr>
              <w:t xml:space="preserve">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7D6D250" w14:textId="77777777" w:rsidR="006F517C" w:rsidRPr="00CF77C1" w:rsidRDefault="00D05939" w:rsidP="0080044B">
            <w:pPr>
              <w:jc w:val="left"/>
              <w:rPr>
                <w:lang w:val="sr-Cyrl-RS"/>
              </w:rPr>
            </w:pPr>
            <w:r w:rsidRPr="00CF77C1">
              <w:rPr>
                <w:lang w:val="sr-Cyrl-RS"/>
              </w:rPr>
              <w:t>Пројекат за грађевинску дозволу, грађевинска дозвола, пројекат за извођење, употребна дозвола.</w:t>
            </w:r>
          </w:p>
        </w:tc>
      </w:tr>
      <w:tr w:rsidR="006C31BF" w:rsidRPr="00CF77C1" w14:paraId="16CBA72A"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0D52C1C6" w14:textId="77777777" w:rsidR="006C31BF" w:rsidRPr="00CF77C1" w:rsidRDefault="006C31BF" w:rsidP="0080044B">
            <w:pPr>
              <w:jc w:val="left"/>
              <w:rPr>
                <w:lang w:val="sr-Cyrl-RS"/>
              </w:rPr>
            </w:pPr>
            <w:r w:rsidRPr="00CF77C1">
              <w:rPr>
                <w:lang w:val="sr-Cyrl-RS"/>
              </w:rPr>
              <w:t>ТС 110/35 kV Ниш 1</w:t>
            </w:r>
          </w:p>
        </w:tc>
        <w:tc>
          <w:tcPr>
            <w:tcW w:w="5103" w:type="dxa"/>
            <w:tcBorders>
              <w:top w:val="single" w:sz="4" w:space="0" w:color="auto"/>
              <w:left w:val="single" w:sz="4" w:space="0" w:color="auto"/>
              <w:bottom w:val="single" w:sz="4" w:space="0" w:color="auto"/>
              <w:right w:val="single" w:sz="4" w:space="0" w:color="auto"/>
            </w:tcBorders>
            <w:vAlign w:val="center"/>
          </w:tcPr>
          <w:p w14:paraId="3AE06FAB" w14:textId="77777777" w:rsidR="006C31BF" w:rsidRPr="00CF77C1" w:rsidRDefault="006C31BF" w:rsidP="0080044B">
            <w:pPr>
              <w:jc w:val="left"/>
              <w:rPr>
                <w:lang w:val="sr-Cyrl-RS"/>
              </w:rPr>
            </w:pPr>
            <w:r w:rsidRPr="00CF77C1">
              <w:rPr>
                <w:lang w:val="sr-Cyrl-RS"/>
              </w:rPr>
              <w:t>Санација ТС која је чворна, прикључена на мрежу 110 kV са четири вода 110 kV, опремљена са два енергетска трансформатора. У постојећем</w:t>
            </w:r>
            <w:r w:rsidR="00EA6189" w:rsidRPr="00CF77C1">
              <w:rPr>
                <w:lang w:val="sr-Cyrl-RS"/>
              </w:rPr>
              <w:t xml:space="preserve"> </w:t>
            </w:r>
            <w:r w:rsidRPr="00CF77C1">
              <w:rPr>
                <w:lang w:val="sr-Cyrl-RS"/>
              </w:rPr>
              <w:t>постројењу 110 kV ће се заменити комплетне сабирнице, опрема 110 kV (прекидач, СМТ), сабирнички портали, изградити уљна јама итд.</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4F28C970" w14:textId="3AC9D20C" w:rsidR="006C31BF" w:rsidRPr="00CF77C1" w:rsidRDefault="006F517C" w:rsidP="0080044B">
            <w:pPr>
              <w:jc w:val="left"/>
              <w:rPr>
                <w:lang w:val="sr-Cyrl-RS"/>
              </w:rPr>
            </w:pPr>
            <w:r w:rsidRPr="00CF77C1">
              <w:rPr>
                <w:lang w:val="sr-Cyrl-RS"/>
              </w:rPr>
              <w:t xml:space="preserve">Израђена је студија оправданости са идејним пројектом, </w:t>
            </w:r>
            <w:r w:rsidR="0074146B" w:rsidRPr="00CF77C1">
              <w:rPr>
                <w:lang w:val="sr-Cyrl-RS"/>
              </w:rPr>
              <w:t xml:space="preserve">припремљена је спецификација за опрему и радове и тендерска документација, </w:t>
            </w:r>
            <w:r w:rsidRPr="00CF77C1">
              <w:rPr>
                <w:lang w:val="sr-Cyrl-RS"/>
              </w:rPr>
              <w:t>у</w:t>
            </w:r>
            <w:r w:rsidR="006C31BF" w:rsidRPr="00CF77C1">
              <w:rPr>
                <w:lang w:val="sr-Cyrl-RS"/>
              </w:rPr>
              <w:t xml:space="preserve"> току је решавање правно-имовинских односа с обзиром </w:t>
            </w:r>
            <w:r w:rsidR="00EC7E28" w:rsidRPr="00CF77C1">
              <w:rPr>
                <w:lang w:val="sr-Cyrl-RS"/>
              </w:rPr>
              <w:t xml:space="preserve">на то </w:t>
            </w:r>
            <w:r w:rsidR="006C31BF" w:rsidRPr="00CF77C1">
              <w:rPr>
                <w:lang w:val="sr-Cyrl-RS"/>
              </w:rPr>
              <w:t xml:space="preserve">да је ТС преузета од </w:t>
            </w:r>
            <w:r w:rsidR="0013305E" w:rsidRPr="00CF77C1">
              <w:rPr>
                <w:lang w:val="sr-Cyrl-RS"/>
              </w:rPr>
              <w:t>ЕМС</w:t>
            </w:r>
            <w:r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AC4B11D" w14:textId="77777777" w:rsidR="006F517C" w:rsidRPr="00CF77C1" w:rsidRDefault="001329A4" w:rsidP="0080044B">
            <w:pPr>
              <w:jc w:val="left"/>
              <w:rPr>
                <w:lang w:val="sr-Cyrl-RS"/>
              </w:rPr>
            </w:pPr>
            <w:r w:rsidRPr="00CF77C1">
              <w:rPr>
                <w:lang w:val="sr-Cyrl-RS"/>
              </w:rPr>
              <w:t>П</w:t>
            </w:r>
            <w:r w:rsidR="006F517C" w:rsidRPr="00CF77C1">
              <w:rPr>
                <w:lang w:val="sr-Cyrl-RS"/>
              </w:rPr>
              <w:t>ројекат за грађевинску дозволу, пројекат за извођење, грађевинска дозвола/ одобрење за извођење радова.</w:t>
            </w:r>
          </w:p>
        </w:tc>
      </w:tr>
      <w:tr w:rsidR="006F517C" w:rsidRPr="00CF77C1" w14:paraId="08A82834" w14:textId="77777777" w:rsidTr="00D05939">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1DD8B2E1" w14:textId="77777777" w:rsidR="006F517C" w:rsidRPr="00CF77C1" w:rsidRDefault="006F517C" w:rsidP="0080044B">
            <w:pPr>
              <w:jc w:val="left"/>
              <w:rPr>
                <w:lang w:val="sr-Cyrl-RS"/>
              </w:rPr>
            </w:pPr>
            <w:r w:rsidRPr="00CF77C1">
              <w:rPr>
                <w:lang w:val="sr-Cyrl-RS"/>
              </w:rPr>
              <w:t>ТС 110/10 kV Ристовац</w:t>
            </w:r>
          </w:p>
        </w:tc>
        <w:tc>
          <w:tcPr>
            <w:tcW w:w="5103" w:type="dxa"/>
            <w:tcBorders>
              <w:top w:val="single" w:sz="4" w:space="0" w:color="auto"/>
              <w:left w:val="single" w:sz="4" w:space="0" w:color="auto"/>
              <w:bottom w:val="single" w:sz="4" w:space="0" w:color="auto"/>
              <w:right w:val="single" w:sz="4" w:space="0" w:color="auto"/>
            </w:tcBorders>
            <w:vAlign w:val="center"/>
          </w:tcPr>
          <w:p w14:paraId="1D531332" w14:textId="77777777" w:rsidR="006F517C" w:rsidRPr="00CF77C1" w:rsidRDefault="006F517C" w:rsidP="0080044B">
            <w:pPr>
              <w:jc w:val="left"/>
              <w:rPr>
                <w:lang w:val="sr-Cyrl-RS"/>
              </w:rPr>
            </w:pPr>
            <w:r w:rsidRPr="00CF77C1">
              <w:rPr>
                <w:lang w:val="sr-Cyrl-RS"/>
              </w:rPr>
              <w:t xml:space="preserve">Није формиран детаљан опис реконструкције - вероватна комплетна замена опреме </w:t>
            </w:r>
            <w:r w:rsidR="00510825" w:rsidRPr="00CF77C1">
              <w:rPr>
                <w:lang w:val="sr-Cyrl-RS"/>
              </w:rPr>
              <w:t xml:space="preserve">на крају експлоатационог века </w:t>
            </w:r>
            <w:r w:rsidRPr="00CF77C1">
              <w:rPr>
                <w:lang w:val="sr-Cyrl-RS"/>
              </w:rPr>
              <w:t>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17141426" w14:textId="77777777" w:rsidR="006F517C" w:rsidRPr="00CF77C1" w:rsidRDefault="00D05939" w:rsidP="0080044B">
            <w:pPr>
              <w:jc w:val="left"/>
              <w:rPr>
                <w:lang w:val="sr-Cyrl-RS"/>
              </w:rPr>
            </w:pPr>
            <w:r w:rsidRPr="00CF77C1">
              <w:rPr>
                <w:lang w:val="sr-Cyrl-RS"/>
              </w:rPr>
              <w:t>Нема расположиве инвестиционо-техничке документације. Припрема документације ће започети у 2017. години</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7855A502" w14:textId="77777777" w:rsidR="006F517C" w:rsidRPr="00CF77C1" w:rsidRDefault="00D05939" w:rsidP="0080044B">
            <w:pPr>
              <w:jc w:val="left"/>
              <w:rPr>
                <w:lang w:val="sr-Cyrl-RS"/>
              </w:rPr>
            </w:pPr>
            <w:r w:rsidRPr="00CF77C1">
              <w:rPr>
                <w:lang w:val="sr-Cyrl-RS"/>
              </w:rPr>
              <w:t>Нема расположиве инвестиционо-техничке документације.</w:t>
            </w:r>
          </w:p>
        </w:tc>
      </w:tr>
      <w:tr w:rsidR="006F517C" w:rsidRPr="00CF77C1" w14:paraId="77251ED7" w14:textId="77777777" w:rsidTr="00D05939">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361B0AB7" w14:textId="77777777" w:rsidR="006F517C" w:rsidRPr="00CF77C1" w:rsidRDefault="006F517C" w:rsidP="0080044B">
            <w:pPr>
              <w:jc w:val="left"/>
              <w:rPr>
                <w:lang w:val="sr-Cyrl-RS"/>
              </w:rPr>
            </w:pPr>
            <w:r w:rsidRPr="00CF77C1">
              <w:rPr>
                <w:lang w:val="sr-Cyrl-RS"/>
              </w:rPr>
              <w:t>ТС 110/35 kV Пирот 2</w:t>
            </w:r>
          </w:p>
        </w:tc>
        <w:tc>
          <w:tcPr>
            <w:tcW w:w="5103" w:type="dxa"/>
            <w:tcBorders>
              <w:top w:val="single" w:sz="4" w:space="0" w:color="auto"/>
              <w:left w:val="single" w:sz="4" w:space="0" w:color="auto"/>
              <w:bottom w:val="single" w:sz="4" w:space="0" w:color="auto"/>
              <w:right w:val="single" w:sz="4" w:space="0" w:color="auto"/>
            </w:tcBorders>
            <w:vAlign w:val="center"/>
          </w:tcPr>
          <w:p w14:paraId="4676CE52" w14:textId="77777777" w:rsidR="006F517C" w:rsidRPr="00CF77C1" w:rsidRDefault="006F517C" w:rsidP="0080044B">
            <w:pPr>
              <w:jc w:val="left"/>
              <w:rPr>
                <w:lang w:val="sr-Cyrl-RS"/>
              </w:rPr>
            </w:pPr>
            <w:r w:rsidRPr="00CF77C1">
              <w:rPr>
                <w:lang w:val="sr-Cyrl-RS"/>
              </w:rPr>
              <w:t xml:space="preserve">Није формиран детаљан опис реконструкције - вероватна комплетна замена опреме </w:t>
            </w:r>
            <w:r w:rsidR="00510825" w:rsidRPr="00CF77C1">
              <w:rPr>
                <w:lang w:val="sr-Cyrl-RS"/>
              </w:rPr>
              <w:t xml:space="preserve">на крају експлоатационог века </w:t>
            </w:r>
            <w:r w:rsidRPr="00CF77C1">
              <w:rPr>
                <w:lang w:val="sr-Cyrl-RS"/>
              </w:rPr>
              <w:t>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56D5F056" w14:textId="77777777" w:rsidR="006F517C" w:rsidRPr="00CF77C1" w:rsidRDefault="00D05939" w:rsidP="0080044B">
            <w:pPr>
              <w:jc w:val="left"/>
              <w:rPr>
                <w:lang w:val="sr-Cyrl-RS"/>
              </w:rPr>
            </w:pPr>
            <w:r w:rsidRPr="00CF77C1">
              <w:rPr>
                <w:lang w:val="sr-Cyrl-RS"/>
              </w:rPr>
              <w:t>Нема расположиве инвестиционо-техничке документације. Припрема документације ће започети у 2020. години</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871F732" w14:textId="77777777" w:rsidR="006F517C" w:rsidRPr="00CF77C1" w:rsidRDefault="00D05939" w:rsidP="0080044B">
            <w:pPr>
              <w:jc w:val="left"/>
              <w:rPr>
                <w:lang w:val="sr-Cyrl-RS"/>
              </w:rPr>
            </w:pPr>
            <w:r w:rsidRPr="00CF77C1">
              <w:rPr>
                <w:lang w:val="sr-Cyrl-RS"/>
              </w:rPr>
              <w:t>Нема расположиве инвестиционо-техничке документације.</w:t>
            </w:r>
          </w:p>
        </w:tc>
      </w:tr>
      <w:tr w:rsidR="006F517C" w:rsidRPr="00CF77C1" w14:paraId="3F6EAB27" w14:textId="77777777" w:rsidTr="00D05939">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661D0A9A" w14:textId="77777777" w:rsidR="006F517C" w:rsidRPr="00CF77C1" w:rsidRDefault="006F517C" w:rsidP="0080044B">
            <w:pPr>
              <w:jc w:val="left"/>
              <w:rPr>
                <w:lang w:val="sr-Cyrl-RS"/>
              </w:rPr>
            </w:pPr>
            <w:r w:rsidRPr="00CF77C1">
              <w:rPr>
                <w:lang w:val="sr-Cyrl-RS"/>
              </w:rPr>
              <w:t>ТС 110/35 kV Власотинце</w:t>
            </w:r>
          </w:p>
        </w:tc>
        <w:tc>
          <w:tcPr>
            <w:tcW w:w="5103" w:type="dxa"/>
            <w:tcBorders>
              <w:top w:val="single" w:sz="4" w:space="0" w:color="auto"/>
              <w:left w:val="single" w:sz="4" w:space="0" w:color="auto"/>
              <w:bottom w:val="single" w:sz="4" w:space="0" w:color="auto"/>
              <w:right w:val="single" w:sz="4" w:space="0" w:color="auto"/>
            </w:tcBorders>
            <w:vAlign w:val="center"/>
          </w:tcPr>
          <w:p w14:paraId="032C9063" w14:textId="77777777" w:rsidR="006F517C" w:rsidRPr="00CF77C1" w:rsidRDefault="006F517C" w:rsidP="0080044B">
            <w:pPr>
              <w:jc w:val="left"/>
              <w:rPr>
                <w:lang w:val="sr-Cyrl-RS"/>
              </w:rPr>
            </w:pPr>
            <w:r w:rsidRPr="00CF77C1">
              <w:rPr>
                <w:lang w:val="sr-Cyrl-RS"/>
              </w:rPr>
              <w:t xml:space="preserve">Није формиран детаљан опис реконструкције - вероватна комплетна замена опреме </w:t>
            </w:r>
            <w:r w:rsidR="00510825" w:rsidRPr="00CF77C1">
              <w:rPr>
                <w:lang w:val="sr-Cyrl-RS"/>
              </w:rPr>
              <w:t xml:space="preserve">на крају експлоатационог века </w:t>
            </w:r>
            <w:r w:rsidRPr="00CF77C1">
              <w:rPr>
                <w:lang w:val="sr-Cyrl-RS"/>
              </w:rPr>
              <w:t>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5FABE2A8" w14:textId="77777777" w:rsidR="006F517C" w:rsidRPr="00CF77C1" w:rsidRDefault="00D05939" w:rsidP="0080044B">
            <w:pPr>
              <w:jc w:val="left"/>
              <w:rPr>
                <w:lang w:val="sr-Cyrl-RS"/>
              </w:rPr>
            </w:pPr>
            <w:r w:rsidRPr="00CF77C1">
              <w:rPr>
                <w:lang w:val="sr-Cyrl-RS"/>
              </w:rPr>
              <w:t>Нема расположиве инвестиционо-техничке документације. Припрема документације ће започети у 2020. години</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02325D1" w14:textId="77777777" w:rsidR="006F517C" w:rsidRPr="00CF77C1" w:rsidRDefault="00D05939" w:rsidP="0080044B">
            <w:pPr>
              <w:jc w:val="left"/>
              <w:rPr>
                <w:lang w:val="sr-Cyrl-RS"/>
              </w:rPr>
            </w:pPr>
            <w:r w:rsidRPr="00CF77C1">
              <w:rPr>
                <w:lang w:val="sr-Cyrl-RS"/>
              </w:rPr>
              <w:t>Нема расположиве инвестиционо-техничке документације.</w:t>
            </w:r>
          </w:p>
        </w:tc>
      </w:tr>
      <w:tr w:rsidR="00D05939" w:rsidRPr="00CF77C1" w14:paraId="3B639BF7" w14:textId="77777777" w:rsidTr="00D05939">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13A8C40C" w14:textId="77777777" w:rsidR="00D05939" w:rsidRPr="00CF77C1" w:rsidRDefault="00D05939" w:rsidP="0080044B">
            <w:pPr>
              <w:jc w:val="left"/>
              <w:rPr>
                <w:lang w:val="sr-Cyrl-RS"/>
              </w:rPr>
            </w:pPr>
            <w:r w:rsidRPr="00CF77C1">
              <w:rPr>
                <w:lang w:val="sr-Cyrl-RS"/>
              </w:rPr>
              <w:t>ТС 110/35 kV Бор 1</w:t>
            </w:r>
          </w:p>
        </w:tc>
        <w:tc>
          <w:tcPr>
            <w:tcW w:w="5103" w:type="dxa"/>
            <w:tcBorders>
              <w:top w:val="single" w:sz="4" w:space="0" w:color="auto"/>
              <w:left w:val="single" w:sz="4" w:space="0" w:color="auto"/>
              <w:bottom w:val="single" w:sz="4" w:space="0" w:color="auto"/>
              <w:right w:val="single" w:sz="4" w:space="0" w:color="auto"/>
            </w:tcBorders>
            <w:vAlign w:val="center"/>
          </w:tcPr>
          <w:p w14:paraId="4C75C1C5" w14:textId="77777777" w:rsidR="00BD44C7" w:rsidRPr="00CF77C1" w:rsidRDefault="00D05939" w:rsidP="0080044B">
            <w:pPr>
              <w:jc w:val="left"/>
              <w:rPr>
                <w:lang w:val="sr-Cyrl-RS"/>
              </w:rPr>
            </w:pPr>
            <w:r w:rsidRPr="00CF77C1">
              <w:rPr>
                <w:lang w:val="sr-Cyrl-RS"/>
              </w:rPr>
              <w:t>У првој етапи реконструкције предвиђена је:</w:t>
            </w:r>
          </w:p>
          <w:p w14:paraId="5C97925C" w14:textId="77777777" w:rsidR="00D05939" w:rsidRPr="00CF77C1" w:rsidRDefault="00D05939" w:rsidP="0080044B">
            <w:pPr>
              <w:jc w:val="left"/>
              <w:rPr>
                <w:lang w:val="sr-Cyrl-RS"/>
              </w:rPr>
            </w:pPr>
            <w:r w:rsidRPr="00CF77C1">
              <w:rPr>
                <w:lang w:val="sr-Cyrl-RS"/>
              </w:rPr>
              <w:t>- замена једног трансформатора 31,5 MVA трансформатором 63 MVA;</w:t>
            </w:r>
          </w:p>
          <w:p w14:paraId="3DD6AD90" w14:textId="77777777" w:rsidR="00D05939" w:rsidRPr="00CF77C1" w:rsidRDefault="00D05939" w:rsidP="0080044B">
            <w:pPr>
              <w:jc w:val="left"/>
              <w:rPr>
                <w:lang w:val="sr-Cyrl-RS"/>
              </w:rPr>
            </w:pPr>
            <w:r w:rsidRPr="00CF77C1">
              <w:rPr>
                <w:lang w:val="sr-Cyrl-RS"/>
              </w:rPr>
              <w:t>- уградња нове примарне и секундарне опреме 110 kV и 35 kV;</w:t>
            </w:r>
          </w:p>
          <w:p w14:paraId="6FCD347E" w14:textId="77777777" w:rsidR="00D05939" w:rsidRPr="00CF77C1" w:rsidRDefault="00D05939" w:rsidP="0080044B">
            <w:pPr>
              <w:jc w:val="left"/>
              <w:rPr>
                <w:lang w:val="sr-Cyrl-RS"/>
              </w:rPr>
            </w:pPr>
            <w:r w:rsidRPr="00CF77C1">
              <w:rPr>
                <w:lang w:val="sr-Cyrl-RS"/>
              </w:rPr>
              <w:t>- реконструкција грађевинског дела објекта ТС</w:t>
            </w:r>
            <w:r w:rsidR="00BD44C7" w:rsidRPr="00CF77C1">
              <w:rPr>
                <w:lang w:val="sr-Cyrl-RS"/>
              </w:rPr>
              <w:t xml:space="preserve"> </w:t>
            </w:r>
            <w:r w:rsidRPr="00CF77C1">
              <w:rPr>
                <w:lang w:val="sr-Cyrl-RS"/>
              </w:rPr>
              <w:t>и носача апарата у пољима 110 kV у складу са грађевинским пројектом.</w:t>
            </w:r>
          </w:p>
          <w:p w14:paraId="2E63B50B" w14:textId="77777777" w:rsidR="00D05939" w:rsidRPr="00CF77C1" w:rsidRDefault="00D05939" w:rsidP="0080044B">
            <w:pPr>
              <w:jc w:val="left"/>
              <w:rPr>
                <w:lang w:val="sr-Cyrl-RS"/>
              </w:rPr>
            </w:pPr>
            <w:r w:rsidRPr="00CF77C1">
              <w:rPr>
                <w:lang w:val="sr-Cyrl-RS"/>
              </w:rPr>
              <w:t>У другој етапи реконструкције предвиђена је:</w:t>
            </w:r>
          </w:p>
          <w:p w14:paraId="422536CB" w14:textId="77777777" w:rsidR="00D05939" w:rsidRPr="00CF77C1" w:rsidRDefault="00D05939" w:rsidP="0080044B">
            <w:pPr>
              <w:jc w:val="left"/>
              <w:rPr>
                <w:lang w:val="sr-Cyrl-RS"/>
              </w:rPr>
            </w:pPr>
            <w:r w:rsidRPr="00CF77C1">
              <w:rPr>
                <w:lang w:val="sr-Cyrl-RS"/>
              </w:rPr>
              <w:t>- замена другог трансформатора</w:t>
            </w:r>
            <w:r w:rsidR="00BD44C7" w:rsidRPr="00CF77C1">
              <w:rPr>
                <w:lang w:val="sr-Cyrl-RS"/>
              </w:rPr>
              <w:t xml:space="preserve"> </w:t>
            </w:r>
            <w:r w:rsidRPr="00CF77C1">
              <w:rPr>
                <w:lang w:val="sr-Cyrl-RS"/>
              </w:rPr>
              <w:t>снаге 31,5MVA трансформатором снаге 63 MVA;</w:t>
            </w:r>
          </w:p>
          <w:p w14:paraId="28B3F4BF" w14:textId="77777777" w:rsidR="00D05939" w:rsidRPr="00CF77C1" w:rsidRDefault="00D05939" w:rsidP="0080044B">
            <w:pPr>
              <w:jc w:val="left"/>
              <w:rPr>
                <w:lang w:val="sr-Cyrl-RS"/>
              </w:rPr>
            </w:pPr>
            <w:r w:rsidRPr="00CF77C1">
              <w:rPr>
                <w:lang w:val="sr-Cyrl-RS"/>
              </w:rPr>
              <w:t>- доградња постројења 35 kV са опремањем четри нова изводна поља 35 kV.</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1AC1058D" w14:textId="6117912E" w:rsidR="00D05939" w:rsidRPr="00CF77C1" w:rsidRDefault="00D05939" w:rsidP="0080044B">
            <w:pPr>
              <w:jc w:val="left"/>
              <w:rPr>
                <w:lang w:val="sr-Cyrl-RS"/>
              </w:rPr>
            </w:pPr>
            <w:r w:rsidRPr="00CF77C1">
              <w:rPr>
                <w:lang w:val="sr-Cyrl-RS"/>
              </w:rPr>
              <w:t>Не постоји урађена инвестиционо-техничка документација. Усвојен пројектни з</w:t>
            </w:r>
            <w:r w:rsidR="001741AC" w:rsidRPr="00CF77C1">
              <w:rPr>
                <w:lang w:val="sr-Cyrl-RS"/>
              </w:rPr>
              <w:t>адатак на Техничком савету ЕПС</w:t>
            </w:r>
            <w:r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79FEB49B" w14:textId="77777777" w:rsidR="00D05939" w:rsidRPr="00CF77C1" w:rsidRDefault="00D05939" w:rsidP="0080044B">
            <w:pPr>
              <w:jc w:val="left"/>
              <w:rPr>
                <w:lang w:val="sr-Cyrl-RS"/>
              </w:rPr>
            </w:pPr>
            <w:r w:rsidRPr="00CF77C1">
              <w:rPr>
                <w:lang w:val="sr-Cyrl-RS"/>
              </w:rPr>
              <w:t xml:space="preserve">Идејно решење, студија оправданости, идејни пројекат, </w:t>
            </w:r>
            <w:r w:rsidR="0074146B" w:rsidRPr="00CF77C1">
              <w:rPr>
                <w:lang w:val="sr-Cyrl-RS"/>
              </w:rPr>
              <w:t xml:space="preserve">спецификација за опрему и радове и тендерска документација, </w:t>
            </w:r>
            <w:r w:rsidRPr="00CF77C1">
              <w:rPr>
                <w:lang w:val="sr-Cyrl-RS"/>
              </w:rPr>
              <w:t>пројекат за грађевинску дозволу, грађевинска дозвола, пројекат за извођење, употребна дозвола.</w:t>
            </w:r>
          </w:p>
        </w:tc>
      </w:tr>
      <w:tr w:rsidR="00D05939" w:rsidRPr="00CF77C1" w14:paraId="6A13DCD4" w14:textId="77777777" w:rsidTr="00D05939">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77631DBB" w14:textId="77777777" w:rsidR="00D05939" w:rsidRPr="00CF77C1" w:rsidRDefault="00D05939" w:rsidP="0080044B">
            <w:pPr>
              <w:jc w:val="left"/>
              <w:rPr>
                <w:lang w:val="sr-Cyrl-RS"/>
              </w:rPr>
            </w:pPr>
            <w:r w:rsidRPr="00CF77C1">
              <w:rPr>
                <w:lang w:val="sr-Cyrl-RS"/>
              </w:rPr>
              <w:t>ТС 110/35 kV Врање 1</w:t>
            </w:r>
          </w:p>
        </w:tc>
        <w:tc>
          <w:tcPr>
            <w:tcW w:w="5103" w:type="dxa"/>
            <w:tcBorders>
              <w:top w:val="single" w:sz="4" w:space="0" w:color="auto"/>
              <w:left w:val="single" w:sz="4" w:space="0" w:color="auto"/>
              <w:bottom w:val="single" w:sz="4" w:space="0" w:color="auto"/>
              <w:right w:val="single" w:sz="4" w:space="0" w:color="auto"/>
            </w:tcBorders>
            <w:vAlign w:val="center"/>
          </w:tcPr>
          <w:p w14:paraId="30788852" w14:textId="77777777" w:rsidR="00D05939" w:rsidRPr="00CF77C1" w:rsidRDefault="00D05939" w:rsidP="0080044B">
            <w:pPr>
              <w:jc w:val="left"/>
              <w:rPr>
                <w:lang w:val="sr-Cyrl-RS"/>
              </w:rPr>
            </w:pPr>
            <w:r w:rsidRPr="00CF77C1">
              <w:rPr>
                <w:lang w:val="sr-Cyrl-RS"/>
              </w:rPr>
              <w:t>Комплетна замена опреме на крају експлоатационог века 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1B126F28" w14:textId="0D41CA37" w:rsidR="00D05939" w:rsidRPr="00CF77C1" w:rsidRDefault="00D05939" w:rsidP="0080044B">
            <w:pPr>
              <w:jc w:val="left"/>
              <w:rPr>
                <w:lang w:val="sr-Cyrl-RS"/>
              </w:rPr>
            </w:pPr>
            <w:r w:rsidRPr="00CF77C1">
              <w:rPr>
                <w:lang w:val="sr-Cyrl-RS"/>
              </w:rPr>
              <w:t>Не постоји урађена инвестиционо-техничка документација. Усвојен пројектни з</w:t>
            </w:r>
            <w:r w:rsidR="001741AC" w:rsidRPr="00CF77C1">
              <w:rPr>
                <w:lang w:val="sr-Cyrl-RS"/>
              </w:rPr>
              <w:t>адатак на Техничком савету ЕПС</w:t>
            </w:r>
            <w:r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2D3F224E" w14:textId="77777777" w:rsidR="00D05939" w:rsidRPr="00CF77C1" w:rsidRDefault="0074146B" w:rsidP="0080044B">
            <w:pPr>
              <w:jc w:val="left"/>
              <w:rPr>
                <w:lang w:val="sr-Cyrl-RS"/>
              </w:rPr>
            </w:pPr>
            <w:r w:rsidRPr="00CF77C1">
              <w:rPr>
                <w:lang w:val="sr-Cyrl-RS"/>
              </w:rPr>
              <w:t>Идејно решење, студија оправданости,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D05939" w:rsidRPr="00CF77C1" w14:paraId="79C7A1D5" w14:textId="77777777" w:rsidTr="0075721A">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170BB0B2" w14:textId="77777777" w:rsidR="00D05939" w:rsidRPr="00CF77C1" w:rsidRDefault="00D05939" w:rsidP="0080044B">
            <w:pPr>
              <w:jc w:val="left"/>
              <w:rPr>
                <w:lang w:val="sr-Cyrl-RS"/>
              </w:rPr>
            </w:pPr>
            <w:r w:rsidRPr="00CF77C1">
              <w:rPr>
                <w:lang w:val="sr-Cyrl-RS"/>
              </w:rPr>
              <w:t>ТС 110/35 kV Куршумлија</w:t>
            </w:r>
          </w:p>
        </w:tc>
        <w:tc>
          <w:tcPr>
            <w:tcW w:w="5103" w:type="dxa"/>
            <w:tcBorders>
              <w:top w:val="single" w:sz="4" w:space="0" w:color="auto"/>
              <w:left w:val="single" w:sz="4" w:space="0" w:color="auto"/>
              <w:bottom w:val="single" w:sz="4" w:space="0" w:color="auto"/>
              <w:right w:val="single" w:sz="4" w:space="0" w:color="auto"/>
            </w:tcBorders>
            <w:vAlign w:val="center"/>
          </w:tcPr>
          <w:p w14:paraId="368663EC" w14:textId="77777777" w:rsidR="00D05939" w:rsidRPr="00CF77C1" w:rsidRDefault="00D05939" w:rsidP="0080044B">
            <w:pPr>
              <w:jc w:val="left"/>
              <w:rPr>
                <w:lang w:val="sr-Cyrl-RS"/>
              </w:rPr>
            </w:pPr>
            <w:r w:rsidRPr="00CF77C1">
              <w:rPr>
                <w:lang w:val="sr-Cyrl-RS"/>
              </w:rPr>
              <w:t>Комплетна замена опреме на крају експлоатационог века на високонапонској и средњенапонској страни.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5CB4249B" w14:textId="7F1BB600" w:rsidR="00D05939" w:rsidRPr="00CF77C1" w:rsidRDefault="00D05939" w:rsidP="0080044B">
            <w:pPr>
              <w:jc w:val="left"/>
              <w:rPr>
                <w:lang w:val="sr-Cyrl-RS"/>
              </w:rPr>
            </w:pPr>
            <w:r w:rsidRPr="00CF77C1">
              <w:rPr>
                <w:lang w:val="sr-Cyrl-RS"/>
              </w:rPr>
              <w:t>Не постоји урађена инвестиционо-техничка документација. Усвојен пројектни з</w:t>
            </w:r>
            <w:r w:rsidR="001741AC" w:rsidRPr="00CF77C1">
              <w:rPr>
                <w:lang w:val="sr-Cyrl-RS"/>
              </w:rPr>
              <w:t>адатак на Техничком савету ЕПС</w:t>
            </w:r>
            <w:r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5ED4047" w14:textId="77777777" w:rsidR="00D05939" w:rsidRPr="00CF77C1" w:rsidRDefault="0074146B" w:rsidP="0080044B">
            <w:pPr>
              <w:jc w:val="left"/>
              <w:rPr>
                <w:lang w:val="sr-Cyrl-RS"/>
              </w:rPr>
            </w:pPr>
            <w:r w:rsidRPr="00CF77C1">
              <w:rPr>
                <w:lang w:val="sr-Cyrl-RS"/>
              </w:rPr>
              <w:t>Идејно решење, студија оправданости,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6C31BF" w:rsidRPr="00CF77C1" w14:paraId="56053FC9"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7A985180" w14:textId="77777777" w:rsidR="006C31BF" w:rsidRPr="00CF77C1" w:rsidRDefault="006C31BF" w:rsidP="0080044B">
            <w:pPr>
              <w:spacing w:before="0" w:after="0"/>
              <w:jc w:val="left"/>
              <w:rPr>
                <w:szCs w:val="24"/>
                <w:lang w:val="sr-Cyrl-RS"/>
              </w:rPr>
            </w:pPr>
            <w:r w:rsidRPr="00CF77C1">
              <w:rPr>
                <w:lang w:val="sr-Cyrl-RS"/>
              </w:rPr>
              <w:t xml:space="preserve">ТС 110/35 kV Зрењанин </w:t>
            </w:r>
            <w:r w:rsidR="006F517C" w:rsidRPr="00CF77C1">
              <w:rPr>
                <w:lang w:val="sr-Cyrl-RS"/>
              </w:rPr>
              <w:t>1</w:t>
            </w:r>
            <w:r w:rsidRPr="00CF77C1">
              <w:rPr>
                <w:szCs w:val="24"/>
                <w:lang w:val="sr-Cyrl-RS"/>
              </w:rPr>
              <w:t xml:space="preserve"> </w:t>
            </w:r>
          </w:p>
        </w:tc>
        <w:tc>
          <w:tcPr>
            <w:tcW w:w="5103" w:type="dxa"/>
            <w:tcBorders>
              <w:top w:val="single" w:sz="4" w:space="0" w:color="auto"/>
              <w:left w:val="single" w:sz="4" w:space="0" w:color="auto"/>
              <w:bottom w:val="single" w:sz="4" w:space="0" w:color="auto"/>
              <w:right w:val="single" w:sz="4" w:space="0" w:color="auto"/>
            </w:tcBorders>
            <w:vAlign w:val="center"/>
          </w:tcPr>
          <w:p w14:paraId="407B95B5" w14:textId="55EB7693" w:rsidR="006C31BF" w:rsidRPr="00CF77C1" w:rsidRDefault="006C31BF" w:rsidP="0080044B">
            <w:pPr>
              <w:jc w:val="left"/>
              <w:rPr>
                <w:lang w:val="sr-Cyrl-RS"/>
              </w:rPr>
            </w:pPr>
            <w:r w:rsidRPr="00CF77C1">
              <w:rPr>
                <w:lang w:val="sr-Cyrl-RS"/>
              </w:rPr>
              <w:t xml:space="preserve">Изградња ТС 110/35/20 kV </w:t>
            </w:r>
            <w:r w:rsidR="00B04066">
              <w:rPr>
                <w:lang w:val="sr-Cyrl-RS"/>
              </w:rPr>
              <w:t>„</w:t>
            </w:r>
            <w:r w:rsidRPr="00CF77C1">
              <w:rPr>
                <w:lang w:val="sr-Cyrl-RS"/>
              </w:rPr>
              <w:t>Зрењанин 1</w:t>
            </w:r>
            <w:r w:rsidR="00AD5740" w:rsidRPr="00CF77C1">
              <w:rPr>
                <w:lang w:val="sr-Cyrl-RS"/>
              </w:rPr>
              <w:t>”</w:t>
            </w:r>
            <w:r w:rsidRPr="00CF77C1">
              <w:rPr>
                <w:lang w:val="sr-Cyrl-RS"/>
              </w:rPr>
              <w:t xml:space="preserve"> на локацији постојеће ТС 110/35 kV. Реконструкција</w:t>
            </w:r>
            <w:r w:rsidR="00EA6189" w:rsidRPr="00CF77C1">
              <w:rPr>
                <w:lang w:val="sr-Cyrl-RS"/>
              </w:rPr>
              <w:t xml:space="preserve"> </w:t>
            </w:r>
            <w:r w:rsidRPr="00CF77C1">
              <w:rPr>
                <w:lang w:val="sr-Cyrl-RS"/>
              </w:rPr>
              <w:t xml:space="preserve">новог РП </w:t>
            </w:r>
            <w:r w:rsidR="001716F2" w:rsidRPr="00CF77C1">
              <w:rPr>
                <w:lang w:val="sr-Cyrl-RS"/>
              </w:rPr>
              <w:t>110 kV</w:t>
            </w:r>
            <w:r w:rsidRPr="00CF77C1">
              <w:rPr>
                <w:lang w:val="sr-Cyrl-RS"/>
              </w:rPr>
              <w:t xml:space="preserve">, реконструкција РП </w:t>
            </w:r>
            <w:r w:rsidR="001716F2" w:rsidRPr="00CF77C1">
              <w:rPr>
                <w:lang w:val="sr-Cyrl-RS"/>
              </w:rPr>
              <w:t>35 kV</w:t>
            </w:r>
            <w:r w:rsidRPr="00CF77C1">
              <w:rPr>
                <w:lang w:val="sr-Cyrl-RS"/>
              </w:rPr>
              <w:t>, постављање ЕТ 110/</w:t>
            </w:r>
            <w:r w:rsidR="001716F2" w:rsidRPr="00CF77C1">
              <w:rPr>
                <w:lang w:val="sr-Cyrl-RS"/>
              </w:rPr>
              <w:t>20 kV</w:t>
            </w:r>
            <w:r w:rsidRPr="00CF77C1">
              <w:rPr>
                <w:lang w:val="sr-Cyrl-RS"/>
              </w:rPr>
              <w:t xml:space="preserve">, изградња новог РП </w:t>
            </w:r>
            <w:r w:rsidR="001716F2" w:rsidRPr="00CF77C1">
              <w:rPr>
                <w:lang w:val="sr-Cyrl-RS"/>
              </w:rPr>
              <w:t>20 kV</w:t>
            </w:r>
            <w:r w:rsidRPr="00CF77C1">
              <w:rPr>
                <w:lang w:val="sr-Cyrl-RS"/>
              </w:rPr>
              <w:t>, замена комплетне ЗУ опреме.</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602B247B" w14:textId="77777777" w:rsidR="006C31BF" w:rsidRPr="00CF77C1" w:rsidRDefault="006C31BF" w:rsidP="0080044B">
            <w:pPr>
              <w:jc w:val="left"/>
              <w:rPr>
                <w:lang w:val="sr-Cyrl-RS"/>
              </w:rPr>
            </w:pPr>
            <w:r w:rsidRPr="00CF77C1">
              <w:rPr>
                <w:lang w:val="sr-Cyrl-RS"/>
              </w:rPr>
              <w:t xml:space="preserve">Постоји просторно-планска документација. </w:t>
            </w:r>
            <w:r w:rsidR="006F517C" w:rsidRPr="00CF77C1">
              <w:rPr>
                <w:lang w:val="sr-Cyrl-RS"/>
              </w:rPr>
              <w:t>Израђена је с</w:t>
            </w:r>
            <w:r w:rsidRPr="00CF77C1">
              <w:rPr>
                <w:lang w:val="sr-Cyrl-RS"/>
              </w:rPr>
              <w:t xml:space="preserve">тудија оправданости и </w:t>
            </w:r>
            <w:r w:rsidR="006F517C" w:rsidRPr="00CF77C1">
              <w:rPr>
                <w:lang w:val="sr-Cyrl-RS"/>
              </w:rPr>
              <w:t>и</w:t>
            </w:r>
            <w:r w:rsidRPr="00CF77C1">
              <w:rPr>
                <w:lang w:val="sr-Cyrl-RS"/>
              </w:rPr>
              <w:t>дејни пројекат.</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722379D1" w14:textId="77777777" w:rsidR="006C31BF" w:rsidRPr="00CF77C1" w:rsidRDefault="0074146B" w:rsidP="0080044B">
            <w:pPr>
              <w:jc w:val="left"/>
              <w:rPr>
                <w:lang w:val="sr-Cyrl-RS"/>
              </w:rPr>
            </w:pPr>
            <w:r w:rsidRPr="00CF77C1">
              <w:rPr>
                <w:lang w:val="sr-Cyrl-RS"/>
              </w:rPr>
              <w:t>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6C31BF" w:rsidRPr="00CF77C1" w14:paraId="6964453E"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226CDB69" w14:textId="77777777" w:rsidR="006C31BF" w:rsidRPr="00CF77C1" w:rsidRDefault="006C31BF" w:rsidP="0080044B">
            <w:pPr>
              <w:jc w:val="left"/>
              <w:rPr>
                <w:lang w:val="sr-Cyrl-RS"/>
              </w:rPr>
            </w:pPr>
            <w:r w:rsidRPr="00CF77C1">
              <w:rPr>
                <w:lang w:val="sr-Cyrl-RS"/>
              </w:rPr>
              <w:t xml:space="preserve">ТС 110/35 kV Нови Сад </w:t>
            </w:r>
            <w:r w:rsidR="006F517C" w:rsidRPr="00CF77C1">
              <w:rPr>
                <w:lang w:val="sr-Cyrl-RS"/>
              </w:rPr>
              <w:t>4</w:t>
            </w:r>
          </w:p>
        </w:tc>
        <w:tc>
          <w:tcPr>
            <w:tcW w:w="5103" w:type="dxa"/>
            <w:tcBorders>
              <w:top w:val="single" w:sz="4" w:space="0" w:color="auto"/>
              <w:left w:val="single" w:sz="4" w:space="0" w:color="auto"/>
              <w:bottom w:val="single" w:sz="4" w:space="0" w:color="auto"/>
              <w:right w:val="single" w:sz="4" w:space="0" w:color="auto"/>
            </w:tcBorders>
            <w:vAlign w:val="center"/>
          </w:tcPr>
          <w:p w14:paraId="452A195F" w14:textId="77777777" w:rsidR="006C31BF" w:rsidRPr="00CF77C1" w:rsidRDefault="006C31BF" w:rsidP="0080044B">
            <w:pPr>
              <w:jc w:val="left"/>
              <w:rPr>
                <w:lang w:val="sr-Cyrl-RS"/>
              </w:rPr>
            </w:pPr>
            <w:r w:rsidRPr="00CF77C1">
              <w:rPr>
                <w:lang w:val="sr-Cyrl-RS"/>
              </w:rPr>
              <w:t>Доградња РП 110</w:t>
            </w:r>
            <w:r w:rsidR="006F517C" w:rsidRPr="00CF77C1">
              <w:rPr>
                <w:lang w:val="sr-Cyrl-RS"/>
              </w:rPr>
              <w:t xml:space="preserve"> </w:t>
            </w:r>
            <w:r w:rsidRPr="00CF77C1">
              <w:rPr>
                <w:lang w:val="sr-Cyrl-RS"/>
              </w:rPr>
              <w:t>kV, реконструк</w:t>
            </w:r>
            <w:r w:rsidR="001716F2" w:rsidRPr="00CF77C1">
              <w:rPr>
                <w:lang w:val="sr-Cyrl-RS"/>
              </w:rPr>
              <w:t>ција РП </w:t>
            </w:r>
            <w:r w:rsidRPr="00CF77C1">
              <w:rPr>
                <w:lang w:val="sr-Cyrl-RS"/>
              </w:rPr>
              <w:t>35</w:t>
            </w:r>
            <w:r w:rsidR="001716F2" w:rsidRPr="00CF77C1">
              <w:rPr>
                <w:lang w:val="sr-Cyrl-RS"/>
              </w:rPr>
              <w:t> </w:t>
            </w:r>
            <w:r w:rsidRPr="00CF77C1">
              <w:rPr>
                <w:lang w:val="sr-Cyrl-RS"/>
              </w:rPr>
              <w:t xml:space="preserve">kV, </w:t>
            </w:r>
            <w:r w:rsidR="006F517C" w:rsidRPr="00CF77C1">
              <w:rPr>
                <w:lang w:val="sr-Cyrl-RS"/>
              </w:rPr>
              <w:t>уградња трансформатора</w:t>
            </w:r>
            <w:r w:rsidRPr="00CF77C1">
              <w:rPr>
                <w:lang w:val="sr-Cyrl-RS"/>
              </w:rPr>
              <w:t xml:space="preserve"> 110/20</w:t>
            </w:r>
            <w:r w:rsidR="006F517C" w:rsidRPr="00CF77C1">
              <w:rPr>
                <w:lang w:val="sr-Cyrl-RS"/>
              </w:rPr>
              <w:t xml:space="preserve"> </w:t>
            </w:r>
            <w:r w:rsidRPr="00CF77C1">
              <w:rPr>
                <w:lang w:val="sr-Cyrl-RS"/>
              </w:rPr>
              <w:t>kV, изградња РП 20</w:t>
            </w:r>
            <w:r w:rsidR="006F517C" w:rsidRPr="00CF77C1">
              <w:rPr>
                <w:lang w:val="sr-Cyrl-RS"/>
              </w:rPr>
              <w:t xml:space="preserve"> </w:t>
            </w:r>
            <w:r w:rsidRPr="00CF77C1">
              <w:rPr>
                <w:lang w:val="sr-Cyrl-RS"/>
              </w:rPr>
              <w:t xml:space="preserve">kV </w:t>
            </w:r>
            <w:r w:rsidR="006F517C" w:rsidRPr="00CF77C1">
              <w:rPr>
                <w:lang w:val="sr-Cyrl-RS"/>
              </w:rPr>
              <w:t xml:space="preserve">(откуп парцеле за проширење ТС) </w:t>
            </w:r>
            <w:r w:rsidRPr="00CF77C1">
              <w:rPr>
                <w:lang w:val="sr-Cyrl-RS"/>
              </w:rPr>
              <w:t xml:space="preserve">- припрема и замена комплетне </w:t>
            </w:r>
            <w:r w:rsidR="006F517C" w:rsidRPr="00CF77C1">
              <w:rPr>
                <w:lang w:val="sr-Cyrl-RS"/>
              </w:rPr>
              <w:t>заштитно-управљачке</w:t>
            </w:r>
            <w:r w:rsidRPr="00CF77C1">
              <w:rPr>
                <w:lang w:val="sr-Cyrl-RS"/>
              </w:rPr>
              <w:t xml:space="preserve"> опреме.</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7B1C1D43" w14:textId="77777777" w:rsidR="006C31BF" w:rsidRPr="00CF77C1" w:rsidRDefault="006F517C" w:rsidP="0080044B">
            <w:pPr>
              <w:jc w:val="left"/>
              <w:rPr>
                <w:lang w:val="sr-Cyrl-RS"/>
              </w:rPr>
            </w:pPr>
            <w:r w:rsidRPr="00CF77C1">
              <w:rPr>
                <w:lang w:val="sr-Cyrl-RS"/>
              </w:rPr>
              <w:t>Објекат</w:t>
            </w:r>
            <w:r w:rsidR="006C31BF" w:rsidRPr="00CF77C1">
              <w:rPr>
                <w:lang w:val="sr-Cyrl-RS"/>
              </w:rPr>
              <w:t xml:space="preserve"> предвиђен у просторним и урбанистичким плановима с тим што је потребно проширење постојеће парцеле.</w:t>
            </w:r>
            <w:r w:rsidR="009F0667" w:rsidRPr="00CF77C1">
              <w:rPr>
                <w:lang w:val="sr-Cyrl-RS"/>
              </w:rPr>
              <w:t xml:space="preserve"> Не постоји урађена инвестиционо-техничка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09B85AF" w14:textId="77777777" w:rsidR="006C31BF" w:rsidRPr="00CF77C1" w:rsidRDefault="009F0667" w:rsidP="0080044B">
            <w:pPr>
              <w:jc w:val="left"/>
              <w:rPr>
                <w:lang w:val="sr-Cyrl-RS"/>
              </w:rPr>
            </w:pPr>
            <w:r w:rsidRPr="00CF77C1">
              <w:rPr>
                <w:lang w:val="sr-Cyrl-RS"/>
              </w:rPr>
              <w:t>Идејно решење, локацијски услови, студија оправданости,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1716F2" w:rsidRPr="00CF77C1" w14:paraId="2588D8F4"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46C13DFB" w14:textId="77777777" w:rsidR="001716F2" w:rsidRPr="00CF77C1" w:rsidRDefault="001716F2" w:rsidP="0080044B">
            <w:pPr>
              <w:jc w:val="left"/>
              <w:rPr>
                <w:lang w:val="sr-Cyrl-RS"/>
              </w:rPr>
            </w:pPr>
            <w:r w:rsidRPr="00CF77C1">
              <w:rPr>
                <w:lang w:val="sr-Cyrl-RS"/>
              </w:rPr>
              <w:t>ТС 110/20 kV Нови Сад 5</w:t>
            </w:r>
          </w:p>
        </w:tc>
        <w:tc>
          <w:tcPr>
            <w:tcW w:w="5103" w:type="dxa"/>
            <w:tcBorders>
              <w:top w:val="single" w:sz="4" w:space="0" w:color="auto"/>
              <w:left w:val="single" w:sz="4" w:space="0" w:color="auto"/>
              <w:bottom w:val="single" w:sz="4" w:space="0" w:color="auto"/>
              <w:right w:val="single" w:sz="4" w:space="0" w:color="auto"/>
            </w:tcBorders>
            <w:vAlign w:val="center"/>
          </w:tcPr>
          <w:p w14:paraId="7E739F0C" w14:textId="77777777" w:rsidR="001716F2" w:rsidRPr="00CF77C1" w:rsidRDefault="001716F2" w:rsidP="0080044B">
            <w:pPr>
              <w:jc w:val="left"/>
              <w:rPr>
                <w:lang w:val="sr-Cyrl-RS"/>
              </w:rPr>
            </w:pPr>
            <w:r w:rsidRPr="00CF77C1">
              <w:rPr>
                <w:lang w:val="sr-Cyrl-RS"/>
              </w:rPr>
              <w:t>Адаптација постројења 110 kV ради повезивања на преносни систем.</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34A97989" w14:textId="77777777" w:rsidR="001716F2" w:rsidRPr="00CF77C1" w:rsidRDefault="001716F2" w:rsidP="0080044B">
            <w:pPr>
              <w:jc w:val="left"/>
              <w:rPr>
                <w:lang w:val="sr-Cyrl-RS"/>
              </w:rPr>
            </w:pPr>
            <w:r w:rsidRPr="00CF77C1">
              <w:rPr>
                <w:lang w:val="sr-Cyrl-RS"/>
              </w:rPr>
              <w:t>Припремљена је просторно-планска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4A83F14" w14:textId="77777777" w:rsidR="001716F2" w:rsidRPr="00CF77C1" w:rsidRDefault="0074146B" w:rsidP="0080044B">
            <w:pPr>
              <w:jc w:val="left"/>
              <w:rPr>
                <w:lang w:val="sr-Cyrl-RS"/>
              </w:rPr>
            </w:pPr>
            <w:r w:rsidRPr="00CF77C1">
              <w:rPr>
                <w:lang w:val="sr-Cyrl-RS"/>
              </w:rPr>
              <w:t>Студија оправданости,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1716F2" w:rsidRPr="00CF77C1" w14:paraId="1E3D6CDA"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0DF7D7B1" w14:textId="77777777" w:rsidR="001716F2" w:rsidRPr="00CF77C1" w:rsidRDefault="001716F2" w:rsidP="0080044B">
            <w:pPr>
              <w:jc w:val="left"/>
              <w:rPr>
                <w:lang w:val="sr-Cyrl-RS"/>
              </w:rPr>
            </w:pPr>
            <w:r w:rsidRPr="00CF77C1">
              <w:rPr>
                <w:lang w:val="sr-Cyrl-RS"/>
              </w:rPr>
              <w:t>ТС 110/35/20 kV Суботица 1</w:t>
            </w:r>
          </w:p>
        </w:tc>
        <w:tc>
          <w:tcPr>
            <w:tcW w:w="5103" w:type="dxa"/>
            <w:tcBorders>
              <w:top w:val="single" w:sz="4" w:space="0" w:color="auto"/>
              <w:left w:val="single" w:sz="4" w:space="0" w:color="auto"/>
              <w:bottom w:val="single" w:sz="4" w:space="0" w:color="auto"/>
              <w:right w:val="single" w:sz="4" w:space="0" w:color="auto"/>
            </w:tcBorders>
            <w:vAlign w:val="center"/>
          </w:tcPr>
          <w:p w14:paraId="781A6CFA" w14:textId="77777777" w:rsidR="001716F2" w:rsidRPr="00CF77C1" w:rsidRDefault="001716F2" w:rsidP="0080044B">
            <w:pPr>
              <w:jc w:val="left"/>
              <w:rPr>
                <w:lang w:val="sr-Cyrl-RS"/>
              </w:rPr>
            </w:pPr>
            <w:r w:rsidRPr="00CF77C1">
              <w:rPr>
                <w:lang w:val="sr-Cyrl-RS"/>
              </w:rPr>
              <w:t>Реконструкција РП 110 kV, реконструкција РП 20 kV и замена комплетне заштитно-управљачке опреме.</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28D39E32" w14:textId="77777777" w:rsidR="001716F2" w:rsidRPr="00CF77C1" w:rsidRDefault="006468E3" w:rsidP="0080044B">
            <w:pPr>
              <w:jc w:val="left"/>
              <w:rPr>
                <w:lang w:val="sr-Cyrl-RS"/>
              </w:rPr>
            </w:pPr>
            <w:r w:rsidRPr="00CF77C1">
              <w:rPr>
                <w:lang w:val="sr-Cyrl-RS"/>
              </w:rPr>
              <w:t>Постоји припремљена комплетна инвестиционо-техничка документација, потписан је уговор са извођачем радова и испоручиоцима опреме. Обезбеђено је решење о одобрењу радова.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5968A2E1" w14:textId="77777777" w:rsidR="001716F2" w:rsidRPr="00CF77C1" w:rsidRDefault="006468E3" w:rsidP="0080044B">
            <w:pPr>
              <w:jc w:val="left"/>
              <w:rPr>
                <w:lang w:val="sr-Cyrl-RS"/>
              </w:rPr>
            </w:pPr>
            <w:r w:rsidRPr="00CF77C1">
              <w:rPr>
                <w:lang w:val="sr-Cyrl-RS"/>
              </w:rPr>
              <w:t>П</w:t>
            </w:r>
            <w:r w:rsidR="0074146B" w:rsidRPr="00CF77C1">
              <w:rPr>
                <w:lang w:val="sr-Cyrl-RS"/>
              </w:rPr>
              <w:t>ројекат за извођење, употребна дозвола.</w:t>
            </w:r>
          </w:p>
        </w:tc>
      </w:tr>
      <w:tr w:rsidR="001716F2" w:rsidRPr="00CF77C1" w14:paraId="789BAE6D"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3585BC3D" w14:textId="77777777" w:rsidR="001716F2" w:rsidRPr="00CF77C1" w:rsidRDefault="001716F2" w:rsidP="0080044B">
            <w:pPr>
              <w:jc w:val="left"/>
              <w:rPr>
                <w:lang w:val="sr-Cyrl-RS"/>
              </w:rPr>
            </w:pPr>
            <w:r w:rsidRPr="00CF77C1">
              <w:rPr>
                <w:lang w:val="sr-Cyrl-RS"/>
              </w:rPr>
              <w:t>ТС 110/35 kV Кикинда 1</w:t>
            </w:r>
          </w:p>
        </w:tc>
        <w:tc>
          <w:tcPr>
            <w:tcW w:w="5103" w:type="dxa"/>
            <w:tcBorders>
              <w:top w:val="single" w:sz="4" w:space="0" w:color="auto"/>
              <w:left w:val="single" w:sz="4" w:space="0" w:color="auto"/>
              <w:bottom w:val="single" w:sz="4" w:space="0" w:color="auto"/>
              <w:right w:val="single" w:sz="4" w:space="0" w:color="auto"/>
            </w:tcBorders>
            <w:vAlign w:val="center"/>
          </w:tcPr>
          <w:p w14:paraId="66935037" w14:textId="77777777" w:rsidR="001716F2" w:rsidRPr="00CF77C1" w:rsidRDefault="001716F2" w:rsidP="0080044B">
            <w:pPr>
              <w:jc w:val="left"/>
              <w:rPr>
                <w:lang w:val="sr-Cyrl-RS"/>
              </w:rPr>
            </w:pPr>
            <w:r w:rsidRPr="00CF77C1">
              <w:rPr>
                <w:lang w:val="sr-Cyrl-RS"/>
              </w:rPr>
              <w:t>Формирање напојне тачке 20 kV у постојећој ТС 110/35 kV Кикинда 1: доградња РП 110 kV, реконструкција РП 35 kV, уградња трансформатора 110/20 kV, изградња РП 20 kV и замена комплетне заштитно-управљачке опреме.</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3C7948F0" w14:textId="77777777" w:rsidR="001716F2" w:rsidRPr="00CF77C1" w:rsidRDefault="001716F2" w:rsidP="0080044B">
            <w:pPr>
              <w:jc w:val="left"/>
              <w:rPr>
                <w:lang w:val="sr-Cyrl-RS"/>
              </w:rPr>
            </w:pPr>
            <w:r w:rsidRPr="00CF77C1">
              <w:rPr>
                <w:lang w:val="sr-Cyrl-RS"/>
              </w:rPr>
              <w:t>У припреми је просторно-планска и техничка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13EFFBCD" w14:textId="130A5F11" w:rsidR="001716F2" w:rsidRPr="00CF77C1" w:rsidRDefault="001716F2"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w:t>
            </w:r>
            <w:r w:rsidR="00DF5BA0" w:rsidRPr="00CF77C1">
              <w:rPr>
                <w:lang w:val="sr-Cyrl-RS"/>
              </w:rPr>
              <w:t xml:space="preserve"> дозволу, грађевинска дозвола,</w:t>
            </w:r>
            <w:r w:rsidRPr="00CF77C1">
              <w:rPr>
                <w:lang w:val="sr-Cyrl-RS"/>
              </w:rPr>
              <w:t xml:space="preserve"> спецификација за опрему и радове и </w:t>
            </w:r>
            <w:r w:rsidR="004B2962" w:rsidRPr="00CF77C1">
              <w:rPr>
                <w:lang w:val="sr-Cyrl-RS"/>
              </w:rPr>
              <w:t>тендерска</w:t>
            </w:r>
            <w:r w:rsidRPr="00CF77C1">
              <w:rPr>
                <w:lang w:val="sr-Cyrl-RS"/>
              </w:rPr>
              <w:t xml:space="preserve"> документација пројекат за извођење, пројекат изведеног објекта, употребна дозвола.</w:t>
            </w:r>
          </w:p>
        </w:tc>
      </w:tr>
      <w:tr w:rsidR="006468E3" w:rsidRPr="00CF77C1" w14:paraId="5DD3700C"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077F8C54" w14:textId="77777777" w:rsidR="006468E3" w:rsidRPr="00CF77C1" w:rsidRDefault="006468E3" w:rsidP="0080044B">
            <w:pPr>
              <w:jc w:val="left"/>
              <w:rPr>
                <w:lang w:val="sr-Cyrl-RS"/>
              </w:rPr>
            </w:pPr>
            <w:r w:rsidRPr="00CF77C1">
              <w:rPr>
                <w:lang w:val="sr-Cyrl-RS"/>
              </w:rPr>
              <w:t>ТС 110/10 kV ФОБ</w:t>
            </w:r>
          </w:p>
        </w:tc>
        <w:tc>
          <w:tcPr>
            <w:tcW w:w="5103" w:type="dxa"/>
            <w:tcBorders>
              <w:top w:val="single" w:sz="4" w:space="0" w:color="auto"/>
              <w:left w:val="single" w:sz="4" w:space="0" w:color="auto"/>
              <w:bottom w:val="single" w:sz="4" w:space="0" w:color="auto"/>
              <w:right w:val="single" w:sz="4" w:space="0" w:color="auto"/>
            </w:tcBorders>
            <w:vAlign w:val="center"/>
          </w:tcPr>
          <w:p w14:paraId="43372864" w14:textId="77777777" w:rsidR="006468E3" w:rsidRPr="00CF77C1" w:rsidRDefault="006468E3" w:rsidP="0080044B">
            <w:pPr>
              <w:jc w:val="left"/>
              <w:rPr>
                <w:lang w:val="sr-Cyrl-RS"/>
              </w:rPr>
            </w:pPr>
            <w:r w:rsidRPr="00CF77C1">
              <w:rPr>
                <w:lang w:val="sr-Cyrl-RS"/>
              </w:rPr>
              <w:t>Предвиђена је реконструкција комплетне ТС 110/10 kV ФОБ, а због прогнозе оптерећења и предвиђене изградње ТС 110/10 kV Београд 41 - Блок 32 није потребно повећање инсталисане снаге трансформатора, већ остаје иста инсталисана снага 2x31,5МVА.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36154ECF" w14:textId="77777777" w:rsidR="006468E3" w:rsidRPr="00CF77C1" w:rsidRDefault="006468E3" w:rsidP="0080044B">
            <w:pPr>
              <w:jc w:val="left"/>
              <w:rPr>
                <w:lang w:val="sr-Cyrl-RS"/>
              </w:rPr>
            </w:pPr>
            <w:r w:rsidRPr="00CF77C1">
              <w:rPr>
                <w:lang w:val="sr-Cyrl-RS"/>
              </w:rPr>
              <w:t>Нема расположиве инвестиционо-техничке документације. Припрема документације ће започети у 2017. години</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A7D23CD" w14:textId="77777777" w:rsidR="006468E3" w:rsidRPr="00CF77C1" w:rsidRDefault="006468E3" w:rsidP="0080044B">
            <w:pPr>
              <w:jc w:val="left"/>
              <w:rPr>
                <w:lang w:val="sr-Cyrl-RS"/>
              </w:rPr>
            </w:pPr>
            <w:r w:rsidRPr="00CF77C1">
              <w:rPr>
                <w:lang w:val="sr-Cyrl-RS"/>
              </w:rPr>
              <w:t>Нема расположиве инвестиционо-техничке документације.</w:t>
            </w:r>
          </w:p>
        </w:tc>
      </w:tr>
      <w:tr w:rsidR="006468E3" w:rsidRPr="00CF77C1" w14:paraId="3EB59291"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137E70E0" w14:textId="77777777" w:rsidR="006468E3" w:rsidRPr="00CF77C1" w:rsidRDefault="006468E3" w:rsidP="0080044B">
            <w:pPr>
              <w:jc w:val="left"/>
              <w:rPr>
                <w:lang w:val="sr-Cyrl-RS"/>
              </w:rPr>
            </w:pPr>
            <w:r w:rsidRPr="00CF77C1">
              <w:rPr>
                <w:lang w:val="sr-Cyrl-RS"/>
              </w:rPr>
              <w:t>ТС 110/35/10 kV Београд 1</w:t>
            </w:r>
          </w:p>
        </w:tc>
        <w:tc>
          <w:tcPr>
            <w:tcW w:w="5103" w:type="dxa"/>
            <w:tcBorders>
              <w:top w:val="single" w:sz="4" w:space="0" w:color="auto"/>
              <w:left w:val="single" w:sz="4" w:space="0" w:color="auto"/>
              <w:bottom w:val="single" w:sz="4" w:space="0" w:color="auto"/>
              <w:right w:val="single" w:sz="4" w:space="0" w:color="auto"/>
            </w:tcBorders>
            <w:vAlign w:val="center"/>
          </w:tcPr>
          <w:p w14:paraId="74BD0628" w14:textId="77777777" w:rsidR="006468E3" w:rsidRPr="00CF77C1" w:rsidRDefault="006468E3" w:rsidP="0080044B">
            <w:pPr>
              <w:jc w:val="left"/>
              <w:rPr>
                <w:lang w:val="sr-Cyrl-RS"/>
              </w:rPr>
            </w:pPr>
            <w:r w:rsidRPr="00CF77C1">
              <w:rPr>
                <w:lang w:val="sr-Cyrl-RS"/>
              </w:rPr>
              <w:t>Предвиђена је реконструкција разводног постројења 110 kV и реконструкција и повећање броја ћелија у РП 35 kV.</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12A222FF" w14:textId="77777777" w:rsidR="006468E3" w:rsidRPr="00CF77C1" w:rsidRDefault="006468E3" w:rsidP="0080044B">
            <w:pPr>
              <w:jc w:val="left"/>
              <w:rPr>
                <w:lang w:val="sr-Cyrl-RS"/>
              </w:rPr>
            </w:pPr>
            <w:r w:rsidRPr="00CF77C1">
              <w:rPr>
                <w:lang w:val="sr-Cyrl-RS"/>
              </w:rPr>
              <w:t>Нема расположиве инвестиционо-техничке документације. Припрема документације ће започети у 2017. години</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71254ADA" w14:textId="77777777" w:rsidR="006468E3" w:rsidRPr="00CF77C1" w:rsidRDefault="006468E3" w:rsidP="0080044B">
            <w:pPr>
              <w:jc w:val="left"/>
              <w:rPr>
                <w:lang w:val="sr-Cyrl-RS"/>
              </w:rPr>
            </w:pPr>
            <w:r w:rsidRPr="00CF77C1">
              <w:rPr>
                <w:lang w:val="sr-Cyrl-RS"/>
              </w:rPr>
              <w:t>Нема расположиве инвестиционо-техничке документације.</w:t>
            </w:r>
          </w:p>
        </w:tc>
      </w:tr>
      <w:tr w:rsidR="006C31BF" w:rsidRPr="00CF77C1" w14:paraId="442ACCFB"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56C4AACD" w14:textId="77777777" w:rsidR="006C31BF" w:rsidRPr="00CF77C1" w:rsidRDefault="006C31BF" w:rsidP="0080044B">
            <w:pPr>
              <w:spacing w:before="0" w:after="0"/>
              <w:jc w:val="left"/>
              <w:rPr>
                <w:szCs w:val="24"/>
                <w:lang w:val="sr-Cyrl-RS"/>
              </w:rPr>
            </w:pPr>
            <w:r w:rsidRPr="00CF77C1">
              <w:rPr>
                <w:lang w:val="sr-Cyrl-RS"/>
              </w:rPr>
              <w:t>ТС 110/35 kV Београд 6</w:t>
            </w:r>
            <w:r w:rsidRPr="00CF77C1">
              <w:rPr>
                <w:szCs w:val="24"/>
                <w:lang w:val="sr-Cyrl-RS"/>
              </w:rPr>
              <w:t xml:space="preserve"> </w:t>
            </w:r>
          </w:p>
        </w:tc>
        <w:tc>
          <w:tcPr>
            <w:tcW w:w="5103" w:type="dxa"/>
            <w:tcBorders>
              <w:top w:val="single" w:sz="4" w:space="0" w:color="auto"/>
              <w:left w:val="single" w:sz="4" w:space="0" w:color="auto"/>
              <w:bottom w:val="single" w:sz="4" w:space="0" w:color="auto"/>
              <w:right w:val="single" w:sz="4" w:space="0" w:color="auto"/>
            </w:tcBorders>
            <w:vAlign w:val="center"/>
          </w:tcPr>
          <w:p w14:paraId="51D96A6A" w14:textId="77777777" w:rsidR="006C31BF" w:rsidRPr="00CF77C1" w:rsidRDefault="006C31BF" w:rsidP="0080044B">
            <w:pPr>
              <w:jc w:val="left"/>
              <w:rPr>
                <w:lang w:val="sr-Cyrl-RS"/>
              </w:rPr>
            </w:pPr>
            <w:r w:rsidRPr="00CF77C1">
              <w:rPr>
                <w:lang w:val="sr-Cyrl-RS"/>
              </w:rPr>
              <w:t xml:space="preserve">Предвиђена </w:t>
            </w:r>
            <w:r w:rsidR="006F517C" w:rsidRPr="00CF77C1">
              <w:rPr>
                <w:lang w:val="sr-Cyrl-RS"/>
              </w:rPr>
              <w:t>је замена старог постројења 110 </w:t>
            </w:r>
            <w:r w:rsidRPr="00CF77C1">
              <w:rPr>
                <w:lang w:val="sr-Cyrl-RS"/>
              </w:rPr>
              <w:t>kV новим постројењем у SF6 техници, затим комплетна замена разводног построј</w:t>
            </w:r>
            <w:r w:rsidR="006F517C" w:rsidRPr="00CF77C1">
              <w:rPr>
                <w:lang w:val="sr-Cyrl-RS"/>
              </w:rPr>
              <w:t>ења 35 kV</w:t>
            </w:r>
            <w:r w:rsidRPr="00CF77C1">
              <w:rPr>
                <w:lang w:val="sr-Cyrl-RS"/>
              </w:rPr>
              <w:t xml:space="preserve"> новим у SF6 техници са два система сабирница, замена релејне заштите новом микропроцесорском, увођење даљинског управљања, замена комплетне сопствене потрошње и реконструкција инсталација.</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1CD44C96" w14:textId="77777777" w:rsidR="006C31BF" w:rsidRPr="00CF77C1" w:rsidRDefault="006C31BF" w:rsidP="0080044B">
            <w:pPr>
              <w:jc w:val="left"/>
              <w:rPr>
                <w:lang w:val="sr-Cyrl-RS"/>
              </w:rPr>
            </w:pPr>
            <w:r w:rsidRPr="00CF77C1">
              <w:rPr>
                <w:lang w:val="sr-Cyrl-RS"/>
              </w:rPr>
              <w:t xml:space="preserve">Постоје </w:t>
            </w:r>
            <w:r w:rsidR="001716F2" w:rsidRPr="00CF77C1">
              <w:rPr>
                <w:lang w:val="sr-Cyrl-RS"/>
              </w:rPr>
              <w:t>с</w:t>
            </w:r>
            <w:r w:rsidR="00041F19" w:rsidRPr="00CF77C1">
              <w:rPr>
                <w:lang w:val="sr-Cyrl-RS"/>
              </w:rPr>
              <w:t>тудија оправданости</w:t>
            </w:r>
            <w:r w:rsidR="006F517C" w:rsidRPr="00CF77C1">
              <w:rPr>
                <w:lang w:val="sr-Cyrl-RS"/>
              </w:rPr>
              <w:t>, и</w:t>
            </w:r>
            <w:r w:rsidRPr="00CF77C1">
              <w:rPr>
                <w:lang w:val="sr-Cyrl-RS"/>
              </w:rPr>
              <w:t xml:space="preserve">дејни пројекат, спецификација за опрему и радове и </w:t>
            </w:r>
            <w:r w:rsidR="004B2962" w:rsidRPr="00CF77C1">
              <w:rPr>
                <w:lang w:val="sr-Cyrl-RS"/>
              </w:rPr>
              <w:t>тендерска</w:t>
            </w:r>
            <w:r w:rsidRPr="00CF77C1">
              <w:rPr>
                <w:lang w:val="sr-Cyrl-RS"/>
              </w:rPr>
              <w:t xml:space="preserve"> документација</w:t>
            </w:r>
            <w:r w:rsidR="006F517C"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178AD56F" w14:textId="77777777" w:rsidR="006C31BF" w:rsidRPr="00CF77C1" w:rsidRDefault="006468E3" w:rsidP="0080044B">
            <w:pPr>
              <w:jc w:val="left"/>
              <w:rPr>
                <w:lang w:val="sr-Cyrl-RS"/>
              </w:rPr>
            </w:pPr>
            <w:r w:rsidRPr="00CF77C1">
              <w:rPr>
                <w:lang w:val="sr-Cyrl-RS"/>
              </w:rPr>
              <w:t>Пројекат за грађевинску дозволу, грађевинска дозвола, п</w:t>
            </w:r>
            <w:r w:rsidR="006F517C" w:rsidRPr="00CF77C1">
              <w:rPr>
                <w:lang w:val="sr-Cyrl-RS"/>
              </w:rPr>
              <w:t xml:space="preserve">ројекат за извођење, </w:t>
            </w:r>
            <w:r w:rsidRPr="00CF77C1">
              <w:rPr>
                <w:lang w:val="sr-Cyrl-RS"/>
              </w:rPr>
              <w:t>употребна дозвола</w:t>
            </w:r>
            <w:r w:rsidR="006F517C" w:rsidRPr="00CF77C1">
              <w:rPr>
                <w:lang w:val="sr-Cyrl-RS"/>
              </w:rPr>
              <w:t>.</w:t>
            </w:r>
          </w:p>
        </w:tc>
      </w:tr>
      <w:tr w:rsidR="006468E3" w:rsidRPr="00CF77C1" w14:paraId="59B91918"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390681DD" w14:textId="77777777" w:rsidR="006468E3" w:rsidRPr="00CF77C1" w:rsidRDefault="006468E3" w:rsidP="0080044B">
            <w:pPr>
              <w:spacing w:before="0" w:after="0"/>
              <w:jc w:val="left"/>
              <w:rPr>
                <w:lang w:val="sr-Cyrl-RS"/>
              </w:rPr>
            </w:pPr>
            <w:r w:rsidRPr="00CF77C1">
              <w:rPr>
                <w:lang w:val="sr-Cyrl-RS"/>
              </w:rPr>
              <w:t>ТС 110/35 kV Београд 2</w:t>
            </w:r>
          </w:p>
        </w:tc>
        <w:tc>
          <w:tcPr>
            <w:tcW w:w="5103" w:type="dxa"/>
            <w:tcBorders>
              <w:top w:val="single" w:sz="4" w:space="0" w:color="auto"/>
              <w:left w:val="single" w:sz="4" w:space="0" w:color="auto"/>
              <w:bottom w:val="single" w:sz="4" w:space="0" w:color="auto"/>
              <w:right w:val="single" w:sz="4" w:space="0" w:color="auto"/>
            </w:tcBorders>
            <w:vAlign w:val="center"/>
          </w:tcPr>
          <w:p w14:paraId="49B0DC78" w14:textId="77777777" w:rsidR="006468E3" w:rsidRPr="00CF77C1" w:rsidRDefault="006468E3" w:rsidP="0080044B">
            <w:pPr>
              <w:jc w:val="left"/>
              <w:rPr>
                <w:lang w:val="sr-Cyrl-RS"/>
              </w:rPr>
            </w:pPr>
            <w:r w:rsidRPr="00CF77C1">
              <w:rPr>
                <w:lang w:val="sr-Cyrl-RS"/>
              </w:rPr>
              <w:t>Предвиђено је повећање инсталисане снаге заменом оба трансформатора снаге 31,5 MVA трансформаторима снаге 63 MVA. Постројење 110 kV ће се реконструисати у целини као постројење на отвореном простору (задржава се постојећи број поља са нешто измењеним редоследом и два система сабирница, оставља се простор за једно резервно 110 kV поље). Предвиђена је замена 35 kV постројења у згради, на месту постојећег постројења 35 kV, новим постројењем са два система сабирница уз доградњу 4 изводне резервне ћелије. Ново 35 kV постројење предвиђено је у SF6 техници.</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2106B1A0" w14:textId="77777777" w:rsidR="006468E3" w:rsidRPr="00CF77C1" w:rsidRDefault="006468E3" w:rsidP="0080044B">
            <w:pPr>
              <w:jc w:val="left"/>
              <w:rPr>
                <w:lang w:val="sr-Cyrl-RS"/>
              </w:rPr>
            </w:pPr>
            <w:r w:rsidRPr="00CF77C1">
              <w:rPr>
                <w:lang w:val="sr-Cyrl-RS"/>
              </w:rPr>
              <w:t xml:space="preserve">До сада је прикупљена следећа документација: претходна студија оправданости, идејно решење, студија оправданости, идејни пројекат, у току је решавање </w:t>
            </w:r>
            <w:r w:rsidR="00A71236" w:rsidRPr="00CF77C1">
              <w:rPr>
                <w:lang w:val="sr-Cyrl-RS"/>
              </w:rPr>
              <w:t>имовинско-правних</w:t>
            </w:r>
            <w:r w:rsidRPr="00CF77C1">
              <w:rPr>
                <w:lang w:val="sr-Cyrl-RS"/>
              </w:rPr>
              <w:t xml:space="preserve"> односа, а формирана је спецификација за опрему и радове и тендерска документација.</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18D90C49" w14:textId="77777777" w:rsidR="006468E3" w:rsidRPr="00CF77C1" w:rsidRDefault="006468E3" w:rsidP="0080044B">
            <w:pPr>
              <w:jc w:val="left"/>
              <w:rPr>
                <w:lang w:val="sr-Cyrl-RS"/>
              </w:rPr>
            </w:pPr>
            <w:r w:rsidRPr="00CF77C1">
              <w:rPr>
                <w:lang w:val="sr-Cyrl-RS"/>
              </w:rPr>
              <w:t>Пројекат за грађевинску дозволу, грађевинска дозвола, пројекат за извођење, употребна дозвола.</w:t>
            </w:r>
          </w:p>
        </w:tc>
      </w:tr>
      <w:tr w:rsidR="006C31BF" w:rsidRPr="00CF77C1" w14:paraId="45C3C5BD"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2D049FFC" w14:textId="77777777" w:rsidR="006C31BF" w:rsidRPr="00CF77C1" w:rsidRDefault="006C31BF" w:rsidP="0080044B">
            <w:pPr>
              <w:spacing w:before="0" w:after="0"/>
              <w:jc w:val="left"/>
              <w:rPr>
                <w:lang w:val="sr-Cyrl-RS"/>
              </w:rPr>
            </w:pPr>
            <w:r w:rsidRPr="00CF77C1">
              <w:rPr>
                <w:lang w:val="sr-Cyrl-RS"/>
              </w:rPr>
              <w:t>ТС 110/35 kV Београд 9</w:t>
            </w:r>
          </w:p>
        </w:tc>
        <w:tc>
          <w:tcPr>
            <w:tcW w:w="5103" w:type="dxa"/>
            <w:tcBorders>
              <w:top w:val="single" w:sz="4" w:space="0" w:color="auto"/>
              <w:left w:val="single" w:sz="4" w:space="0" w:color="auto"/>
              <w:bottom w:val="single" w:sz="4" w:space="0" w:color="auto"/>
              <w:right w:val="single" w:sz="4" w:space="0" w:color="auto"/>
            </w:tcBorders>
            <w:vAlign w:val="center"/>
          </w:tcPr>
          <w:p w14:paraId="257A6076" w14:textId="3CA13E6E" w:rsidR="006C31BF" w:rsidRPr="00CF77C1" w:rsidRDefault="006F517C" w:rsidP="0080044B">
            <w:pPr>
              <w:jc w:val="left"/>
              <w:rPr>
                <w:lang w:val="sr-Cyrl-RS"/>
              </w:rPr>
            </w:pPr>
            <w:r w:rsidRPr="00CF77C1">
              <w:rPr>
                <w:lang w:val="sr-Cyrl-RS"/>
              </w:rPr>
              <w:t>П</w:t>
            </w:r>
            <w:r w:rsidR="006C31BF" w:rsidRPr="00CF77C1">
              <w:rPr>
                <w:lang w:val="sr-Cyrl-RS"/>
              </w:rPr>
              <w:t xml:space="preserve">редвиђена замена старих </w:t>
            </w:r>
            <w:r w:rsidRPr="00CF77C1">
              <w:rPr>
                <w:lang w:val="sr-Cyrl-RS"/>
              </w:rPr>
              <w:t xml:space="preserve">трансформатора </w:t>
            </w:r>
            <w:r w:rsidR="006C31BF" w:rsidRPr="00CF77C1">
              <w:rPr>
                <w:lang w:val="sr-Cyrl-RS"/>
              </w:rPr>
              <w:t>Т1 и</w:t>
            </w:r>
            <w:r w:rsidRPr="00CF77C1">
              <w:rPr>
                <w:lang w:val="sr-Cyrl-RS"/>
              </w:rPr>
              <w:t xml:space="preserve"> </w:t>
            </w:r>
            <w:r w:rsidR="006C31BF" w:rsidRPr="00CF77C1">
              <w:rPr>
                <w:lang w:val="sr-Cyrl-RS"/>
              </w:rPr>
              <w:t>Т2 новим трансформаторим</w:t>
            </w:r>
            <w:r w:rsidRPr="00CF77C1">
              <w:rPr>
                <w:lang w:val="sr-Cyrl-RS"/>
              </w:rPr>
              <w:t>а исте снаге и уградња новог трансформатора Т3 снаге 63 MVA</w:t>
            </w:r>
            <w:r w:rsidR="006C31BF" w:rsidRPr="00CF77C1">
              <w:rPr>
                <w:lang w:val="sr-Cyrl-RS"/>
              </w:rPr>
              <w:t>.</w:t>
            </w:r>
            <w:r w:rsidRPr="00CF77C1">
              <w:rPr>
                <w:lang w:val="sr-Cyrl-RS"/>
              </w:rPr>
              <w:t xml:space="preserve"> </w:t>
            </w:r>
            <w:r w:rsidR="006C31BF" w:rsidRPr="00CF77C1">
              <w:rPr>
                <w:lang w:val="sr-Cyrl-RS"/>
              </w:rPr>
              <w:t>Прво се изводе радови на изградњи постројења за прикључење трансформатора Т3. Реконструкција РП 110</w:t>
            </w:r>
            <w:r w:rsidRPr="00CF77C1">
              <w:rPr>
                <w:lang w:val="sr-Cyrl-RS"/>
              </w:rPr>
              <w:t xml:space="preserve"> </w:t>
            </w:r>
            <w:r w:rsidR="006C31BF" w:rsidRPr="00CF77C1">
              <w:rPr>
                <w:lang w:val="sr-Cyrl-RS"/>
              </w:rPr>
              <w:t>kV предвиђена је у две фазе.У првој ће бити у погону један трансформатор преко свог 110</w:t>
            </w:r>
            <w:r w:rsidRPr="00CF77C1">
              <w:rPr>
                <w:lang w:val="sr-Cyrl-RS"/>
              </w:rPr>
              <w:t xml:space="preserve"> </w:t>
            </w:r>
            <w:r w:rsidR="006C31BF" w:rsidRPr="00CF77C1">
              <w:rPr>
                <w:lang w:val="sr-Cyrl-RS"/>
              </w:rPr>
              <w:t xml:space="preserve">kV трафо поља, а остали део </w:t>
            </w:r>
            <w:r w:rsidR="00EC7E28" w:rsidRPr="00CF77C1">
              <w:rPr>
                <w:lang w:val="sr-Cyrl-RS"/>
              </w:rPr>
              <w:t>РП</w:t>
            </w:r>
            <w:r w:rsidR="006C31BF" w:rsidRPr="00CF77C1">
              <w:rPr>
                <w:lang w:val="sr-Cyrl-RS"/>
              </w:rPr>
              <w:t xml:space="preserve"> </w:t>
            </w:r>
            <w:r w:rsidR="001716F2" w:rsidRPr="00CF77C1">
              <w:rPr>
                <w:lang w:val="sr-Cyrl-RS"/>
              </w:rPr>
              <w:t>110 kV</w:t>
            </w:r>
            <w:r w:rsidR="006C31BF" w:rsidRPr="00CF77C1">
              <w:rPr>
                <w:lang w:val="sr-Cyrl-RS"/>
              </w:rPr>
              <w:t xml:space="preserve"> ће бити демонтиран и извршени потребни грађевински и електромонтажни радови на монтажи нове опреме. Потребно је обезбедити превезивање 110</w:t>
            </w:r>
            <w:r w:rsidRPr="00CF77C1">
              <w:rPr>
                <w:lang w:val="sr-Cyrl-RS"/>
              </w:rPr>
              <w:t xml:space="preserve"> </w:t>
            </w:r>
            <w:r w:rsidR="006C31BF" w:rsidRPr="00CF77C1">
              <w:rPr>
                <w:lang w:val="sr-Cyrl-RS"/>
              </w:rPr>
              <w:t xml:space="preserve">kV водова, ван </w:t>
            </w:r>
            <w:r w:rsidR="0079434E" w:rsidRPr="00CF77C1">
              <w:rPr>
                <w:lang w:val="sr-Cyrl-RS"/>
              </w:rPr>
              <w:t>круга постројења ТС Београд 9 (</w:t>
            </w:r>
            <w:r w:rsidR="006C31BF" w:rsidRPr="00CF77C1">
              <w:rPr>
                <w:lang w:val="sr-Cyrl-RS"/>
              </w:rPr>
              <w:t xml:space="preserve">у складу </w:t>
            </w:r>
            <w:r w:rsidR="00EB74AD">
              <w:rPr>
                <w:lang w:val="sr-Cyrl-RS"/>
              </w:rPr>
              <w:t>са могућностима и условима ЕМС</w:t>
            </w:r>
            <w:r w:rsidR="006C31BF" w:rsidRPr="00CF77C1">
              <w:rPr>
                <w:lang w:val="sr-Cyrl-RS"/>
              </w:rPr>
              <w:t>). У другој фази реконструкције у погону ће бити други трансформатор 110/35</w:t>
            </w:r>
            <w:r w:rsidRPr="00CF77C1">
              <w:rPr>
                <w:lang w:val="sr-Cyrl-RS"/>
              </w:rPr>
              <w:t xml:space="preserve"> </w:t>
            </w:r>
            <w:r w:rsidR="006C31BF" w:rsidRPr="00CF77C1">
              <w:rPr>
                <w:lang w:val="sr-Cyrl-RS"/>
              </w:rPr>
              <w:t>kV преко реконструисаног дела РП 110</w:t>
            </w:r>
            <w:r w:rsidRPr="00CF77C1">
              <w:rPr>
                <w:lang w:val="sr-Cyrl-RS"/>
              </w:rPr>
              <w:t xml:space="preserve"> </w:t>
            </w:r>
            <w:r w:rsidR="006C31BF" w:rsidRPr="00CF77C1">
              <w:rPr>
                <w:lang w:val="sr-Cyrl-RS"/>
              </w:rPr>
              <w:t>kV. За то време ће се извршити реконструкција преосталог дела РП 110</w:t>
            </w:r>
            <w:r w:rsidRPr="00CF77C1">
              <w:rPr>
                <w:lang w:val="sr-Cyrl-RS"/>
              </w:rPr>
              <w:t xml:space="preserve"> kV које</w:t>
            </w:r>
            <w:r w:rsidR="006C31BF" w:rsidRPr="00CF77C1">
              <w:rPr>
                <w:lang w:val="sr-Cyrl-RS"/>
              </w:rPr>
              <w:t xml:space="preserve"> је би</w:t>
            </w:r>
            <w:r w:rsidRPr="00CF77C1">
              <w:rPr>
                <w:lang w:val="sr-Cyrl-RS"/>
              </w:rPr>
              <w:t>л</w:t>
            </w:r>
            <w:r w:rsidR="006C31BF" w:rsidRPr="00CF77C1">
              <w:rPr>
                <w:lang w:val="sr-Cyrl-RS"/>
              </w:rPr>
              <w:t>о у погону у првој фази реконструкције.</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62D36781" w14:textId="7EC1C45E" w:rsidR="006C31BF" w:rsidRPr="00CF77C1" w:rsidRDefault="006468E3" w:rsidP="0080044B">
            <w:pPr>
              <w:jc w:val="left"/>
              <w:rPr>
                <w:lang w:val="sr-Cyrl-RS"/>
              </w:rPr>
            </w:pPr>
            <w:r w:rsidRPr="00CF77C1">
              <w:rPr>
                <w:lang w:val="sr-Cyrl-RS"/>
              </w:rPr>
              <w:t>Не постоји урађена инвестиционо-техничка документација. Усвојен пројектни з</w:t>
            </w:r>
            <w:r w:rsidR="001741AC" w:rsidRPr="00CF77C1">
              <w:rPr>
                <w:lang w:val="sr-Cyrl-RS"/>
              </w:rPr>
              <w:t>адатак на Техничком савету ЕПС</w:t>
            </w:r>
            <w:r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6336BB7E" w14:textId="77777777" w:rsidR="006C31BF" w:rsidRPr="00CF77C1" w:rsidRDefault="006468E3" w:rsidP="0080044B">
            <w:pPr>
              <w:jc w:val="left"/>
              <w:rPr>
                <w:lang w:val="sr-Cyrl-RS"/>
              </w:rPr>
            </w:pPr>
            <w:r w:rsidRPr="00CF77C1">
              <w:rPr>
                <w:lang w:val="sr-Cyrl-RS"/>
              </w:rPr>
              <w:t>Студија оправданости,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6C31BF" w:rsidRPr="00CF77C1" w14:paraId="5C8F48C8"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0285ABE5" w14:textId="77777777" w:rsidR="006C31BF" w:rsidRPr="00CF77C1" w:rsidRDefault="006C31BF" w:rsidP="0080044B">
            <w:pPr>
              <w:spacing w:before="0" w:after="0"/>
              <w:jc w:val="left"/>
              <w:rPr>
                <w:lang w:val="sr-Cyrl-RS"/>
              </w:rPr>
            </w:pPr>
            <w:r w:rsidRPr="00CF77C1">
              <w:rPr>
                <w:lang w:val="sr-Cyrl-RS"/>
              </w:rPr>
              <w:t>ТС 110/35 kV Београд 7</w:t>
            </w:r>
          </w:p>
        </w:tc>
        <w:tc>
          <w:tcPr>
            <w:tcW w:w="5103" w:type="dxa"/>
            <w:tcBorders>
              <w:top w:val="single" w:sz="4" w:space="0" w:color="auto"/>
              <w:left w:val="single" w:sz="4" w:space="0" w:color="auto"/>
              <w:bottom w:val="single" w:sz="4" w:space="0" w:color="auto"/>
              <w:right w:val="single" w:sz="4" w:space="0" w:color="auto"/>
            </w:tcBorders>
            <w:vAlign w:val="center"/>
          </w:tcPr>
          <w:p w14:paraId="5D202790" w14:textId="77777777" w:rsidR="006C31BF" w:rsidRPr="00CF77C1" w:rsidRDefault="006C31BF" w:rsidP="0080044B">
            <w:pPr>
              <w:jc w:val="left"/>
              <w:rPr>
                <w:lang w:val="sr-Cyrl-RS"/>
              </w:rPr>
            </w:pPr>
            <w:r w:rsidRPr="00CF77C1">
              <w:rPr>
                <w:lang w:val="sr-Cyrl-RS"/>
              </w:rPr>
              <w:t>Постојеће стање 2x63МVА,</w:t>
            </w:r>
            <w:r w:rsidR="006F517C" w:rsidRPr="00CF77C1">
              <w:rPr>
                <w:lang w:val="sr-Cyrl-RS"/>
              </w:rPr>
              <w:t xml:space="preserve"> а</w:t>
            </w:r>
            <w:r w:rsidRPr="00CF77C1">
              <w:rPr>
                <w:lang w:val="sr-Cyrl-RS"/>
              </w:rPr>
              <w:t xml:space="preserve"> планирано стање 2x63</w:t>
            </w:r>
            <w:r w:rsidR="006F517C" w:rsidRPr="00CF77C1">
              <w:rPr>
                <w:lang w:val="sr-Cyrl-RS"/>
              </w:rPr>
              <w:t xml:space="preserve"> </w:t>
            </w:r>
            <w:r w:rsidRPr="00CF77C1">
              <w:rPr>
                <w:lang w:val="sr-Cyrl-RS"/>
              </w:rPr>
              <w:t>МVА + 2x31,5</w:t>
            </w:r>
            <w:r w:rsidR="006F517C" w:rsidRPr="00CF77C1">
              <w:rPr>
                <w:lang w:val="sr-Cyrl-RS"/>
              </w:rPr>
              <w:t xml:space="preserve"> </w:t>
            </w:r>
            <w:r w:rsidRPr="00CF77C1">
              <w:rPr>
                <w:lang w:val="sr-Cyrl-RS"/>
              </w:rPr>
              <w:t>МVА (задржава се Т2, замењује се Т1, уграђују се нови Т3 и Т4 снаге 31,5</w:t>
            </w:r>
            <w:r w:rsidR="006F517C" w:rsidRPr="00CF77C1">
              <w:rPr>
                <w:lang w:val="sr-Cyrl-RS"/>
              </w:rPr>
              <w:t xml:space="preserve"> </w:t>
            </w:r>
            <w:r w:rsidRPr="00CF77C1">
              <w:rPr>
                <w:lang w:val="sr-Cyrl-RS"/>
              </w:rPr>
              <w:t>МVА, преносног односа 110/10</w:t>
            </w:r>
            <w:r w:rsidR="006F517C" w:rsidRPr="00CF77C1">
              <w:rPr>
                <w:lang w:val="sr-Cyrl-RS"/>
              </w:rPr>
              <w:t> kV). Реконструкција</w:t>
            </w:r>
            <w:r w:rsidRPr="00CF77C1">
              <w:rPr>
                <w:lang w:val="sr-Cyrl-RS"/>
              </w:rPr>
              <w:t xml:space="preserve"> РП 110</w:t>
            </w:r>
            <w:r w:rsidR="006F517C" w:rsidRPr="00CF77C1">
              <w:rPr>
                <w:lang w:val="sr-Cyrl-RS"/>
              </w:rPr>
              <w:t xml:space="preserve"> </w:t>
            </w:r>
            <w:r w:rsidRPr="00CF77C1">
              <w:rPr>
                <w:lang w:val="sr-Cyrl-RS"/>
              </w:rPr>
              <w:t xml:space="preserve">kV </w:t>
            </w:r>
            <w:r w:rsidR="006F517C" w:rsidRPr="00CF77C1">
              <w:rPr>
                <w:lang w:val="sr-Cyrl-RS"/>
              </w:rPr>
              <w:t>предвиђена је</w:t>
            </w:r>
            <w:r w:rsidRPr="00CF77C1">
              <w:rPr>
                <w:lang w:val="sr-Cyrl-RS"/>
              </w:rPr>
              <w:t xml:space="preserve"> у две фазе. У првој фази у погону ће бити један трансформатор преко свог 110</w:t>
            </w:r>
            <w:r w:rsidR="006F517C" w:rsidRPr="00CF77C1">
              <w:rPr>
                <w:lang w:val="sr-Cyrl-RS"/>
              </w:rPr>
              <w:t xml:space="preserve"> </w:t>
            </w:r>
            <w:r w:rsidRPr="00CF77C1">
              <w:rPr>
                <w:lang w:val="sr-Cyrl-RS"/>
              </w:rPr>
              <w:t>kV</w:t>
            </w:r>
            <w:r w:rsidR="006F517C" w:rsidRPr="00CF77C1">
              <w:rPr>
                <w:lang w:val="sr-Cyrl-RS"/>
              </w:rPr>
              <w:t xml:space="preserve"> </w:t>
            </w:r>
            <w:r w:rsidRPr="00CF77C1">
              <w:rPr>
                <w:lang w:val="sr-Cyrl-RS"/>
              </w:rPr>
              <w:t xml:space="preserve">поља, а остали део </w:t>
            </w:r>
            <w:r w:rsidR="006F517C" w:rsidRPr="00CF77C1">
              <w:rPr>
                <w:lang w:val="sr-Cyrl-RS"/>
              </w:rPr>
              <w:t>РП</w:t>
            </w:r>
            <w:r w:rsidRPr="00CF77C1">
              <w:rPr>
                <w:lang w:val="sr-Cyrl-RS"/>
              </w:rPr>
              <w:t xml:space="preserve"> 110</w:t>
            </w:r>
            <w:r w:rsidR="006F517C" w:rsidRPr="00CF77C1">
              <w:rPr>
                <w:lang w:val="sr-Cyrl-RS"/>
              </w:rPr>
              <w:t xml:space="preserve"> </w:t>
            </w:r>
            <w:r w:rsidRPr="00CF77C1">
              <w:rPr>
                <w:lang w:val="sr-Cyrl-RS"/>
              </w:rPr>
              <w:t xml:space="preserve">kV ће бити демонтиран и извршени потребни грађевински и електромонтажни </w:t>
            </w:r>
            <w:r w:rsidR="006F517C" w:rsidRPr="00CF77C1">
              <w:rPr>
                <w:lang w:val="sr-Cyrl-RS"/>
              </w:rPr>
              <w:t xml:space="preserve">радови на монтажи нове опреме. </w:t>
            </w:r>
            <w:r w:rsidRPr="00CF77C1">
              <w:rPr>
                <w:lang w:val="sr-Cyrl-RS"/>
              </w:rPr>
              <w:t>У другој фази реконструкције у погону ће бити други трансформатор 110/35</w:t>
            </w:r>
            <w:r w:rsidR="006F517C" w:rsidRPr="00CF77C1">
              <w:rPr>
                <w:lang w:val="sr-Cyrl-RS"/>
              </w:rPr>
              <w:t xml:space="preserve"> </w:t>
            </w:r>
            <w:r w:rsidRPr="00CF77C1">
              <w:rPr>
                <w:lang w:val="sr-Cyrl-RS"/>
              </w:rPr>
              <w:t>kV преко реконструисаног дела РП 110</w:t>
            </w:r>
            <w:r w:rsidR="006F517C" w:rsidRPr="00CF77C1">
              <w:rPr>
                <w:lang w:val="sr-Cyrl-RS"/>
              </w:rPr>
              <w:t xml:space="preserve"> </w:t>
            </w:r>
            <w:r w:rsidRPr="00CF77C1">
              <w:rPr>
                <w:lang w:val="sr-Cyrl-RS"/>
              </w:rPr>
              <w:t>kV. За то време ће се извршити реконструкција преосталог дела РП 110</w:t>
            </w:r>
            <w:r w:rsidR="006F517C" w:rsidRPr="00CF77C1">
              <w:rPr>
                <w:lang w:val="sr-Cyrl-RS"/>
              </w:rPr>
              <w:t xml:space="preserve"> kV које</w:t>
            </w:r>
            <w:r w:rsidRPr="00CF77C1">
              <w:rPr>
                <w:lang w:val="sr-Cyrl-RS"/>
              </w:rPr>
              <w:t xml:space="preserve"> је би</w:t>
            </w:r>
            <w:r w:rsidR="006F517C" w:rsidRPr="00CF77C1">
              <w:rPr>
                <w:lang w:val="sr-Cyrl-RS"/>
              </w:rPr>
              <w:t>л</w:t>
            </w:r>
            <w:r w:rsidRPr="00CF77C1">
              <w:rPr>
                <w:lang w:val="sr-Cyrl-RS"/>
              </w:rPr>
              <w:t>о у погону у првој фази реконструкције, као и изградња додатног постројења за прикључење трансформатора Т3 и Т4.</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359AA212" w14:textId="772D3506" w:rsidR="006C31BF" w:rsidRPr="00CF77C1" w:rsidRDefault="006468E3" w:rsidP="0080044B">
            <w:pPr>
              <w:jc w:val="left"/>
              <w:rPr>
                <w:lang w:val="sr-Cyrl-RS"/>
              </w:rPr>
            </w:pPr>
            <w:r w:rsidRPr="00CF77C1">
              <w:rPr>
                <w:lang w:val="sr-Cyrl-RS"/>
              </w:rPr>
              <w:t>Не постоји урађена инвестиционо-техничка документација. Усвојен пројектни з</w:t>
            </w:r>
            <w:r w:rsidR="001741AC" w:rsidRPr="00CF77C1">
              <w:rPr>
                <w:lang w:val="sr-Cyrl-RS"/>
              </w:rPr>
              <w:t>адатак на Техничком савету ЕПС</w:t>
            </w:r>
            <w:r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08486675" w14:textId="77777777" w:rsidR="006C31BF" w:rsidRPr="00CF77C1" w:rsidRDefault="006468E3" w:rsidP="0080044B">
            <w:pPr>
              <w:jc w:val="left"/>
              <w:rPr>
                <w:lang w:val="sr-Cyrl-RS"/>
              </w:rPr>
            </w:pPr>
            <w:r w:rsidRPr="00CF77C1">
              <w:rPr>
                <w:lang w:val="sr-Cyrl-RS"/>
              </w:rPr>
              <w:t>Студија оправданости,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r w:rsidR="006C31BF" w:rsidRPr="00CF77C1" w14:paraId="33D40D44" w14:textId="77777777" w:rsidTr="006F517C">
        <w:trPr>
          <w:cantSplit/>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14:paraId="7FE7F5EC" w14:textId="77777777" w:rsidR="006C31BF" w:rsidRPr="00CF77C1" w:rsidRDefault="006C31BF" w:rsidP="0080044B">
            <w:pPr>
              <w:spacing w:before="0" w:after="0"/>
              <w:jc w:val="left"/>
              <w:rPr>
                <w:lang w:val="sr-Cyrl-RS"/>
              </w:rPr>
            </w:pPr>
            <w:r w:rsidRPr="00CF77C1">
              <w:rPr>
                <w:lang w:val="sr-Cyrl-RS"/>
              </w:rPr>
              <w:t>ТС 110/35 kV Београд 10</w:t>
            </w:r>
          </w:p>
        </w:tc>
        <w:tc>
          <w:tcPr>
            <w:tcW w:w="5103" w:type="dxa"/>
            <w:tcBorders>
              <w:top w:val="single" w:sz="4" w:space="0" w:color="auto"/>
              <w:left w:val="single" w:sz="4" w:space="0" w:color="auto"/>
              <w:bottom w:val="single" w:sz="4" w:space="0" w:color="auto"/>
              <w:right w:val="single" w:sz="4" w:space="0" w:color="auto"/>
            </w:tcBorders>
            <w:vAlign w:val="center"/>
          </w:tcPr>
          <w:p w14:paraId="00D253B4" w14:textId="57DE4D22" w:rsidR="006C31BF" w:rsidRPr="006C38BF" w:rsidRDefault="006C31BF" w:rsidP="0080044B">
            <w:pPr>
              <w:jc w:val="left"/>
              <w:rPr>
                <w:sz w:val="22"/>
                <w:lang w:val="sr-Cyrl-RS"/>
              </w:rPr>
            </w:pPr>
            <w:r w:rsidRPr="006C38BF">
              <w:rPr>
                <w:sz w:val="22"/>
                <w:lang w:val="sr-Cyrl-RS"/>
              </w:rPr>
              <w:t xml:space="preserve">Предвиђена је комплетна замена опреме у </w:t>
            </w:r>
            <w:r w:rsidR="001716F2" w:rsidRPr="006C38BF">
              <w:rPr>
                <w:sz w:val="22"/>
                <w:lang w:val="sr-Cyrl-RS"/>
              </w:rPr>
              <w:t>110 kV</w:t>
            </w:r>
            <w:r w:rsidRPr="006C38BF">
              <w:rPr>
                <w:sz w:val="22"/>
                <w:lang w:val="sr-Cyrl-RS"/>
              </w:rPr>
              <w:t xml:space="preserve"> постројењу, замена комплетног постројења </w:t>
            </w:r>
            <w:r w:rsidR="001716F2" w:rsidRPr="006C38BF">
              <w:rPr>
                <w:sz w:val="22"/>
                <w:lang w:val="sr-Cyrl-RS"/>
              </w:rPr>
              <w:t>35 kV</w:t>
            </w:r>
            <w:r w:rsidRPr="006C38BF">
              <w:rPr>
                <w:sz w:val="22"/>
                <w:lang w:val="sr-Cyrl-RS"/>
              </w:rPr>
              <w:t>, задржавају се оба постојећа трансформатора снаге од по 31,5</w:t>
            </w:r>
            <w:r w:rsidR="001716F2" w:rsidRPr="006C38BF">
              <w:rPr>
                <w:sz w:val="22"/>
                <w:lang w:val="sr-Cyrl-RS"/>
              </w:rPr>
              <w:t xml:space="preserve"> </w:t>
            </w:r>
            <w:r w:rsidRPr="006C38BF">
              <w:rPr>
                <w:sz w:val="22"/>
                <w:lang w:val="sr-Cyrl-RS"/>
              </w:rPr>
              <w:t>МVА, предвиђена је комплетна реконструкција сопствене потрошње, уземљења, осветљења, громобранске инсталације,...</w:t>
            </w:r>
            <w:r w:rsidR="00B42615" w:rsidRPr="006C38BF">
              <w:rPr>
                <w:sz w:val="22"/>
                <w:lang w:val="sr-Cyrl-RS"/>
              </w:rPr>
              <w:t xml:space="preserve"> Реконструкција</w:t>
            </w:r>
            <w:r w:rsidRPr="006C38BF">
              <w:rPr>
                <w:sz w:val="22"/>
                <w:lang w:val="sr-Cyrl-RS"/>
              </w:rPr>
              <w:t xml:space="preserve"> РП</w:t>
            </w:r>
            <w:r w:rsidR="00B42615" w:rsidRPr="006C38BF">
              <w:rPr>
                <w:sz w:val="22"/>
                <w:lang w:val="sr-Cyrl-RS"/>
              </w:rPr>
              <w:t xml:space="preserve"> </w:t>
            </w:r>
            <w:r w:rsidRPr="006C38BF">
              <w:rPr>
                <w:sz w:val="22"/>
                <w:lang w:val="sr-Cyrl-RS"/>
              </w:rPr>
              <w:t>110</w:t>
            </w:r>
            <w:r w:rsidR="00B42615" w:rsidRPr="006C38BF">
              <w:rPr>
                <w:sz w:val="22"/>
                <w:lang w:val="sr-Cyrl-RS"/>
              </w:rPr>
              <w:t xml:space="preserve"> </w:t>
            </w:r>
            <w:r w:rsidRPr="006C38BF">
              <w:rPr>
                <w:sz w:val="22"/>
                <w:lang w:val="sr-Cyrl-RS"/>
              </w:rPr>
              <w:t xml:space="preserve">kV </w:t>
            </w:r>
            <w:r w:rsidR="00B42615" w:rsidRPr="006C38BF">
              <w:rPr>
                <w:sz w:val="22"/>
                <w:lang w:val="sr-Cyrl-RS"/>
              </w:rPr>
              <w:t xml:space="preserve">ће се реализовати </w:t>
            </w:r>
            <w:r w:rsidRPr="006C38BF">
              <w:rPr>
                <w:sz w:val="22"/>
                <w:lang w:val="sr-Cyrl-RS"/>
              </w:rPr>
              <w:t xml:space="preserve">у две фазе. У првој ће бити у погону један трансформатор преко свог </w:t>
            </w:r>
            <w:r w:rsidR="001716F2" w:rsidRPr="006C38BF">
              <w:rPr>
                <w:sz w:val="22"/>
                <w:lang w:val="sr-Cyrl-RS"/>
              </w:rPr>
              <w:t>110 kV</w:t>
            </w:r>
            <w:r w:rsidRPr="006C38BF">
              <w:rPr>
                <w:sz w:val="22"/>
                <w:lang w:val="sr-Cyrl-RS"/>
              </w:rPr>
              <w:t xml:space="preserve"> трафо поља, а остали део РП </w:t>
            </w:r>
            <w:r w:rsidR="001716F2" w:rsidRPr="006C38BF">
              <w:rPr>
                <w:sz w:val="22"/>
                <w:lang w:val="sr-Cyrl-RS"/>
              </w:rPr>
              <w:t>110 kV</w:t>
            </w:r>
            <w:r w:rsidRPr="006C38BF">
              <w:rPr>
                <w:sz w:val="22"/>
                <w:lang w:val="sr-Cyrl-RS"/>
              </w:rPr>
              <w:t xml:space="preserve"> ће бити демонтиран и извршени потребни грађевински и електромонтажни радови на монтажи нове опреме. У друго</w:t>
            </w:r>
            <w:r w:rsidR="007D1A88">
              <w:rPr>
                <w:sz w:val="22"/>
                <w:lang w:val="sr-Cyrl-RS"/>
              </w:rPr>
              <w:t>ј</w:t>
            </w:r>
            <w:r w:rsidRPr="006C38BF">
              <w:rPr>
                <w:sz w:val="22"/>
                <w:lang w:val="sr-Cyrl-RS"/>
              </w:rPr>
              <w:t xml:space="preserve"> фази реконструкције у погону ће бити други трансформатор преко реконструисаног дела РП </w:t>
            </w:r>
            <w:r w:rsidR="001716F2" w:rsidRPr="006C38BF">
              <w:rPr>
                <w:sz w:val="22"/>
                <w:lang w:val="sr-Cyrl-RS"/>
              </w:rPr>
              <w:t>110 kV</w:t>
            </w:r>
            <w:r w:rsidRPr="006C38BF">
              <w:rPr>
                <w:sz w:val="22"/>
                <w:lang w:val="sr-Cyrl-RS"/>
              </w:rPr>
              <w:t>.</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14:paraId="1FE1C256" w14:textId="64DFA2CD" w:rsidR="006C31BF" w:rsidRPr="00CF77C1" w:rsidRDefault="006468E3" w:rsidP="0080044B">
            <w:pPr>
              <w:jc w:val="left"/>
              <w:rPr>
                <w:lang w:val="sr-Cyrl-RS"/>
              </w:rPr>
            </w:pPr>
            <w:r w:rsidRPr="00CF77C1">
              <w:rPr>
                <w:lang w:val="sr-Cyrl-RS"/>
              </w:rPr>
              <w:t>Не постоји урађена инвестиционо-техничка документација. Усвојен пројектни з</w:t>
            </w:r>
            <w:r w:rsidR="001741AC" w:rsidRPr="00CF77C1">
              <w:rPr>
                <w:lang w:val="sr-Cyrl-RS"/>
              </w:rPr>
              <w:t>адатак на Техничком савету ЕПС</w:t>
            </w:r>
            <w:r w:rsidRPr="00CF77C1">
              <w:rPr>
                <w:lang w:val="sr-Cyrl-RS"/>
              </w:rPr>
              <w:t>.</w:t>
            </w:r>
          </w:p>
        </w:tc>
        <w:tc>
          <w:tcPr>
            <w:tcW w:w="3784" w:type="dxa"/>
            <w:tcBorders>
              <w:top w:val="single" w:sz="4" w:space="0" w:color="auto"/>
              <w:left w:val="single" w:sz="4" w:space="0" w:color="auto"/>
              <w:bottom w:val="single" w:sz="4" w:space="0" w:color="auto"/>
              <w:right w:val="single" w:sz="4" w:space="0" w:color="auto"/>
            </w:tcBorders>
            <w:shd w:val="clear" w:color="auto" w:fill="auto"/>
            <w:vAlign w:val="center"/>
          </w:tcPr>
          <w:p w14:paraId="32E91B96" w14:textId="77777777" w:rsidR="006C31BF" w:rsidRPr="00CF77C1" w:rsidRDefault="006468E3" w:rsidP="0080044B">
            <w:pPr>
              <w:jc w:val="left"/>
              <w:rPr>
                <w:lang w:val="sr-Cyrl-RS"/>
              </w:rPr>
            </w:pPr>
            <w:r w:rsidRPr="00CF77C1">
              <w:rPr>
                <w:lang w:val="sr-Cyrl-RS"/>
              </w:rPr>
              <w:t>Студија оправданости, идејни пројекат, спецификација за опрему и радове и тендерска документација, пројекат за грађевинску дозволу, грађевинска дозвола, пројекат за извођење, употребна дозвола.</w:t>
            </w:r>
          </w:p>
        </w:tc>
      </w:tr>
    </w:tbl>
    <w:p w14:paraId="690DBBA3" w14:textId="0641E7E6" w:rsidR="0091260E" w:rsidRPr="00CF77C1" w:rsidRDefault="0091260E" w:rsidP="00242883">
      <w:pPr>
        <w:ind w:firstLine="720"/>
        <w:rPr>
          <w:lang w:val="sr-Cyrl-RS"/>
        </w:rPr>
      </w:pPr>
      <w:r w:rsidRPr="00CF77C1">
        <w:rPr>
          <w:lang w:val="sr-Cyrl-RS"/>
        </w:rPr>
        <w:t xml:space="preserve">Индикатор реализације овог пројекта је </w:t>
      </w:r>
      <w:r w:rsidR="009A0192" w:rsidRPr="00CF77C1">
        <w:rPr>
          <w:lang w:val="sr-Cyrl-RS"/>
        </w:rPr>
        <w:t xml:space="preserve">проценат </w:t>
      </w:r>
      <w:r w:rsidRPr="00CF77C1">
        <w:rPr>
          <w:lang w:val="sr-Cyrl-RS"/>
        </w:rPr>
        <w:t xml:space="preserve">реализације активности приказаних по годинама у </w:t>
      </w:r>
      <w:r w:rsidR="00242883" w:rsidRPr="00CF77C1">
        <w:rPr>
          <w:lang w:val="sr-Cyrl-RS"/>
        </w:rPr>
        <w:t>таб. 24</w:t>
      </w:r>
      <w:r w:rsidRPr="00CF77C1">
        <w:rPr>
          <w:lang w:val="sr-Cyrl-RS"/>
        </w:rPr>
        <w:t>.</w:t>
      </w:r>
    </w:p>
    <w:p w14:paraId="4EE43AD0" w14:textId="4A364AC3" w:rsidR="00F23030" w:rsidRPr="00CF77C1" w:rsidRDefault="00D61BC9" w:rsidP="00242883">
      <w:pPr>
        <w:pStyle w:val="Caption"/>
        <w:ind w:firstLine="720"/>
        <w:rPr>
          <w:b w:val="0"/>
          <w:lang w:val="sr-Cyrl-RS"/>
        </w:rPr>
      </w:pPr>
      <w:r w:rsidRPr="00CF77C1">
        <w:rPr>
          <w:b w:val="0"/>
          <w:lang w:val="sr-Cyrl-RS"/>
        </w:rPr>
        <w:t>таб.</w:t>
      </w:r>
      <w:r w:rsidR="00F23030"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24</w:t>
      </w:r>
      <w:r w:rsidR="0092145E" w:rsidRPr="00CF77C1">
        <w:rPr>
          <w:b w:val="0"/>
          <w:lang w:val="sr-Cyrl-RS"/>
        </w:rPr>
        <w:fldChar w:fldCharType="end"/>
      </w:r>
      <w:r w:rsidR="00F23030" w:rsidRPr="00CF77C1">
        <w:rPr>
          <w:b w:val="0"/>
          <w:lang w:val="sr-Cyrl-RS"/>
        </w:rPr>
        <w:t>: Динамика реализације активн</w:t>
      </w:r>
      <w:r w:rsidR="00916B9F">
        <w:rPr>
          <w:b w:val="0"/>
          <w:lang w:val="sr-Cyrl-RS"/>
        </w:rPr>
        <w:t>ости у периоду реализације ПОС</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0"/>
        <w:gridCol w:w="2835"/>
        <w:gridCol w:w="830"/>
        <w:gridCol w:w="830"/>
        <w:gridCol w:w="830"/>
        <w:gridCol w:w="831"/>
        <w:gridCol w:w="830"/>
        <w:gridCol w:w="830"/>
        <w:gridCol w:w="831"/>
      </w:tblGrid>
      <w:tr w:rsidR="006F517C" w:rsidRPr="00CF77C1" w14:paraId="7D073AB4" w14:textId="77777777" w:rsidTr="006F517C">
        <w:trPr>
          <w:tblHeader/>
        </w:trPr>
        <w:tc>
          <w:tcPr>
            <w:tcW w:w="5920" w:type="dxa"/>
            <w:shd w:val="clear" w:color="auto" w:fill="auto"/>
            <w:vAlign w:val="center"/>
          </w:tcPr>
          <w:p w14:paraId="24B11096" w14:textId="77777777" w:rsidR="006F517C" w:rsidRPr="00CF77C1" w:rsidRDefault="006F517C" w:rsidP="0080044B">
            <w:pPr>
              <w:jc w:val="center"/>
              <w:rPr>
                <w:lang w:val="sr-Cyrl-RS"/>
              </w:rPr>
            </w:pPr>
            <w:r w:rsidRPr="00CF77C1">
              <w:rPr>
                <w:lang w:val="sr-Cyrl-RS"/>
              </w:rPr>
              <w:t>Пројекат:</w:t>
            </w:r>
            <w:r w:rsidR="00F14866" w:rsidRPr="00CF77C1">
              <w:rPr>
                <w:lang w:val="sr-Cyrl-RS"/>
              </w:rPr>
              <w:t xml:space="preserve"> </w:t>
            </w:r>
            <w:r w:rsidRPr="00CF77C1">
              <w:rPr>
                <w:lang w:val="sr-Cyrl-RS"/>
              </w:rPr>
              <w:t>Реконструкција ТС 110/X kV</w:t>
            </w:r>
            <w:r w:rsidR="00510825" w:rsidRPr="00CF77C1">
              <w:rPr>
                <w:lang w:val="sr-Cyrl-RS"/>
              </w:rPr>
              <w:t xml:space="preserve"> на крају експлоатационог века</w:t>
            </w:r>
          </w:p>
        </w:tc>
        <w:tc>
          <w:tcPr>
            <w:tcW w:w="2835" w:type="dxa"/>
            <w:shd w:val="clear" w:color="auto" w:fill="auto"/>
            <w:vAlign w:val="center"/>
          </w:tcPr>
          <w:p w14:paraId="37D607DC" w14:textId="77777777" w:rsidR="006F517C" w:rsidRPr="00CF77C1" w:rsidRDefault="00DD69C2" w:rsidP="0080044B">
            <w:pPr>
              <w:jc w:val="center"/>
              <w:rPr>
                <w:lang w:val="sr-Cyrl-RS"/>
              </w:rPr>
            </w:pPr>
            <w:r w:rsidRPr="00CF77C1">
              <w:rPr>
                <w:lang w:val="sr-Cyrl-RS"/>
              </w:rPr>
              <w:t>Одговорни субјекат</w:t>
            </w:r>
          </w:p>
        </w:tc>
        <w:tc>
          <w:tcPr>
            <w:tcW w:w="830" w:type="dxa"/>
            <w:shd w:val="clear" w:color="auto" w:fill="auto"/>
            <w:vAlign w:val="center"/>
          </w:tcPr>
          <w:p w14:paraId="28F853B2" w14:textId="77777777" w:rsidR="006F517C" w:rsidRPr="00CF77C1" w:rsidRDefault="006F517C" w:rsidP="0080044B">
            <w:pPr>
              <w:jc w:val="center"/>
              <w:rPr>
                <w:lang w:val="sr-Cyrl-RS"/>
              </w:rPr>
            </w:pPr>
            <w:r w:rsidRPr="00CF77C1">
              <w:rPr>
                <w:lang w:val="sr-Cyrl-RS"/>
              </w:rPr>
              <w:t>2017.</w:t>
            </w:r>
          </w:p>
        </w:tc>
        <w:tc>
          <w:tcPr>
            <w:tcW w:w="830" w:type="dxa"/>
            <w:shd w:val="clear" w:color="auto" w:fill="auto"/>
            <w:vAlign w:val="center"/>
          </w:tcPr>
          <w:p w14:paraId="59AFA629" w14:textId="77777777" w:rsidR="006F517C" w:rsidRPr="00CF77C1" w:rsidRDefault="006F517C" w:rsidP="0080044B">
            <w:pPr>
              <w:jc w:val="center"/>
              <w:rPr>
                <w:lang w:val="sr-Cyrl-RS"/>
              </w:rPr>
            </w:pPr>
            <w:r w:rsidRPr="00CF77C1">
              <w:rPr>
                <w:lang w:val="sr-Cyrl-RS"/>
              </w:rPr>
              <w:t>2018.</w:t>
            </w:r>
          </w:p>
        </w:tc>
        <w:tc>
          <w:tcPr>
            <w:tcW w:w="830" w:type="dxa"/>
            <w:shd w:val="clear" w:color="auto" w:fill="auto"/>
            <w:vAlign w:val="center"/>
          </w:tcPr>
          <w:p w14:paraId="42864C36" w14:textId="77777777" w:rsidR="006F517C" w:rsidRPr="00CF77C1" w:rsidRDefault="006F517C" w:rsidP="0080044B">
            <w:pPr>
              <w:jc w:val="center"/>
              <w:rPr>
                <w:lang w:val="sr-Cyrl-RS"/>
              </w:rPr>
            </w:pPr>
            <w:r w:rsidRPr="00CF77C1">
              <w:rPr>
                <w:lang w:val="sr-Cyrl-RS"/>
              </w:rPr>
              <w:t>2019.</w:t>
            </w:r>
          </w:p>
        </w:tc>
        <w:tc>
          <w:tcPr>
            <w:tcW w:w="831" w:type="dxa"/>
            <w:shd w:val="clear" w:color="auto" w:fill="auto"/>
            <w:vAlign w:val="center"/>
          </w:tcPr>
          <w:p w14:paraId="35267AE0" w14:textId="77777777" w:rsidR="006F517C" w:rsidRPr="00CF77C1" w:rsidRDefault="006F517C" w:rsidP="0080044B">
            <w:pPr>
              <w:jc w:val="center"/>
              <w:rPr>
                <w:lang w:val="sr-Cyrl-RS"/>
              </w:rPr>
            </w:pPr>
            <w:r w:rsidRPr="00CF77C1">
              <w:rPr>
                <w:lang w:val="sr-Cyrl-RS"/>
              </w:rPr>
              <w:t>2020.</w:t>
            </w:r>
          </w:p>
        </w:tc>
        <w:tc>
          <w:tcPr>
            <w:tcW w:w="830" w:type="dxa"/>
            <w:shd w:val="clear" w:color="auto" w:fill="auto"/>
            <w:vAlign w:val="center"/>
          </w:tcPr>
          <w:p w14:paraId="2044B340" w14:textId="77777777" w:rsidR="006F517C" w:rsidRPr="00CF77C1" w:rsidRDefault="006F517C" w:rsidP="0080044B">
            <w:pPr>
              <w:jc w:val="center"/>
              <w:rPr>
                <w:lang w:val="sr-Cyrl-RS"/>
              </w:rPr>
            </w:pPr>
            <w:r w:rsidRPr="00CF77C1">
              <w:rPr>
                <w:lang w:val="sr-Cyrl-RS"/>
              </w:rPr>
              <w:t>2021.</w:t>
            </w:r>
          </w:p>
        </w:tc>
        <w:tc>
          <w:tcPr>
            <w:tcW w:w="830" w:type="dxa"/>
            <w:shd w:val="clear" w:color="auto" w:fill="auto"/>
            <w:vAlign w:val="center"/>
          </w:tcPr>
          <w:p w14:paraId="069D69DB" w14:textId="77777777" w:rsidR="006F517C" w:rsidRPr="00CF77C1" w:rsidRDefault="006F517C" w:rsidP="0080044B">
            <w:pPr>
              <w:jc w:val="center"/>
              <w:rPr>
                <w:lang w:val="sr-Cyrl-RS"/>
              </w:rPr>
            </w:pPr>
            <w:r w:rsidRPr="00CF77C1">
              <w:rPr>
                <w:lang w:val="sr-Cyrl-RS"/>
              </w:rPr>
              <w:t>2022.</w:t>
            </w:r>
          </w:p>
        </w:tc>
        <w:tc>
          <w:tcPr>
            <w:tcW w:w="831" w:type="dxa"/>
            <w:shd w:val="clear" w:color="auto" w:fill="auto"/>
            <w:vAlign w:val="center"/>
          </w:tcPr>
          <w:p w14:paraId="5FF2B499" w14:textId="77777777" w:rsidR="006F517C" w:rsidRPr="00CF77C1" w:rsidRDefault="006F517C" w:rsidP="0080044B">
            <w:pPr>
              <w:jc w:val="center"/>
              <w:rPr>
                <w:lang w:val="sr-Cyrl-RS"/>
              </w:rPr>
            </w:pPr>
            <w:r w:rsidRPr="00CF77C1">
              <w:rPr>
                <w:lang w:val="sr-Cyrl-RS"/>
              </w:rPr>
              <w:t>2023.</w:t>
            </w:r>
          </w:p>
        </w:tc>
      </w:tr>
      <w:tr w:rsidR="00F14866" w:rsidRPr="00CF77C1" w14:paraId="391D2AC4" w14:textId="77777777" w:rsidTr="006F517C">
        <w:tc>
          <w:tcPr>
            <w:tcW w:w="5920" w:type="dxa"/>
            <w:shd w:val="clear" w:color="auto" w:fill="auto"/>
            <w:vAlign w:val="center"/>
          </w:tcPr>
          <w:p w14:paraId="19640587" w14:textId="77777777" w:rsidR="00F14866" w:rsidRPr="00CF77C1" w:rsidRDefault="00F14866" w:rsidP="0080044B">
            <w:pPr>
              <w:jc w:val="left"/>
              <w:rPr>
                <w:lang w:val="sr-Cyrl-RS"/>
              </w:rPr>
            </w:pPr>
            <w:r w:rsidRPr="00CF77C1">
              <w:rPr>
                <w:lang w:val="sr-Cyrl-RS"/>
              </w:rPr>
              <w:t>Организациони и послови руковођења пројектом</w:t>
            </w:r>
          </w:p>
        </w:tc>
        <w:tc>
          <w:tcPr>
            <w:tcW w:w="2835" w:type="dxa"/>
            <w:vMerge w:val="restart"/>
            <w:shd w:val="clear" w:color="auto" w:fill="auto"/>
            <w:vAlign w:val="center"/>
          </w:tcPr>
          <w:p w14:paraId="2D34C284" w14:textId="77777777" w:rsidR="00F14866" w:rsidRPr="00CF77C1" w:rsidRDefault="001B761F" w:rsidP="0080044B">
            <w:pPr>
              <w:spacing w:before="20" w:after="20"/>
              <w:jc w:val="left"/>
              <w:rPr>
                <w:lang w:val="sr-Cyrl-RS"/>
              </w:rPr>
            </w:pPr>
            <w:r w:rsidRPr="00CF77C1">
              <w:rPr>
                <w:lang w:val="sr-Cyrl-RS"/>
              </w:rPr>
              <w:t>ЕПС</w:t>
            </w:r>
            <w:r w:rsidR="00F14866" w:rsidRPr="00CF77C1">
              <w:rPr>
                <w:lang w:val="sr-Cyrl-RS"/>
              </w:rPr>
              <w:t>, ОДС</w:t>
            </w:r>
          </w:p>
        </w:tc>
        <w:tc>
          <w:tcPr>
            <w:tcW w:w="830" w:type="dxa"/>
            <w:shd w:val="clear" w:color="auto" w:fill="auto"/>
            <w:vAlign w:val="center"/>
          </w:tcPr>
          <w:p w14:paraId="5C171DD0" w14:textId="77777777" w:rsidR="00F14866" w:rsidRPr="00CF77C1" w:rsidRDefault="00041F19" w:rsidP="0080044B">
            <w:pPr>
              <w:spacing w:before="20" w:after="20"/>
              <w:jc w:val="center"/>
              <w:rPr>
                <w:lang w:val="sr-Cyrl-RS"/>
              </w:rPr>
            </w:pPr>
            <w:r w:rsidRPr="00CF77C1">
              <w:rPr>
                <w:lang w:val="sr-Cyrl-RS"/>
              </w:rPr>
              <w:t>19</w:t>
            </w:r>
            <w:r w:rsidR="00F14866" w:rsidRPr="00CF77C1">
              <w:rPr>
                <w:lang w:val="sr-Cyrl-RS"/>
              </w:rPr>
              <w:t xml:space="preserve"> ТС</w:t>
            </w:r>
          </w:p>
        </w:tc>
        <w:tc>
          <w:tcPr>
            <w:tcW w:w="830" w:type="dxa"/>
            <w:shd w:val="clear" w:color="auto" w:fill="auto"/>
            <w:vAlign w:val="center"/>
          </w:tcPr>
          <w:p w14:paraId="7DDFA8EC" w14:textId="77777777" w:rsidR="00F14866" w:rsidRPr="00CF77C1" w:rsidRDefault="00041F19" w:rsidP="0080044B">
            <w:pPr>
              <w:spacing w:before="20" w:after="20"/>
              <w:jc w:val="center"/>
              <w:rPr>
                <w:lang w:val="sr-Cyrl-RS"/>
              </w:rPr>
            </w:pPr>
            <w:r w:rsidRPr="00CF77C1">
              <w:rPr>
                <w:lang w:val="sr-Cyrl-RS"/>
              </w:rPr>
              <w:t>18</w:t>
            </w:r>
            <w:r w:rsidR="00F14866" w:rsidRPr="00CF77C1">
              <w:rPr>
                <w:lang w:val="sr-Cyrl-RS"/>
              </w:rPr>
              <w:t xml:space="preserve"> ТС</w:t>
            </w:r>
          </w:p>
        </w:tc>
        <w:tc>
          <w:tcPr>
            <w:tcW w:w="830" w:type="dxa"/>
            <w:shd w:val="clear" w:color="auto" w:fill="auto"/>
            <w:vAlign w:val="center"/>
          </w:tcPr>
          <w:p w14:paraId="08606950" w14:textId="77777777" w:rsidR="00F14866" w:rsidRPr="00CF77C1" w:rsidRDefault="00041F19" w:rsidP="0080044B">
            <w:pPr>
              <w:spacing w:before="20" w:after="20"/>
              <w:jc w:val="center"/>
              <w:rPr>
                <w:lang w:val="sr-Cyrl-RS"/>
              </w:rPr>
            </w:pPr>
            <w:r w:rsidRPr="00CF77C1">
              <w:rPr>
                <w:lang w:val="sr-Cyrl-RS"/>
              </w:rPr>
              <w:t>16</w:t>
            </w:r>
            <w:r w:rsidR="00F14866" w:rsidRPr="00CF77C1">
              <w:rPr>
                <w:lang w:val="sr-Cyrl-RS"/>
              </w:rPr>
              <w:t xml:space="preserve"> ТС</w:t>
            </w:r>
          </w:p>
        </w:tc>
        <w:tc>
          <w:tcPr>
            <w:tcW w:w="831" w:type="dxa"/>
            <w:shd w:val="clear" w:color="auto" w:fill="auto"/>
            <w:vAlign w:val="center"/>
          </w:tcPr>
          <w:p w14:paraId="75B4D409" w14:textId="77777777" w:rsidR="00F14866" w:rsidRPr="00CF77C1" w:rsidRDefault="00041F19" w:rsidP="0080044B">
            <w:pPr>
              <w:spacing w:before="20" w:after="20"/>
              <w:jc w:val="center"/>
              <w:rPr>
                <w:lang w:val="sr-Cyrl-RS"/>
              </w:rPr>
            </w:pPr>
            <w:r w:rsidRPr="00CF77C1">
              <w:rPr>
                <w:lang w:val="sr-Cyrl-RS"/>
              </w:rPr>
              <w:t>13</w:t>
            </w:r>
            <w:r w:rsidR="00F14866" w:rsidRPr="00CF77C1">
              <w:rPr>
                <w:lang w:val="sr-Cyrl-RS"/>
              </w:rPr>
              <w:t xml:space="preserve"> ТС</w:t>
            </w:r>
          </w:p>
        </w:tc>
        <w:tc>
          <w:tcPr>
            <w:tcW w:w="830" w:type="dxa"/>
            <w:shd w:val="clear" w:color="auto" w:fill="auto"/>
            <w:vAlign w:val="center"/>
          </w:tcPr>
          <w:p w14:paraId="35376364" w14:textId="77777777" w:rsidR="00F14866" w:rsidRPr="00CF77C1" w:rsidRDefault="00041F19" w:rsidP="0080044B">
            <w:pPr>
              <w:spacing w:before="20" w:after="20"/>
              <w:jc w:val="center"/>
              <w:rPr>
                <w:lang w:val="sr-Cyrl-RS"/>
              </w:rPr>
            </w:pPr>
            <w:r w:rsidRPr="00CF77C1">
              <w:rPr>
                <w:lang w:val="sr-Cyrl-RS"/>
              </w:rPr>
              <w:t>11</w:t>
            </w:r>
            <w:r w:rsidR="00F14866" w:rsidRPr="00CF77C1">
              <w:rPr>
                <w:lang w:val="sr-Cyrl-RS"/>
              </w:rPr>
              <w:t xml:space="preserve"> ТС</w:t>
            </w:r>
          </w:p>
        </w:tc>
        <w:tc>
          <w:tcPr>
            <w:tcW w:w="830" w:type="dxa"/>
            <w:shd w:val="clear" w:color="auto" w:fill="auto"/>
            <w:vAlign w:val="center"/>
          </w:tcPr>
          <w:p w14:paraId="28ECD290" w14:textId="77777777" w:rsidR="00F14866" w:rsidRPr="00CF77C1" w:rsidRDefault="00041F19" w:rsidP="0080044B">
            <w:pPr>
              <w:spacing w:before="20" w:after="20"/>
              <w:jc w:val="center"/>
              <w:rPr>
                <w:lang w:val="sr-Cyrl-RS"/>
              </w:rPr>
            </w:pPr>
            <w:r w:rsidRPr="00CF77C1">
              <w:rPr>
                <w:lang w:val="sr-Cyrl-RS"/>
              </w:rPr>
              <w:t>8</w:t>
            </w:r>
            <w:r w:rsidR="00F14866" w:rsidRPr="00CF77C1">
              <w:rPr>
                <w:lang w:val="sr-Cyrl-RS"/>
              </w:rPr>
              <w:t xml:space="preserve"> ТС</w:t>
            </w:r>
          </w:p>
        </w:tc>
        <w:tc>
          <w:tcPr>
            <w:tcW w:w="831" w:type="dxa"/>
            <w:shd w:val="clear" w:color="auto" w:fill="auto"/>
            <w:vAlign w:val="center"/>
          </w:tcPr>
          <w:p w14:paraId="2056B2FC" w14:textId="77777777" w:rsidR="00F14866" w:rsidRPr="00CF77C1" w:rsidRDefault="00041F19" w:rsidP="0080044B">
            <w:pPr>
              <w:spacing w:before="20" w:after="20"/>
              <w:jc w:val="center"/>
              <w:rPr>
                <w:lang w:val="sr-Cyrl-RS"/>
              </w:rPr>
            </w:pPr>
            <w:r w:rsidRPr="00CF77C1">
              <w:rPr>
                <w:lang w:val="sr-Cyrl-RS"/>
              </w:rPr>
              <w:t>8</w:t>
            </w:r>
            <w:r w:rsidR="00F14866" w:rsidRPr="00CF77C1">
              <w:rPr>
                <w:lang w:val="sr-Cyrl-RS"/>
              </w:rPr>
              <w:t xml:space="preserve"> ТС</w:t>
            </w:r>
          </w:p>
        </w:tc>
      </w:tr>
      <w:tr w:rsidR="00F14866" w:rsidRPr="00CF77C1" w14:paraId="33BB3B68" w14:textId="77777777" w:rsidTr="006F517C">
        <w:tc>
          <w:tcPr>
            <w:tcW w:w="5920" w:type="dxa"/>
            <w:shd w:val="clear" w:color="auto" w:fill="auto"/>
            <w:vAlign w:val="center"/>
          </w:tcPr>
          <w:p w14:paraId="2EFE640A" w14:textId="77777777" w:rsidR="00F14866" w:rsidRPr="00CF77C1" w:rsidRDefault="00F14866" w:rsidP="0080044B">
            <w:pPr>
              <w:jc w:val="left"/>
              <w:rPr>
                <w:lang w:val="sr-Cyrl-RS"/>
              </w:rPr>
            </w:pPr>
            <w:r w:rsidRPr="00CF77C1">
              <w:rPr>
                <w:lang w:val="sr-Cyrl-RS"/>
              </w:rPr>
              <w:t>Припрема просторно-планске документације</w:t>
            </w:r>
          </w:p>
        </w:tc>
        <w:tc>
          <w:tcPr>
            <w:tcW w:w="2835" w:type="dxa"/>
            <w:vMerge/>
            <w:shd w:val="clear" w:color="auto" w:fill="auto"/>
            <w:vAlign w:val="center"/>
          </w:tcPr>
          <w:p w14:paraId="7050AE5E" w14:textId="77777777" w:rsidR="00F14866" w:rsidRPr="00CF77C1" w:rsidRDefault="00F14866" w:rsidP="0080044B">
            <w:pPr>
              <w:spacing w:before="20" w:after="20"/>
              <w:jc w:val="left"/>
              <w:rPr>
                <w:lang w:val="sr-Cyrl-RS"/>
              </w:rPr>
            </w:pPr>
          </w:p>
        </w:tc>
        <w:tc>
          <w:tcPr>
            <w:tcW w:w="830" w:type="dxa"/>
            <w:shd w:val="clear" w:color="auto" w:fill="auto"/>
            <w:vAlign w:val="center"/>
          </w:tcPr>
          <w:p w14:paraId="623E4B13" w14:textId="77777777" w:rsidR="00F14866" w:rsidRPr="00CF77C1" w:rsidRDefault="00041F19" w:rsidP="0080044B">
            <w:pPr>
              <w:spacing w:before="20" w:after="20"/>
              <w:jc w:val="center"/>
              <w:rPr>
                <w:lang w:val="sr-Cyrl-RS"/>
              </w:rPr>
            </w:pPr>
            <w:r w:rsidRPr="00CF77C1">
              <w:rPr>
                <w:lang w:val="sr-Cyrl-RS"/>
              </w:rPr>
              <w:t>4</w:t>
            </w:r>
            <w:r w:rsidR="00F14866" w:rsidRPr="00CF77C1">
              <w:rPr>
                <w:lang w:val="sr-Cyrl-RS"/>
              </w:rPr>
              <w:t xml:space="preserve"> ТС</w:t>
            </w:r>
          </w:p>
        </w:tc>
        <w:tc>
          <w:tcPr>
            <w:tcW w:w="830" w:type="dxa"/>
            <w:shd w:val="clear" w:color="auto" w:fill="auto"/>
            <w:vAlign w:val="center"/>
          </w:tcPr>
          <w:p w14:paraId="0AD30CB8" w14:textId="77777777" w:rsidR="00F14866" w:rsidRPr="00CF77C1" w:rsidRDefault="00041F19" w:rsidP="0080044B">
            <w:pPr>
              <w:spacing w:before="20" w:after="20"/>
              <w:jc w:val="center"/>
              <w:rPr>
                <w:lang w:val="sr-Cyrl-RS"/>
              </w:rPr>
            </w:pPr>
            <w:r w:rsidRPr="00CF77C1">
              <w:rPr>
                <w:lang w:val="sr-Cyrl-RS"/>
              </w:rPr>
              <w:t>3</w:t>
            </w:r>
            <w:r w:rsidR="00F14866" w:rsidRPr="00CF77C1">
              <w:rPr>
                <w:lang w:val="sr-Cyrl-RS"/>
              </w:rPr>
              <w:t xml:space="preserve"> ТС</w:t>
            </w:r>
          </w:p>
        </w:tc>
        <w:tc>
          <w:tcPr>
            <w:tcW w:w="830" w:type="dxa"/>
            <w:shd w:val="clear" w:color="auto" w:fill="auto"/>
            <w:vAlign w:val="center"/>
          </w:tcPr>
          <w:p w14:paraId="5D9BA923" w14:textId="77777777" w:rsidR="00F14866" w:rsidRPr="00CF77C1" w:rsidRDefault="00041F19" w:rsidP="0080044B">
            <w:pPr>
              <w:spacing w:before="20" w:after="20"/>
              <w:jc w:val="center"/>
              <w:rPr>
                <w:lang w:val="sr-Cyrl-RS"/>
              </w:rPr>
            </w:pPr>
            <w:r w:rsidRPr="00CF77C1">
              <w:rPr>
                <w:lang w:val="sr-Cyrl-RS"/>
              </w:rPr>
              <w:t>3</w:t>
            </w:r>
            <w:r w:rsidR="00F14866" w:rsidRPr="00CF77C1">
              <w:rPr>
                <w:lang w:val="sr-Cyrl-RS"/>
              </w:rPr>
              <w:t xml:space="preserve"> ТС</w:t>
            </w:r>
          </w:p>
        </w:tc>
        <w:tc>
          <w:tcPr>
            <w:tcW w:w="831" w:type="dxa"/>
            <w:shd w:val="clear" w:color="auto" w:fill="auto"/>
            <w:vAlign w:val="center"/>
          </w:tcPr>
          <w:p w14:paraId="37B489B1" w14:textId="77777777" w:rsidR="00F14866" w:rsidRPr="00CF77C1" w:rsidRDefault="00041F19" w:rsidP="0080044B">
            <w:pPr>
              <w:spacing w:before="20" w:after="20"/>
              <w:jc w:val="center"/>
              <w:rPr>
                <w:lang w:val="sr-Cyrl-RS"/>
              </w:rPr>
            </w:pPr>
            <w:r w:rsidRPr="00CF77C1">
              <w:rPr>
                <w:lang w:val="sr-Cyrl-RS"/>
              </w:rPr>
              <w:t>2 ТС</w:t>
            </w:r>
          </w:p>
        </w:tc>
        <w:tc>
          <w:tcPr>
            <w:tcW w:w="830" w:type="dxa"/>
            <w:shd w:val="clear" w:color="auto" w:fill="auto"/>
            <w:vAlign w:val="center"/>
          </w:tcPr>
          <w:p w14:paraId="24132D4F" w14:textId="77777777" w:rsidR="00F14866" w:rsidRPr="00CF77C1" w:rsidRDefault="00041F19" w:rsidP="0080044B">
            <w:pPr>
              <w:spacing w:before="20" w:after="20"/>
              <w:jc w:val="center"/>
              <w:rPr>
                <w:lang w:val="sr-Cyrl-RS"/>
              </w:rPr>
            </w:pPr>
            <w:r w:rsidRPr="00CF77C1">
              <w:rPr>
                <w:lang w:val="sr-Cyrl-RS"/>
              </w:rPr>
              <w:t>1 ТС</w:t>
            </w:r>
          </w:p>
        </w:tc>
        <w:tc>
          <w:tcPr>
            <w:tcW w:w="830" w:type="dxa"/>
            <w:shd w:val="clear" w:color="auto" w:fill="auto"/>
            <w:vAlign w:val="center"/>
          </w:tcPr>
          <w:p w14:paraId="0EBDF9A8" w14:textId="77777777" w:rsidR="00F14866" w:rsidRPr="00CF77C1" w:rsidRDefault="00F14866" w:rsidP="0080044B">
            <w:pPr>
              <w:spacing w:before="20" w:after="20"/>
              <w:jc w:val="center"/>
              <w:rPr>
                <w:lang w:val="sr-Cyrl-RS"/>
              </w:rPr>
            </w:pPr>
          </w:p>
        </w:tc>
        <w:tc>
          <w:tcPr>
            <w:tcW w:w="831" w:type="dxa"/>
            <w:shd w:val="clear" w:color="auto" w:fill="auto"/>
            <w:vAlign w:val="center"/>
          </w:tcPr>
          <w:p w14:paraId="291F6039" w14:textId="77777777" w:rsidR="00F14866" w:rsidRPr="00CF77C1" w:rsidRDefault="00F14866" w:rsidP="0080044B">
            <w:pPr>
              <w:spacing w:before="20" w:after="20"/>
              <w:jc w:val="center"/>
              <w:rPr>
                <w:lang w:val="sr-Cyrl-RS"/>
              </w:rPr>
            </w:pPr>
          </w:p>
        </w:tc>
      </w:tr>
      <w:tr w:rsidR="00F14866" w:rsidRPr="00CF77C1" w14:paraId="6F2AE182" w14:textId="77777777" w:rsidTr="006F517C">
        <w:tc>
          <w:tcPr>
            <w:tcW w:w="5920" w:type="dxa"/>
            <w:shd w:val="clear" w:color="auto" w:fill="auto"/>
            <w:vAlign w:val="center"/>
          </w:tcPr>
          <w:p w14:paraId="30E2D04F" w14:textId="77777777" w:rsidR="00F14866" w:rsidRPr="00CF77C1" w:rsidRDefault="00F14866" w:rsidP="0080044B">
            <w:pPr>
              <w:jc w:val="left"/>
              <w:rPr>
                <w:lang w:val="sr-Cyrl-RS"/>
              </w:rPr>
            </w:pPr>
            <w:r w:rsidRPr="00CF77C1">
              <w:rPr>
                <w:lang w:val="sr-Cyrl-RS"/>
              </w:rPr>
              <w:t>Припрема техничке документације</w:t>
            </w:r>
          </w:p>
        </w:tc>
        <w:tc>
          <w:tcPr>
            <w:tcW w:w="2835" w:type="dxa"/>
            <w:vMerge/>
            <w:shd w:val="clear" w:color="auto" w:fill="auto"/>
          </w:tcPr>
          <w:p w14:paraId="085E4423" w14:textId="77777777" w:rsidR="00F14866" w:rsidRPr="00CF77C1" w:rsidRDefault="00F14866" w:rsidP="0080044B">
            <w:pPr>
              <w:spacing w:before="20" w:after="20"/>
              <w:rPr>
                <w:lang w:val="sr-Cyrl-RS"/>
              </w:rPr>
            </w:pPr>
          </w:p>
        </w:tc>
        <w:tc>
          <w:tcPr>
            <w:tcW w:w="830" w:type="dxa"/>
            <w:shd w:val="clear" w:color="auto" w:fill="auto"/>
            <w:vAlign w:val="center"/>
          </w:tcPr>
          <w:p w14:paraId="2368B999" w14:textId="77777777" w:rsidR="00F14866" w:rsidRPr="00CF77C1" w:rsidRDefault="00041F19" w:rsidP="0080044B">
            <w:pPr>
              <w:jc w:val="center"/>
              <w:rPr>
                <w:lang w:val="sr-Cyrl-RS"/>
              </w:rPr>
            </w:pPr>
            <w:r w:rsidRPr="00CF77C1">
              <w:rPr>
                <w:lang w:val="sr-Cyrl-RS"/>
              </w:rPr>
              <w:t>9</w:t>
            </w:r>
            <w:r w:rsidR="00F14866" w:rsidRPr="00CF77C1">
              <w:rPr>
                <w:lang w:val="sr-Cyrl-RS"/>
              </w:rPr>
              <w:t xml:space="preserve"> ТС</w:t>
            </w:r>
          </w:p>
        </w:tc>
        <w:tc>
          <w:tcPr>
            <w:tcW w:w="830" w:type="dxa"/>
            <w:shd w:val="clear" w:color="auto" w:fill="auto"/>
            <w:vAlign w:val="center"/>
          </w:tcPr>
          <w:p w14:paraId="03A4F5FB" w14:textId="77777777" w:rsidR="00F14866" w:rsidRPr="00CF77C1" w:rsidRDefault="00041F19" w:rsidP="0080044B">
            <w:pPr>
              <w:jc w:val="center"/>
              <w:rPr>
                <w:lang w:val="sr-Cyrl-RS"/>
              </w:rPr>
            </w:pPr>
            <w:r w:rsidRPr="00CF77C1">
              <w:rPr>
                <w:lang w:val="sr-Cyrl-RS"/>
              </w:rPr>
              <w:t>8</w:t>
            </w:r>
            <w:r w:rsidR="00F14866" w:rsidRPr="00CF77C1">
              <w:rPr>
                <w:lang w:val="sr-Cyrl-RS"/>
              </w:rPr>
              <w:t xml:space="preserve"> ТС</w:t>
            </w:r>
          </w:p>
        </w:tc>
        <w:tc>
          <w:tcPr>
            <w:tcW w:w="830" w:type="dxa"/>
            <w:shd w:val="clear" w:color="auto" w:fill="auto"/>
            <w:vAlign w:val="center"/>
          </w:tcPr>
          <w:p w14:paraId="6A7D5807" w14:textId="77777777" w:rsidR="00F14866" w:rsidRPr="00CF77C1" w:rsidRDefault="00041F19" w:rsidP="0080044B">
            <w:pPr>
              <w:jc w:val="center"/>
              <w:rPr>
                <w:lang w:val="sr-Cyrl-RS"/>
              </w:rPr>
            </w:pPr>
            <w:r w:rsidRPr="00CF77C1">
              <w:rPr>
                <w:lang w:val="sr-Cyrl-RS"/>
              </w:rPr>
              <w:t>6</w:t>
            </w:r>
            <w:r w:rsidR="00F14866" w:rsidRPr="00CF77C1">
              <w:rPr>
                <w:lang w:val="sr-Cyrl-RS"/>
              </w:rPr>
              <w:t xml:space="preserve"> ТС</w:t>
            </w:r>
          </w:p>
        </w:tc>
        <w:tc>
          <w:tcPr>
            <w:tcW w:w="831" w:type="dxa"/>
            <w:shd w:val="clear" w:color="auto" w:fill="auto"/>
            <w:vAlign w:val="center"/>
          </w:tcPr>
          <w:p w14:paraId="65A6E712" w14:textId="77777777" w:rsidR="00F14866" w:rsidRPr="00CF77C1" w:rsidRDefault="00F14866" w:rsidP="0080044B">
            <w:pPr>
              <w:jc w:val="center"/>
              <w:rPr>
                <w:lang w:val="sr-Cyrl-RS"/>
              </w:rPr>
            </w:pPr>
            <w:r w:rsidRPr="00CF77C1">
              <w:rPr>
                <w:lang w:val="sr-Cyrl-RS"/>
              </w:rPr>
              <w:t>5 ТС</w:t>
            </w:r>
          </w:p>
        </w:tc>
        <w:tc>
          <w:tcPr>
            <w:tcW w:w="830" w:type="dxa"/>
            <w:shd w:val="clear" w:color="auto" w:fill="auto"/>
            <w:vAlign w:val="center"/>
          </w:tcPr>
          <w:p w14:paraId="4EFB9845" w14:textId="77777777" w:rsidR="00F14866" w:rsidRPr="00CF77C1" w:rsidRDefault="00041F19" w:rsidP="0080044B">
            <w:pPr>
              <w:jc w:val="center"/>
              <w:rPr>
                <w:lang w:val="sr-Cyrl-RS"/>
              </w:rPr>
            </w:pPr>
            <w:r w:rsidRPr="00CF77C1">
              <w:rPr>
                <w:lang w:val="sr-Cyrl-RS"/>
              </w:rPr>
              <w:t>5</w:t>
            </w:r>
            <w:r w:rsidR="00F14866" w:rsidRPr="00CF77C1">
              <w:rPr>
                <w:lang w:val="sr-Cyrl-RS"/>
              </w:rPr>
              <w:t xml:space="preserve"> ТС</w:t>
            </w:r>
          </w:p>
        </w:tc>
        <w:tc>
          <w:tcPr>
            <w:tcW w:w="830" w:type="dxa"/>
            <w:shd w:val="clear" w:color="auto" w:fill="auto"/>
            <w:vAlign w:val="center"/>
          </w:tcPr>
          <w:p w14:paraId="250D7D23" w14:textId="77777777" w:rsidR="00F14866" w:rsidRPr="00CF77C1" w:rsidRDefault="00041F19" w:rsidP="0080044B">
            <w:pPr>
              <w:jc w:val="center"/>
              <w:rPr>
                <w:lang w:val="sr-Cyrl-RS"/>
              </w:rPr>
            </w:pPr>
            <w:r w:rsidRPr="00CF77C1">
              <w:rPr>
                <w:lang w:val="sr-Cyrl-RS"/>
              </w:rPr>
              <w:t>3</w:t>
            </w:r>
            <w:r w:rsidR="00F14866" w:rsidRPr="00CF77C1">
              <w:rPr>
                <w:lang w:val="sr-Cyrl-RS"/>
              </w:rPr>
              <w:t xml:space="preserve"> ТС</w:t>
            </w:r>
          </w:p>
        </w:tc>
        <w:tc>
          <w:tcPr>
            <w:tcW w:w="831" w:type="dxa"/>
            <w:shd w:val="clear" w:color="auto" w:fill="auto"/>
            <w:vAlign w:val="center"/>
          </w:tcPr>
          <w:p w14:paraId="11867B0A" w14:textId="77777777" w:rsidR="00F14866" w:rsidRPr="00CF77C1" w:rsidRDefault="00041F19" w:rsidP="0080044B">
            <w:pPr>
              <w:spacing w:before="20" w:after="20"/>
              <w:jc w:val="center"/>
              <w:rPr>
                <w:lang w:val="sr-Cyrl-RS"/>
              </w:rPr>
            </w:pPr>
            <w:r w:rsidRPr="00CF77C1">
              <w:rPr>
                <w:lang w:val="sr-Cyrl-RS"/>
              </w:rPr>
              <w:t>3 ТС</w:t>
            </w:r>
          </w:p>
        </w:tc>
      </w:tr>
      <w:tr w:rsidR="00F14866" w:rsidRPr="00CF77C1" w14:paraId="659C7FBC" w14:textId="77777777" w:rsidTr="006F517C">
        <w:tc>
          <w:tcPr>
            <w:tcW w:w="5920" w:type="dxa"/>
            <w:shd w:val="clear" w:color="auto" w:fill="auto"/>
            <w:vAlign w:val="center"/>
          </w:tcPr>
          <w:p w14:paraId="5B1A1EE1" w14:textId="77777777" w:rsidR="00F14866" w:rsidRPr="00CF77C1" w:rsidRDefault="00F14866" w:rsidP="0080044B">
            <w:pPr>
              <w:jc w:val="left"/>
              <w:rPr>
                <w:lang w:val="sr-Cyrl-RS"/>
              </w:rPr>
            </w:pPr>
            <w:r w:rsidRPr="00CF77C1">
              <w:rPr>
                <w:lang w:val="sr-Cyrl-RS"/>
              </w:rPr>
              <w:t>Дозволе</w:t>
            </w:r>
          </w:p>
        </w:tc>
        <w:tc>
          <w:tcPr>
            <w:tcW w:w="2835" w:type="dxa"/>
            <w:vMerge/>
            <w:shd w:val="clear" w:color="auto" w:fill="auto"/>
          </w:tcPr>
          <w:p w14:paraId="141F71E3" w14:textId="77777777" w:rsidR="00F14866" w:rsidRPr="00CF77C1" w:rsidRDefault="00F14866" w:rsidP="0080044B">
            <w:pPr>
              <w:spacing w:before="20" w:after="20"/>
              <w:rPr>
                <w:lang w:val="sr-Cyrl-RS"/>
              </w:rPr>
            </w:pPr>
          </w:p>
        </w:tc>
        <w:tc>
          <w:tcPr>
            <w:tcW w:w="830" w:type="dxa"/>
            <w:shd w:val="clear" w:color="auto" w:fill="auto"/>
            <w:vAlign w:val="center"/>
          </w:tcPr>
          <w:p w14:paraId="1560C445" w14:textId="77777777" w:rsidR="00F14866" w:rsidRPr="00CF77C1" w:rsidRDefault="00F14866" w:rsidP="0080044B">
            <w:pPr>
              <w:jc w:val="center"/>
              <w:rPr>
                <w:lang w:val="sr-Cyrl-RS"/>
              </w:rPr>
            </w:pPr>
            <w:r w:rsidRPr="00CF77C1">
              <w:rPr>
                <w:lang w:val="sr-Cyrl-RS"/>
              </w:rPr>
              <w:t>5 ТС</w:t>
            </w:r>
          </w:p>
        </w:tc>
        <w:tc>
          <w:tcPr>
            <w:tcW w:w="830" w:type="dxa"/>
            <w:shd w:val="clear" w:color="auto" w:fill="auto"/>
            <w:vAlign w:val="center"/>
          </w:tcPr>
          <w:p w14:paraId="3C564463" w14:textId="77777777" w:rsidR="00F14866" w:rsidRPr="00CF77C1" w:rsidRDefault="00F14866" w:rsidP="0080044B">
            <w:pPr>
              <w:jc w:val="center"/>
              <w:rPr>
                <w:lang w:val="sr-Cyrl-RS"/>
              </w:rPr>
            </w:pPr>
            <w:r w:rsidRPr="00CF77C1">
              <w:rPr>
                <w:lang w:val="sr-Cyrl-RS"/>
              </w:rPr>
              <w:t>5 ТС</w:t>
            </w:r>
          </w:p>
        </w:tc>
        <w:tc>
          <w:tcPr>
            <w:tcW w:w="830" w:type="dxa"/>
            <w:shd w:val="clear" w:color="auto" w:fill="auto"/>
            <w:vAlign w:val="center"/>
          </w:tcPr>
          <w:p w14:paraId="548A6214" w14:textId="77777777" w:rsidR="00F14866" w:rsidRPr="00CF77C1" w:rsidRDefault="00F14866" w:rsidP="0080044B">
            <w:pPr>
              <w:jc w:val="center"/>
              <w:rPr>
                <w:lang w:val="sr-Cyrl-RS"/>
              </w:rPr>
            </w:pPr>
            <w:r w:rsidRPr="00CF77C1">
              <w:rPr>
                <w:lang w:val="sr-Cyrl-RS"/>
              </w:rPr>
              <w:t>5 ТС</w:t>
            </w:r>
          </w:p>
        </w:tc>
        <w:tc>
          <w:tcPr>
            <w:tcW w:w="831" w:type="dxa"/>
            <w:shd w:val="clear" w:color="auto" w:fill="auto"/>
            <w:vAlign w:val="center"/>
          </w:tcPr>
          <w:p w14:paraId="5BE18A7B" w14:textId="77777777" w:rsidR="00F14866" w:rsidRPr="00CF77C1" w:rsidRDefault="00041F19" w:rsidP="0080044B">
            <w:pPr>
              <w:jc w:val="center"/>
              <w:rPr>
                <w:lang w:val="sr-Cyrl-RS"/>
              </w:rPr>
            </w:pPr>
            <w:r w:rsidRPr="00CF77C1">
              <w:rPr>
                <w:lang w:val="sr-Cyrl-RS"/>
              </w:rPr>
              <w:t>3</w:t>
            </w:r>
            <w:r w:rsidR="00F14866" w:rsidRPr="00CF77C1">
              <w:rPr>
                <w:lang w:val="sr-Cyrl-RS"/>
              </w:rPr>
              <w:t xml:space="preserve"> ТС</w:t>
            </w:r>
          </w:p>
        </w:tc>
        <w:tc>
          <w:tcPr>
            <w:tcW w:w="830" w:type="dxa"/>
            <w:shd w:val="clear" w:color="auto" w:fill="auto"/>
            <w:vAlign w:val="center"/>
          </w:tcPr>
          <w:p w14:paraId="768A7C21" w14:textId="77777777" w:rsidR="00F14866" w:rsidRPr="00CF77C1" w:rsidRDefault="00041F19" w:rsidP="0080044B">
            <w:pPr>
              <w:jc w:val="center"/>
              <w:rPr>
                <w:lang w:val="sr-Cyrl-RS"/>
              </w:rPr>
            </w:pPr>
            <w:r w:rsidRPr="00CF77C1">
              <w:rPr>
                <w:lang w:val="sr-Cyrl-RS"/>
              </w:rPr>
              <w:t>3</w:t>
            </w:r>
            <w:r w:rsidR="00F14866" w:rsidRPr="00CF77C1">
              <w:rPr>
                <w:lang w:val="sr-Cyrl-RS"/>
              </w:rPr>
              <w:t xml:space="preserve"> ТС</w:t>
            </w:r>
          </w:p>
        </w:tc>
        <w:tc>
          <w:tcPr>
            <w:tcW w:w="830" w:type="dxa"/>
            <w:shd w:val="clear" w:color="auto" w:fill="auto"/>
            <w:vAlign w:val="center"/>
          </w:tcPr>
          <w:p w14:paraId="39C8E9F6" w14:textId="77777777" w:rsidR="00F14866" w:rsidRPr="00CF77C1" w:rsidRDefault="00041F19" w:rsidP="0080044B">
            <w:pPr>
              <w:jc w:val="center"/>
              <w:rPr>
                <w:lang w:val="sr-Cyrl-RS"/>
              </w:rPr>
            </w:pPr>
            <w:r w:rsidRPr="00CF77C1">
              <w:rPr>
                <w:lang w:val="sr-Cyrl-RS"/>
              </w:rPr>
              <w:t>2</w:t>
            </w:r>
            <w:r w:rsidR="00F14866" w:rsidRPr="00CF77C1">
              <w:rPr>
                <w:lang w:val="sr-Cyrl-RS"/>
              </w:rPr>
              <w:t xml:space="preserve"> ТС</w:t>
            </w:r>
          </w:p>
        </w:tc>
        <w:tc>
          <w:tcPr>
            <w:tcW w:w="831" w:type="dxa"/>
            <w:shd w:val="clear" w:color="auto" w:fill="auto"/>
            <w:vAlign w:val="center"/>
          </w:tcPr>
          <w:p w14:paraId="6BC45277" w14:textId="77777777" w:rsidR="00F14866" w:rsidRPr="00CF77C1" w:rsidRDefault="00041F19" w:rsidP="0080044B">
            <w:pPr>
              <w:spacing w:before="20" w:after="20"/>
              <w:jc w:val="center"/>
              <w:rPr>
                <w:lang w:val="sr-Cyrl-RS"/>
              </w:rPr>
            </w:pPr>
            <w:r w:rsidRPr="00CF77C1">
              <w:rPr>
                <w:lang w:val="sr-Cyrl-RS"/>
              </w:rPr>
              <w:t>3 ТС</w:t>
            </w:r>
          </w:p>
        </w:tc>
      </w:tr>
      <w:tr w:rsidR="00F14866" w:rsidRPr="00CF77C1" w14:paraId="7246FAC3" w14:textId="77777777" w:rsidTr="00B42615">
        <w:tc>
          <w:tcPr>
            <w:tcW w:w="5920" w:type="dxa"/>
            <w:shd w:val="clear" w:color="auto" w:fill="auto"/>
            <w:vAlign w:val="center"/>
          </w:tcPr>
          <w:p w14:paraId="3FDD4DB4" w14:textId="77777777" w:rsidR="00F14866" w:rsidRPr="00CF77C1" w:rsidRDefault="00F14866" w:rsidP="0080044B">
            <w:pPr>
              <w:jc w:val="left"/>
              <w:rPr>
                <w:lang w:val="sr-Cyrl-RS"/>
              </w:rPr>
            </w:pPr>
            <w:r w:rsidRPr="00CF77C1">
              <w:rPr>
                <w:lang w:val="sr-Cyrl-RS"/>
              </w:rPr>
              <w:t>Реализација градње</w:t>
            </w:r>
          </w:p>
        </w:tc>
        <w:tc>
          <w:tcPr>
            <w:tcW w:w="2835" w:type="dxa"/>
            <w:vMerge/>
            <w:shd w:val="clear" w:color="auto" w:fill="auto"/>
          </w:tcPr>
          <w:p w14:paraId="27FAB647" w14:textId="77777777" w:rsidR="00F14866" w:rsidRPr="00CF77C1" w:rsidRDefault="00F14866" w:rsidP="0080044B">
            <w:pPr>
              <w:spacing w:before="20" w:after="20"/>
              <w:rPr>
                <w:lang w:val="sr-Cyrl-RS"/>
              </w:rPr>
            </w:pPr>
          </w:p>
        </w:tc>
        <w:tc>
          <w:tcPr>
            <w:tcW w:w="830" w:type="dxa"/>
            <w:shd w:val="clear" w:color="auto" w:fill="auto"/>
            <w:vAlign w:val="center"/>
          </w:tcPr>
          <w:p w14:paraId="582F8AFF" w14:textId="77777777" w:rsidR="00F14866" w:rsidRPr="00CF77C1" w:rsidRDefault="00041F19" w:rsidP="0080044B">
            <w:pPr>
              <w:spacing w:before="20" w:after="20"/>
              <w:jc w:val="center"/>
              <w:rPr>
                <w:lang w:val="sr-Cyrl-RS"/>
              </w:rPr>
            </w:pPr>
            <w:r w:rsidRPr="00CF77C1">
              <w:rPr>
                <w:lang w:val="sr-Cyrl-RS"/>
              </w:rPr>
              <w:t>9</w:t>
            </w:r>
            <w:r w:rsidR="00F14866" w:rsidRPr="00CF77C1">
              <w:rPr>
                <w:lang w:val="sr-Cyrl-RS"/>
              </w:rPr>
              <w:t xml:space="preserve"> ТС</w:t>
            </w:r>
          </w:p>
        </w:tc>
        <w:tc>
          <w:tcPr>
            <w:tcW w:w="830" w:type="dxa"/>
            <w:shd w:val="clear" w:color="auto" w:fill="auto"/>
            <w:vAlign w:val="center"/>
          </w:tcPr>
          <w:p w14:paraId="32F4443C" w14:textId="77777777" w:rsidR="00F14866" w:rsidRPr="00CF77C1" w:rsidRDefault="00041F19" w:rsidP="0080044B">
            <w:pPr>
              <w:jc w:val="center"/>
              <w:rPr>
                <w:lang w:val="sr-Cyrl-RS"/>
              </w:rPr>
            </w:pPr>
            <w:r w:rsidRPr="00CF77C1">
              <w:rPr>
                <w:lang w:val="sr-Cyrl-RS"/>
              </w:rPr>
              <w:t>9</w:t>
            </w:r>
            <w:r w:rsidR="00F14866" w:rsidRPr="00CF77C1">
              <w:rPr>
                <w:lang w:val="sr-Cyrl-RS"/>
              </w:rPr>
              <w:t xml:space="preserve"> ТС</w:t>
            </w:r>
          </w:p>
        </w:tc>
        <w:tc>
          <w:tcPr>
            <w:tcW w:w="830" w:type="dxa"/>
            <w:shd w:val="clear" w:color="auto" w:fill="auto"/>
            <w:vAlign w:val="center"/>
          </w:tcPr>
          <w:p w14:paraId="5FEA8557" w14:textId="77777777" w:rsidR="00F14866" w:rsidRPr="00CF77C1" w:rsidRDefault="00041F19" w:rsidP="0080044B">
            <w:pPr>
              <w:jc w:val="center"/>
              <w:rPr>
                <w:lang w:val="sr-Cyrl-RS"/>
              </w:rPr>
            </w:pPr>
            <w:r w:rsidRPr="00CF77C1">
              <w:rPr>
                <w:lang w:val="sr-Cyrl-RS"/>
              </w:rPr>
              <w:t>8</w:t>
            </w:r>
            <w:r w:rsidR="00F14866" w:rsidRPr="00CF77C1">
              <w:rPr>
                <w:lang w:val="sr-Cyrl-RS"/>
              </w:rPr>
              <w:t xml:space="preserve"> ТС</w:t>
            </w:r>
          </w:p>
        </w:tc>
        <w:tc>
          <w:tcPr>
            <w:tcW w:w="831" w:type="dxa"/>
            <w:shd w:val="clear" w:color="auto" w:fill="auto"/>
            <w:vAlign w:val="center"/>
          </w:tcPr>
          <w:p w14:paraId="430A48C0" w14:textId="77777777" w:rsidR="00F14866" w:rsidRPr="00CF77C1" w:rsidRDefault="00041F19" w:rsidP="0080044B">
            <w:pPr>
              <w:jc w:val="center"/>
              <w:rPr>
                <w:lang w:val="sr-Cyrl-RS"/>
              </w:rPr>
            </w:pPr>
            <w:r w:rsidRPr="00CF77C1">
              <w:rPr>
                <w:lang w:val="sr-Cyrl-RS"/>
              </w:rPr>
              <w:t>6</w:t>
            </w:r>
            <w:r w:rsidR="00F14866" w:rsidRPr="00CF77C1">
              <w:rPr>
                <w:lang w:val="sr-Cyrl-RS"/>
              </w:rPr>
              <w:t xml:space="preserve"> ТС</w:t>
            </w:r>
          </w:p>
        </w:tc>
        <w:tc>
          <w:tcPr>
            <w:tcW w:w="830" w:type="dxa"/>
            <w:shd w:val="clear" w:color="auto" w:fill="auto"/>
            <w:vAlign w:val="center"/>
          </w:tcPr>
          <w:p w14:paraId="7C95C809" w14:textId="77777777" w:rsidR="00F14866" w:rsidRPr="00CF77C1" w:rsidRDefault="00041F19" w:rsidP="0080044B">
            <w:pPr>
              <w:jc w:val="center"/>
              <w:rPr>
                <w:lang w:val="sr-Cyrl-RS"/>
              </w:rPr>
            </w:pPr>
            <w:r w:rsidRPr="00CF77C1">
              <w:rPr>
                <w:lang w:val="sr-Cyrl-RS"/>
              </w:rPr>
              <w:t>3</w:t>
            </w:r>
            <w:r w:rsidR="00F14866" w:rsidRPr="00CF77C1">
              <w:rPr>
                <w:lang w:val="sr-Cyrl-RS"/>
              </w:rPr>
              <w:t xml:space="preserve"> ТС</w:t>
            </w:r>
          </w:p>
        </w:tc>
        <w:tc>
          <w:tcPr>
            <w:tcW w:w="830" w:type="dxa"/>
            <w:shd w:val="clear" w:color="auto" w:fill="auto"/>
            <w:vAlign w:val="center"/>
          </w:tcPr>
          <w:p w14:paraId="1927FCC1" w14:textId="77777777" w:rsidR="00F14866" w:rsidRPr="00CF77C1" w:rsidRDefault="00041F19" w:rsidP="0080044B">
            <w:pPr>
              <w:jc w:val="center"/>
              <w:rPr>
                <w:lang w:val="sr-Cyrl-RS"/>
              </w:rPr>
            </w:pPr>
            <w:r w:rsidRPr="00CF77C1">
              <w:rPr>
                <w:lang w:val="sr-Cyrl-RS"/>
              </w:rPr>
              <w:t>5</w:t>
            </w:r>
            <w:r w:rsidR="00F14866" w:rsidRPr="00CF77C1">
              <w:rPr>
                <w:lang w:val="sr-Cyrl-RS"/>
              </w:rPr>
              <w:t xml:space="preserve"> ТС</w:t>
            </w:r>
          </w:p>
        </w:tc>
        <w:tc>
          <w:tcPr>
            <w:tcW w:w="831" w:type="dxa"/>
            <w:shd w:val="clear" w:color="auto" w:fill="auto"/>
            <w:vAlign w:val="center"/>
          </w:tcPr>
          <w:p w14:paraId="2E1838C7" w14:textId="77777777" w:rsidR="00F14866" w:rsidRPr="00CF77C1" w:rsidRDefault="00041F19" w:rsidP="0080044B">
            <w:pPr>
              <w:jc w:val="center"/>
              <w:rPr>
                <w:lang w:val="sr-Cyrl-RS"/>
              </w:rPr>
            </w:pPr>
            <w:r w:rsidRPr="00CF77C1">
              <w:rPr>
                <w:lang w:val="sr-Cyrl-RS"/>
              </w:rPr>
              <w:t>5</w:t>
            </w:r>
            <w:r w:rsidR="00F14866" w:rsidRPr="00CF77C1">
              <w:rPr>
                <w:lang w:val="sr-Cyrl-RS"/>
              </w:rPr>
              <w:t xml:space="preserve"> ТС</w:t>
            </w:r>
          </w:p>
        </w:tc>
      </w:tr>
      <w:tr w:rsidR="00F14866" w:rsidRPr="00CF77C1" w14:paraId="2A31CD17" w14:textId="77777777" w:rsidTr="00B42615">
        <w:tc>
          <w:tcPr>
            <w:tcW w:w="5920" w:type="dxa"/>
            <w:shd w:val="clear" w:color="auto" w:fill="auto"/>
            <w:vAlign w:val="center"/>
          </w:tcPr>
          <w:p w14:paraId="280F0E31" w14:textId="77777777" w:rsidR="00F14866" w:rsidRPr="00CF77C1" w:rsidRDefault="00F14866" w:rsidP="0080044B">
            <w:pPr>
              <w:jc w:val="left"/>
              <w:rPr>
                <w:lang w:val="sr-Cyrl-RS"/>
              </w:rPr>
            </w:pPr>
            <w:r w:rsidRPr="00CF77C1">
              <w:rPr>
                <w:lang w:val="sr-Cyrl-RS"/>
              </w:rPr>
              <w:t>Улазак у погон</w:t>
            </w:r>
          </w:p>
        </w:tc>
        <w:tc>
          <w:tcPr>
            <w:tcW w:w="2835" w:type="dxa"/>
            <w:vMerge/>
            <w:shd w:val="clear" w:color="auto" w:fill="auto"/>
          </w:tcPr>
          <w:p w14:paraId="64A0314F" w14:textId="77777777" w:rsidR="00F14866" w:rsidRPr="00CF77C1" w:rsidRDefault="00F14866" w:rsidP="0080044B">
            <w:pPr>
              <w:spacing w:before="20" w:after="20"/>
              <w:rPr>
                <w:lang w:val="sr-Cyrl-RS"/>
              </w:rPr>
            </w:pPr>
          </w:p>
        </w:tc>
        <w:tc>
          <w:tcPr>
            <w:tcW w:w="830" w:type="dxa"/>
            <w:shd w:val="clear" w:color="auto" w:fill="auto"/>
            <w:vAlign w:val="center"/>
          </w:tcPr>
          <w:p w14:paraId="709096C9" w14:textId="77777777" w:rsidR="00F14866" w:rsidRPr="00CF77C1" w:rsidRDefault="00F14866" w:rsidP="0080044B">
            <w:pPr>
              <w:spacing w:before="20" w:after="20"/>
              <w:jc w:val="center"/>
              <w:rPr>
                <w:lang w:val="sr-Cyrl-RS"/>
              </w:rPr>
            </w:pPr>
          </w:p>
        </w:tc>
        <w:tc>
          <w:tcPr>
            <w:tcW w:w="830" w:type="dxa"/>
            <w:shd w:val="clear" w:color="auto" w:fill="auto"/>
            <w:vAlign w:val="center"/>
          </w:tcPr>
          <w:p w14:paraId="75F59D38" w14:textId="77777777" w:rsidR="00F14866" w:rsidRPr="00CF77C1" w:rsidRDefault="00F14866" w:rsidP="0080044B">
            <w:pPr>
              <w:jc w:val="center"/>
              <w:rPr>
                <w:lang w:val="sr-Cyrl-RS"/>
              </w:rPr>
            </w:pPr>
            <w:r w:rsidRPr="00CF77C1">
              <w:rPr>
                <w:lang w:val="sr-Cyrl-RS"/>
              </w:rPr>
              <w:t>5 ТС</w:t>
            </w:r>
          </w:p>
        </w:tc>
        <w:tc>
          <w:tcPr>
            <w:tcW w:w="830" w:type="dxa"/>
            <w:shd w:val="clear" w:color="auto" w:fill="auto"/>
            <w:vAlign w:val="center"/>
          </w:tcPr>
          <w:p w14:paraId="6A9D6574" w14:textId="77777777" w:rsidR="00F14866" w:rsidRPr="00CF77C1" w:rsidRDefault="00F14866" w:rsidP="0080044B">
            <w:pPr>
              <w:jc w:val="center"/>
              <w:rPr>
                <w:lang w:val="sr-Cyrl-RS"/>
              </w:rPr>
            </w:pPr>
            <w:r w:rsidRPr="00CF77C1">
              <w:rPr>
                <w:lang w:val="sr-Cyrl-RS"/>
              </w:rPr>
              <w:t>5 ТС</w:t>
            </w:r>
          </w:p>
        </w:tc>
        <w:tc>
          <w:tcPr>
            <w:tcW w:w="831" w:type="dxa"/>
            <w:shd w:val="clear" w:color="auto" w:fill="auto"/>
            <w:vAlign w:val="center"/>
          </w:tcPr>
          <w:p w14:paraId="3349F393" w14:textId="77777777" w:rsidR="00F14866" w:rsidRPr="00CF77C1" w:rsidRDefault="00F14866" w:rsidP="0080044B">
            <w:pPr>
              <w:jc w:val="center"/>
              <w:rPr>
                <w:lang w:val="sr-Cyrl-RS"/>
              </w:rPr>
            </w:pPr>
            <w:r w:rsidRPr="00CF77C1">
              <w:rPr>
                <w:lang w:val="sr-Cyrl-RS"/>
              </w:rPr>
              <w:t>5 ТС</w:t>
            </w:r>
          </w:p>
        </w:tc>
        <w:tc>
          <w:tcPr>
            <w:tcW w:w="830" w:type="dxa"/>
            <w:shd w:val="clear" w:color="auto" w:fill="auto"/>
            <w:vAlign w:val="center"/>
          </w:tcPr>
          <w:p w14:paraId="37121F7A" w14:textId="77777777" w:rsidR="00F14866" w:rsidRPr="00CF77C1" w:rsidRDefault="00F14866" w:rsidP="0080044B">
            <w:pPr>
              <w:jc w:val="center"/>
              <w:rPr>
                <w:lang w:val="sr-Cyrl-RS"/>
              </w:rPr>
            </w:pPr>
            <w:r w:rsidRPr="00CF77C1">
              <w:rPr>
                <w:lang w:val="sr-Cyrl-RS"/>
              </w:rPr>
              <w:t>5 ТС</w:t>
            </w:r>
          </w:p>
        </w:tc>
        <w:tc>
          <w:tcPr>
            <w:tcW w:w="830" w:type="dxa"/>
            <w:shd w:val="clear" w:color="auto" w:fill="auto"/>
            <w:vAlign w:val="center"/>
          </w:tcPr>
          <w:p w14:paraId="4D4E5353" w14:textId="77777777" w:rsidR="00F14866" w:rsidRPr="00CF77C1" w:rsidRDefault="00041F19" w:rsidP="0080044B">
            <w:pPr>
              <w:jc w:val="center"/>
              <w:rPr>
                <w:lang w:val="sr-Cyrl-RS"/>
              </w:rPr>
            </w:pPr>
            <w:r w:rsidRPr="00CF77C1">
              <w:rPr>
                <w:lang w:val="sr-Cyrl-RS"/>
              </w:rPr>
              <w:t>3</w:t>
            </w:r>
            <w:r w:rsidR="00F14866" w:rsidRPr="00CF77C1">
              <w:rPr>
                <w:lang w:val="sr-Cyrl-RS"/>
              </w:rPr>
              <w:t xml:space="preserve"> ТС</w:t>
            </w:r>
          </w:p>
        </w:tc>
        <w:tc>
          <w:tcPr>
            <w:tcW w:w="831" w:type="dxa"/>
            <w:shd w:val="clear" w:color="auto" w:fill="auto"/>
            <w:vAlign w:val="center"/>
          </w:tcPr>
          <w:p w14:paraId="50DF8658" w14:textId="77777777" w:rsidR="00F14866" w:rsidRPr="00CF77C1" w:rsidRDefault="00041F19" w:rsidP="0080044B">
            <w:pPr>
              <w:jc w:val="center"/>
              <w:rPr>
                <w:lang w:val="sr-Cyrl-RS"/>
              </w:rPr>
            </w:pPr>
            <w:r w:rsidRPr="00CF77C1">
              <w:rPr>
                <w:lang w:val="sr-Cyrl-RS"/>
              </w:rPr>
              <w:t>3</w:t>
            </w:r>
            <w:r w:rsidR="00F14866" w:rsidRPr="00CF77C1">
              <w:rPr>
                <w:lang w:val="sr-Cyrl-RS"/>
              </w:rPr>
              <w:t xml:space="preserve"> ТС</w:t>
            </w:r>
          </w:p>
        </w:tc>
      </w:tr>
    </w:tbl>
    <w:p w14:paraId="5395AD24" w14:textId="77777777" w:rsidR="00F23030" w:rsidRPr="00CF77C1" w:rsidRDefault="00F23030" w:rsidP="0080044B">
      <w:pPr>
        <w:rPr>
          <w:lang w:val="sr-Cyrl-RS"/>
        </w:rPr>
        <w:sectPr w:rsidR="00F23030" w:rsidRPr="00CF77C1" w:rsidSect="00017454">
          <w:headerReference w:type="default" r:id="rId40"/>
          <w:footerReference w:type="even" r:id="rId41"/>
          <w:footerReference w:type="default" r:id="rId42"/>
          <w:pgSz w:w="16839" w:h="11907" w:orient="landscape" w:code="9"/>
          <w:pgMar w:top="1418" w:right="1134" w:bottom="1134" w:left="1134" w:header="1004" w:footer="720" w:gutter="0"/>
          <w:cols w:space="720"/>
          <w:docGrid w:linePitch="360"/>
        </w:sectPr>
      </w:pPr>
    </w:p>
    <w:p w14:paraId="30202A5A" w14:textId="77777777" w:rsidR="00164D6D" w:rsidRPr="00CF77C1" w:rsidRDefault="00164D6D" w:rsidP="00242883">
      <w:pPr>
        <w:pStyle w:val="ListParagraph"/>
        <w:keepNext/>
        <w:numPr>
          <w:ilvl w:val="0"/>
          <w:numId w:val="14"/>
        </w:numPr>
        <w:ind w:left="0" w:firstLine="720"/>
        <w:rPr>
          <w:lang w:val="sr-Cyrl-RS"/>
        </w:rPr>
      </w:pPr>
      <w:bookmarkStart w:id="43" w:name="_Ref476806012"/>
      <w:r w:rsidRPr="00CF77C1">
        <w:rPr>
          <w:lang w:val="sr-Cyrl-RS"/>
        </w:rPr>
        <w:t xml:space="preserve">Пројекат </w:t>
      </w:r>
      <w:r w:rsidR="00974103" w:rsidRPr="00CF77C1">
        <w:rPr>
          <w:lang w:val="sr-Cyrl-RS"/>
        </w:rPr>
        <w:t>изградње нових</w:t>
      </w:r>
      <w:r w:rsidRPr="00CF77C1">
        <w:rPr>
          <w:lang w:val="sr-Cyrl-RS"/>
        </w:rPr>
        <w:t xml:space="preserve"> ТС 110/X kV у циљу повећања сигурности напајања и повећања ефикасности дистрибуције електричне енергије</w:t>
      </w:r>
      <w:bookmarkEnd w:id="43"/>
    </w:p>
    <w:p w14:paraId="5D05843A" w14:textId="3E808659" w:rsidR="00164D6D" w:rsidRPr="00CF77C1" w:rsidRDefault="00450111" w:rsidP="00242883">
      <w:pPr>
        <w:ind w:firstLine="720"/>
        <w:rPr>
          <w:lang w:val="sr-Cyrl-RS"/>
        </w:rPr>
      </w:pPr>
      <w:r w:rsidRPr="00CF77C1">
        <w:rPr>
          <w:lang w:val="sr-Cyrl-RS"/>
        </w:rPr>
        <w:t>У претходних 25</w:t>
      </w:r>
      <w:r w:rsidR="00974103" w:rsidRPr="00CF77C1">
        <w:rPr>
          <w:lang w:val="sr-Cyrl-RS"/>
        </w:rPr>
        <w:t xml:space="preserve"> година изградња нових ТС 110/X kV </w:t>
      </w:r>
      <w:r w:rsidR="00342C68" w:rsidRPr="00CF77C1">
        <w:rPr>
          <w:lang w:val="sr-Cyrl-RS"/>
        </w:rPr>
        <w:t>није била у складу са потребама насталим</w:t>
      </w:r>
      <w:r w:rsidR="00974103" w:rsidRPr="00CF77C1">
        <w:rPr>
          <w:lang w:val="sr-Cyrl-RS"/>
        </w:rPr>
        <w:t xml:space="preserve"> због промене просторне расподеле и структуре потрошње као и због пораста потрошње који се догодио у међувремену. Процес изградње</w:t>
      </w:r>
      <w:r w:rsidR="00F14866" w:rsidRPr="00CF77C1">
        <w:rPr>
          <w:lang w:val="sr-Cyrl-RS"/>
        </w:rPr>
        <w:t xml:space="preserve"> нових ТС </w:t>
      </w:r>
      <w:r w:rsidR="00974103" w:rsidRPr="00CF77C1">
        <w:rPr>
          <w:lang w:val="sr-Cyrl-RS"/>
        </w:rPr>
        <w:t>110/X kV које преузимају функцију неекономично оптерећене средњенапонске мреже, решавају проблем несигурног напајања из п</w:t>
      </w:r>
      <w:r w:rsidR="00F14866" w:rsidRPr="00CF77C1">
        <w:rPr>
          <w:lang w:val="sr-Cyrl-RS"/>
        </w:rPr>
        <w:t>остојећих ТС 110/X kV и ТС 35/X </w:t>
      </w:r>
      <w:r w:rsidR="00974103" w:rsidRPr="00CF77C1">
        <w:rPr>
          <w:lang w:val="sr-Cyrl-RS"/>
        </w:rPr>
        <w:t>kV</w:t>
      </w:r>
      <w:r w:rsidR="00342C68" w:rsidRPr="00CF77C1">
        <w:rPr>
          <w:lang w:val="sr-Cyrl-RS"/>
        </w:rPr>
        <w:t>,</w:t>
      </w:r>
      <w:r w:rsidR="00974103" w:rsidRPr="00CF77C1">
        <w:rPr>
          <w:lang w:val="sr-Cyrl-RS"/>
        </w:rPr>
        <w:t xml:space="preserve"> високих губитака и лоших напонских прилика у мрежи средњег напона интензивиран је у претходних 5-10 година, </w:t>
      </w:r>
      <w:r w:rsidR="00342C68" w:rsidRPr="00CF77C1">
        <w:rPr>
          <w:lang w:val="sr-Cyrl-RS"/>
        </w:rPr>
        <w:t xml:space="preserve">и наставиће се у наредних </w:t>
      </w:r>
      <w:r w:rsidR="00EC7E28" w:rsidRPr="00CF77C1">
        <w:rPr>
          <w:lang w:val="sr-Cyrl-RS"/>
        </w:rPr>
        <w:t>десет</w:t>
      </w:r>
      <w:r w:rsidR="00342C68" w:rsidRPr="00CF77C1">
        <w:rPr>
          <w:lang w:val="sr-Cyrl-RS"/>
        </w:rPr>
        <w:t>ак година због великог броја објеката чија је изградња неопходна</w:t>
      </w:r>
      <w:r w:rsidR="00974103" w:rsidRPr="00CF77C1">
        <w:rPr>
          <w:lang w:val="sr-Cyrl-RS"/>
        </w:rPr>
        <w:t xml:space="preserve">. </w:t>
      </w:r>
      <w:r w:rsidR="00164D6D" w:rsidRPr="00CF77C1">
        <w:rPr>
          <w:lang w:val="sr-Cyrl-RS"/>
        </w:rPr>
        <w:t xml:space="preserve">Пројекат </w:t>
      </w:r>
      <w:r w:rsidR="00F14866" w:rsidRPr="00CF77C1">
        <w:rPr>
          <w:lang w:val="sr-Cyrl-RS"/>
        </w:rPr>
        <w:t>изградње нових ТС </w:t>
      </w:r>
      <w:r w:rsidR="00974103" w:rsidRPr="00CF77C1">
        <w:rPr>
          <w:lang w:val="sr-Cyrl-RS"/>
        </w:rPr>
        <w:t>110/X kV</w:t>
      </w:r>
      <w:r w:rsidR="00164D6D" w:rsidRPr="00CF77C1">
        <w:rPr>
          <w:lang w:val="sr-Cyrl-RS"/>
        </w:rPr>
        <w:t xml:space="preserve"> садржи следећи скуп потпројеката</w:t>
      </w:r>
      <w:r w:rsidR="00B255A3" w:rsidRPr="00CF77C1">
        <w:rPr>
          <w:lang w:val="sr-Cyrl-RS"/>
        </w:rPr>
        <w:t xml:space="preserve"> изградње нових ТС:</w:t>
      </w:r>
    </w:p>
    <w:p w14:paraId="37AE947D"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Београд 23</w:t>
      </w:r>
      <w:r w:rsidR="001D7735" w:rsidRPr="00CF77C1">
        <w:rPr>
          <w:lang w:val="sr-Cyrl-RS"/>
        </w:rPr>
        <w:t xml:space="preserve"> - Аутокоманда</w:t>
      </w:r>
      <w:r w:rsidR="00B255A3" w:rsidRPr="00CF77C1">
        <w:rPr>
          <w:lang w:val="sr-Cyrl-RS"/>
        </w:rPr>
        <w:t xml:space="preserve"> (2x40 MVA, </w:t>
      </w:r>
      <w:r w:rsidR="001A723F" w:rsidRPr="00CF77C1">
        <w:rPr>
          <w:lang w:val="sr-Cyrl-RS"/>
        </w:rPr>
        <w:t>9</w:t>
      </w:r>
      <w:r w:rsidR="00B255A3" w:rsidRPr="00CF77C1">
        <w:rPr>
          <w:lang w:val="sr-Cyrl-RS"/>
        </w:rPr>
        <w:t xml:space="preserve"> милиона </w:t>
      </w:r>
      <w:r w:rsidR="006510C8" w:rsidRPr="00CF77C1">
        <w:rPr>
          <w:lang w:val="sr-Cyrl-RS"/>
        </w:rPr>
        <w:t>€</w:t>
      </w:r>
      <w:r w:rsidR="00B255A3" w:rsidRPr="00CF77C1">
        <w:rPr>
          <w:lang w:val="sr-Cyrl-RS"/>
        </w:rPr>
        <w:t xml:space="preserve"> - </w:t>
      </w:r>
      <w:r w:rsidR="001A723F" w:rsidRPr="00CF77C1">
        <w:rPr>
          <w:lang w:val="sr-Cyrl-RS"/>
        </w:rPr>
        <w:t>1112</w:t>
      </w:r>
      <w:r w:rsidR="001D7735" w:rsidRPr="00CF77C1">
        <w:rPr>
          <w:lang w:val="sr-Cyrl-RS"/>
        </w:rPr>
        <w:t> </w:t>
      </w:r>
      <w:r w:rsidR="00B255A3" w:rsidRPr="00CF77C1">
        <w:rPr>
          <w:lang w:val="sr-Cyrl-RS"/>
        </w:rPr>
        <w:t>милиона РСД);</w:t>
      </w:r>
    </w:p>
    <w:p w14:paraId="3F835D12"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110/35 kV Београд 42</w:t>
      </w:r>
      <w:r w:rsidR="001D7735" w:rsidRPr="00CF77C1">
        <w:rPr>
          <w:lang w:val="sr-Cyrl-RS"/>
        </w:rPr>
        <w:t xml:space="preserve"> - Гроцка</w:t>
      </w:r>
      <w:r w:rsidR="00B255A3" w:rsidRPr="00CF77C1">
        <w:rPr>
          <w:lang w:val="sr-Cyrl-RS"/>
        </w:rPr>
        <w:t xml:space="preserve"> (1x31,5 MVA, </w:t>
      </w:r>
      <w:r w:rsidR="001D7735" w:rsidRPr="00CF77C1">
        <w:rPr>
          <w:lang w:val="sr-Cyrl-RS"/>
        </w:rPr>
        <w:t>3,</w:t>
      </w:r>
      <w:r w:rsidR="00B255A3" w:rsidRPr="00CF77C1">
        <w:rPr>
          <w:lang w:val="sr-Cyrl-RS"/>
        </w:rPr>
        <w:t xml:space="preserve">5 милиона </w:t>
      </w:r>
      <w:r w:rsidR="006510C8" w:rsidRPr="00CF77C1">
        <w:rPr>
          <w:lang w:val="sr-Cyrl-RS"/>
        </w:rPr>
        <w:t>€</w:t>
      </w:r>
      <w:r w:rsidR="00B255A3" w:rsidRPr="00CF77C1">
        <w:rPr>
          <w:lang w:val="sr-Cyrl-RS"/>
        </w:rPr>
        <w:t xml:space="preserve"> - </w:t>
      </w:r>
      <w:r w:rsidR="001D7735" w:rsidRPr="00CF77C1">
        <w:rPr>
          <w:lang w:val="sr-Cyrl-RS"/>
        </w:rPr>
        <w:t>432,3 </w:t>
      </w:r>
      <w:r w:rsidR="00B255A3" w:rsidRPr="00CF77C1">
        <w:rPr>
          <w:lang w:val="sr-Cyrl-RS"/>
        </w:rPr>
        <w:t>милиона РСД);</w:t>
      </w:r>
    </w:p>
    <w:p w14:paraId="2D965754"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110/35 kV Београд 44 </w:t>
      </w:r>
      <w:r w:rsidR="001D7735" w:rsidRPr="00CF77C1">
        <w:rPr>
          <w:lang w:val="sr-Cyrl-RS"/>
        </w:rPr>
        <w:t xml:space="preserve">- Сурчин </w:t>
      </w:r>
      <w:r w:rsidR="00B255A3" w:rsidRPr="00CF77C1">
        <w:rPr>
          <w:lang w:val="sr-Cyrl-RS"/>
        </w:rPr>
        <w:t xml:space="preserve">(2x31,5 MVA, 5,65 милиона </w:t>
      </w:r>
      <w:r w:rsidR="006510C8" w:rsidRPr="00CF77C1">
        <w:rPr>
          <w:lang w:val="sr-Cyrl-RS"/>
        </w:rPr>
        <w:t>€</w:t>
      </w:r>
      <w:r w:rsidR="001D7735" w:rsidRPr="00CF77C1">
        <w:rPr>
          <w:lang w:val="sr-Cyrl-RS"/>
        </w:rPr>
        <w:t xml:space="preserve"> - 697,3 </w:t>
      </w:r>
      <w:r w:rsidR="00B255A3" w:rsidRPr="00CF77C1">
        <w:rPr>
          <w:lang w:val="sr-Cyrl-RS"/>
        </w:rPr>
        <w:t>милиона РСД);</w:t>
      </w:r>
    </w:p>
    <w:p w14:paraId="7BA0F88B"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110/10 kV Београд 43 (2x20 MVA, 4 милиона </w:t>
      </w:r>
      <w:r w:rsidR="006510C8" w:rsidRPr="00CF77C1">
        <w:rPr>
          <w:lang w:val="sr-Cyrl-RS"/>
        </w:rPr>
        <w:t>€</w:t>
      </w:r>
      <w:r w:rsidR="00B255A3" w:rsidRPr="00CF77C1">
        <w:rPr>
          <w:lang w:val="sr-Cyrl-RS"/>
        </w:rPr>
        <w:t xml:space="preserve"> - 494 милиона РСД);</w:t>
      </w:r>
    </w:p>
    <w:p w14:paraId="696BF430"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w:t>
      </w:r>
      <w:r w:rsidR="001A764A" w:rsidRPr="00CF77C1">
        <w:rPr>
          <w:lang w:val="sr-Cyrl-RS"/>
        </w:rPr>
        <w:t>35/10</w:t>
      </w:r>
      <w:r w:rsidR="00B255A3" w:rsidRPr="00CF77C1">
        <w:rPr>
          <w:lang w:val="sr-Cyrl-RS"/>
        </w:rPr>
        <w:t xml:space="preserve"> kV Сокобања (1x31,5 MVA, 1,97 милиона </w:t>
      </w:r>
      <w:r w:rsidR="006510C8" w:rsidRPr="00CF77C1">
        <w:rPr>
          <w:lang w:val="sr-Cyrl-RS"/>
        </w:rPr>
        <w:t>€</w:t>
      </w:r>
      <w:r w:rsidR="00B255A3" w:rsidRPr="00CF77C1">
        <w:rPr>
          <w:lang w:val="sr-Cyrl-RS"/>
        </w:rPr>
        <w:t xml:space="preserve"> - 243,3 милиона РСД);</w:t>
      </w:r>
    </w:p>
    <w:p w14:paraId="6D83D3D7"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w:t>
      </w:r>
      <w:r w:rsidR="001A764A" w:rsidRPr="00CF77C1">
        <w:rPr>
          <w:lang w:val="sr-Cyrl-RS"/>
        </w:rPr>
        <w:t>10</w:t>
      </w:r>
      <w:r w:rsidR="00B255A3" w:rsidRPr="00CF77C1">
        <w:rPr>
          <w:lang w:val="sr-Cyrl-RS"/>
        </w:rPr>
        <w:t xml:space="preserve"> kV Ниш 6</w:t>
      </w:r>
      <w:r w:rsidR="00EA6189" w:rsidRPr="00CF77C1">
        <w:rPr>
          <w:lang w:val="sr-Cyrl-RS"/>
        </w:rPr>
        <w:t xml:space="preserve"> </w:t>
      </w:r>
      <w:r w:rsidR="00B255A3" w:rsidRPr="00CF77C1">
        <w:rPr>
          <w:lang w:val="sr-Cyrl-RS"/>
        </w:rPr>
        <w:t xml:space="preserve">(2x31,5 MVA, 5,02 милиона </w:t>
      </w:r>
      <w:r w:rsidR="006510C8" w:rsidRPr="00CF77C1">
        <w:rPr>
          <w:lang w:val="sr-Cyrl-RS"/>
        </w:rPr>
        <w:t>€</w:t>
      </w:r>
      <w:r w:rsidR="00B255A3" w:rsidRPr="00CF77C1">
        <w:rPr>
          <w:lang w:val="sr-Cyrl-RS"/>
        </w:rPr>
        <w:t xml:space="preserve"> - 620 милиона РСД);</w:t>
      </w:r>
    </w:p>
    <w:p w14:paraId="7562C95A"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Бела Паланка (2x20 MVA, 2,5 милиона </w:t>
      </w:r>
      <w:r w:rsidR="006510C8" w:rsidRPr="00CF77C1">
        <w:rPr>
          <w:lang w:val="sr-Cyrl-RS"/>
        </w:rPr>
        <w:t>€</w:t>
      </w:r>
      <w:r w:rsidR="00B255A3" w:rsidRPr="00CF77C1">
        <w:rPr>
          <w:lang w:val="sr-Cyrl-RS"/>
        </w:rPr>
        <w:t xml:space="preserve"> - 308,8 милиона РСД);</w:t>
      </w:r>
    </w:p>
    <w:p w14:paraId="69D37169"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Бољевац (</w:t>
      </w:r>
      <w:r w:rsidR="003D13C9" w:rsidRPr="00CF77C1">
        <w:rPr>
          <w:lang w:val="sr-Cyrl-RS"/>
        </w:rPr>
        <w:t>1</w:t>
      </w:r>
      <w:r w:rsidR="00B255A3" w:rsidRPr="00CF77C1">
        <w:rPr>
          <w:lang w:val="sr-Cyrl-RS"/>
        </w:rPr>
        <w:t>x</w:t>
      </w:r>
      <w:r w:rsidR="003D13C9" w:rsidRPr="00CF77C1">
        <w:rPr>
          <w:lang w:val="sr-Cyrl-RS"/>
        </w:rPr>
        <w:t>31,5</w:t>
      </w:r>
      <w:r w:rsidR="00B255A3" w:rsidRPr="00CF77C1">
        <w:rPr>
          <w:lang w:val="sr-Cyrl-RS"/>
        </w:rPr>
        <w:t xml:space="preserve"> MVA, 2,6 милиона </w:t>
      </w:r>
      <w:r w:rsidR="006510C8" w:rsidRPr="00CF77C1">
        <w:rPr>
          <w:lang w:val="sr-Cyrl-RS"/>
        </w:rPr>
        <w:t>€</w:t>
      </w:r>
      <w:r w:rsidR="00B255A3" w:rsidRPr="00CF77C1">
        <w:rPr>
          <w:lang w:val="sr-Cyrl-RS"/>
        </w:rPr>
        <w:t xml:space="preserve"> - 321 милиона РСД);</w:t>
      </w:r>
    </w:p>
    <w:p w14:paraId="6FB2C2C0"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w:t>
      </w:r>
      <w:r w:rsidR="001A764A" w:rsidRPr="00CF77C1">
        <w:rPr>
          <w:lang w:val="sr-Cyrl-RS"/>
        </w:rPr>
        <w:t>10</w:t>
      </w:r>
      <w:r w:rsidR="00B255A3" w:rsidRPr="00CF77C1">
        <w:rPr>
          <w:lang w:val="sr-Cyrl-RS"/>
        </w:rPr>
        <w:t xml:space="preserve"> kV Лесковац 5 (2x31,5 MVA, 4 милиона </w:t>
      </w:r>
      <w:r w:rsidR="006510C8" w:rsidRPr="00CF77C1">
        <w:rPr>
          <w:lang w:val="sr-Cyrl-RS"/>
        </w:rPr>
        <w:t>€</w:t>
      </w:r>
      <w:r w:rsidR="00B255A3" w:rsidRPr="00CF77C1">
        <w:rPr>
          <w:lang w:val="sr-Cyrl-RS"/>
        </w:rPr>
        <w:t xml:space="preserve"> - 494 милиона РСД);</w:t>
      </w:r>
    </w:p>
    <w:p w14:paraId="37E63863"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Стара планина (2x31,5 MVA, 3,25 милиона </w:t>
      </w:r>
      <w:r w:rsidR="006510C8" w:rsidRPr="00CF77C1">
        <w:rPr>
          <w:lang w:val="sr-Cyrl-RS"/>
        </w:rPr>
        <w:t>€</w:t>
      </w:r>
      <w:r w:rsidR="00B255A3" w:rsidRPr="00CF77C1">
        <w:rPr>
          <w:lang w:val="sr-Cyrl-RS"/>
        </w:rPr>
        <w:t xml:space="preserve"> - 401 милиона РСД);</w:t>
      </w:r>
    </w:p>
    <w:p w14:paraId="160DF287"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110/20 kV Србобран 2 (1x31,5 MVA, 1,9 милиона </w:t>
      </w:r>
      <w:r w:rsidR="006510C8" w:rsidRPr="00CF77C1">
        <w:rPr>
          <w:lang w:val="sr-Cyrl-RS"/>
        </w:rPr>
        <w:t>€</w:t>
      </w:r>
      <w:r w:rsidR="00B255A3" w:rsidRPr="00CF77C1">
        <w:rPr>
          <w:lang w:val="sr-Cyrl-RS"/>
        </w:rPr>
        <w:t xml:space="preserve"> - 234,7 милиона РСД);</w:t>
      </w:r>
    </w:p>
    <w:p w14:paraId="301DE03D"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110/20 kV Крњешевци (1x31,5 MVA, 2,2 милиона </w:t>
      </w:r>
      <w:r w:rsidR="006510C8" w:rsidRPr="00CF77C1">
        <w:rPr>
          <w:lang w:val="sr-Cyrl-RS"/>
        </w:rPr>
        <w:t>€</w:t>
      </w:r>
      <w:r w:rsidR="00B255A3" w:rsidRPr="00CF77C1">
        <w:rPr>
          <w:lang w:val="sr-Cyrl-RS"/>
        </w:rPr>
        <w:t xml:space="preserve"> - 271,7 милиона РСД);</w:t>
      </w:r>
    </w:p>
    <w:p w14:paraId="05304AAC"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110/20 kV Перлез (1x20 MVA, 1,94 милиона </w:t>
      </w:r>
      <w:r w:rsidR="006510C8" w:rsidRPr="00CF77C1">
        <w:rPr>
          <w:lang w:val="sr-Cyrl-RS"/>
        </w:rPr>
        <w:t>€</w:t>
      </w:r>
      <w:r w:rsidR="00B255A3" w:rsidRPr="00CF77C1">
        <w:rPr>
          <w:lang w:val="sr-Cyrl-RS"/>
        </w:rPr>
        <w:t xml:space="preserve"> - 240 милиона РСД);</w:t>
      </w:r>
    </w:p>
    <w:p w14:paraId="28AD590A"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Пландиште (1x31,5 MVA, 3,5 милиона </w:t>
      </w:r>
      <w:r w:rsidR="006510C8" w:rsidRPr="00CF77C1">
        <w:rPr>
          <w:lang w:val="sr-Cyrl-RS"/>
        </w:rPr>
        <w:t>€</w:t>
      </w:r>
      <w:r w:rsidR="00B255A3" w:rsidRPr="00CF77C1">
        <w:rPr>
          <w:lang w:val="sr-Cyrl-RS"/>
        </w:rPr>
        <w:t xml:space="preserve"> - 432,3 милиона РСД);</w:t>
      </w:r>
    </w:p>
    <w:p w14:paraId="1D3DA316" w14:textId="77777777" w:rsidR="001D7735" w:rsidRPr="00CF77C1" w:rsidRDefault="001D7735" w:rsidP="00242883">
      <w:pPr>
        <w:pStyle w:val="ListParagraph"/>
        <w:numPr>
          <w:ilvl w:val="0"/>
          <w:numId w:val="19"/>
        </w:numPr>
        <w:spacing w:before="60" w:after="60"/>
        <w:ind w:left="0" w:firstLine="720"/>
        <w:contextualSpacing w:val="0"/>
        <w:rPr>
          <w:lang w:val="sr-Cyrl-RS"/>
        </w:rPr>
      </w:pPr>
      <w:r w:rsidRPr="00CF77C1">
        <w:rPr>
          <w:lang w:val="sr-Cyrl-RS"/>
        </w:rPr>
        <w:t xml:space="preserve">ТС 110/20 kV Беочин (1x31,5 MVA, 3 милиона </w:t>
      </w:r>
      <w:r w:rsidR="006510C8" w:rsidRPr="00CF77C1">
        <w:rPr>
          <w:lang w:val="sr-Cyrl-RS"/>
        </w:rPr>
        <w:t>€</w:t>
      </w:r>
      <w:r w:rsidRPr="00CF77C1">
        <w:rPr>
          <w:lang w:val="sr-Cyrl-RS"/>
        </w:rPr>
        <w:t xml:space="preserve"> - 370,5 милиона РСД);</w:t>
      </w:r>
    </w:p>
    <w:p w14:paraId="60A63D49"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Нови Сад 8 (1x31,5 MVA, 3,5 милиона </w:t>
      </w:r>
      <w:r w:rsidR="006510C8" w:rsidRPr="00CF77C1">
        <w:rPr>
          <w:lang w:val="sr-Cyrl-RS"/>
        </w:rPr>
        <w:t>€</w:t>
      </w:r>
      <w:r w:rsidR="00B255A3" w:rsidRPr="00CF77C1">
        <w:rPr>
          <w:lang w:val="sr-Cyrl-RS"/>
        </w:rPr>
        <w:t xml:space="preserve"> - 432,3 милиона РСД);</w:t>
      </w:r>
    </w:p>
    <w:p w14:paraId="6489FF7F"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Краљево 6 (2x31,5 MVA, 1,74 милиона </w:t>
      </w:r>
      <w:r w:rsidR="006510C8" w:rsidRPr="00CF77C1">
        <w:rPr>
          <w:lang w:val="sr-Cyrl-RS"/>
        </w:rPr>
        <w:t>€</w:t>
      </w:r>
      <w:r w:rsidR="00B255A3" w:rsidRPr="00CF77C1">
        <w:rPr>
          <w:lang w:val="sr-Cyrl-RS"/>
        </w:rPr>
        <w:t xml:space="preserve"> - 214,9 милиона РСД);</w:t>
      </w:r>
    </w:p>
    <w:p w14:paraId="1D1B8D25"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Ужице 2 (2x31,5 MVA, 2,84 милиона </w:t>
      </w:r>
      <w:r w:rsidR="006510C8" w:rsidRPr="00CF77C1">
        <w:rPr>
          <w:lang w:val="sr-Cyrl-RS"/>
        </w:rPr>
        <w:t>€</w:t>
      </w:r>
      <w:r w:rsidR="00B255A3" w:rsidRPr="00CF77C1">
        <w:rPr>
          <w:lang w:val="sr-Cyrl-RS"/>
        </w:rPr>
        <w:t xml:space="preserve"> - 350,7 милиона РСД);</w:t>
      </w:r>
    </w:p>
    <w:p w14:paraId="45028E65"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Копаоник (</w:t>
      </w:r>
      <w:r w:rsidRPr="00CF77C1">
        <w:rPr>
          <w:lang w:val="sr-Cyrl-RS"/>
        </w:rPr>
        <w:t>2</w:t>
      </w:r>
      <w:r w:rsidR="00B255A3" w:rsidRPr="00CF77C1">
        <w:rPr>
          <w:lang w:val="sr-Cyrl-RS"/>
        </w:rPr>
        <w:t>x</w:t>
      </w:r>
      <w:r w:rsidRPr="00CF77C1">
        <w:rPr>
          <w:lang w:val="sr-Cyrl-RS"/>
        </w:rPr>
        <w:t>31,5</w:t>
      </w:r>
      <w:r w:rsidR="00B255A3" w:rsidRPr="00CF77C1">
        <w:rPr>
          <w:lang w:val="sr-Cyrl-RS"/>
        </w:rPr>
        <w:t xml:space="preserve"> MVA, 8,68 милиона </w:t>
      </w:r>
      <w:r w:rsidR="006510C8" w:rsidRPr="00CF77C1">
        <w:rPr>
          <w:lang w:val="sr-Cyrl-RS"/>
        </w:rPr>
        <w:t>€</w:t>
      </w:r>
      <w:r w:rsidR="00B255A3" w:rsidRPr="00CF77C1">
        <w:rPr>
          <w:lang w:val="sr-Cyrl-RS"/>
        </w:rPr>
        <w:t xml:space="preserve"> - 1071,6 милиона РСД);</w:t>
      </w:r>
    </w:p>
    <w:p w14:paraId="0E1D9D40"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Уб 2 (2x31,5 MVA, 2,5 милиона </w:t>
      </w:r>
      <w:r w:rsidR="006510C8" w:rsidRPr="00CF77C1">
        <w:rPr>
          <w:lang w:val="sr-Cyrl-RS"/>
        </w:rPr>
        <w:t>€</w:t>
      </w:r>
      <w:r w:rsidR="00B255A3" w:rsidRPr="00CF77C1">
        <w:rPr>
          <w:lang w:val="sr-Cyrl-RS"/>
        </w:rPr>
        <w:t xml:space="preserve"> - 308,8 милиона РСД);</w:t>
      </w:r>
    </w:p>
    <w:p w14:paraId="21264A96"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110/20 kV Тутин (2x20 MVA, 2,5 милиона </w:t>
      </w:r>
      <w:r w:rsidR="006510C8" w:rsidRPr="00CF77C1">
        <w:rPr>
          <w:lang w:val="sr-Cyrl-RS"/>
        </w:rPr>
        <w:t>€</w:t>
      </w:r>
      <w:r w:rsidR="00B255A3" w:rsidRPr="00CF77C1">
        <w:rPr>
          <w:lang w:val="sr-Cyrl-RS"/>
        </w:rPr>
        <w:t xml:space="preserve"> - 308,8 милиона РСД);</w:t>
      </w:r>
    </w:p>
    <w:p w14:paraId="55082805"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 110/35</w:t>
      </w:r>
      <w:r w:rsidR="00B255A3" w:rsidRPr="00CF77C1">
        <w:rPr>
          <w:lang w:val="sr-Cyrl-RS"/>
        </w:rPr>
        <w:t xml:space="preserve"> kV Прибој (2x31,5 MVA, 2,5 милиона </w:t>
      </w:r>
      <w:r w:rsidR="006510C8" w:rsidRPr="00CF77C1">
        <w:rPr>
          <w:lang w:val="sr-Cyrl-RS"/>
        </w:rPr>
        <w:t>€</w:t>
      </w:r>
      <w:r w:rsidR="00B255A3" w:rsidRPr="00CF77C1">
        <w:rPr>
          <w:lang w:val="sr-Cyrl-RS"/>
        </w:rPr>
        <w:t xml:space="preserve"> - 308,8 милиона РСД);</w:t>
      </w:r>
    </w:p>
    <w:p w14:paraId="34F42541"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 110/20</w:t>
      </w:r>
      <w:r w:rsidR="00B255A3" w:rsidRPr="00CF77C1">
        <w:rPr>
          <w:lang w:val="sr-Cyrl-RS"/>
        </w:rPr>
        <w:t xml:space="preserve"> kV Аранђеловац 2 (</w:t>
      </w:r>
      <w:r w:rsidRPr="00CF77C1">
        <w:rPr>
          <w:lang w:val="sr-Cyrl-RS"/>
        </w:rPr>
        <w:t>2</w:t>
      </w:r>
      <w:r w:rsidR="00B255A3" w:rsidRPr="00CF77C1">
        <w:rPr>
          <w:lang w:val="sr-Cyrl-RS"/>
        </w:rPr>
        <w:t xml:space="preserve">x31,5 MVA, 2,5 милиона </w:t>
      </w:r>
      <w:r w:rsidR="006510C8" w:rsidRPr="00CF77C1">
        <w:rPr>
          <w:lang w:val="sr-Cyrl-RS"/>
        </w:rPr>
        <w:t>€</w:t>
      </w:r>
      <w:r w:rsidR="00B255A3" w:rsidRPr="00CF77C1">
        <w:rPr>
          <w:lang w:val="sr-Cyrl-RS"/>
        </w:rPr>
        <w:t xml:space="preserve"> - 308,8</w:t>
      </w:r>
      <w:r w:rsidRPr="00CF77C1">
        <w:rPr>
          <w:lang w:val="sr-Cyrl-RS"/>
        </w:rPr>
        <w:t> </w:t>
      </w:r>
      <w:r w:rsidR="00B255A3" w:rsidRPr="00CF77C1">
        <w:rPr>
          <w:lang w:val="sr-Cyrl-RS"/>
        </w:rPr>
        <w:t>милиона</w:t>
      </w:r>
      <w:r w:rsidRPr="00CF77C1">
        <w:rPr>
          <w:lang w:val="sr-Cyrl-RS"/>
        </w:rPr>
        <w:t xml:space="preserve"> </w:t>
      </w:r>
      <w:r w:rsidR="00B255A3" w:rsidRPr="00CF77C1">
        <w:rPr>
          <w:lang w:val="sr-Cyrl-RS"/>
        </w:rPr>
        <w:t>РСД);</w:t>
      </w:r>
    </w:p>
    <w:p w14:paraId="1545F580"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w:t>
      </w:r>
      <w:r w:rsidR="00CD44EE" w:rsidRPr="00CF77C1">
        <w:rPr>
          <w:lang w:val="sr-Cyrl-RS"/>
        </w:rPr>
        <w:t>20</w:t>
      </w:r>
      <w:r w:rsidR="00B255A3" w:rsidRPr="00CF77C1">
        <w:rPr>
          <w:lang w:val="sr-Cyrl-RS"/>
        </w:rPr>
        <w:t xml:space="preserve"> kV Коцељева (1x31,5 MVA, </w:t>
      </w:r>
      <w:r w:rsidR="00BE2617" w:rsidRPr="00CF77C1">
        <w:rPr>
          <w:lang w:val="sr-Cyrl-RS"/>
        </w:rPr>
        <w:t>1,0 милион</w:t>
      </w:r>
      <w:r w:rsidR="00B255A3" w:rsidRPr="00CF77C1">
        <w:rPr>
          <w:lang w:val="sr-Cyrl-RS"/>
        </w:rPr>
        <w:t xml:space="preserve"> </w:t>
      </w:r>
      <w:r w:rsidR="006510C8" w:rsidRPr="00CF77C1">
        <w:rPr>
          <w:lang w:val="sr-Cyrl-RS"/>
        </w:rPr>
        <w:t>€</w:t>
      </w:r>
      <w:r w:rsidR="00B255A3" w:rsidRPr="00CF77C1">
        <w:rPr>
          <w:lang w:val="sr-Cyrl-RS"/>
        </w:rPr>
        <w:t xml:space="preserve"> - </w:t>
      </w:r>
      <w:r w:rsidR="00BE2617" w:rsidRPr="00CF77C1">
        <w:rPr>
          <w:lang w:val="sr-Cyrl-RS"/>
        </w:rPr>
        <w:t>123,5</w:t>
      </w:r>
      <w:r w:rsidR="00B255A3" w:rsidRPr="00CF77C1">
        <w:rPr>
          <w:lang w:val="sr-Cyrl-RS"/>
        </w:rPr>
        <w:t xml:space="preserve"> милиона РСД);</w:t>
      </w:r>
    </w:p>
    <w:p w14:paraId="37E7DC88"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w:t>
      </w:r>
      <w:r w:rsidR="00CD44EE" w:rsidRPr="00CF77C1">
        <w:rPr>
          <w:lang w:val="sr-Cyrl-RS"/>
        </w:rPr>
        <w:t>20</w:t>
      </w:r>
      <w:r w:rsidR="00B255A3" w:rsidRPr="00CF77C1">
        <w:rPr>
          <w:lang w:val="sr-Cyrl-RS"/>
        </w:rPr>
        <w:t xml:space="preserve"> kV Свилајнац (2x20 MVA, 2,5 милиона </w:t>
      </w:r>
      <w:r w:rsidR="006510C8" w:rsidRPr="00CF77C1">
        <w:rPr>
          <w:lang w:val="sr-Cyrl-RS"/>
        </w:rPr>
        <w:t>€</w:t>
      </w:r>
      <w:r w:rsidR="00B255A3" w:rsidRPr="00CF77C1">
        <w:rPr>
          <w:lang w:val="sr-Cyrl-RS"/>
        </w:rPr>
        <w:t xml:space="preserve"> - 308,8 милиона РСД);</w:t>
      </w:r>
    </w:p>
    <w:p w14:paraId="55042D9D"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w:t>
      </w:r>
      <w:r w:rsidR="00CD44EE" w:rsidRPr="00CF77C1">
        <w:rPr>
          <w:lang w:val="sr-Cyrl-RS"/>
        </w:rPr>
        <w:t>35</w:t>
      </w:r>
      <w:r w:rsidR="00B255A3" w:rsidRPr="00CF77C1">
        <w:rPr>
          <w:lang w:val="sr-Cyrl-RS"/>
        </w:rPr>
        <w:t xml:space="preserve"> kV Горњи Милановац 2 (2x31,5 MVA, 2,5 милиона </w:t>
      </w:r>
      <w:r w:rsidR="006510C8" w:rsidRPr="00CF77C1">
        <w:rPr>
          <w:lang w:val="sr-Cyrl-RS"/>
        </w:rPr>
        <w:t>€</w:t>
      </w:r>
      <w:r w:rsidR="00B255A3" w:rsidRPr="00CF77C1">
        <w:rPr>
          <w:lang w:val="sr-Cyrl-RS"/>
        </w:rPr>
        <w:t xml:space="preserve"> - 308,8 милиона РСД);</w:t>
      </w:r>
    </w:p>
    <w:p w14:paraId="1C56C292"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110/20 kV Нови Пазар 3 (2</w:t>
      </w:r>
      <w:r w:rsidRPr="00CF77C1">
        <w:rPr>
          <w:lang w:val="sr-Cyrl-RS"/>
        </w:rPr>
        <w:t>x31,5</w:t>
      </w:r>
      <w:r w:rsidR="00B255A3" w:rsidRPr="00CF77C1">
        <w:rPr>
          <w:lang w:val="sr-Cyrl-RS"/>
        </w:rPr>
        <w:t xml:space="preserve"> MVA, 3 милиона </w:t>
      </w:r>
      <w:r w:rsidR="006510C8" w:rsidRPr="00CF77C1">
        <w:rPr>
          <w:lang w:val="sr-Cyrl-RS"/>
        </w:rPr>
        <w:t>€</w:t>
      </w:r>
      <w:r w:rsidR="00B255A3" w:rsidRPr="00CF77C1">
        <w:rPr>
          <w:lang w:val="sr-Cyrl-RS"/>
        </w:rPr>
        <w:t xml:space="preserve"> - 370,5 милиона РСД);</w:t>
      </w:r>
    </w:p>
    <w:p w14:paraId="4773090B"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w:t>
      </w:r>
      <w:r w:rsidR="00CD44EE" w:rsidRPr="00CF77C1">
        <w:rPr>
          <w:lang w:val="sr-Cyrl-RS"/>
        </w:rPr>
        <w:t>35</w:t>
      </w:r>
      <w:r w:rsidR="00B255A3" w:rsidRPr="00CF77C1">
        <w:rPr>
          <w:lang w:val="sr-Cyrl-RS"/>
        </w:rPr>
        <w:t xml:space="preserve"> kV Деспотовац (2x20 MVA, 2,5 милиона </w:t>
      </w:r>
      <w:r w:rsidR="006510C8" w:rsidRPr="00CF77C1">
        <w:rPr>
          <w:lang w:val="sr-Cyrl-RS"/>
        </w:rPr>
        <w:t>€</w:t>
      </w:r>
      <w:r w:rsidR="00B255A3" w:rsidRPr="00CF77C1">
        <w:rPr>
          <w:lang w:val="sr-Cyrl-RS"/>
        </w:rPr>
        <w:t xml:space="preserve"> - 308,8 милиона РСД);</w:t>
      </w:r>
    </w:p>
    <w:p w14:paraId="232ED911"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Лозница 2 (2x31,5 MVA, 2,5 милиона </w:t>
      </w:r>
      <w:r w:rsidR="006510C8" w:rsidRPr="00CF77C1">
        <w:rPr>
          <w:lang w:val="sr-Cyrl-RS"/>
        </w:rPr>
        <w:t>€</w:t>
      </w:r>
      <w:r w:rsidR="00B255A3" w:rsidRPr="00CF77C1">
        <w:rPr>
          <w:lang w:val="sr-Cyrl-RS"/>
        </w:rPr>
        <w:t xml:space="preserve"> - 308,8 милиона РСД);</w:t>
      </w:r>
    </w:p>
    <w:p w14:paraId="574A347F"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110/35/10 kV Ушће (2x31,5 MVA, 2,52 милиона </w:t>
      </w:r>
      <w:r w:rsidR="006510C8" w:rsidRPr="00CF77C1">
        <w:rPr>
          <w:lang w:val="sr-Cyrl-RS"/>
        </w:rPr>
        <w:t>€</w:t>
      </w:r>
      <w:r w:rsidR="00B255A3" w:rsidRPr="00CF77C1">
        <w:rPr>
          <w:lang w:val="sr-Cyrl-RS"/>
        </w:rPr>
        <w:t xml:space="preserve"> - 311,2 милиона РСД);</w:t>
      </w:r>
    </w:p>
    <w:p w14:paraId="54CCC560"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110/35/20 kV Крагујевац 21</w:t>
      </w:r>
      <w:r w:rsidR="00437C2E" w:rsidRPr="00CF77C1">
        <w:rPr>
          <w:lang w:val="sr-Cyrl-RS"/>
        </w:rPr>
        <w:t xml:space="preserve"> - Нова Застава</w:t>
      </w:r>
      <w:r w:rsidR="00B255A3" w:rsidRPr="00CF77C1">
        <w:rPr>
          <w:lang w:val="sr-Cyrl-RS"/>
        </w:rPr>
        <w:t xml:space="preserve"> (2x63 MVA, 3</w:t>
      </w:r>
      <w:r w:rsidR="009C5320" w:rsidRPr="00CF77C1">
        <w:rPr>
          <w:lang w:val="sr-Cyrl-RS"/>
        </w:rPr>
        <w:t>,904</w:t>
      </w:r>
      <w:r w:rsidR="00B255A3" w:rsidRPr="00CF77C1">
        <w:rPr>
          <w:lang w:val="sr-Cyrl-RS"/>
        </w:rPr>
        <w:t xml:space="preserve"> милиона </w:t>
      </w:r>
      <w:r w:rsidR="006510C8" w:rsidRPr="00CF77C1">
        <w:rPr>
          <w:lang w:val="sr-Cyrl-RS"/>
        </w:rPr>
        <w:t>€</w:t>
      </w:r>
      <w:r w:rsidR="00B255A3" w:rsidRPr="00CF77C1">
        <w:rPr>
          <w:lang w:val="sr-Cyrl-RS"/>
        </w:rPr>
        <w:t xml:space="preserve"> - </w:t>
      </w:r>
      <w:r w:rsidR="009C5320" w:rsidRPr="00CF77C1">
        <w:rPr>
          <w:lang w:val="sr-Cyrl-RS"/>
        </w:rPr>
        <w:t>468 </w:t>
      </w:r>
      <w:r w:rsidR="00B255A3" w:rsidRPr="00CF77C1">
        <w:rPr>
          <w:lang w:val="sr-Cyrl-RS"/>
        </w:rPr>
        <w:t>милиона РСД);</w:t>
      </w:r>
    </w:p>
    <w:p w14:paraId="4EBCDA87"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Смедерево 5 (</w:t>
      </w:r>
      <w:r w:rsidR="009C5320" w:rsidRPr="00CF77C1">
        <w:rPr>
          <w:lang w:val="sr-Cyrl-RS"/>
        </w:rPr>
        <w:t>2</w:t>
      </w:r>
      <w:r w:rsidR="00B255A3" w:rsidRPr="00CF77C1">
        <w:rPr>
          <w:lang w:val="sr-Cyrl-RS"/>
        </w:rPr>
        <w:t xml:space="preserve">x31,5 MVA, </w:t>
      </w:r>
      <w:r w:rsidR="009C5320" w:rsidRPr="00CF77C1">
        <w:rPr>
          <w:lang w:val="sr-Cyrl-RS"/>
        </w:rPr>
        <w:t>3</w:t>
      </w:r>
      <w:r w:rsidR="00B255A3" w:rsidRPr="00CF77C1">
        <w:rPr>
          <w:lang w:val="sr-Cyrl-RS"/>
        </w:rPr>
        <w:t xml:space="preserve"> милиона </w:t>
      </w:r>
      <w:r w:rsidR="006510C8" w:rsidRPr="00CF77C1">
        <w:rPr>
          <w:lang w:val="sr-Cyrl-RS"/>
        </w:rPr>
        <w:t>€</w:t>
      </w:r>
      <w:r w:rsidR="00B255A3" w:rsidRPr="00CF77C1">
        <w:rPr>
          <w:lang w:val="sr-Cyrl-RS"/>
        </w:rPr>
        <w:t xml:space="preserve"> - 494 милиона РСД);</w:t>
      </w:r>
    </w:p>
    <w:p w14:paraId="3E18410A"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110/10 kV Крагујевац 22 </w:t>
      </w:r>
      <w:r w:rsidR="00437C2E" w:rsidRPr="00CF77C1">
        <w:rPr>
          <w:lang w:val="sr-Cyrl-RS"/>
        </w:rPr>
        <w:t xml:space="preserve">- Центар </w:t>
      </w:r>
      <w:r w:rsidR="00B255A3" w:rsidRPr="00CF77C1">
        <w:rPr>
          <w:lang w:val="sr-Cyrl-RS"/>
        </w:rPr>
        <w:t xml:space="preserve">(2x31,5 MVA, 5 милиона </w:t>
      </w:r>
      <w:r w:rsidR="006510C8" w:rsidRPr="00CF77C1">
        <w:rPr>
          <w:lang w:val="sr-Cyrl-RS"/>
        </w:rPr>
        <w:t>€</w:t>
      </w:r>
      <w:r w:rsidR="00B255A3" w:rsidRPr="00CF77C1">
        <w:rPr>
          <w:lang w:val="sr-Cyrl-RS"/>
        </w:rPr>
        <w:t xml:space="preserve"> - 617,5 милиона РСД);</w:t>
      </w:r>
    </w:p>
    <w:p w14:paraId="4383E7DC" w14:textId="77777777"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110/35 kV Пожаревац 2 (2x31,5 MVA, 4 милиона </w:t>
      </w:r>
      <w:r w:rsidR="006510C8" w:rsidRPr="00CF77C1">
        <w:rPr>
          <w:lang w:val="sr-Cyrl-RS"/>
        </w:rPr>
        <w:t>€</w:t>
      </w:r>
      <w:r w:rsidR="00B255A3" w:rsidRPr="00CF77C1">
        <w:rPr>
          <w:lang w:val="sr-Cyrl-RS"/>
        </w:rPr>
        <w:t xml:space="preserve"> - 494 милиона РСД);</w:t>
      </w:r>
    </w:p>
    <w:p w14:paraId="3662CAD9" w14:textId="5A25AB34" w:rsidR="00B255A3" w:rsidRPr="00CF77C1" w:rsidRDefault="00C42B52" w:rsidP="00242883">
      <w:pPr>
        <w:pStyle w:val="ListParagraph"/>
        <w:numPr>
          <w:ilvl w:val="0"/>
          <w:numId w:val="19"/>
        </w:numPr>
        <w:spacing w:before="60" w:after="60"/>
        <w:ind w:left="0" w:firstLine="720"/>
        <w:contextualSpacing w:val="0"/>
        <w:rPr>
          <w:lang w:val="sr-Cyrl-RS"/>
        </w:rPr>
      </w:pPr>
      <w:r w:rsidRPr="00CF77C1">
        <w:rPr>
          <w:lang w:val="sr-Cyrl-RS"/>
        </w:rPr>
        <w:t>ТС</w:t>
      </w:r>
      <w:r w:rsidR="00B255A3" w:rsidRPr="00CF77C1">
        <w:rPr>
          <w:lang w:val="sr-Cyrl-RS"/>
        </w:rPr>
        <w:t xml:space="preserve"> 110/X kV Смедеревска Паланка 2 (1x31,5 MVA, 1,9 милиона </w:t>
      </w:r>
      <w:r w:rsidR="006510C8" w:rsidRPr="00CF77C1">
        <w:rPr>
          <w:lang w:val="sr-Cyrl-RS"/>
        </w:rPr>
        <w:t>€</w:t>
      </w:r>
      <w:r w:rsidR="00A84A74">
        <w:rPr>
          <w:lang w:val="sr-Cyrl-RS"/>
        </w:rPr>
        <w:t xml:space="preserve"> - 234,7 милиона РСД).</w:t>
      </w:r>
    </w:p>
    <w:p w14:paraId="070CBE34" w14:textId="0FE71C02" w:rsidR="001329A4" w:rsidRPr="00CF77C1" w:rsidRDefault="001329A4" w:rsidP="00242883">
      <w:pPr>
        <w:ind w:firstLine="720"/>
        <w:rPr>
          <w:lang w:val="sr-Cyrl-RS"/>
        </w:rPr>
      </w:pPr>
      <w:r w:rsidRPr="00CF77C1">
        <w:rPr>
          <w:lang w:val="sr-Cyrl-RS"/>
        </w:rPr>
        <w:t>Планира с</w:t>
      </w:r>
      <w:r w:rsidR="00B04066">
        <w:rPr>
          <w:lang w:val="sr-Cyrl-RS"/>
        </w:rPr>
        <w:t>е да се у току реализације ПОС</w:t>
      </w:r>
      <w:r w:rsidRPr="00CF77C1">
        <w:rPr>
          <w:lang w:val="sr-Cyrl-RS"/>
        </w:rPr>
        <w:t xml:space="preserve"> заврши изградња 32 ТС 110/X kV, а да буде припремљена потребна просторно-планска и техничка документација и обезбеђене дозволе за три ТС 110/X kV (Бољевац, Лесковац 5 и Стара планина).</w:t>
      </w:r>
    </w:p>
    <w:p w14:paraId="0EE97C6D" w14:textId="77777777" w:rsidR="00FF0E37" w:rsidRPr="00CF77C1" w:rsidRDefault="00FF0E37" w:rsidP="00242883">
      <w:pPr>
        <w:ind w:firstLine="720"/>
        <w:rPr>
          <w:lang w:val="sr-Cyrl-RS"/>
        </w:rPr>
      </w:pPr>
      <w:r w:rsidRPr="00CF77C1">
        <w:rPr>
          <w:lang w:val="sr-Cyrl-RS"/>
        </w:rPr>
        <w:t>Са аспекта енергетске ефикасности процењени ефекат пројекта је смањење губитака од 49,464 GWh годишње што чини око 0,048% финалне потрошње енергије (за енергетске и неенергетске сврхе) у 2015. години. Процена је формирана на основу расположивих студија дугорочног развоја мрежа, студија претходне оправданости и расположивих модела дистрибутивних система.</w:t>
      </w:r>
    </w:p>
    <w:p w14:paraId="2E572988" w14:textId="77777777" w:rsidR="00164D6D" w:rsidRPr="00CF77C1" w:rsidRDefault="00164D6D" w:rsidP="0080044B">
      <w:pPr>
        <w:rPr>
          <w:lang w:val="sr-Cyrl-RS"/>
        </w:rPr>
      </w:pPr>
    </w:p>
    <w:p w14:paraId="60E10844" w14:textId="77777777" w:rsidR="00164D6D" w:rsidRPr="00CF77C1" w:rsidRDefault="00164D6D" w:rsidP="0080044B">
      <w:pPr>
        <w:rPr>
          <w:lang w:val="sr-Cyrl-RS"/>
        </w:rPr>
      </w:pPr>
    </w:p>
    <w:p w14:paraId="34070BF2" w14:textId="77777777" w:rsidR="00164D6D" w:rsidRPr="00CF77C1" w:rsidRDefault="00164D6D" w:rsidP="0080044B">
      <w:pPr>
        <w:rPr>
          <w:lang w:val="sr-Cyrl-RS"/>
        </w:rPr>
        <w:sectPr w:rsidR="00164D6D" w:rsidRPr="00CF77C1" w:rsidSect="00096A0D">
          <w:headerReference w:type="default" r:id="rId43"/>
          <w:footerReference w:type="default" r:id="rId44"/>
          <w:pgSz w:w="11907" w:h="16839" w:code="9"/>
          <w:pgMar w:top="1134" w:right="1134" w:bottom="1134" w:left="1418" w:header="720" w:footer="720" w:gutter="0"/>
          <w:cols w:space="720"/>
          <w:docGrid w:linePitch="360"/>
        </w:sectPr>
      </w:pPr>
    </w:p>
    <w:p w14:paraId="0D620454" w14:textId="7542A20A" w:rsidR="00164D6D" w:rsidRPr="00CF77C1" w:rsidRDefault="00D61BC9" w:rsidP="00242883">
      <w:pPr>
        <w:pStyle w:val="Caption"/>
        <w:ind w:firstLine="720"/>
        <w:rPr>
          <w:b w:val="0"/>
          <w:lang w:val="sr-Cyrl-RS"/>
        </w:rPr>
      </w:pPr>
      <w:r w:rsidRPr="00CF77C1">
        <w:rPr>
          <w:b w:val="0"/>
          <w:lang w:val="sr-Cyrl-RS"/>
        </w:rPr>
        <w:t>таб.</w:t>
      </w:r>
      <w:r w:rsidR="00164D6D"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25</w:t>
      </w:r>
      <w:r w:rsidR="0092145E" w:rsidRPr="00CF77C1">
        <w:rPr>
          <w:b w:val="0"/>
          <w:lang w:val="sr-Cyrl-RS"/>
        </w:rPr>
        <w:fldChar w:fldCharType="end"/>
      </w:r>
      <w:r w:rsidR="00164D6D" w:rsidRPr="00CF77C1">
        <w:rPr>
          <w:b w:val="0"/>
          <w:lang w:val="sr-Cyrl-RS"/>
        </w:rPr>
        <w:t>: Основне карактеристике и ефекти пројекта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977"/>
        <w:gridCol w:w="3827"/>
        <w:gridCol w:w="5239"/>
      </w:tblGrid>
      <w:tr w:rsidR="00B255A3" w:rsidRPr="00CF77C1" w14:paraId="28431C2F" w14:textId="77777777" w:rsidTr="00B255A3">
        <w:trPr>
          <w:cantSplit/>
          <w:tblHeader/>
        </w:trPr>
        <w:tc>
          <w:tcPr>
            <w:tcW w:w="2518" w:type="dxa"/>
            <w:shd w:val="clear" w:color="auto" w:fill="auto"/>
            <w:vAlign w:val="center"/>
          </w:tcPr>
          <w:p w14:paraId="044CD3F3" w14:textId="77777777" w:rsidR="00B255A3" w:rsidRPr="00CF77C1" w:rsidRDefault="00B255A3" w:rsidP="0080044B">
            <w:pPr>
              <w:jc w:val="center"/>
              <w:rPr>
                <w:lang w:val="sr-Cyrl-RS"/>
              </w:rPr>
            </w:pPr>
            <w:r w:rsidRPr="00CF77C1">
              <w:rPr>
                <w:lang w:val="sr-Cyrl-RS"/>
              </w:rPr>
              <w:t>Техничке карактеристике</w:t>
            </w:r>
          </w:p>
        </w:tc>
        <w:tc>
          <w:tcPr>
            <w:tcW w:w="2977" w:type="dxa"/>
            <w:shd w:val="clear" w:color="auto" w:fill="auto"/>
            <w:vAlign w:val="center"/>
          </w:tcPr>
          <w:p w14:paraId="126BC50E" w14:textId="77777777" w:rsidR="00B255A3" w:rsidRPr="00CF77C1" w:rsidRDefault="00B255A3" w:rsidP="0080044B">
            <w:pPr>
              <w:jc w:val="center"/>
              <w:rPr>
                <w:lang w:val="sr-Cyrl-RS"/>
              </w:rPr>
            </w:pPr>
            <w:r w:rsidRPr="00CF77C1">
              <w:rPr>
                <w:lang w:val="sr-Cyrl-RS"/>
              </w:rPr>
              <w:t>Вредност пројекта и извор средстава</w:t>
            </w:r>
          </w:p>
        </w:tc>
        <w:tc>
          <w:tcPr>
            <w:tcW w:w="3827" w:type="dxa"/>
            <w:shd w:val="clear" w:color="auto" w:fill="auto"/>
            <w:vAlign w:val="center"/>
          </w:tcPr>
          <w:p w14:paraId="4B737144" w14:textId="77777777" w:rsidR="00B255A3" w:rsidRPr="00CF77C1" w:rsidRDefault="00B255A3" w:rsidP="0080044B">
            <w:pPr>
              <w:jc w:val="center"/>
              <w:rPr>
                <w:lang w:val="sr-Cyrl-RS"/>
              </w:rPr>
            </w:pPr>
            <w:r w:rsidRPr="00CF77C1">
              <w:rPr>
                <w:lang w:val="sr-Cyrl-RS"/>
              </w:rPr>
              <w:t>Опис ефеката реализације</w:t>
            </w:r>
          </w:p>
        </w:tc>
        <w:tc>
          <w:tcPr>
            <w:tcW w:w="5239" w:type="dxa"/>
            <w:shd w:val="clear" w:color="auto" w:fill="auto"/>
            <w:vAlign w:val="center"/>
          </w:tcPr>
          <w:p w14:paraId="26CD2CF9" w14:textId="77777777" w:rsidR="00B255A3" w:rsidRPr="00CF77C1" w:rsidRDefault="00B255A3" w:rsidP="0080044B">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B255A3" w:rsidRPr="00CF77C1" w14:paraId="460F373D" w14:textId="77777777" w:rsidTr="00B255A3">
        <w:trPr>
          <w:cantSplit/>
        </w:trPr>
        <w:tc>
          <w:tcPr>
            <w:tcW w:w="2518" w:type="dxa"/>
            <w:shd w:val="clear" w:color="auto" w:fill="auto"/>
            <w:vAlign w:val="center"/>
          </w:tcPr>
          <w:p w14:paraId="319CF4BE" w14:textId="4E8A1DE2" w:rsidR="00B255A3" w:rsidRPr="00CF77C1" w:rsidRDefault="006C31BF" w:rsidP="0080044B">
            <w:pPr>
              <w:jc w:val="left"/>
              <w:rPr>
                <w:lang w:val="sr-Cyrl-RS"/>
              </w:rPr>
            </w:pPr>
            <w:r w:rsidRPr="00CF77C1">
              <w:rPr>
                <w:lang w:val="sr-Cyrl-RS"/>
              </w:rPr>
              <w:t xml:space="preserve">Нових </w:t>
            </w:r>
            <w:r w:rsidR="001A764A" w:rsidRPr="00CF77C1">
              <w:rPr>
                <w:lang w:val="sr-Cyrl-RS"/>
              </w:rPr>
              <w:t>35</w:t>
            </w:r>
            <w:r w:rsidR="00B255A3" w:rsidRPr="00CF77C1">
              <w:rPr>
                <w:lang w:val="sr-Cyrl-RS"/>
              </w:rPr>
              <w:t xml:space="preserve"> ТС 110/X kV укупне инсталисане снаге у планском периоду </w:t>
            </w:r>
            <w:r w:rsidR="00BE2617" w:rsidRPr="00CF77C1">
              <w:rPr>
                <w:lang w:val="sr-Cyrl-RS"/>
              </w:rPr>
              <w:t>1</w:t>
            </w:r>
            <w:r w:rsidR="001F740D" w:rsidRPr="00CF77C1">
              <w:rPr>
                <w:lang w:val="sr-Cyrl-RS"/>
              </w:rPr>
              <w:t>.</w:t>
            </w:r>
            <w:r w:rsidR="00BE2617" w:rsidRPr="00CF77C1">
              <w:rPr>
                <w:lang w:val="sr-Cyrl-RS"/>
              </w:rPr>
              <w:t>789</w:t>
            </w:r>
            <w:r w:rsidR="00B255A3" w:rsidRPr="00CF77C1">
              <w:rPr>
                <w:lang w:val="sr-Cyrl-RS"/>
              </w:rPr>
              <w:t> MVA</w:t>
            </w:r>
          </w:p>
        </w:tc>
        <w:tc>
          <w:tcPr>
            <w:tcW w:w="2977" w:type="dxa"/>
            <w:shd w:val="clear" w:color="auto" w:fill="auto"/>
            <w:vAlign w:val="center"/>
          </w:tcPr>
          <w:p w14:paraId="6D65E34E" w14:textId="77777777" w:rsidR="00B255A3" w:rsidRPr="00CF77C1" w:rsidRDefault="00BE2617" w:rsidP="0080044B">
            <w:pPr>
              <w:jc w:val="left"/>
              <w:rPr>
                <w:lang w:val="sr-Cyrl-RS"/>
              </w:rPr>
            </w:pPr>
            <w:r w:rsidRPr="00CF77C1">
              <w:rPr>
                <w:lang w:val="sr-Cyrl-RS"/>
              </w:rPr>
              <w:t>115,1</w:t>
            </w:r>
            <w:r w:rsidR="00B255A3" w:rsidRPr="00CF77C1">
              <w:rPr>
                <w:lang w:val="sr-Cyrl-RS"/>
              </w:rPr>
              <w:t xml:space="preserve"> милиона </w:t>
            </w:r>
            <w:r w:rsidR="006510C8" w:rsidRPr="00CF77C1">
              <w:rPr>
                <w:lang w:val="sr-Cyrl-RS"/>
              </w:rPr>
              <w:t>€</w:t>
            </w:r>
            <w:r w:rsidR="00B255A3" w:rsidRPr="00CF77C1">
              <w:rPr>
                <w:lang w:val="sr-Cyrl-RS"/>
              </w:rPr>
              <w:t xml:space="preserve"> (</w:t>
            </w:r>
            <w:r w:rsidRPr="00CF77C1">
              <w:rPr>
                <w:lang w:val="sr-Cyrl-RS"/>
              </w:rPr>
              <w:t>13.929,2</w:t>
            </w:r>
            <w:r w:rsidR="00B255A3" w:rsidRPr="00CF77C1">
              <w:rPr>
                <w:lang w:val="sr-Cyrl-RS"/>
              </w:rPr>
              <w:t xml:space="preserve"> милиона РСД)</w:t>
            </w:r>
          </w:p>
          <w:p w14:paraId="78CE0FB5" w14:textId="7225C17B" w:rsidR="00B255A3" w:rsidRPr="00CF77C1" w:rsidRDefault="00B255A3" w:rsidP="0080044B">
            <w:pPr>
              <w:jc w:val="left"/>
              <w:rPr>
                <w:lang w:val="sr-Cyrl-RS"/>
              </w:rPr>
            </w:pPr>
            <w:r w:rsidRPr="00CF77C1">
              <w:rPr>
                <w:lang w:val="sr-Cyrl-RS"/>
              </w:rPr>
              <w:t xml:space="preserve">(сопствена средства </w:t>
            </w:r>
            <w:r w:rsidR="001B761F" w:rsidRPr="00CF77C1">
              <w:rPr>
                <w:lang w:val="sr-Cyrl-RS"/>
              </w:rPr>
              <w:t>ЕПС</w:t>
            </w:r>
            <w:r w:rsidRPr="00CF77C1">
              <w:rPr>
                <w:lang w:val="sr-Cyrl-RS"/>
              </w:rPr>
              <w:t>)</w:t>
            </w:r>
            <w:r w:rsidR="00A84A74">
              <w:rPr>
                <w:lang w:val="sr-Cyrl-RS"/>
              </w:rPr>
              <w:t>.</w:t>
            </w:r>
          </w:p>
        </w:tc>
        <w:tc>
          <w:tcPr>
            <w:tcW w:w="3827" w:type="dxa"/>
            <w:shd w:val="clear" w:color="auto" w:fill="auto"/>
            <w:vAlign w:val="center"/>
          </w:tcPr>
          <w:p w14:paraId="143D9402" w14:textId="77777777" w:rsidR="00B255A3" w:rsidRPr="00CF77C1" w:rsidRDefault="00B255A3" w:rsidP="0080044B">
            <w:pPr>
              <w:jc w:val="left"/>
              <w:rPr>
                <w:lang w:val="sr-Cyrl-RS"/>
              </w:rPr>
            </w:pPr>
            <w:r w:rsidRPr="00CF77C1">
              <w:rPr>
                <w:lang w:val="sr-Cyrl-RS"/>
              </w:rPr>
              <w:t>Побољшање напонских прилика у мрежи средњег напона, смањење губитака, подизање нивоа сигурности, оптималан развој мреже средњег напона.</w:t>
            </w:r>
          </w:p>
        </w:tc>
        <w:tc>
          <w:tcPr>
            <w:tcW w:w="5239" w:type="dxa"/>
            <w:shd w:val="clear" w:color="auto" w:fill="auto"/>
            <w:vAlign w:val="center"/>
          </w:tcPr>
          <w:p w14:paraId="1963D0F1" w14:textId="77777777" w:rsidR="00B255A3" w:rsidRPr="00CF77C1" w:rsidRDefault="00B255A3" w:rsidP="0080044B">
            <w:pPr>
              <w:jc w:val="left"/>
              <w:rPr>
                <w:lang w:val="sr-Cyrl-RS"/>
              </w:rPr>
            </w:pPr>
            <w:r w:rsidRPr="00CF77C1">
              <w:rPr>
                <w:lang w:val="sr-Cyrl-RS"/>
              </w:rPr>
              <w:t xml:space="preserve">Годишње смањење губитака: </w:t>
            </w:r>
            <w:r w:rsidR="00BE2617" w:rsidRPr="00CF77C1">
              <w:rPr>
                <w:lang w:val="sr-Cyrl-RS"/>
              </w:rPr>
              <w:t>49</w:t>
            </w:r>
            <w:r w:rsidR="00F14866" w:rsidRPr="00CF77C1">
              <w:rPr>
                <w:lang w:val="sr-Cyrl-RS"/>
              </w:rPr>
              <w:t>.</w:t>
            </w:r>
            <w:r w:rsidR="00BE2617" w:rsidRPr="00CF77C1">
              <w:rPr>
                <w:lang w:val="sr-Cyrl-RS"/>
              </w:rPr>
              <w:t>464</w:t>
            </w:r>
            <w:r w:rsidRPr="00CF77C1">
              <w:rPr>
                <w:lang w:val="sr-Cyrl-RS"/>
              </w:rPr>
              <w:t xml:space="preserve"> MWh</w:t>
            </w:r>
            <w:r w:rsidR="00FF0E37" w:rsidRPr="00CF77C1">
              <w:rPr>
                <w:lang w:val="sr-Cyrl-RS"/>
              </w:rPr>
              <w:t xml:space="preserve"> (1,16% од садашње</w:t>
            </w:r>
            <w:r w:rsidR="00A444E8" w:rsidRPr="00CF77C1">
              <w:rPr>
                <w:lang w:val="sr-Cyrl-RS"/>
              </w:rPr>
              <w:t xml:space="preserve"> вредност</w:t>
            </w:r>
            <w:r w:rsidR="00FF0E37" w:rsidRPr="00CF77C1">
              <w:rPr>
                <w:lang w:val="sr-Cyrl-RS"/>
              </w:rPr>
              <w:t>и</w:t>
            </w:r>
            <w:r w:rsidR="00A444E8" w:rsidRPr="00CF77C1">
              <w:rPr>
                <w:lang w:val="sr-Cyrl-RS"/>
              </w:rPr>
              <w:t xml:space="preserve"> губитака у дистрибутивном</w:t>
            </w:r>
            <w:r w:rsidR="00FF0E37" w:rsidRPr="00CF77C1">
              <w:rPr>
                <w:lang w:val="sr-Cyrl-RS"/>
              </w:rPr>
              <w:t xml:space="preserve"> систему</w:t>
            </w:r>
            <w:r w:rsidR="006510C8" w:rsidRPr="00CF77C1">
              <w:rPr>
                <w:lang w:val="sr-Cyrl-RS"/>
              </w:rPr>
              <w:t>)</w:t>
            </w:r>
            <w:r w:rsidRPr="00CF77C1">
              <w:rPr>
                <w:lang w:val="sr-Cyrl-RS"/>
              </w:rPr>
              <w:t>;</w:t>
            </w:r>
          </w:p>
          <w:p w14:paraId="25537A94" w14:textId="77777777" w:rsidR="00B255A3" w:rsidRPr="00CF77C1" w:rsidRDefault="00B255A3" w:rsidP="0080044B">
            <w:pPr>
              <w:jc w:val="left"/>
              <w:rPr>
                <w:lang w:val="sr-Cyrl-RS"/>
              </w:rPr>
            </w:pPr>
            <w:r w:rsidRPr="00CF77C1">
              <w:rPr>
                <w:lang w:val="sr-Cyrl-RS"/>
              </w:rPr>
              <w:t xml:space="preserve">Смањење годишњих трошкова губитака: </w:t>
            </w:r>
            <w:r w:rsidR="00BE2617" w:rsidRPr="00CF77C1">
              <w:rPr>
                <w:lang w:val="sr-Cyrl-RS"/>
              </w:rPr>
              <w:t>2,465</w:t>
            </w:r>
            <w:r w:rsidRPr="00CF77C1">
              <w:rPr>
                <w:lang w:val="sr-Cyrl-RS"/>
              </w:rPr>
              <w:t xml:space="preserve"> милиона </w:t>
            </w:r>
            <w:r w:rsidR="006510C8" w:rsidRPr="00CF77C1">
              <w:rPr>
                <w:lang w:val="sr-Cyrl-RS"/>
              </w:rPr>
              <w:t>€</w:t>
            </w:r>
            <w:r w:rsidRPr="00CF77C1">
              <w:rPr>
                <w:lang w:val="sr-Cyrl-RS"/>
              </w:rPr>
              <w:t>;</w:t>
            </w:r>
          </w:p>
          <w:p w14:paraId="0E924F1E" w14:textId="77777777" w:rsidR="00B255A3" w:rsidRPr="00CF77C1" w:rsidRDefault="00B255A3" w:rsidP="0080044B">
            <w:pPr>
              <w:jc w:val="left"/>
              <w:rPr>
                <w:lang w:val="sr-Cyrl-RS"/>
              </w:rPr>
            </w:pPr>
            <w:r w:rsidRPr="00CF77C1">
              <w:rPr>
                <w:lang w:val="sr-Cyrl-RS"/>
              </w:rPr>
              <w:t>Смањење емисије CO</w:t>
            </w:r>
            <w:r w:rsidRPr="00CF77C1">
              <w:rPr>
                <w:vertAlign w:val="subscript"/>
                <w:lang w:val="sr-Cyrl-RS"/>
              </w:rPr>
              <w:t>2</w:t>
            </w:r>
            <w:r w:rsidRPr="00CF77C1">
              <w:rPr>
                <w:lang w:val="sr-Cyrl-RS"/>
              </w:rPr>
              <w:t xml:space="preserve"> ≈ </w:t>
            </w:r>
            <w:r w:rsidR="00BE2617" w:rsidRPr="00CF77C1">
              <w:rPr>
                <w:lang w:val="sr-Cyrl-RS"/>
              </w:rPr>
              <w:t>39</w:t>
            </w:r>
            <w:r w:rsidR="00F14866" w:rsidRPr="00CF77C1">
              <w:rPr>
                <w:lang w:val="sr-Cyrl-RS"/>
              </w:rPr>
              <w:t>.</w:t>
            </w:r>
            <w:r w:rsidR="00BE2617" w:rsidRPr="00CF77C1">
              <w:rPr>
                <w:lang w:val="sr-Cyrl-RS"/>
              </w:rPr>
              <w:t>507</w:t>
            </w:r>
            <w:r w:rsidRPr="00CF77C1">
              <w:rPr>
                <w:lang w:val="sr-Cyrl-RS"/>
              </w:rPr>
              <w:t xml:space="preserve"> t годишње (процена);</w:t>
            </w:r>
          </w:p>
          <w:p w14:paraId="1DF1F317" w14:textId="77777777" w:rsidR="00B255A3" w:rsidRPr="00CF77C1" w:rsidRDefault="00B255A3" w:rsidP="0080044B">
            <w:pPr>
              <w:jc w:val="left"/>
              <w:rPr>
                <w:lang w:val="sr-Cyrl-RS"/>
              </w:rPr>
            </w:pPr>
            <w:r w:rsidRPr="00CF77C1">
              <w:rPr>
                <w:lang w:val="sr-Cyrl-RS"/>
              </w:rPr>
              <w:t xml:space="preserve">Повећање сигурности снабдевања за укупну испоручену енергију: </w:t>
            </w:r>
            <w:r w:rsidR="00BE2617" w:rsidRPr="00CF77C1">
              <w:rPr>
                <w:lang w:val="sr-Cyrl-RS"/>
              </w:rPr>
              <w:t>3072</w:t>
            </w:r>
            <w:r w:rsidRPr="00CF77C1">
              <w:rPr>
                <w:lang w:val="sr-Cyrl-RS"/>
              </w:rPr>
              <w:t xml:space="preserve"> </w:t>
            </w:r>
            <w:r w:rsidR="006C31BF" w:rsidRPr="00CF77C1">
              <w:rPr>
                <w:lang w:val="sr-Cyrl-RS"/>
              </w:rPr>
              <w:t>G</w:t>
            </w:r>
            <w:r w:rsidRPr="00CF77C1">
              <w:rPr>
                <w:lang w:val="sr-Cyrl-RS"/>
              </w:rPr>
              <w:t>Wh;</w:t>
            </w:r>
          </w:p>
          <w:p w14:paraId="66076DE1" w14:textId="1A40E0FB" w:rsidR="00B255A3" w:rsidRPr="00CF77C1" w:rsidRDefault="00B255A3" w:rsidP="0080044B">
            <w:pPr>
              <w:jc w:val="left"/>
              <w:rPr>
                <w:lang w:val="sr-Cyrl-RS"/>
              </w:rPr>
            </w:pPr>
            <w:r w:rsidRPr="00CF77C1">
              <w:rPr>
                <w:lang w:val="sr-Cyrl-RS"/>
              </w:rPr>
              <w:t xml:space="preserve">Број купаца за које се обезбеђује сигурност напајања: </w:t>
            </w:r>
            <w:r w:rsidR="006C31BF" w:rsidRPr="00CF77C1">
              <w:rPr>
                <w:lang w:val="sr-Cyrl-RS"/>
              </w:rPr>
              <w:t>≈</w:t>
            </w:r>
            <w:r w:rsidR="00BE2617" w:rsidRPr="00CF77C1">
              <w:rPr>
                <w:lang w:val="sr-Cyrl-RS"/>
              </w:rPr>
              <w:t>430</w:t>
            </w:r>
            <w:r w:rsidR="00F14866" w:rsidRPr="00CF77C1">
              <w:rPr>
                <w:lang w:val="sr-Cyrl-RS"/>
              </w:rPr>
              <w:t>.</w:t>
            </w:r>
            <w:r w:rsidR="006C31BF" w:rsidRPr="00CF77C1">
              <w:rPr>
                <w:lang w:val="sr-Cyrl-RS"/>
              </w:rPr>
              <w:t>000</w:t>
            </w:r>
            <w:r w:rsidR="00A84A74">
              <w:rPr>
                <w:lang w:val="sr-Cyrl-RS"/>
              </w:rPr>
              <w:t>.</w:t>
            </w:r>
          </w:p>
        </w:tc>
      </w:tr>
    </w:tbl>
    <w:p w14:paraId="50C70B95" w14:textId="6E3711BA" w:rsidR="00C66FDA" w:rsidRPr="00CF77C1" w:rsidRDefault="00D61BC9" w:rsidP="00242883">
      <w:pPr>
        <w:pStyle w:val="Caption"/>
        <w:ind w:firstLine="720"/>
        <w:rPr>
          <w:b w:val="0"/>
          <w:lang w:val="sr-Cyrl-RS"/>
        </w:rPr>
      </w:pPr>
      <w:r w:rsidRPr="00CF77C1">
        <w:rPr>
          <w:b w:val="0"/>
          <w:lang w:val="sr-Cyrl-RS"/>
        </w:rPr>
        <w:t>таб.</w:t>
      </w:r>
      <w:r w:rsidR="00C66FD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26</w:t>
      </w:r>
      <w:r w:rsidR="0092145E" w:rsidRPr="00CF77C1">
        <w:rPr>
          <w:b w:val="0"/>
          <w:lang w:val="sr-Cyrl-RS"/>
        </w:rPr>
        <w:fldChar w:fldCharType="end"/>
      </w:r>
      <w:r w:rsidR="00C66FDA"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27"/>
        <w:gridCol w:w="8221"/>
      </w:tblGrid>
      <w:tr w:rsidR="00C66FDA" w:rsidRPr="00CF77C1" w14:paraId="2CC81B15" w14:textId="77777777" w:rsidTr="00C66FDA">
        <w:trPr>
          <w:cantSplit/>
          <w:tblHeader/>
        </w:trPr>
        <w:tc>
          <w:tcPr>
            <w:tcW w:w="2802" w:type="dxa"/>
            <w:shd w:val="clear" w:color="auto" w:fill="auto"/>
            <w:vAlign w:val="center"/>
          </w:tcPr>
          <w:p w14:paraId="7F142698" w14:textId="77777777" w:rsidR="00C66FDA" w:rsidRPr="00CF77C1" w:rsidRDefault="00C66FDA" w:rsidP="0080044B">
            <w:pPr>
              <w:jc w:val="center"/>
              <w:rPr>
                <w:lang w:val="sr-Cyrl-RS"/>
              </w:rPr>
            </w:pPr>
            <w:r w:rsidRPr="00CF77C1">
              <w:rPr>
                <w:lang w:val="sr-Cyrl-RS"/>
              </w:rPr>
              <w:t>П</w:t>
            </w:r>
            <w:r w:rsidR="001A764A" w:rsidRPr="00CF77C1">
              <w:rPr>
                <w:lang w:val="sr-Cyrl-RS"/>
              </w:rPr>
              <w:t>отп</w:t>
            </w:r>
            <w:r w:rsidRPr="00CF77C1">
              <w:rPr>
                <w:lang w:val="sr-Cyrl-RS"/>
              </w:rPr>
              <w:t>ројекат</w:t>
            </w:r>
          </w:p>
        </w:tc>
        <w:tc>
          <w:tcPr>
            <w:tcW w:w="3827" w:type="dxa"/>
            <w:shd w:val="clear" w:color="auto" w:fill="auto"/>
            <w:vAlign w:val="center"/>
          </w:tcPr>
          <w:p w14:paraId="4319A2C2" w14:textId="77777777" w:rsidR="00C66FDA" w:rsidRPr="00CF77C1" w:rsidRDefault="00C66FDA" w:rsidP="0080044B">
            <w:pPr>
              <w:jc w:val="center"/>
              <w:rPr>
                <w:lang w:val="sr-Cyrl-RS"/>
              </w:rPr>
            </w:pPr>
            <w:r w:rsidRPr="00CF77C1">
              <w:rPr>
                <w:lang w:val="sr-Cyrl-RS"/>
              </w:rPr>
              <w:t>Статус припреме пројекта</w:t>
            </w:r>
          </w:p>
        </w:tc>
        <w:tc>
          <w:tcPr>
            <w:tcW w:w="8221" w:type="dxa"/>
            <w:shd w:val="clear" w:color="auto" w:fill="auto"/>
            <w:vAlign w:val="center"/>
          </w:tcPr>
          <w:p w14:paraId="4985CAF6" w14:textId="77777777" w:rsidR="00C66FDA" w:rsidRPr="00CF77C1" w:rsidRDefault="00C66FDA" w:rsidP="0080044B">
            <w:pPr>
              <w:jc w:val="center"/>
              <w:rPr>
                <w:lang w:val="sr-Cyrl-RS"/>
              </w:rPr>
            </w:pPr>
            <w:r w:rsidRPr="00CF77C1">
              <w:rPr>
                <w:lang w:val="sr-Cyrl-RS"/>
              </w:rPr>
              <w:t>Недостајућа планска и техничка документација</w:t>
            </w:r>
          </w:p>
        </w:tc>
      </w:tr>
      <w:tr w:rsidR="00B255A3" w:rsidRPr="00CF77C1" w14:paraId="10AA3E32" w14:textId="77777777" w:rsidTr="00C66FDA">
        <w:trPr>
          <w:cantSplit/>
        </w:trPr>
        <w:tc>
          <w:tcPr>
            <w:tcW w:w="2802" w:type="dxa"/>
            <w:shd w:val="clear" w:color="auto" w:fill="auto"/>
            <w:vAlign w:val="center"/>
          </w:tcPr>
          <w:p w14:paraId="13C3B4B2" w14:textId="77777777" w:rsidR="00B255A3" w:rsidRPr="00CF77C1" w:rsidRDefault="00B255A3" w:rsidP="0080044B">
            <w:pPr>
              <w:jc w:val="left"/>
              <w:rPr>
                <w:lang w:val="sr-Cyrl-RS"/>
              </w:rPr>
            </w:pPr>
            <w:r w:rsidRPr="00CF77C1">
              <w:rPr>
                <w:lang w:val="sr-Cyrl-RS"/>
              </w:rPr>
              <w:t>ТС 110/X kV Београд 23</w:t>
            </w:r>
            <w:r w:rsidR="001D7735" w:rsidRPr="00CF77C1">
              <w:rPr>
                <w:lang w:val="sr-Cyrl-RS"/>
              </w:rPr>
              <w:t xml:space="preserve"> (Аутокоманда) - 2x40 </w:t>
            </w:r>
            <w:r w:rsidRPr="00CF77C1">
              <w:rPr>
                <w:lang w:val="sr-Cyrl-RS"/>
              </w:rPr>
              <w:t>MVA</w:t>
            </w:r>
          </w:p>
        </w:tc>
        <w:tc>
          <w:tcPr>
            <w:tcW w:w="3827" w:type="dxa"/>
            <w:shd w:val="clear" w:color="auto" w:fill="auto"/>
            <w:vAlign w:val="center"/>
          </w:tcPr>
          <w:p w14:paraId="55F7CFC1" w14:textId="77777777" w:rsidR="00B255A3" w:rsidRPr="00CF77C1" w:rsidRDefault="00B255A3" w:rsidP="0080044B">
            <w:pPr>
              <w:jc w:val="left"/>
              <w:rPr>
                <w:lang w:val="sr-Cyrl-RS"/>
              </w:rPr>
            </w:pPr>
            <w:r w:rsidRPr="00CF77C1">
              <w:rPr>
                <w:lang w:val="sr-Cyrl-RS"/>
              </w:rPr>
              <w:t>Уговорена је I фаза набавке опреме и радова. У току је тендер за II фазу. Започети су грађевински радови на локацији.</w:t>
            </w:r>
          </w:p>
        </w:tc>
        <w:tc>
          <w:tcPr>
            <w:tcW w:w="8221" w:type="dxa"/>
            <w:shd w:val="clear" w:color="auto" w:fill="auto"/>
            <w:vAlign w:val="center"/>
          </w:tcPr>
          <w:p w14:paraId="1EE9F6B5" w14:textId="77777777" w:rsidR="00B255A3" w:rsidRPr="00CF77C1" w:rsidRDefault="00CD5708" w:rsidP="0080044B">
            <w:pPr>
              <w:jc w:val="left"/>
              <w:rPr>
                <w:lang w:val="sr-Cyrl-RS"/>
              </w:rPr>
            </w:pPr>
            <w:r w:rsidRPr="00CF77C1">
              <w:rPr>
                <w:lang w:val="sr-Cyrl-RS"/>
              </w:rPr>
              <w:t>П</w:t>
            </w:r>
            <w:r w:rsidR="00B255A3" w:rsidRPr="00CF77C1">
              <w:rPr>
                <w:lang w:val="sr-Cyrl-RS"/>
              </w:rPr>
              <w:t>ројекат изведеног објекта и употребна дозвола.</w:t>
            </w:r>
          </w:p>
        </w:tc>
      </w:tr>
      <w:tr w:rsidR="00B255A3" w:rsidRPr="00CF77C1" w14:paraId="7CAC8784" w14:textId="77777777" w:rsidTr="00C66FDA">
        <w:trPr>
          <w:cantSplit/>
        </w:trPr>
        <w:tc>
          <w:tcPr>
            <w:tcW w:w="2802" w:type="dxa"/>
            <w:shd w:val="clear" w:color="auto" w:fill="auto"/>
            <w:vAlign w:val="center"/>
          </w:tcPr>
          <w:p w14:paraId="6E20BFBB" w14:textId="77777777" w:rsidR="00B255A3" w:rsidRPr="00CF77C1" w:rsidRDefault="00B255A3" w:rsidP="0080044B">
            <w:pPr>
              <w:jc w:val="left"/>
              <w:rPr>
                <w:lang w:val="sr-Cyrl-RS"/>
              </w:rPr>
            </w:pPr>
            <w:r w:rsidRPr="00CF77C1">
              <w:rPr>
                <w:lang w:val="sr-Cyrl-RS"/>
              </w:rPr>
              <w:t xml:space="preserve">ТС 110/35 kV Београд 42 </w:t>
            </w:r>
            <w:r w:rsidR="001D7735" w:rsidRPr="00CF77C1">
              <w:rPr>
                <w:lang w:val="sr-Cyrl-RS"/>
              </w:rPr>
              <w:t xml:space="preserve">(Гроцка) </w:t>
            </w:r>
            <w:r w:rsidRPr="00CF77C1">
              <w:rPr>
                <w:lang w:val="sr-Cyrl-RS"/>
              </w:rPr>
              <w:t>- 1x31,5 MVA</w:t>
            </w:r>
          </w:p>
        </w:tc>
        <w:tc>
          <w:tcPr>
            <w:tcW w:w="3827" w:type="dxa"/>
            <w:shd w:val="clear" w:color="auto" w:fill="auto"/>
            <w:vAlign w:val="center"/>
          </w:tcPr>
          <w:p w14:paraId="79685248" w14:textId="77777777" w:rsidR="00B255A3" w:rsidRPr="00CF77C1" w:rsidRDefault="00B255A3" w:rsidP="0080044B">
            <w:pPr>
              <w:jc w:val="left"/>
              <w:rPr>
                <w:lang w:val="sr-Cyrl-RS"/>
              </w:rPr>
            </w:pPr>
            <w:r w:rsidRPr="00CF77C1">
              <w:rPr>
                <w:lang w:val="sr-Cyrl-RS"/>
              </w:rPr>
              <w:t xml:space="preserve">У току је припрема </w:t>
            </w:r>
            <w:r w:rsidR="00CD44EE" w:rsidRPr="00CF77C1">
              <w:rPr>
                <w:lang w:val="sr-Cyrl-RS"/>
              </w:rPr>
              <w:t xml:space="preserve">студије оправданости и </w:t>
            </w:r>
            <w:r w:rsidRPr="00CF77C1">
              <w:rPr>
                <w:lang w:val="sr-Cyrl-RS"/>
              </w:rPr>
              <w:t>идејног пројекта.</w:t>
            </w:r>
          </w:p>
        </w:tc>
        <w:tc>
          <w:tcPr>
            <w:tcW w:w="8221" w:type="dxa"/>
            <w:shd w:val="clear" w:color="auto" w:fill="auto"/>
            <w:vAlign w:val="center"/>
          </w:tcPr>
          <w:p w14:paraId="32297CFB" w14:textId="77777777" w:rsidR="00B255A3" w:rsidRPr="00CF77C1" w:rsidRDefault="00244D1A" w:rsidP="0080044B">
            <w:pPr>
              <w:jc w:val="left"/>
              <w:rPr>
                <w:lang w:val="sr-Cyrl-RS"/>
              </w:rPr>
            </w:pPr>
            <w:r w:rsidRPr="00CF77C1">
              <w:rPr>
                <w:lang w:val="sr-Cyrl-RS"/>
              </w:rPr>
              <w:t>С</w:t>
            </w:r>
            <w:r w:rsidR="00B255A3" w:rsidRPr="00CF77C1">
              <w:rPr>
                <w:lang w:val="sr-Cyrl-RS"/>
              </w:rPr>
              <w:t>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2FE21586" w14:textId="77777777" w:rsidTr="00C66FDA">
        <w:trPr>
          <w:cantSplit/>
        </w:trPr>
        <w:tc>
          <w:tcPr>
            <w:tcW w:w="2802" w:type="dxa"/>
            <w:shd w:val="clear" w:color="auto" w:fill="auto"/>
            <w:vAlign w:val="center"/>
          </w:tcPr>
          <w:p w14:paraId="01D7C719" w14:textId="77777777" w:rsidR="00B255A3" w:rsidRPr="00CF77C1" w:rsidRDefault="00B255A3" w:rsidP="0080044B">
            <w:pPr>
              <w:jc w:val="left"/>
              <w:rPr>
                <w:lang w:val="sr-Cyrl-RS"/>
              </w:rPr>
            </w:pPr>
            <w:r w:rsidRPr="00CF77C1">
              <w:rPr>
                <w:lang w:val="sr-Cyrl-RS"/>
              </w:rPr>
              <w:t xml:space="preserve">ТС 110/35 kV Београд 44 </w:t>
            </w:r>
            <w:r w:rsidR="001D7735" w:rsidRPr="00CF77C1">
              <w:rPr>
                <w:lang w:val="sr-Cyrl-RS"/>
              </w:rPr>
              <w:t xml:space="preserve">(Сурчин) </w:t>
            </w:r>
            <w:r w:rsidRPr="00CF77C1">
              <w:rPr>
                <w:lang w:val="sr-Cyrl-RS"/>
              </w:rPr>
              <w:t>- 2x31,5 MVA</w:t>
            </w:r>
          </w:p>
        </w:tc>
        <w:tc>
          <w:tcPr>
            <w:tcW w:w="3827" w:type="dxa"/>
            <w:shd w:val="clear" w:color="auto" w:fill="auto"/>
            <w:vAlign w:val="center"/>
          </w:tcPr>
          <w:p w14:paraId="4DFDAC2D" w14:textId="77777777" w:rsidR="00B255A3" w:rsidRPr="00CF77C1" w:rsidRDefault="00B255A3" w:rsidP="0080044B">
            <w:pPr>
              <w:jc w:val="left"/>
              <w:rPr>
                <w:lang w:val="sr-Cyrl-RS"/>
              </w:rPr>
            </w:pPr>
            <w:r w:rsidRPr="00CF77C1">
              <w:rPr>
                <w:lang w:val="sr-Cyrl-RS"/>
              </w:rPr>
              <w:t>У току је припрема просторно планске документације.</w:t>
            </w:r>
          </w:p>
        </w:tc>
        <w:tc>
          <w:tcPr>
            <w:tcW w:w="8221" w:type="dxa"/>
            <w:shd w:val="clear" w:color="auto" w:fill="auto"/>
            <w:vAlign w:val="center"/>
          </w:tcPr>
          <w:p w14:paraId="17C306A1" w14:textId="77777777" w:rsidR="00B255A3" w:rsidRPr="00CF77C1" w:rsidRDefault="00244D1A" w:rsidP="0080044B">
            <w:pPr>
              <w:jc w:val="left"/>
              <w:rPr>
                <w:lang w:val="sr-Cyrl-RS"/>
              </w:rPr>
            </w:pPr>
            <w:r w:rsidRPr="00CF77C1">
              <w:rPr>
                <w:lang w:val="sr-Cyrl-RS"/>
              </w:rPr>
              <w:t>План детаљне регулације</w:t>
            </w:r>
            <w:r w:rsidR="00B255A3" w:rsidRPr="00CF77C1">
              <w:rPr>
                <w:lang w:val="sr-Cyrl-RS"/>
              </w:rPr>
              <w:t>,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4AFDDDA9" w14:textId="77777777" w:rsidTr="00C66FDA">
        <w:trPr>
          <w:cantSplit/>
        </w:trPr>
        <w:tc>
          <w:tcPr>
            <w:tcW w:w="2802" w:type="dxa"/>
            <w:shd w:val="clear" w:color="auto" w:fill="auto"/>
            <w:vAlign w:val="center"/>
          </w:tcPr>
          <w:p w14:paraId="0F6070A7" w14:textId="77777777" w:rsidR="00B255A3" w:rsidRPr="00CF77C1" w:rsidRDefault="00B255A3" w:rsidP="0080044B">
            <w:pPr>
              <w:jc w:val="left"/>
              <w:rPr>
                <w:lang w:val="sr-Cyrl-RS"/>
              </w:rPr>
            </w:pPr>
            <w:r w:rsidRPr="00CF77C1">
              <w:rPr>
                <w:lang w:val="sr-Cyrl-RS"/>
              </w:rPr>
              <w:t>ТС 110/10 kV Београд 43</w:t>
            </w:r>
            <w:r w:rsidR="001D7735" w:rsidRPr="00CF77C1">
              <w:rPr>
                <w:lang w:val="sr-Cyrl-RS"/>
              </w:rPr>
              <w:t xml:space="preserve"> (Железник)</w:t>
            </w:r>
            <w:r w:rsidRPr="00CF77C1">
              <w:rPr>
                <w:lang w:val="sr-Cyrl-RS"/>
              </w:rPr>
              <w:t xml:space="preserve"> - 2x20 MVA</w:t>
            </w:r>
          </w:p>
        </w:tc>
        <w:tc>
          <w:tcPr>
            <w:tcW w:w="3827" w:type="dxa"/>
            <w:shd w:val="clear" w:color="auto" w:fill="auto"/>
            <w:vAlign w:val="center"/>
          </w:tcPr>
          <w:p w14:paraId="01CE6846" w14:textId="77777777" w:rsidR="00B255A3" w:rsidRPr="00CF77C1" w:rsidRDefault="00B255A3" w:rsidP="0080044B">
            <w:pPr>
              <w:jc w:val="left"/>
              <w:rPr>
                <w:lang w:val="sr-Cyrl-RS"/>
              </w:rPr>
            </w:pPr>
            <w:r w:rsidRPr="00CF77C1">
              <w:rPr>
                <w:lang w:val="sr-Cyrl-RS"/>
              </w:rPr>
              <w:t>Завршена је израда идејног решења.</w:t>
            </w:r>
          </w:p>
        </w:tc>
        <w:tc>
          <w:tcPr>
            <w:tcW w:w="8221" w:type="dxa"/>
            <w:shd w:val="clear" w:color="auto" w:fill="auto"/>
            <w:vAlign w:val="center"/>
          </w:tcPr>
          <w:p w14:paraId="66830258" w14:textId="77777777" w:rsidR="00B255A3" w:rsidRPr="00CF77C1" w:rsidRDefault="00342C68" w:rsidP="0080044B">
            <w:pPr>
              <w:jc w:val="left"/>
              <w:rPr>
                <w:lang w:val="sr-Cyrl-RS"/>
              </w:rPr>
            </w:pPr>
            <w:r w:rsidRPr="00CF77C1">
              <w:rPr>
                <w:lang w:val="sr-Cyrl-RS"/>
              </w:rPr>
              <w:t>Л</w:t>
            </w:r>
            <w:r w:rsidR="00B255A3" w:rsidRPr="00CF77C1">
              <w:rPr>
                <w:lang w:val="sr-Cyrl-RS"/>
              </w:rPr>
              <w:t>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1FEFE040" w14:textId="77777777" w:rsidTr="00C66FDA">
        <w:trPr>
          <w:cantSplit/>
        </w:trPr>
        <w:tc>
          <w:tcPr>
            <w:tcW w:w="2802" w:type="dxa"/>
            <w:shd w:val="clear" w:color="auto" w:fill="auto"/>
            <w:vAlign w:val="center"/>
          </w:tcPr>
          <w:p w14:paraId="082D7843" w14:textId="77777777" w:rsidR="00B255A3" w:rsidRPr="00CF77C1" w:rsidRDefault="00B255A3" w:rsidP="0080044B">
            <w:pPr>
              <w:jc w:val="left"/>
              <w:rPr>
                <w:lang w:val="sr-Cyrl-RS"/>
              </w:rPr>
            </w:pPr>
            <w:r w:rsidRPr="00CF77C1">
              <w:rPr>
                <w:lang w:val="sr-Cyrl-RS"/>
              </w:rPr>
              <w:t>ТС 110/</w:t>
            </w:r>
            <w:r w:rsidR="001A764A" w:rsidRPr="00CF77C1">
              <w:rPr>
                <w:lang w:val="sr-Cyrl-RS"/>
              </w:rPr>
              <w:t>35/10</w:t>
            </w:r>
            <w:r w:rsidRPr="00CF77C1">
              <w:rPr>
                <w:lang w:val="sr-Cyrl-RS"/>
              </w:rPr>
              <w:t xml:space="preserve"> kV Сокобања - 1x31,5 MVA</w:t>
            </w:r>
          </w:p>
        </w:tc>
        <w:tc>
          <w:tcPr>
            <w:tcW w:w="3827" w:type="dxa"/>
            <w:shd w:val="clear" w:color="auto" w:fill="auto"/>
            <w:vAlign w:val="center"/>
          </w:tcPr>
          <w:p w14:paraId="536B49FA" w14:textId="77777777" w:rsidR="00B255A3" w:rsidRPr="00CF77C1" w:rsidRDefault="00342C68" w:rsidP="0080044B">
            <w:pPr>
              <w:jc w:val="left"/>
              <w:rPr>
                <w:lang w:val="sr-Cyrl-RS"/>
              </w:rPr>
            </w:pPr>
            <w:r w:rsidRPr="00CF77C1">
              <w:rPr>
                <w:lang w:val="sr-Cyrl-RS"/>
              </w:rPr>
              <w:t>У току је изградња објекта.</w:t>
            </w:r>
          </w:p>
        </w:tc>
        <w:tc>
          <w:tcPr>
            <w:tcW w:w="8221" w:type="dxa"/>
            <w:shd w:val="clear" w:color="auto" w:fill="auto"/>
            <w:vAlign w:val="center"/>
          </w:tcPr>
          <w:p w14:paraId="5601D908" w14:textId="77777777" w:rsidR="00B255A3" w:rsidRPr="00CF77C1" w:rsidRDefault="00B255A3" w:rsidP="0080044B">
            <w:pPr>
              <w:jc w:val="left"/>
              <w:rPr>
                <w:lang w:val="sr-Cyrl-RS"/>
              </w:rPr>
            </w:pPr>
            <w:r w:rsidRPr="00CF77C1">
              <w:rPr>
                <w:lang w:val="sr-Cyrl-RS"/>
              </w:rPr>
              <w:t>Употребна дозвола.</w:t>
            </w:r>
          </w:p>
        </w:tc>
      </w:tr>
      <w:tr w:rsidR="00B255A3" w:rsidRPr="00CF77C1" w14:paraId="31CEA141" w14:textId="77777777" w:rsidTr="00C66FDA">
        <w:trPr>
          <w:cantSplit/>
        </w:trPr>
        <w:tc>
          <w:tcPr>
            <w:tcW w:w="2802" w:type="dxa"/>
            <w:shd w:val="clear" w:color="auto" w:fill="auto"/>
            <w:vAlign w:val="center"/>
          </w:tcPr>
          <w:p w14:paraId="507AB0A5" w14:textId="77777777" w:rsidR="00B255A3" w:rsidRPr="00CF77C1" w:rsidRDefault="00B255A3" w:rsidP="0080044B">
            <w:pPr>
              <w:jc w:val="left"/>
              <w:rPr>
                <w:lang w:val="sr-Cyrl-RS"/>
              </w:rPr>
            </w:pPr>
            <w:r w:rsidRPr="00CF77C1">
              <w:rPr>
                <w:lang w:val="sr-Cyrl-RS"/>
              </w:rPr>
              <w:t>ТС 110/</w:t>
            </w:r>
            <w:r w:rsidR="001A764A" w:rsidRPr="00CF77C1">
              <w:rPr>
                <w:lang w:val="sr-Cyrl-RS"/>
              </w:rPr>
              <w:t>10</w:t>
            </w:r>
            <w:r w:rsidRPr="00CF77C1">
              <w:rPr>
                <w:lang w:val="sr-Cyrl-RS"/>
              </w:rPr>
              <w:t xml:space="preserve"> kV Ниш 6 - 2x31,5 MVA</w:t>
            </w:r>
          </w:p>
        </w:tc>
        <w:tc>
          <w:tcPr>
            <w:tcW w:w="3827" w:type="dxa"/>
            <w:shd w:val="clear" w:color="auto" w:fill="auto"/>
            <w:vAlign w:val="center"/>
          </w:tcPr>
          <w:p w14:paraId="0DD78907" w14:textId="77777777" w:rsidR="00B255A3" w:rsidRPr="00CF77C1" w:rsidRDefault="00B255A3" w:rsidP="0080044B">
            <w:pPr>
              <w:jc w:val="left"/>
              <w:rPr>
                <w:lang w:val="sr-Cyrl-RS"/>
              </w:rPr>
            </w:pPr>
            <w:r w:rsidRPr="00CF77C1">
              <w:rPr>
                <w:lang w:val="sr-Cyrl-RS"/>
              </w:rPr>
              <w:t>Пројекат је тренутно у процесу добијања грађевинске дозволе.</w:t>
            </w:r>
          </w:p>
        </w:tc>
        <w:tc>
          <w:tcPr>
            <w:tcW w:w="8221" w:type="dxa"/>
            <w:shd w:val="clear" w:color="auto" w:fill="auto"/>
            <w:vAlign w:val="center"/>
          </w:tcPr>
          <w:p w14:paraId="20B09847" w14:textId="77777777" w:rsidR="00B255A3" w:rsidRPr="00CF77C1" w:rsidRDefault="00342C68" w:rsidP="0080044B">
            <w:pPr>
              <w:jc w:val="left"/>
              <w:rPr>
                <w:lang w:val="sr-Cyrl-RS"/>
              </w:rPr>
            </w:pPr>
            <w:r w:rsidRPr="00CF77C1">
              <w:rPr>
                <w:lang w:val="sr-Cyrl-RS"/>
              </w:rPr>
              <w:t>Г</w:t>
            </w:r>
            <w:r w:rsidR="00B255A3" w:rsidRPr="00CF77C1">
              <w:rPr>
                <w:lang w:val="sr-Cyrl-RS"/>
              </w:rPr>
              <w:t>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1F85F197" w14:textId="77777777" w:rsidTr="00C66FDA">
        <w:trPr>
          <w:cantSplit/>
        </w:trPr>
        <w:tc>
          <w:tcPr>
            <w:tcW w:w="2802" w:type="dxa"/>
            <w:shd w:val="clear" w:color="auto" w:fill="auto"/>
            <w:vAlign w:val="center"/>
          </w:tcPr>
          <w:p w14:paraId="5F0CFCB3" w14:textId="77777777" w:rsidR="00B255A3" w:rsidRPr="00CF77C1" w:rsidRDefault="00B255A3" w:rsidP="0080044B">
            <w:pPr>
              <w:jc w:val="left"/>
              <w:rPr>
                <w:lang w:val="sr-Cyrl-RS"/>
              </w:rPr>
            </w:pPr>
            <w:r w:rsidRPr="00CF77C1">
              <w:rPr>
                <w:lang w:val="sr-Cyrl-RS"/>
              </w:rPr>
              <w:t>ТС 110/X kV Бела Паланка - 2x20 MVA</w:t>
            </w:r>
          </w:p>
        </w:tc>
        <w:tc>
          <w:tcPr>
            <w:tcW w:w="3827" w:type="dxa"/>
            <w:shd w:val="clear" w:color="auto" w:fill="auto"/>
            <w:vAlign w:val="center"/>
          </w:tcPr>
          <w:p w14:paraId="104740D0" w14:textId="77777777" w:rsidR="00B255A3" w:rsidRPr="00CF77C1" w:rsidRDefault="00B255A3" w:rsidP="0080044B">
            <w:pPr>
              <w:jc w:val="left"/>
              <w:rPr>
                <w:lang w:val="sr-Cyrl-RS"/>
              </w:rPr>
            </w:pPr>
            <w:r w:rsidRPr="00CF77C1">
              <w:rPr>
                <w:lang w:val="sr-Cyrl-RS"/>
              </w:rPr>
              <w:t>Нема реализованих инвестиционих активности.</w:t>
            </w:r>
          </w:p>
        </w:tc>
        <w:tc>
          <w:tcPr>
            <w:tcW w:w="8221" w:type="dxa"/>
            <w:shd w:val="clear" w:color="auto" w:fill="auto"/>
            <w:vAlign w:val="center"/>
          </w:tcPr>
          <w:p w14:paraId="188E209D" w14:textId="77777777" w:rsidR="00B255A3" w:rsidRPr="00CF77C1" w:rsidRDefault="00B255A3"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0AEC662C" w14:textId="77777777" w:rsidTr="00C66FDA">
        <w:trPr>
          <w:cantSplit/>
        </w:trPr>
        <w:tc>
          <w:tcPr>
            <w:tcW w:w="2802" w:type="dxa"/>
            <w:shd w:val="clear" w:color="auto" w:fill="auto"/>
            <w:vAlign w:val="center"/>
          </w:tcPr>
          <w:p w14:paraId="7091FD6D" w14:textId="77777777" w:rsidR="00B255A3" w:rsidRPr="00CF77C1" w:rsidRDefault="00B255A3" w:rsidP="0080044B">
            <w:pPr>
              <w:jc w:val="left"/>
              <w:rPr>
                <w:lang w:val="sr-Cyrl-RS"/>
              </w:rPr>
            </w:pPr>
            <w:r w:rsidRPr="00CF77C1">
              <w:rPr>
                <w:lang w:val="sr-Cyrl-RS"/>
              </w:rPr>
              <w:t>ТС 110/X kV Бољевац</w:t>
            </w:r>
            <w:r w:rsidR="00107CB4" w:rsidRPr="00CF77C1">
              <w:rPr>
                <w:lang w:val="sr-Cyrl-RS"/>
              </w:rPr>
              <w:t xml:space="preserve"> - 2x31,5 MVA</w:t>
            </w:r>
          </w:p>
        </w:tc>
        <w:tc>
          <w:tcPr>
            <w:tcW w:w="3827" w:type="dxa"/>
            <w:shd w:val="clear" w:color="auto" w:fill="auto"/>
            <w:vAlign w:val="center"/>
          </w:tcPr>
          <w:p w14:paraId="2BB43B0E" w14:textId="77777777" w:rsidR="00B255A3" w:rsidRPr="00CF77C1" w:rsidRDefault="00B255A3" w:rsidP="0080044B">
            <w:pPr>
              <w:jc w:val="left"/>
              <w:rPr>
                <w:lang w:val="sr-Cyrl-RS"/>
              </w:rPr>
            </w:pPr>
            <w:r w:rsidRPr="00CF77C1">
              <w:rPr>
                <w:lang w:val="sr-Cyrl-RS"/>
              </w:rPr>
              <w:t>Нема реализованих инвестиционих активности.</w:t>
            </w:r>
          </w:p>
        </w:tc>
        <w:tc>
          <w:tcPr>
            <w:tcW w:w="8221" w:type="dxa"/>
            <w:shd w:val="clear" w:color="auto" w:fill="auto"/>
            <w:vAlign w:val="center"/>
          </w:tcPr>
          <w:p w14:paraId="3C4A56B0" w14:textId="77777777" w:rsidR="00B255A3" w:rsidRPr="00CF77C1" w:rsidRDefault="00B255A3"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1E4D7573" w14:textId="77777777" w:rsidTr="00C66FDA">
        <w:trPr>
          <w:cantSplit/>
        </w:trPr>
        <w:tc>
          <w:tcPr>
            <w:tcW w:w="2802" w:type="dxa"/>
            <w:shd w:val="clear" w:color="auto" w:fill="auto"/>
            <w:vAlign w:val="center"/>
          </w:tcPr>
          <w:p w14:paraId="2A185D5C" w14:textId="77777777" w:rsidR="00B255A3" w:rsidRPr="00CF77C1" w:rsidRDefault="00B255A3" w:rsidP="0080044B">
            <w:pPr>
              <w:jc w:val="left"/>
              <w:rPr>
                <w:lang w:val="sr-Cyrl-RS"/>
              </w:rPr>
            </w:pPr>
            <w:r w:rsidRPr="00CF77C1">
              <w:rPr>
                <w:lang w:val="sr-Cyrl-RS"/>
              </w:rPr>
              <w:t>ТС 110/</w:t>
            </w:r>
            <w:r w:rsidR="001A764A" w:rsidRPr="00CF77C1">
              <w:rPr>
                <w:lang w:val="sr-Cyrl-RS"/>
              </w:rPr>
              <w:t>10</w:t>
            </w:r>
            <w:r w:rsidRPr="00CF77C1">
              <w:rPr>
                <w:lang w:val="sr-Cyrl-RS"/>
              </w:rPr>
              <w:t xml:space="preserve"> kV Лесковац 5</w:t>
            </w:r>
            <w:r w:rsidR="00107CB4" w:rsidRPr="00CF77C1">
              <w:rPr>
                <w:lang w:val="sr-Cyrl-RS"/>
              </w:rPr>
              <w:t xml:space="preserve"> - 2x31,5 MVA</w:t>
            </w:r>
          </w:p>
        </w:tc>
        <w:tc>
          <w:tcPr>
            <w:tcW w:w="3827" w:type="dxa"/>
            <w:shd w:val="clear" w:color="auto" w:fill="auto"/>
            <w:vAlign w:val="center"/>
          </w:tcPr>
          <w:p w14:paraId="03C24ED1" w14:textId="77777777" w:rsidR="00B255A3" w:rsidRPr="00CF77C1" w:rsidRDefault="00B255A3" w:rsidP="0080044B">
            <w:pPr>
              <w:jc w:val="left"/>
              <w:rPr>
                <w:lang w:val="sr-Cyrl-RS"/>
              </w:rPr>
            </w:pPr>
            <w:r w:rsidRPr="00CF77C1">
              <w:rPr>
                <w:lang w:val="sr-Cyrl-RS"/>
              </w:rPr>
              <w:t>Нема реализованих инвестиционих активности.</w:t>
            </w:r>
          </w:p>
        </w:tc>
        <w:tc>
          <w:tcPr>
            <w:tcW w:w="8221" w:type="dxa"/>
            <w:shd w:val="clear" w:color="auto" w:fill="auto"/>
            <w:vAlign w:val="center"/>
          </w:tcPr>
          <w:p w14:paraId="50566AD6" w14:textId="77777777" w:rsidR="00B255A3" w:rsidRPr="00CF77C1" w:rsidRDefault="00B255A3"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31BA0E17" w14:textId="77777777" w:rsidTr="00C66FDA">
        <w:trPr>
          <w:cantSplit/>
        </w:trPr>
        <w:tc>
          <w:tcPr>
            <w:tcW w:w="2802" w:type="dxa"/>
            <w:shd w:val="clear" w:color="auto" w:fill="auto"/>
            <w:vAlign w:val="center"/>
          </w:tcPr>
          <w:p w14:paraId="1C9F9139" w14:textId="77777777" w:rsidR="00B255A3" w:rsidRPr="00CF77C1" w:rsidRDefault="00B255A3" w:rsidP="0080044B">
            <w:pPr>
              <w:jc w:val="left"/>
              <w:rPr>
                <w:lang w:val="sr-Cyrl-RS"/>
              </w:rPr>
            </w:pPr>
            <w:r w:rsidRPr="00CF77C1">
              <w:rPr>
                <w:lang w:val="sr-Cyrl-RS"/>
              </w:rPr>
              <w:t>ТС 110/X kV Стара планина</w:t>
            </w:r>
            <w:r w:rsidR="00107CB4" w:rsidRPr="00CF77C1">
              <w:rPr>
                <w:lang w:val="sr-Cyrl-RS"/>
              </w:rPr>
              <w:t xml:space="preserve"> - 2x31,5 MVA</w:t>
            </w:r>
          </w:p>
        </w:tc>
        <w:tc>
          <w:tcPr>
            <w:tcW w:w="3827" w:type="dxa"/>
            <w:shd w:val="clear" w:color="auto" w:fill="auto"/>
            <w:vAlign w:val="center"/>
          </w:tcPr>
          <w:p w14:paraId="30930662" w14:textId="77777777" w:rsidR="00B255A3" w:rsidRPr="00CF77C1" w:rsidRDefault="00B255A3" w:rsidP="0080044B">
            <w:pPr>
              <w:jc w:val="left"/>
              <w:rPr>
                <w:lang w:val="sr-Cyrl-RS"/>
              </w:rPr>
            </w:pPr>
            <w:r w:rsidRPr="00CF77C1">
              <w:rPr>
                <w:lang w:val="sr-Cyrl-RS"/>
              </w:rPr>
              <w:t>Нема реализованих инвестиционих активности.</w:t>
            </w:r>
          </w:p>
        </w:tc>
        <w:tc>
          <w:tcPr>
            <w:tcW w:w="8221" w:type="dxa"/>
            <w:shd w:val="clear" w:color="auto" w:fill="auto"/>
            <w:vAlign w:val="center"/>
          </w:tcPr>
          <w:p w14:paraId="1368ACCE" w14:textId="77777777" w:rsidR="00B255A3" w:rsidRPr="00CF77C1" w:rsidRDefault="00B255A3"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7319A7E7" w14:textId="77777777" w:rsidTr="00C66FDA">
        <w:trPr>
          <w:cantSplit/>
        </w:trPr>
        <w:tc>
          <w:tcPr>
            <w:tcW w:w="2802" w:type="dxa"/>
            <w:shd w:val="clear" w:color="auto" w:fill="auto"/>
            <w:vAlign w:val="center"/>
          </w:tcPr>
          <w:p w14:paraId="49BB451F" w14:textId="77777777" w:rsidR="00B255A3" w:rsidRPr="00CF77C1" w:rsidRDefault="00B255A3" w:rsidP="0080044B">
            <w:pPr>
              <w:jc w:val="left"/>
              <w:rPr>
                <w:lang w:val="sr-Cyrl-RS"/>
              </w:rPr>
            </w:pPr>
            <w:r w:rsidRPr="00CF77C1">
              <w:rPr>
                <w:lang w:val="sr-Cyrl-RS"/>
              </w:rPr>
              <w:t>Т</w:t>
            </w:r>
            <w:r w:rsidR="001D7735" w:rsidRPr="00CF77C1">
              <w:rPr>
                <w:lang w:val="sr-Cyrl-RS"/>
              </w:rPr>
              <w:t>С 110/20 kV Србобран 2 - 1x31,5 </w:t>
            </w:r>
            <w:r w:rsidRPr="00CF77C1">
              <w:rPr>
                <w:lang w:val="sr-Cyrl-RS"/>
              </w:rPr>
              <w:t>MVA</w:t>
            </w:r>
          </w:p>
        </w:tc>
        <w:tc>
          <w:tcPr>
            <w:tcW w:w="3827" w:type="dxa"/>
            <w:shd w:val="clear" w:color="auto" w:fill="auto"/>
            <w:vAlign w:val="center"/>
          </w:tcPr>
          <w:p w14:paraId="30579C04" w14:textId="77777777" w:rsidR="00B255A3" w:rsidRPr="00CF77C1" w:rsidRDefault="00CD25F9" w:rsidP="0080044B">
            <w:pPr>
              <w:jc w:val="left"/>
              <w:rPr>
                <w:lang w:val="sr-Cyrl-RS"/>
              </w:rPr>
            </w:pPr>
            <w:r w:rsidRPr="00CF77C1">
              <w:rPr>
                <w:lang w:val="sr-Cyrl-RS"/>
              </w:rPr>
              <w:t>Припремљено је идејно решење и локацијски услови.</w:t>
            </w:r>
          </w:p>
        </w:tc>
        <w:tc>
          <w:tcPr>
            <w:tcW w:w="8221" w:type="dxa"/>
            <w:shd w:val="clear" w:color="auto" w:fill="auto"/>
            <w:vAlign w:val="center"/>
          </w:tcPr>
          <w:p w14:paraId="2C09128E" w14:textId="77777777" w:rsidR="00B255A3" w:rsidRPr="00CF77C1" w:rsidRDefault="00CD25F9" w:rsidP="0080044B">
            <w:pPr>
              <w:jc w:val="left"/>
              <w:rPr>
                <w:lang w:val="sr-Cyrl-RS"/>
              </w:rPr>
            </w:pPr>
            <w:r w:rsidRPr="00CF77C1">
              <w:rPr>
                <w:lang w:val="sr-Cyrl-RS"/>
              </w:rPr>
              <w:t>С</w:t>
            </w:r>
            <w:r w:rsidR="00B255A3" w:rsidRPr="00CF77C1">
              <w:rPr>
                <w:lang w:val="sr-Cyrl-RS"/>
              </w:rPr>
              <w:t>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B255A3" w:rsidRPr="00CF77C1" w14:paraId="7F20FD61" w14:textId="77777777" w:rsidTr="00C66FDA">
        <w:trPr>
          <w:cantSplit/>
        </w:trPr>
        <w:tc>
          <w:tcPr>
            <w:tcW w:w="2802" w:type="dxa"/>
            <w:shd w:val="clear" w:color="auto" w:fill="auto"/>
            <w:vAlign w:val="center"/>
          </w:tcPr>
          <w:p w14:paraId="3A4B2C59" w14:textId="77777777" w:rsidR="00B255A3" w:rsidRPr="00CF77C1" w:rsidRDefault="00B255A3" w:rsidP="0080044B">
            <w:pPr>
              <w:jc w:val="left"/>
              <w:rPr>
                <w:lang w:val="sr-Cyrl-RS"/>
              </w:rPr>
            </w:pPr>
            <w:r w:rsidRPr="00CF77C1">
              <w:rPr>
                <w:lang w:val="sr-Cyrl-RS"/>
              </w:rPr>
              <w:t>ТС 110/20 kV Крњеш</w:t>
            </w:r>
            <w:r w:rsidR="001D7735" w:rsidRPr="00CF77C1">
              <w:rPr>
                <w:lang w:val="sr-Cyrl-RS"/>
              </w:rPr>
              <w:t>евци - 1x31,5 </w:t>
            </w:r>
            <w:r w:rsidRPr="00CF77C1">
              <w:rPr>
                <w:lang w:val="sr-Cyrl-RS"/>
              </w:rPr>
              <w:t>MVA</w:t>
            </w:r>
          </w:p>
        </w:tc>
        <w:tc>
          <w:tcPr>
            <w:tcW w:w="3827" w:type="dxa"/>
            <w:shd w:val="clear" w:color="auto" w:fill="auto"/>
            <w:vAlign w:val="center"/>
          </w:tcPr>
          <w:p w14:paraId="70F12DAB" w14:textId="77777777" w:rsidR="00B255A3" w:rsidRPr="00CF77C1" w:rsidRDefault="00B255A3" w:rsidP="0080044B">
            <w:pPr>
              <w:jc w:val="left"/>
              <w:rPr>
                <w:lang w:val="sr-Cyrl-RS"/>
              </w:rPr>
            </w:pPr>
            <w:r w:rsidRPr="00CF77C1">
              <w:rPr>
                <w:lang w:val="sr-Cyrl-RS"/>
              </w:rPr>
              <w:t>У току су припремни радови на изградњи објекта.</w:t>
            </w:r>
          </w:p>
        </w:tc>
        <w:tc>
          <w:tcPr>
            <w:tcW w:w="8221" w:type="dxa"/>
            <w:shd w:val="clear" w:color="auto" w:fill="auto"/>
            <w:vAlign w:val="center"/>
          </w:tcPr>
          <w:p w14:paraId="6F71E311" w14:textId="77777777" w:rsidR="00B255A3" w:rsidRPr="00CF77C1" w:rsidRDefault="00B255A3" w:rsidP="0080044B">
            <w:pPr>
              <w:jc w:val="left"/>
              <w:rPr>
                <w:lang w:val="sr-Cyrl-RS"/>
              </w:rPr>
            </w:pPr>
            <w:r w:rsidRPr="00CF77C1">
              <w:rPr>
                <w:lang w:val="sr-Cyrl-RS"/>
              </w:rPr>
              <w:t>Пројекат за извођење, пројекат изведеног објекта, употребна дозвола.</w:t>
            </w:r>
          </w:p>
        </w:tc>
      </w:tr>
      <w:tr w:rsidR="001D7735" w:rsidRPr="00CF77C1" w14:paraId="4693849D" w14:textId="77777777" w:rsidTr="00C66FDA">
        <w:trPr>
          <w:cantSplit/>
        </w:trPr>
        <w:tc>
          <w:tcPr>
            <w:tcW w:w="2802" w:type="dxa"/>
            <w:shd w:val="clear" w:color="auto" w:fill="auto"/>
            <w:vAlign w:val="center"/>
          </w:tcPr>
          <w:p w14:paraId="2FA57C55" w14:textId="77777777" w:rsidR="001D7735" w:rsidRPr="00CF77C1" w:rsidRDefault="001D7735" w:rsidP="0080044B">
            <w:pPr>
              <w:jc w:val="left"/>
              <w:rPr>
                <w:lang w:val="sr-Cyrl-RS"/>
              </w:rPr>
            </w:pPr>
            <w:r w:rsidRPr="00CF77C1">
              <w:rPr>
                <w:lang w:val="sr-Cyrl-RS"/>
              </w:rPr>
              <w:t>ТС 110/20 kV Перлез - 1x20 MVA</w:t>
            </w:r>
          </w:p>
        </w:tc>
        <w:tc>
          <w:tcPr>
            <w:tcW w:w="3827" w:type="dxa"/>
            <w:shd w:val="clear" w:color="auto" w:fill="auto"/>
            <w:vAlign w:val="center"/>
          </w:tcPr>
          <w:p w14:paraId="7A9F99B9" w14:textId="72C37F5F" w:rsidR="001D7735" w:rsidRPr="00CF77C1" w:rsidRDefault="001D7735" w:rsidP="0080044B">
            <w:pPr>
              <w:jc w:val="left"/>
              <w:rPr>
                <w:lang w:val="sr-Cyrl-RS"/>
              </w:rPr>
            </w:pPr>
            <w:r w:rsidRPr="00CF77C1">
              <w:rPr>
                <w:lang w:val="sr-Cyrl-RS"/>
              </w:rPr>
              <w:t>Завршена је израда идејног решења и обезбеђени су локацијски услови. Није јасан статус идејног пројекта, студије оправданости и студије процене ут</w:t>
            </w:r>
            <w:r w:rsidR="007C592D">
              <w:rPr>
                <w:lang w:val="sr-Cyrl-RS"/>
              </w:rPr>
              <w:t>ицаја на животну средину</w:t>
            </w:r>
            <w:r w:rsidRPr="00CF77C1">
              <w:rPr>
                <w:lang w:val="sr-Cyrl-RS"/>
              </w:rPr>
              <w:t>.</w:t>
            </w:r>
          </w:p>
        </w:tc>
        <w:tc>
          <w:tcPr>
            <w:tcW w:w="8221" w:type="dxa"/>
            <w:shd w:val="clear" w:color="auto" w:fill="auto"/>
            <w:vAlign w:val="center"/>
          </w:tcPr>
          <w:p w14:paraId="57D94E09" w14:textId="77777777" w:rsidR="001D7735" w:rsidRPr="00CF77C1" w:rsidRDefault="001D7735" w:rsidP="0080044B">
            <w:pPr>
              <w:jc w:val="left"/>
              <w:rPr>
                <w:lang w:val="sr-Cyrl-RS"/>
              </w:rPr>
            </w:pPr>
            <w:r w:rsidRPr="00CF77C1">
              <w:rPr>
                <w:lang w:val="sr-Cyrl-RS"/>
              </w:rPr>
              <w:t>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5EBF086A" w14:textId="77777777" w:rsidTr="00C66FDA">
        <w:trPr>
          <w:cantSplit/>
        </w:trPr>
        <w:tc>
          <w:tcPr>
            <w:tcW w:w="2802" w:type="dxa"/>
            <w:shd w:val="clear" w:color="auto" w:fill="auto"/>
            <w:vAlign w:val="center"/>
          </w:tcPr>
          <w:p w14:paraId="2453509B" w14:textId="77777777" w:rsidR="001D7735" w:rsidRPr="00CF77C1" w:rsidRDefault="001D7735" w:rsidP="0080044B">
            <w:pPr>
              <w:jc w:val="left"/>
              <w:rPr>
                <w:lang w:val="sr-Cyrl-RS"/>
              </w:rPr>
            </w:pPr>
            <w:r w:rsidRPr="00CF77C1">
              <w:rPr>
                <w:lang w:val="sr-Cyrl-RS"/>
              </w:rPr>
              <w:t>ТС 110/X kV Пландиште - 1x31,5 MVA</w:t>
            </w:r>
          </w:p>
        </w:tc>
        <w:tc>
          <w:tcPr>
            <w:tcW w:w="3827" w:type="dxa"/>
            <w:shd w:val="clear" w:color="auto" w:fill="auto"/>
            <w:vAlign w:val="center"/>
          </w:tcPr>
          <w:p w14:paraId="2B480E6C" w14:textId="665452F0" w:rsidR="001D7735" w:rsidRPr="00CF77C1" w:rsidRDefault="001D7735" w:rsidP="0080044B">
            <w:pPr>
              <w:jc w:val="left"/>
              <w:rPr>
                <w:lang w:val="sr-Cyrl-RS"/>
              </w:rPr>
            </w:pPr>
            <w:r w:rsidRPr="00CF77C1">
              <w:rPr>
                <w:lang w:val="sr-Cyrl-RS"/>
              </w:rPr>
              <w:t>Нема реализованих инвестиционих активности</w:t>
            </w:r>
            <w:r w:rsidR="007C592D">
              <w:rPr>
                <w:lang w:val="sr-Cyrl-RS"/>
              </w:rPr>
              <w:t>.</w:t>
            </w:r>
          </w:p>
        </w:tc>
        <w:tc>
          <w:tcPr>
            <w:tcW w:w="8221" w:type="dxa"/>
            <w:shd w:val="clear" w:color="auto" w:fill="auto"/>
            <w:vAlign w:val="center"/>
          </w:tcPr>
          <w:p w14:paraId="065DFCFC"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2579C32A" w14:textId="77777777" w:rsidTr="00C66FDA">
        <w:trPr>
          <w:cantSplit/>
        </w:trPr>
        <w:tc>
          <w:tcPr>
            <w:tcW w:w="2802" w:type="dxa"/>
            <w:shd w:val="clear" w:color="auto" w:fill="auto"/>
            <w:vAlign w:val="center"/>
          </w:tcPr>
          <w:p w14:paraId="61B2C58A" w14:textId="77777777" w:rsidR="001D7735" w:rsidRPr="00CF77C1" w:rsidRDefault="001D7735" w:rsidP="0080044B">
            <w:pPr>
              <w:jc w:val="left"/>
              <w:rPr>
                <w:lang w:val="sr-Cyrl-RS"/>
              </w:rPr>
            </w:pPr>
            <w:r w:rsidRPr="00CF77C1">
              <w:rPr>
                <w:lang w:val="sr-Cyrl-RS"/>
              </w:rPr>
              <w:t>ТС 110/20 kV Беочин - 2x31,5 MVA</w:t>
            </w:r>
          </w:p>
        </w:tc>
        <w:tc>
          <w:tcPr>
            <w:tcW w:w="3827" w:type="dxa"/>
            <w:shd w:val="clear" w:color="auto" w:fill="auto"/>
            <w:vAlign w:val="center"/>
          </w:tcPr>
          <w:p w14:paraId="225122B7" w14:textId="50FA50BA" w:rsidR="001D7735" w:rsidRPr="00CF77C1" w:rsidRDefault="001D7735" w:rsidP="0080044B">
            <w:pPr>
              <w:jc w:val="left"/>
              <w:rPr>
                <w:lang w:val="sr-Cyrl-RS"/>
              </w:rPr>
            </w:pPr>
            <w:r w:rsidRPr="00CF77C1">
              <w:rPr>
                <w:lang w:val="sr-Cyrl-RS"/>
              </w:rPr>
              <w:t>Нема реализованих инвестиционих активности</w:t>
            </w:r>
            <w:r w:rsidR="007C592D">
              <w:rPr>
                <w:lang w:val="sr-Cyrl-RS"/>
              </w:rPr>
              <w:t>.</w:t>
            </w:r>
          </w:p>
        </w:tc>
        <w:tc>
          <w:tcPr>
            <w:tcW w:w="8221" w:type="dxa"/>
            <w:shd w:val="clear" w:color="auto" w:fill="auto"/>
            <w:vAlign w:val="center"/>
          </w:tcPr>
          <w:p w14:paraId="1DAD8952"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4FEF5CA4" w14:textId="77777777" w:rsidTr="00C66FDA">
        <w:trPr>
          <w:cantSplit/>
        </w:trPr>
        <w:tc>
          <w:tcPr>
            <w:tcW w:w="2802" w:type="dxa"/>
            <w:shd w:val="clear" w:color="auto" w:fill="auto"/>
            <w:vAlign w:val="center"/>
          </w:tcPr>
          <w:p w14:paraId="4B40FAD3" w14:textId="77777777" w:rsidR="001D7735" w:rsidRPr="00CF77C1" w:rsidRDefault="001D7735" w:rsidP="0080044B">
            <w:pPr>
              <w:jc w:val="left"/>
              <w:rPr>
                <w:lang w:val="sr-Cyrl-RS"/>
              </w:rPr>
            </w:pPr>
            <w:r w:rsidRPr="00CF77C1">
              <w:rPr>
                <w:lang w:val="sr-Cyrl-RS"/>
              </w:rPr>
              <w:t>ТС 110/X kV Нови Сад 8 - 1x31,5 MVA</w:t>
            </w:r>
          </w:p>
        </w:tc>
        <w:tc>
          <w:tcPr>
            <w:tcW w:w="3827" w:type="dxa"/>
            <w:shd w:val="clear" w:color="auto" w:fill="auto"/>
            <w:vAlign w:val="center"/>
          </w:tcPr>
          <w:p w14:paraId="16E33EF5" w14:textId="2DF7DB18" w:rsidR="001D7735" w:rsidRPr="00CF77C1" w:rsidRDefault="001D7735" w:rsidP="0080044B">
            <w:pPr>
              <w:jc w:val="left"/>
              <w:rPr>
                <w:lang w:val="sr-Cyrl-RS"/>
              </w:rPr>
            </w:pPr>
            <w:r w:rsidRPr="00CF77C1">
              <w:rPr>
                <w:lang w:val="sr-Cyrl-RS"/>
              </w:rPr>
              <w:t>Нема реализованих инвестиционих активности</w:t>
            </w:r>
            <w:r w:rsidR="007C592D">
              <w:rPr>
                <w:lang w:val="sr-Cyrl-RS"/>
              </w:rPr>
              <w:t>.</w:t>
            </w:r>
          </w:p>
        </w:tc>
        <w:tc>
          <w:tcPr>
            <w:tcW w:w="8221" w:type="dxa"/>
            <w:shd w:val="clear" w:color="auto" w:fill="auto"/>
            <w:vAlign w:val="center"/>
          </w:tcPr>
          <w:p w14:paraId="26F2E95D"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258616C4" w14:textId="77777777" w:rsidTr="00C66FDA">
        <w:trPr>
          <w:cantSplit/>
        </w:trPr>
        <w:tc>
          <w:tcPr>
            <w:tcW w:w="2802" w:type="dxa"/>
            <w:shd w:val="clear" w:color="auto" w:fill="auto"/>
            <w:vAlign w:val="center"/>
          </w:tcPr>
          <w:p w14:paraId="2CC1E0D6" w14:textId="77777777" w:rsidR="001D7735" w:rsidRPr="00CF77C1" w:rsidRDefault="001D7735" w:rsidP="0080044B">
            <w:pPr>
              <w:jc w:val="left"/>
              <w:rPr>
                <w:lang w:val="sr-Cyrl-RS"/>
              </w:rPr>
            </w:pPr>
            <w:r w:rsidRPr="00CF77C1">
              <w:rPr>
                <w:lang w:val="sr-Cyrl-RS"/>
              </w:rPr>
              <w:t>ТС 110/X kV Краљево 6 - 2x31,5 MVA</w:t>
            </w:r>
          </w:p>
        </w:tc>
        <w:tc>
          <w:tcPr>
            <w:tcW w:w="3827" w:type="dxa"/>
            <w:shd w:val="clear" w:color="auto" w:fill="auto"/>
            <w:vAlign w:val="center"/>
          </w:tcPr>
          <w:p w14:paraId="24DB42BE" w14:textId="77777777" w:rsidR="001D7735" w:rsidRPr="00CF77C1" w:rsidRDefault="001D7735" w:rsidP="0080044B">
            <w:pPr>
              <w:jc w:val="left"/>
              <w:rPr>
                <w:lang w:val="sr-Cyrl-RS"/>
              </w:rPr>
            </w:pPr>
            <w:r w:rsidRPr="00CF77C1">
              <w:rPr>
                <w:lang w:val="sr-Cyrl-RS"/>
              </w:rPr>
              <w:t>У току је изградња објекта.</w:t>
            </w:r>
          </w:p>
        </w:tc>
        <w:tc>
          <w:tcPr>
            <w:tcW w:w="8221" w:type="dxa"/>
            <w:shd w:val="clear" w:color="auto" w:fill="auto"/>
            <w:vAlign w:val="center"/>
          </w:tcPr>
          <w:p w14:paraId="0A9C3411" w14:textId="77777777" w:rsidR="001D7735" w:rsidRPr="00CF77C1" w:rsidRDefault="001D7735" w:rsidP="0080044B">
            <w:pPr>
              <w:jc w:val="left"/>
              <w:rPr>
                <w:lang w:val="sr-Cyrl-RS"/>
              </w:rPr>
            </w:pPr>
            <w:r w:rsidRPr="00CF77C1">
              <w:rPr>
                <w:lang w:val="sr-Cyrl-RS"/>
              </w:rPr>
              <w:t>Пројекат изведеног објекта, употребна дозвола.</w:t>
            </w:r>
          </w:p>
        </w:tc>
      </w:tr>
      <w:tr w:rsidR="001D7735" w:rsidRPr="00CF77C1" w14:paraId="377EE792" w14:textId="77777777" w:rsidTr="00C66FDA">
        <w:trPr>
          <w:cantSplit/>
        </w:trPr>
        <w:tc>
          <w:tcPr>
            <w:tcW w:w="2802" w:type="dxa"/>
            <w:shd w:val="clear" w:color="auto" w:fill="auto"/>
            <w:vAlign w:val="center"/>
          </w:tcPr>
          <w:p w14:paraId="24242596" w14:textId="77777777" w:rsidR="001D7735" w:rsidRPr="00CF77C1" w:rsidRDefault="001D7735" w:rsidP="0080044B">
            <w:pPr>
              <w:jc w:val="left"/>
              <w:rPr>
                <w:lang w:val="sr-Cyrl-RS"/>
              </w:rPr>
            </w:pPr>
            <w:r w:rsidRPr="00CF77C1">
              <w:rPr>
                <w:lang w:val="sr-Cyrl-RS"/>
              </w:rPr>
              <w:t>ТС 110/X kV Ужице 2 - 2x31,5 MVA</w:t>
            </w:r>
          </w:p>
        </w:tc>
        <w:tc>
          <w:tcPr>
            <w:tcW w:w="3827" w:type="dxa"/>
            <w:shd w:val="clear" w:color="auto" w:fill="auto"/>
            <w:vAlign w:val="center"/>
          </w:tcPr>
          <w:p w14:paraId="19C2B0CE" w14:textId="77777777" w:rsidR="001D7735" w:rsidRPr="00CF77C1" w:rsidRDefault="001D7735" w:rsidP="0080044B">
            <w:pPr>
              <w:jc w:val="left"/>
              <w:rPr>
                <w:lang w:val="sr-Cyrl-RS"/>
              </w:rPr>
            </w:pPr>
            <w:r w:rsidRPr="00CF77C1">
              <w:rPr>
                <w:lang w:val="sr-Cyrl-RS"/>
              </w:rPr>
              <w:t>У току је израда студије оправданости и идејног пројекта.</w:t>
            </w:r>
          </w:p>
        </w:tc>
        <w:tc>
          <w:tcPr>
            <w:tcW w:w="8221" w:type="dxa"/>
            <w:shd w:val="clear" w:color="auto" w:fill="auto"/>
            <w:vAlign w:val="center"/>
          </w:tcPr>
          <w:p w14:paraId="5D0582FC" w14:textId="77777777" w:rsidR="001D7735" w:rsidRPr="00CF77C1" w:rsidRDefault="001D7735" w:rsidP="0080044B">
            <w:pPr>
              <w:jc w:val="left"/>
              <w:rPr>
                <w:lang w:val="sr-Cyrl-RS"/>
              </w:rPr>
            </w:pPr>
            <w:r w:rsidRPr="00CF77C1">
              <w:rPr>
                <w:lang w:val="sr-Cyrl-RS"/>
              </w:rPr>
              <w:t>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7520B339" w14:textId="77777777" w:rsidTr="00C66FDA">
        <w:trPr>
          <w:cantSplit/>
        </w:trPr>
        <w:tc>
          <w:tcPr>
            <w:tcW w:w="2802" w:type="dxa"/>
            <w:shd w:val="clear" w:color="auto" w:fill="auto"/>
            <w:vAlign w:val="center"/>
          </w:tcPr>
          <w:p w14:paraId="1A86A6B4" w14:textId="77777777" w:rsidR="001D7735" w:rsidRPr="00CF77C1" w:rsidRDefault="001D7735" w:rsidP="0080044B">
            <w:pPr>
              <w:jc w:val="left"/>
              <w:rPr>
                <w:lang w:val="sr-Cyrl-RS"/>
              </w:rPr>
            </w:pPr>
            <w:r w:rsidRPr="00CF77C1">
              <w:rPr>
                <w:lang w:val="sr-Cyrl-RS"/>
              </w:rPr>
              <w:t>ТС 110/X kV Копаоник - 2x31,5 MVA</w:t>
            </w:r>
          </w:p>
        </w:tc>
        <w:tc>
          <w:tcPr>
            <w:tcW w:w="3827" w:type="dxa"/>
            <w:shd w:val="clear" w:color="auto" w:fill="auto"/>
            <w:vAlign w:val="center"/>
          </w:tcPr>
          <w:p w14:paraId="3AB618FD" w14:textId="77777777" w:rsidR="001D7735" w:rsidRPr="00CF77C1" w:rsidRDefault="001D7735" w:rsidP="0080044B">
            <w:pPr>
              <w:jc w:val="left"/>
              <w:rPr>
                <w:lang w:val="sr-Cyrl-RS"/>
              </w:rPr>
            </w:pPr>
            <w:r w:rsidRPr="00CF77C1">
              <w:rPr>
                <w:lang w:val="sr-Cyrl-RS"/>
              </w:rPr>
              <w:t>У току је изградња објекта.</w:t>
            </w:r>
          </w:p>
        </w:tc>
        <w:tc>
          <w:tcPr>
            <w:tcW w:w="8221" w:type="dxa"/>
            <w:shd w:val="clear" w:color="auto" w:fill="auto"/>
            <w:vAlign w:val="center"/>
          </w:tcPr>
          <w:p w14:paraId="76E97454" w14:textId="77777777" w:rsidR="001D7735" w:rsidRPr="00CF77C1" w:rsidRDefault="001D7735" w:rsidP="0080044B">
            <w:pPr>
              <w:jc w:val="left"/>
              <w:rPr>
                <w:lang w:val="sr-Cyrl-RS"/>
              </w:rPr>
            </w:pPr>
            <w:r w:rsidRPr="00CF77C1">
              <w:rPr>
                <w:lang w:val="sr-Cyrl-RS"/>
              </w:rPr>
              <w:t>Пројекат изведеног објекта, употребна дозвола.</w:t>
            </w:r>
          </w:p>
        </w:tc>
      </w:tr>
      <w:tr w:rsidR="001D7735" w:rsidRPr="00CF77C1" w14:paraId="38EB771D" w14:textId="77777777" w:rsidTr="00C66FDA">
        <w:trPr>
          <w:cantSplit/>
        </w:trPr>
        <w:tc>
          <w:tcPr>
            <w:tcW w:w="2802" w:type="dxa"/>
            <w:shd w:val="clear" w:color="auto" w:fill="auto"/>
            <w:vAlign w:val="center"/>
          </w:tcPr>
          <w:p w14:paraId="02888387" w14:textId="77777777" w:rsidR="001D7735" w:rsidRPr="00CF77C1" w:rsidRDefault="001D7735" w:rsidP="0080044B">
            <w:pPr>
              <w:jc w:val="left"/>
              <w:rPr>
                <w:lang w:val="sr-Cyrl-RS"/>
              </w:rPr>
            </w:pPr>
            <w:r w:rsidRPr="00CF77C1">
              <w:rPr>
                <w:lang w:val="sr-Cyrl-RS"/>
              </w:rPr>
              <w:t>ТС 110/X kV Уб 2 - 2x31,5 MVA</w:t>
            </w:r>
          </w:p>
        </w:tc>
        <w:tc>
          <w:tcPr>
            <w:tcW w:w="3827" w:type="dxa"/>
            <w:shd w:val="clear" w:color="auto" w:fill="auto"/>
            <w:vAlign w:val="center"/>
          </w:tcPr>
          <w:p w14:paraId="4A2A8239" w14:textId="77777777" w:rsidR="001D7735" w:rsidRPr="00CF77C1" w:rsidRDefault="001D7735" w:rsidP="0080044B">
            <w:pPr>
              <w:jc w:val="left"/>
              <w:rPr>
                <w:lang w:val="sr-Cyrl-RS"/>
              </w:rPr>
            </w:pPr>
            <w:r w:rsidRPr="00CF77C1">
              <w:rPr>
                <w:lang w:val="sr-Cyrl-RS"/>
              </w:rPr>
              <w:t>У току је израда идејног решења.</w:t>
            </w:r>
          </w:p>
        </w:tc>
        <w:tc>
          <w:tcPr>
            <w:tcW w:w="8221" w:type="dxa"/>
            <w:shd w:val="clear" w:color="auto" w:fill="auto"/>
            <w:vAlign w:val="center"/>
          </w:tcPr>
          <w:p w14:paraId="5BD296AE"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1BE061B9" w14:textId="77777777" w:rsidTr="00C66FDA">
        <w:trPr>
          <w:cantSplit/>
        </w:trPr>
        <w:tc>
          <w:tcPr>
            <w:tcW w:w="2802" w:type="dxa"/>
            <w:shd w:val="clear" w:color="auto" w:fill="auto"/>
            <w:vAlign w:val="center"/>
          </w:tcPr>
          <w:p w14:paraId="3C456E93" w14:textId="77777777" w:rsidR="001D7735" w:rsidRPr="00CF77C1" w:rsidRDefault="001D7735" w:rsidP="0080044B">
            <w:pPr>
              <w:jc w:val="left"/>
              <w:rPr>
                <w:lang w:val="sr-Cyrl-RS"/>
              </w:rPr>
            </w:pPr>
            <w:r w:rsidRPr="00CF77C1">
              <w:rPr>
                <w:lang w:val="sr-Cyrl-RS"/>
              </w:rPr>
              <w:t>ТС 110/20 kV Тутин - 2x20 MVA</w:t>
            </w:r>
          </w:p>
        </w:tc>
        <w:tc>
          <w:tcPr>
            <w:tcW w:w="3827" w:type="dxa"/>
            <w:shd w:val="clear" w:color="auto" w:fill="auto"/>
            <w:vAlign w:val="center"/>
          </w:tcPr>
          <w:p w14:paraId="4EAFCB7A" w14:textId="77777777" w:rsidR="001D7735" w:rsidRPr="00CF77C1" w:rsidRDefault="001D7735" w:rsidP="0080044B">
            <w:pPr>
              <w:jc w:val="left"/>
              <w:rPr>
                <w:lang w:val="sr-Cyrl-RS"/>
              </w:rPr>
            </w:pPr>
            <w:r w:rsidRPr="00CF77C1">
              <w:rPr>
                <w:lang w:val="sr-Cyrl-RS"/>
              </w:rPr>
              <w:t>У току је израда студије оправданости и идејног пројекта.</w:t>
            </w:r>
          </w:p>
        </w:tc>
        <w:tc>
          <w:tcPr>
            <w:tcW w:w="8221" w:type="dxa"/>
            <w:shd w:val="clear" w:color="auto" w:fill="auto"/>
            <w:vAlign w:val="center"/>
          </w:tcPr>
          <w:p w14:paraId="491DEB80" w14:textId="77777777" w:rsidR="001D7735" w:rsidRPr="00CF77C1" w:rsidRDefault="001D7735" w:rsidP="0080044B">
            <w:pPr>
              <w:jc w:val="left"/>
              <w:rPr>
                <w:lang w:val="sr-Cyrl-RS"/>
              </w:rPr>
            </w:pPr>
            <w:r w:rsidRPr="00CF77C1">
              <w:rPr>
                <w:lang w:val="sr-Cyrl-RS"/>
              </w:rPr>
              <w:t>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795D950C" w14:textId="77777777" w:rsidTr="00C66FDA">
        <w:trPr>
          <w:cantSplit/>
        </w:trPr>
        <w:tc>
          <w:tcPr>
            <w:tcW w:w="2802" w:type="dxa"/>
            <w:shd w:val="clear" w:color="auto" w:fill="auto"/>
            <w:vAlign w:val="center"/>
          </w:tcPr>
          <w:p w14:paraId="0A11AFFB" w14:textId="77777777" w:rsidR="001D7735" w:rsidRPr="00CF77C1" w:rsidRDefault="001D7735" w:rsidP="0080044B">
            <w:pPr>
              <w:jc w:val="left"/>
              <w:rPr>
                <w:lang w:val="sr-Cyrl-RS"/>
              </w:rPr>
            </w:pPr>
            <w:r w:rsidRPr="00CF77C1">
              <w:rPr>
                <w:lang w:val="sr-Cyrl-RS"/>
              </w:rPr>
              <w:t>ТС 110/35/10 kV Прибој - 2x31,5 MVA</w:t>
            </w:r>
          </w:p>
        </w:tc>
        <w:tc>
          <w:tcPr>
            <w:tcW w:w="3827" w:type="dxa"/>
            <w:shd w:val="clear" w:color="auto" w:fill="auto"/>
            <w:vAlign w:val="center"/>
          </w:tcPr>
          <w:p w14:paraId="6398E561" w14:textId="77777777" w:rsidR="001D7735" w:rsidRPr="00CF77C1" w:rsidRDefault="001D7735" w:rsidP="0080044B">
            <w:pPr>
              <w:jc w:val="left"/>
              <w:rPr>
                <w:lang w:val="sr-Cyrl-RS"/>
              </w:rPr>
            </w:pPr>
            <w:r w:rsidRPr="00CF77C1">
              <w:rPr>
                <w:lang w:val="sr-Cyrl-RS"/>
              </w:rPr>
              <w:t xml:space="preserve">Завршени су идејни пројекат и студија оправданости, у току је решавање </w:t>
            </w:r>
            <w:r w:rsidR="00A71236" w:rsidRPr="00CF77C1">
              <w:rPr>
                <w:lang w:val="sr-Cyrl-RS"/>
              </w:rPr>
              <w:t>имовинско-правних</w:t>
            </w:r>
            <w:r w:rsidRPr="00CF77C1">
              <w:rPr>
                <w:lang w:val="sr-Cyrl-RS"/>
              </w:rPr>
              <w:t xml:space="preserve"> односа.</w:t>
            </w:r>
          </w:p>
        </w:tc>
        <w:tc>
          <w:tcPr>
            <w:tcW w:w="8221" w:type="dxa"/>
            <w:shd w:val="clear" w:color="auto" w:fill="auto"/>
            <w:vAlign w:val="center"/>
          </w:tcPr>
          <w:p w14:paraId="7BA4B917" w14:textId="77777777" w:rsidR="001D7735" w:rsidRPr="00CF77C1" w:rsidRDefault="0019533A" w:rsidP="0080044B">
            <w:pPr>
              <w:jc w:val="left"/>
              <w:rPr>
                <w:lang w:val="sr-Cyrl-RS"/>
              </w:rPr>
            </w:pPr>
            <w:r w:rsidRPr="00CF77C1">
              <w:rPr>
                <w:lang w:val="sr-Cyrl-RS"/>
              </w:rPr>
              <w:t>П</w:t>
            </w:r>
            <w:r w:rsidR="001D7735" w:rsidRPr="00CF77C1">
              <w:rPr>
                <w:lang w:val="sr-Cyrl-RS"/>
              </w:rPr>
              <w:t>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0EAB4132" w14:textId="77777777" w:rsidTr="00C66FDA">
        <w:trPr>
          <w:cantSplit/>
        </w:trPr>
        <w:tc>
          <w:tcPr>
            <w:tcW w:w="2802" w:type="dxa"/>
            <w:shd w:val="clear" w:color="auto" w:fill="auto"/>
            <w:vAlign w:val="center"/>
          </w:tcPr>
          <w:p w14:paraId="162BEA91" w14:textId="77777777" w:rsidR="001D7735" w:rsidRPr="00CF77C1" w:rsidRDefault="001D7735" w:rsidP="0080044B">
            <w:pPr>
              <w:jc w:val="left"/>
              <w:rPr>
                <w:lang w:val="sr-Cyrl-RS"/>
              </w:rPr>
            </w:pPr>
            <w:r w:rsidRPr="00CF77C1">
              <w:rPr>
                <w:lang w:val="sr-Cyrl-RS"/>
              </w:rPr>
              <w:t>ТС 110/35/20 kV Аранђеловац 2 - 2x31,5 MVA</w:t>
            </w:r>
          </w:p>
        </w:tc>
        <w:tc>
          <w:tcPr>
            <w:tcW w:w="3827" w:type="dxa"/>
            <w:shd w:val="clear" w:color="auto" w:fill="auto"/>
            <w:vAlign w:val="center"/>
          </w:tcPr>
          <w:p w14:paraId="2DD2843C" w14:textId="77777777" w:rsidR="001D7735" w:rsidRPr="00CF77C1" w:rsidRDefault="001D7735" w:rsidP="0080044B">
            <w:pPr>
              <w:jc w:val="left"/>
              <w:rPr>
                <w:lang w:val="sr-Cyrl-RS"/>
              </w:rPr>
            </w:pPr>
            <w:r w:rsidRPr="00CF77C1">
              <w:rPr>
                <w:lang w:val="sr-Cyrl-RS"/>
              </w:rPr>
              <w:t>Завршени су идејни пројекат, студија оправданости и решени су имовинско правни односи.</w:t>
            </w:r>
          </w:p>
        </w:tc>
        <w:tc>
          <w:tcPr>
            <w:tcW w:w="8221" w:type="dxa"/>
            <w:shd w:val="clear" w:color="auto" w:fill="auto"/>
            <w:vAlign w:val="center"/>
          </w:tcPr>
          <w:p w14:paraId="0027B72F" w14:textId="77777777" w:rsidR="001D7735" w:rsidRPr="00CF77C1" w:rsidRDefault="001D7735" w:rsidP="0080044B">
            <w:pPr>
              <w:jc w:val="left"/>
              <w:rPr>
                <w:lang w:val="sr-Cyrl-RS"/>
              </w:rPr>
            </w:pPr>
            <w:r w:rsidRPr="00CF77C1">
              <w:rPr>
                <w:lang w:val="sr-Cyrl-RS"/>
              </w:rPr>
              <w:t>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6BBA5DF3" w14:textId="77777777" w:rsidTr="00C66FDA">
        <w:trPr>
          <w:cantSplit/>
        </w:trPr>
        <w:tc>
          <w:tcPr>
            <w:tcW w:w="2802" w:type="dxa"/>
            <w:shd w:val="clear" w:color="auto" w:fill="auto"/>
            <w:vAlign w:val="center"/>
          </w:tcPr>
          <w:p w14:paraId="5AF0DAB4" w14:textId="77777777" w:rsidR="001D7735" w:rsidRPr="00CF77C1" w:rsidRDefault="001D7735" w:rsidP="0080044B">
            <w:pPr>
              <w:jc w:val="left"/>
              <w:rPr>
                <w:lang w:val="sr-Cyrl-RS"/>
              </w:rPr>
            </w:pPr>
            <w:r w:rsidRPr="00CF77C1">
              <w:rPr>
                <w:lang w:val="sr-Cyrl-RS"/>
              </w:rPr>
              <w:t>ТС 110/X kV Коцељева - 1x31,5 MVA</w:t>
            </w:r>
          </w:p>
        </w:tc>
        <w:tc>
          <w:tcPr>
            <w:tcW w:w="3827" w:type="dxa"/>
            <w:shd w:val="clear" w:color="auto" w:fill="auto"/>
            <w:vAlign w:val="center"/>
          </w:tcPr>
          <w:p w14:paraId="650314CB" w14:textId="77777777" w:rsidR="001D7735" w:rsidRPr="00CF77C1" w:rsidRDefault="001D7735" w:rsidP="0080044B">
            <w:pPr>
              <w:jc w:val="left"/>
              <w:rPr>
                <w:lang w:val="sr-Cyrl-RS"/>
              </w:rPr>
            </w:pPr>
            <w:r w:rsidRPr="00CF77C1">
              <w:rPr>
                <w:lang w:val="sr-Cyrl-RS"/>
              </w:rPr>
              <w:t>Нема реализованих инвестиционих активности. ТС је већ изграђена као ТС 110/20 kV, али је неопходно опремање прикључних далеководних поља 110 kV и трансформаторског поља 110 kV, као и уградња трансформатора 110/20 kV.</w:t>
            </w:r>
          </w:p>
        </w:tc>
        <w:tc>
          <w:tcPr>
            <w:tcW w:w="8221" w:type="dxa"/>
            <w:shd w:val="clear" w:color="auto" w:fill="auto"/>
            <w:vAlign w:val="center"/>
          </w:tcPr>
          <w:p w14:paraId="4241A742" w14:textId="77777777" w:rsidR="001D7735" w:rsidRPr="00CF77C1" w:rsidRDefault="001D7735" w:rsidP="0080044B">
            <w:pPr>
              <w:jc w:val="left"/>
              <w:rPr>
                <w:lang w:val="sr-Cyrl-RS"/>
              </w:rPr>
            </w:pPr>
            <w:r w:rsidRPr="00CF77C1">
              <w:rPr>
                <w:lang w:val="sr-Cyrl-RS"/>
              </w:rPr>
              <w:t>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5B7C65B6" w14:textId="77777777" w:rsidTr="00C66FDA">
        <w:trPr>
          <w:cantSplit/>
        </w:trPr>
        <w:tc>
          <w:tcPr>
            <w:tcW w:w="2802" w:type="dxa"/>
            <w:shd w:val="clear" w:color="auto" w:fill="auto"/>
            <w:vAlign w:val="center"/>
          </w:tcPr>
          <w:p w14:paraId="67B31E59" w14:textId="77777777" w:rsidR="001D7735" w:rsidRPr="00CF77C1" w:rsidRDefault="001D7735" w:rsidP="0080044B">
            <w:pPr>
              <w:jc w:val="left"/>
              <w:rPr>
                <w:lang w:val="sr-Cyrl-RS"/>
              </w:rPr>
            </w:pPr>
            <w:r w:rsidRPr="00CF77C1">
              <w:rPr>
                <w:lang w:val="sr-Cyrl-RS"/>
              </w:rPr>
              <w:t>ТС 110/20 kV Свилајнац - 2x20 MVA</w:t>
            </w:r>
          </w:p>
        </w:tc>
        <w:tc>
          <w:tcPr>
            <w:tcW w:w="3827" w:type="dxa"/>
            <w:shd w:val="clear" w:color="auto" w:fill="auto"/>
            <w:vAlign w:val="center"/>
          </w:tcPr>
          <w:p w14:paraId="5DA02BE6" w14:textId="77777777" w:rsidR="001D7735" w:rsidRPr="00CF77C1" w:rsidRDefault="001D7735" w:rsidP="0080044B">
            <w:pPr>
              <w:jc w:val="left"/>
              <w:rPr>
                <w:lang w:val="sr-Cyrl-RS"/>
              </w:rPr>
            </w:pPr>
            <w:r w:rsidRPr="00CF77C1">
              <w:rPr>
                <w:lang w:val="sr-Cyrl-RS"/>
              </w:rPr>
              <w:t>Одређена је локација.</w:t>
            </w:r>
          </w:p>
        </w:tc>
        <w:tc>
          <w:tcPr>
            <w:tcW w:w="8221" w:type="dxa"/>
            <w:shd w:val="clear" w:color="auto" w:fill="auto"/>
          </w:tcPr>
          <w:p w14:paraId="64C10226"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64D69F55" w14:textId="77777777" w:rsidTr="00997F7E">
        <w:trPr>
          <w:cantSplit/>
        </w:trPr>
        <w:tc>
          <w:tcPr>
            <w:tcW w:w="2802" w:type="dxa"/>
            <w:shd w:val="clear" w:color="auto" w:fill="auto"/>
            <w:vAlign w:val="center"/>
          </w:tcPr>
          <w:p w14:paraId="4E56E543" w14:textId="77777777" w:rsidR="001D7735" w:rsidRPr="00CF77C1" w:rsidRDefault="001D7735" w:rsidP="0080044B">
            <w:pPr>
              <w:jc w:val="left"/>
              <w:rPr>
                <w:lang w:val="sr-Cyrl-RS"/>
              </w:rPr>
            </w:pPr>
            <w:r w:rsidRPr="00CF77C1">
              <w:rPr>
                <w:lang w:val="sr-Cyrl-RS"/>
              </w:rPr>
              <w:t>ТС 110/X kV Горњи Милановац 2 - 2x31,5 MVA</w:t>
            </w:r>
          </w:p>
        </w:tc>
        <w:tc>
          <w:tcPr>
            <w:tcW w:w="3827" w:type="dxa"/>
            <w:shd w:val="clear" w:color="auto" w:fill="auto"/>
            <w:vAlign w:val="center"/>
          </w:tcPr>
          <w:p w14:paraId="76A615A0" w14:textId="77777777" w:rsidR="001D7735" w:rsidRPr="00CF77C1" w:rsidRDefault="001D7735" w:rsidP="0080044B">
            <w:pPr>
              <w:jc w:val="left"/>
              <w:rPr>
                <w:lang w:val="sr-Cyrl-RS"/>
              </w:rPr>
            </w:pPr>
            <w:r w:rsidRPr="00CF77C1">
              <w:rPr>
                <w:lang w:val="sr-Cyrl-RS"/>
              </w:rPr>
              <w:t>Одређена је локација.</w:t>
            </w:r>
          </w:p>
        </w:tc>
        <w:tc>
          <w:tcPr>
            <w:tcW w:w="8221" w:type="dxa"/>
            <w:shd w:val="clear" w:color="auto" w:fill="auto"/>
          </w:tcPr>
          <w:p w14:paraId="5C98969B"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3EA2FAAA" w14:textId="77777777" w:rsidTr="00C66FDA">
        <w:trPr>
          <w:cantSplit/>
        </w:trPr>
        <w:tc>
          <w:tcPr>
            <w:tcW w:w="2802" w:type="dxa"/>
            <w:shd w:val="clear" w:color="auto" w:fill="auto"/>
            <w:vAlign w:val="center"/>
          </w:tcPr>
          <w:p w14:paraId="18AB76B8" w14:textId="77777777" w:rsidR="001D7735" w:rsidRPr="00CF77C1" w:rsidRDefault="001D7735" w:rsidP="0080044B">
            <w:pPr>
              <w:jc w:val="left"/>
              <w:rPr>
                <w:lang w:val="sr-Cyrl-RS"/>
              </w:rPr>
            </w:pPr>
            <w:r w:rsidRPr="00CF77C1">
              <w:rPr>
                <w:lang w:val="sr-Cyrl-RS"/>
              </w:rPr>
              <w:t>ТС 110/20 kV Нови Пазар 3 - 2x31,5 MVA</w:t>
            </w:r>
          </w:p>
        </w:tc>
        <w:tc>
          <w:tcPr>
            <w:tcW w:w="3827" w:type="dxa"/>
            <w:shd w:val="clear" w:color="auto" w:fill="auto"/>
            <w:vAlign w:val="center"/>
          </w:tcPr>
          <w:p w14:paraId="04F62778" w14:textId="77777777" w:rsidR="001D7735" w:rsidRPr="00CF77C1" w:rsidRDefault="001D7735" w:rsidP="0080044B">
            <w:pPr>
              <w:jc w:val="left"/>
              <w:rPr>
                <w:lang w:val="sr-Cyrl-RS"/>
              </w:rPr>
            </w:pPr>
            <w:r w:rsidRPr="00CF77C1">
              <w:rPr>
                <w:lang w:val="sr-Cyrl-RS"/>
              </w:rPr>
              <w:t>Одређена је локација.</w:t>
            </w:r>
          </w:p>
        </w:tc>
        <w:tc>
          <w:tcPr>
            <w:tcW w:w="8221" w:type="dxa"/>
            <w:shd w:val="clear" w:color="auto" w:fill="auto"/>
            <w:vAlign w:val="center"/>
          </w:tcPr>
          <w:p w14:paraId="7254EA07"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10AD0AF2" w14:textId="77777777" w:rsidTr="00C66FDA">
        <w:trPr>
          <w:cantSplit/>
        </w:trPr>
        <w:tc>
          <w:tcPr>
            <w:tcW w:w="2802" w:type="dxa"/>
            <w:shd w:val="clear" w:color="auto" w:fill="auto"/>
            <w:vAlign w:val="center"/>
          </w:tcPr>
          <w:p w14:paraId="0D7729CC" w14:textId="77777777" w:rsidR="001D7735" w:rsidRPr="00CF77C1" w:rsidRDefault="001D7735" w:rsidP="0080044B">
            <w:pPr>
              <w:jc w:val="left"/>
              <w:rPr>
                <w:lang w:val="sr-Cyrl-RS"/>
              </w:rPr>
            </w:pPr>
            <w:r w:rsidRPr="00CF77C1">
              <w:rPr>
                <w:lang w:val="sr-Cyrl-RS"/>
              </w:rPr>
              <w:t>ТС 110/</w:t>
            </w:r>
            <w:r w:rsidR="001716F2" w:rsidRPr="00CF77C1">
              <w:rPr>
                <w:lang w:val="sr-Cyrl-RS"/>
              </w:rPr>
              <w:t>35 kV</w:t>
            </w:r>
            <w:r w:rsidRPr="00CF77C1">
              <w:rPr>
                <w:lang w:val="sr-Cyrl-RS"/>
              </w:rPr>
              <w:t xml:space="preserve"> Деспотовац - 2x20 MVA</w:t>
            </w:r>
          </w:p>
        </w:tc>
        <w:tc>
          <w:tcPr>
            <w:tcW w:w="3827" w:type="dxa"/>
            <w:shd w:val="clear" w:color="auto" w:fill="auto"/>
            <w:vAlign w:val="center"/>
          </w:tcPr>
          <w:p w14:paraId="2F8B2903" w14:textId="77777777" w:rsidR="001D7735" w:rsidRPr="00CF77C1" w:rsidRDefault="001D7735" w:rsidP="0080044B">
            <w:pPr>
              <w:jc w:val="left"/>
              <w:rPr>
                <w:lang w:val="sr-Cyrl-RS"/>
              </w:rPr>
            </w:pPr>
            <w:r w:rsidRPr="00CF77C1">
              <w:rPr>
                <w:lang w:val="sr-Cyrl-RS"/>
              </w:rPr>
              <w:t>Одређена је локација.</w:t>
            </w:r>
          </w:p>
        </w:tc>
        <w:tc>
          <w:tcPr>
            <w:tcW w:w="8221" w:type="dxa"/>
            <w:shd w:val="clear" w:color="auto" w:fill="auto"/>
            <w:vAlign w:val="center"/>
          </w:tcPr>
          <w:p w14:paraId="08B130E2"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723E4DA6" w14:textId="77777777" w:rsidTr="00C66FDA">
        <w:trPr>
          <w:cantSplit/>
        </w:trPr>
        <w:tc>
          <w:tcPr>
            <w:tcW w:w="2802" w:type="dxa"/>
            <w:shd w:val="clear" w:color="auto" w:fill="auto"/>
            <w:vAlign w:val="center"/>
          </w:tcPr>
          <w:p w14:paraId="5989AC45" w14:textId="77777777" w:rsidR="001D7735" w:rsidRPr="00CF77C1" w:rsidRDefault="001D7735" w:rsidP="0080044B">
            <w:pPr>
              <w:jc w:val="left"/>
              <w:rPr>
                <w:lang w:val="sr-Cyrl-RS"/>
              </w:rPr>
            </w:pPr>
            <w:r w:rsidRPr="00CF77C1">
              <w:rPr>
                <w:lang w:val="sr-Cyrl-RS"/>
              </w:rPr>
              <w:t>ТС 110/X kV Лозница 2 - 2x31,5 MVA</w:t>
            </w:r>
          </w:p>
        </w:tc>
        <w:tc>
          <w:tcPr>
            <w:tcW w:w="3827" w:type="dxa"/>
            <w:shd w:val="clear" w:color="auto" w:fill="auto"/>
            <w:vAlign w:val="center"/>
          </w:tcPr>
          <w:p w14:paraId="11A2C26A" w14:textId="77777777" w:rsidR="001D7735" w:rsidRPr="00CF77C1" w:rsidRDefault="001D7735" w:rsidP="0080044B">
            <w:pPr>
              <w:jc w:val="left"/>
              <w:rPr>
                <w:lang w:val="sr-Cyrl-RS"/>
              </w:rPr>
            </w:pPr>
            <w:r w:rsidRPr="00CF77C1">
              <w:rPr>
                <w:lang w:val="sr-Cyrl-RS"/>
              </w:rPr>
              <w:t>У току је израда студије оправданости и идејног пројекта.</w:t>
            </w:r>
          </w:p>
        </w:tc>
        <w:tc>
          <w:tcPr>
            <w:tcW w:w="8221" w:type="dxa"/>
            <w:shd w:val="clear" w:color="auto" w:fill="auto"/>
            <w:vAlign w:val="center"/>
          </w:tcPr>
          <w:p w14:paraId="2C090CD7" w14:textId="77777777" w:rsidR="001D7735" w:rsidRPr="00CF77C1" w:rsidRDefault="001D7735" w:rsidP="0080044B">
            <w:pPr>
              <w:jc w:val="left"/>
              <w:rPr>
                <w:lang w:val="sr-Cyrl-RS"/>
              </w:rPr>
            </w:pPr>
            <w:r w:rsidRPr="00CF77C1">
              <w:rPr>
                <w:lang w:val="sr-Cyrl-RS"/>
              </w:rPr>
              <w:t>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3044411F" w14:textId="77777777" w:rsidTr="00C66FDA">
        <w:trPr>
          <w:cantSplit/>
        </w:trPr>
        <w:tc>
          <w:tcPr>
            <w:tcW w:w="2802" w:type="dxa"/>
            <w:shd w:val="clear" w:color="auto" w:fill="auto"/>
            <w:vAlign w:val="center"/>
          </w:tcPr>
          <w:p w14:paraId="5B35C653" w14:textId="77777777" w:rsidR="001D7735" w:rsidRPr="00CF77C1" w:rsidRDefault="001D7735" w:rsidP="0080044B">
            <w:pPr>
              <w:jc w:val="left"/>
              <w:rPr>
                <w:lang w:val="sr-Cyrl-RS"/>
              </w:rPr>
            </w:pPr>
            <w:r w:rsidRPr="00CF77C1">
              <w:rPr>
                <w:lang w:val="sr-Cyrl-RS"/>
              </w:rPr>
              <w:t>ТС 110/35/10 kV Ушће</w:t>
            </w:r>
          </w:p>
        </w:tc>
        <w:tc>
          <w:tcPr>
            <w:tcW w:w="3827" w:type="dxa"/>
            <w:shd w:val="clear" w:color="auto" w:fill="auto"/>
            <w:vAlign w:val="center"/>
          </w:tcPr>
          <w:p w14:paraId="39064315" w14:textId="77777777" w:rsidR="001D7735" w:rsidRPr="00CF77C1" w:rsidRDefault="001D7735" w:rsidP="0080044B">
            <w:pPr>
              <w:jc w:val="left"/>
              <w:rPr>
                <w:lang w:val="sr-Cyrl-RS"/>
              </w:rPr>
            </w:pPr>
            <w:r w:rsidRPr="00CF77C1">
              <w:rPr>
                <w:lang w:val="sr-Cyrl-RS"/>
              </w:rPr>
              <w:t>Нема реализованих инвестиционих активности.</w:t>
            </w:r>
          </w:p>
        </w:tc>
        <w:tc>
          <w:tcPr>
            <w:tcW w:w="8221" w:type="dxa"/>
            <w:shd w:val="clear" w:color="auto" w:fill="auto"/>
            <w:vAlign w:val="center"/>
          </w:tcPr>
          <w:p w14:paraId="404849CE"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71E1F6E8" w14:textId="77777777" w:rsidTr="00C66FDA">
        <w:trPr>
          <w:cantSplit/>
        </w:trPr>
        <w:tc>
          <w:tcPr>
            <w:tcW w:w="2802" w:type="dxa"/>
            <w:shd w:val="clear" w:color="auto" w:fill="auto"/>
            <w:vAlign w:val="center"/>
          </w:tcPr>
          <w:p w14:paraId="45832192" w14:textId="77777777" w:rsidR="001D7735" w:rsidRPr="00CF77C1" w:rsidRDefault="001D7735" w:rsidP="0080044B">
            <w:pPr>
              <w:jc w:val="left"/>
              <w:rPr>
                <w:lang w:val="sr-Cyrl-RS"/>
              </w:rPr>
            </w:pPr>
            <w:r w:rsidRPr="00CF77C1">
              <w:rPr>
                <w:lang w:val="sr-Cyrl-RS"/>
              </w:rPr>
              <w:t>ТС 110/35/20 kV Крагујевац 21 (Нова Застава)- 2x63 MVA</w:t>
            </w:r>
          </w:p>
        </w:tc>
        <w:tc>
          <w:tcPr>
            <w:tcW w:w="3827" w:type="dxa"/>
            <w:shd w:val="clear" w:color="auto" w:fill="auto"/>
            <w:vAlign w:val="center"/>
          </w:tcPr>
          <w:p w14:paraId="52ABB9AD" w14:textId="77777777" w:rsidR="001D7735" w:rsidRPr="00CF77C1" w:rsidRDefault="001D7735" w:rsidP="0080044B">
            <w:pPr>
              <w:jc w:val="left"/>
              <w:rPr>
                <w:lang w:val="sr-Cyrl-RS"/>
              </w:rPr>
            </w:pPr>
            <w:r w:rsidRPr="00CF77C1">
              <w:rPr>
                <w:lang w:val="sr-Cyrl-RS"/>
              </w:rPr>
              <w:t>Завршени су студија претходне оправданости и генерални пројекат.</w:t>
            </w:r>
          </w:p>
        </w:tc>
        <w:tc>
          <w:tcPr>
            <w:tcW w:w="8221" w:type="dxa"/>
            <w:shd w:val="clear" w:color="auto" w:fill="auto"/>
            <w:vAlign w:val="center"/>
          </w:tcPr>
          <w:p w14:paraId="20FF014F"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21D5D0ED" w14:textId="77777777" w:rsidTr="00C66FDA">
        <w:trPr>
          <w:cantSplit/>
        </w:trPr>
        <w:tc>
          <w:tcPr>
            <w:tcW w:w="2802" w:type="dxa"/>
            <w:shd w:val="clear" w:color="auto" w:fill="auto"/>
            <w:vAlign w:val="center"/>
          </w:tcPr>
          <w:p w14:paraId="04CA1FDD" w14:textId="77777777" w:rsidR="001D7735" w:rsidRPr="00CF77C1" w:rsidRDefault="001D7735" w:rsidP="0080044B">
            <w:pPr>
              <w:jc w:val="left"/>
              <w:rPr>
                <w:lang w:val="sr-Cyrl-RS"/>
              </w:rPr>
            </w:pPr>
            <w:r w:rsidRPr="00CF77C1">
              <w:rPr>
                <w:lang w:val="sr-Cyrl-RS"/>
              </w:rPr>
              <w:t>ТС 110/X kV Смедерево 5 - 1x31,5 MVA</w:t>
            </w:r>
          </w:p>
        </w:tc>
        <w:tc>
          <w:tcPr>
            <w:tcW w:w="3827" w:type="dxa"/>
            <w:shd w:val="clear" w:color="auto" w:fill="auto"/>
            <w:vAlign w:val="center"/>
          </w:tcPr>
          <w:p w14:paraId="5935253E" w14:textId="77777777" w:rsidR="001D7735" w:rsidRPr="00CF77C1" w:rsidRDefault="001D7735" w:rsidP="0080044B">
            <w:pPr>
              <w:jc w:val="left"/>
              <w:rPr>
                <w:lang w:val="sr-Cyrl-RS"/>
              </w:rPr>
            </w:pPr>
            <w:r w:rsidRPr="00CF77C1">
              <w:rPr>
                <w:lang w:val="sr-Cyrl-RS"/>
              </w:rPr>
              <w:t>Завршена је студија оправданости. У току је израда идејног пројекта.</w:t>
            </w:r>
          </w:p>
        </w:tc>
        <w:tc>
          <w:tcPr>
            <w:tcW w:w="8221" w:type="dxa"/>
            <w:shd w:val="clear" w:color="auto" w:fill="auto"/>
            <w:vAlign w:val="center"/>
          </w:tcPr>
          <w:p w14:paraId="66E2B20F" w14:textId="77777777" w:rsidR="001D7735" w:rsidRPr="00CF77C1" w:rsidRDefault="001D7735" w:rsidP="0080044B">
            <w:pPr>
              <w:jc w:val="left"/>
              <w:rPr>
                <w:lang w:val="sr-Cyrl-RS"/>
              </w:rPr>
            </w:pPr>
            <w:r w:rsidRPr="00CF77C1">
              <w:rPr>
                <w:lang w:val="sr-Cyrl-RS"/>
              </w:rPr>
              <w:t>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7604A144" w14:textId="77777777" w:rsidTr="00C66FDA">
        <w:trPr>
          <w:cantSplit/>
        </w:trPr>
        <w:tc>
          <w:tcPr>
            <w:tcW w:w="2802" w:type="dxa"/>
            <w:shd w:val="clear" w:color="auto" w:fill="auto"/>
            <w:vAlign w:val="center"/>
          </w:tcPr>
          <w:p w14:paraId="22BCE805" w14:textId="77777777" w:rsidR="001D7735" w:rsidRPr="00CF77C1" w:rsidRDefault="001D7735" w:rsidP="0080044B">
            <w:pPr>
              <w:jc w:val="left"/>
              <w:rPr>
                <w:lang w:val="sr-Cyrl-RS"/>
              </w:rPr>
            </w:pPr>
            <w:r w:rsidRPr="00CF77C1">
              <w:rPr>
                <w:lang w:val="sr-Cyrl-RS"/>
              </w:rPr>
              <w:t xml:space="preserve">ТС 110/X kV Крагујевац 22 </w:t>
            </w:r>
            <w:r w:rsidR="00437C2E" w:rsidRPr="00CF77C1">
              <w:rPr>
                <w:lang w:val="sr-Cyrl-RS"/>
              </w:rPr>
              <w:t xml:space="preserve">(Центар) </w:t>
            </w:r>
            <w:r w:rsidRPr="00CF77C1">
              <w:rPr>
                <w:lang w:val="sr-Cyrl-RS"/>
              </w:rPr>
              <w:t>- 2x31,5 MVA</w:t>
            </w:r>
          </w:p>
        </w:tc>
        <w:tc>
          <w:tcPr>
            <w:tcW w:w="3827" w:type="dxa"/>
            <w:shd w:val="clear" w:color="auto" w:fill="auto"/>
            <w:vAlign w:val="center"/>
          </w:tcPr>
          <w:p w14:paraId="441DCC13" w14:textId="77777777" w:rsidR="001D7735" w:rsidRPr="00CF77C1" w:rsidRDefault="001D7735" w:rsidP="0080044B">
            <w:pPr>
              <w:jc w:val="left"/>
              <w:rPr>
                <w:lang w:val="sr-Cyrl-RS"/>
              </w:rPr>
            </w:pPr>
            <w:r w:rsidRPr="00CF77C1">
              <w:rPr>
                <w:lang w:val="sr-Cyrl-RS"/>
              </w:rPr>
              <w:t>Нема реализованих инвестиционих активности.</w:t>
            </w:r>
          </w:p>
        </w:tc>
        <w:tc>
          <w:tcPr>
            <w:tcW w:w="8221" w:type="dxa"/>
            <w:shd w:val="clear" w:color="auto" w:fill="auto"/>
            <w:vAlign w:val="center"/>
          </w:tcPr>
          <w:p w14:paraId="462AE0F3"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3F06652B" w14:textId="77777777" w:rsidTr="00C66FDA">
        <w:trPr>
          <w:cantSplit/>
        </w:trPr>
        <w:tc>
          <w:tcPr>
            <w:tcW w:w="2802" w:type="dxa"/>
            <w:shd w:val="clear" w:color="auto" w:fill="auto"/>
            <w:vAlign w:val="center"/>
          </w:tcPr>
          <w:p w14:paraId="2AABA97C" w14:textId="77777777" w:rsidR="001D7735" w:rsidRPr="00CF77C1" w:rsidRDefault="001D7735" w:rsidP="0080044B">
            <w:pPr>
              <w:jc w:val="left"/>
              <w:rPr>
                <w:lang w:val="sr-Cyrl-RS"/>
              </w:rPr>
            </w:pPr>
            <w:r w:rsidRPr="00CF77C1">
              <w:rPr>
                <w:lang w:val="sr-Cyrl-RS"/>
              </w:rPr>
              <w:t>ТС 110/35 kV Пожаревац 2 - 2x31,5 MVA</w:t>
            </w:r>
          </w:p>
        </w:tc>
        <w:tc>
          <w:tcPr>
            <w:tcW w:w="3827" w:type="dxa"/>
            <w:shd w:val="clear" w:color="auto" w:fill="auto"/>
            <w:vAlign w:val="center"/>
          </w:tcPr>
          <w:p w14:paraId="1691D696" w14:textId="77777777" w:rsidR="001D7735" w:rsidRPr="00CF77C1" w:rsidRDefault="001D7735" w:rsidP="0080044B">
            <w:pPr>
              <w:jc w:val="left"/>
              <w:rPr>
                <w:lang w:val="sr-Cyrl-RS"/>
              </w:rPr>
            </w:pPr>
            <w:r w:rsidRPr="00CF77C1">
              <w:rPr>
                <w:lang w:val="sr-Cyrl-RS"/>
              </w:rPr>
              <w:t>У току је израда идејног пројекта и студије оправданости.</w:t>
            </w:r>
          </w:p>
        </w:tc>
        <w:tc>
          <w:tcPr>
            <w:tcW w:w="8221" w:type="dxa"/>
            <w:shd w:val="clear" w:color="auto" w:fill="auto"/>
            <w:vAlign w:val="center"/>
          </w:tcPr>
          <w:p w14:paraId="73E1F87A" w14:textId="77777777" w:rsidR="001D7735" w:rsidRPr="00CF77C1" w:rsidRDefault="001D7735" w:rsidP="0080044B">
            <w:pPr>
              <w:jc w:val="left"/>
              <w:rPr>
                <w:lang w:val="sr-Cyrl-RS"/>
              </w:rPr>
            </w:pPr>
            <w:r w:rsidRPr="00CF77C1">
              <w:rPr>
                <w:lang w:val="sr-Cyrl-RS"/>
              </w:rPr>
              <w:t>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r w:rsidR="001D7735" w:rsidRPr="00CF77C1" w14:paraId="275F7F2E" w14:textId="77777777" w:rsidTr="00C66FDA">
        <w:trPr>
          <w:cantSplit/>
        </w:trPr>
        <w:tc>
          <w:tcPr>
            <w:tcW w:w="2802" w:type="dxa"/>
            <w:shd w:val="clear" w:color="auto" w:fill="auto"/>
            <w:vAlign w:val="center"/>
          </w:tcPr>
          <w:p w14:paraId="7363FE68" w14:textId="77777777" w:rsidR="001D7735" w:rsidRPr="00CF77C1" w:rsidRDefault="001D7735" w:rsidP="0080044B">
            <w:pPr>
              <w:jc w:val="left"/>
              <w:rPr>
                <w:lang w:val="sr-Cyrl-RS"/>
              </w:rPr>
            </w:pPr>
            <w:r w:rsidRPr="00CF77C1">
              <w:rPr>
                <w:lang w:val="sr-Cyrl-RS"/>
              </w:rPr>
              <w:t>ТС 110/X kV Смедеревска Паланка 2 - 1x31,5 MVA</w:t>
            </w:r>
          </w:p>
        </w:tc>
        <w:tc>
          <w:tcPr>
            <w:tcW w:w="3827" w:type="dxa"/>
            <w:shd w:val="clear" w:color="auto" w:fill="auto"/>
            <w:vAlign w:val="center"/>
          </w:tcPr>
          <w:p w14:paraId="5E23C92D" w14:textId="5854D383" w:rsidR="001D7735" w:rsidRPr="00CF77C1" w:rsidRDefault="001D7735" w:rsidP="0080044B">
            <w:pPr>
              <w:jc w:val="left"/>
              <w:rPr>
                <w:lang w:val="sr-Cyrl-RS"/>
              </w:rPr>
            </w:pPr>
            <w:r w:rsidRPr="00CF77C1">
              <w:rPr>
                <w:lang w:val="sr-Cyrl-RS"/>
              </w:rPr>
              <w:t>Нема реализованих инвестиционих активности</w:t>
            </w:r>
            <w:r w:rsidR="007C592D">
              <w:rPr>
                <w:lang w:val="sr-Cyrl-RS"/>
              </w:rPr>
              <w:t>.</w:t>
            </w:r>
          </w:p>
        </w:tc>
        <w:tc>
          <w:tcPr>
            <w:tcW w:w="8221" w:type="dxa"/>
            <w:shd w:val="clear" w:color="auto" w:fill="auto"/>
            <w:vAlign w:val="center"/>
          </w:tcPr>
          <w:p w14:paraId="1DE9A4AF" w14:textId="77777777" w:rsidR="001D7735" w:rsidRPr="00CF77C1" w:rsidRDefault="001D7735" w:rsidP="0080044B">
            <w:pPr>
              <w:jc w:val="left"/>
              <w:rPr>
                <w:lang w:val="sr-Cyrl-RS"/>
              </w:rPr>
            </w:pPr>
            <w:r w:rsidRPr="00CF77C1">
              <w:rPr>
                <w:lang w:val="sr-Cyrl-RS"/>
              </w:rPr>
              <w:t>Просторно-планска документација, идејно решење, локацијски услови, студија оправданости, идејни пројекат, пројекат за грађевинску дозволу, грађевинска дозвола, тендерска документација за изградњу, пројекат за извођење, пројекат изведеног објекта, употребна дозвола.</w:t>
            </w:r>
          </w:p>
        </w:tc>
      </w:tr>
    </w:tbl>
    <w:p w14:paraId="159EC4A1" w14:textId="189CF44C" w:rsidR="0091260E" w:rsidRPr="00CF77C1" w:rsidRDefault="0091260E" w:rsidP="0080044B">
      <w:pPr>
        <w:rPr>
          <w:lang w:val="sr-Cyrl-RS"/>
        </w:rPr>
      </w:pPr>
      <w:r w:rsidRPr="00CF77C1">
        <w:rPr>
          <w:lang w:val="sr-Cyrl-RS"/>
        </w:rPr>
        <w:t xml:space="preserve">Индикатор реализације овог пројекта је </w:t>
      </w:r>
      <w:r w:rsidR="009A0192" w:rsidRPr="00CF77C1">
        <w:rPr>
          <w:lang w:val="sr-Cyrl-RS"/>
        </w:rPr>
        <w:t xml:space="preserve">проценат </w:t>
      </w:r>
      <w:r w:rsidRPr="00CF77C1">
        <w:rPr>
          <w:lang w:val="sr-Cyrl-RS"/>
        </w:rPr>
        <w:t xml:space="preserve">реализације активности приказаних по годинама у </w:t>
      </w:r>
      <w:r w:rsidR="00242883" w:rsidRPr="00CF77C1">
        <w:rPr>
          <w:lang w:val="sr-Cyrl-RS"/>
        </w:rPr>
        <w:t>таб. 27</w:t>
      </w:r>
      <w:r w:rsidRPr="00CF77C1">
        <w:rPr>
          <w:lang w:val="sr-Cyrl-RS"/>
        </w:rPr>
        <w:t>.</w:t>
      </w:r>
    </w:p>
    <w:p w14:paraId="06EA21D1" w14:textId="506EAC42" w:rsidR="00164D6D" w:rsidRPr="00CF77C1" w:rsidRDefault="00D61BC9" w:rsidP="0080044B">
      <w:pPr>
        <w:pStyle w:val="Caption"/>
        <w:rPr>
          <w:b w:val="0"/>
          <w:lang w:val="sr-Cyrl-RS"/>
        </w:rPr>
      </w:pPr>
      <w:r w:rsidRPr="00CF77C1">
        <w:rPr>
          <w:b w:val="0"/>
          <w:lang w:val="sr-Cyrl-RS"/>
        </w:rPr>
        <w:t>таб.</w:t>
      </w:r>
      <w:r w:rsidR="00164D6D"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27</w:t>
      </w:r>
      <w:r w:rsidR="0092145E" w:rsidRPr="00CF77C1">
        <w:rPr>
          <w:b w:val="0"/>
          <w:lang w:val="sr-Cyrl-RS"/>
        </w:rPr>
        <w:fldChar w:fldCharType="end"/>
      </w:r>
      <w:r w:rsidR="00164D6D" w:rsidRPr="00CF77C1">
        <w:rPr>
          <w:b w:val="0"/>
          <w:lang w:val="sr-Cyrl-RS"/>
        </w:rPr>
        <w:t>: Динамика реализације активн</w:t>
      </w:r>
      <w:r w:rsidR="00916B9F">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2551"/>
        <w:gridCol w:w="1113"/>
        <w:gridCol w:w="1114"/>
        <w:gridCol w:w="1114"/>
        <w:gridCol w:w="1113"/>
        <w:gridCol w:w="1114"/>
        <w:gridCol w:w="1114"/>
        <w:gridCol w:w="1114"/>
      </w:tblGrid>
      <w:tr w:rsidR="00747A3E" w:rsidRPr="00CF77C1" w14:paraId="22CC6282" w14:textId="77777777" w:rsidTr="001D7735">
        <w:trPr>
          <w:tblHeader/>
        </w:trPr>
        <w:tc>
          <w:tcPr>
            <w:tcW w:w="4503" w:type="dxa"/>
            <w:shd w:val="clear" w:color="auto" w:fill="auto"/>
            <w:vAlign w:val="center"/>
          </w:tcPr>
          <w:p w14:paraId="5F2013C9" w14:textId="77777777" w:rsidR="00747A3E" w:rsidRPr="00CF77C1" w:rsidRDefault="00747A3E" w:rsidP="0080044B">
            <w:pPr>
              <w:framePr w:hSpace="181" w:wrap="notBeside" w:vAnchor="text" w:hAnchor="text" w:y="1"/>
              <w:jc w:val="center"/>
              <w:rPr>
                <w:lang w:val="sr-Cyrl-RS"/>
              </w:rPr>
            </w:pPr>
            <w:r w:rsidRPr="00CF77C1">
              <w:rPr>
                <w:lang w:val="sr-Cyrl-RS"/>
              </w:rPr>
              <w:t>Пројекат:</w:t>
            </w:r>
          </w:p>
          <w:p w14:paraId="6CA3DD15" w14:textId="77777777" w:rsidR="00747A3E" w:rsidRPr="00CF77C1" w:rsidRDefault="00747A3E" w:rsidP="0080044B">
            <w:pPr>
              <w:framePr w:hSpace="181" w:wrap="notBeside" w:vAnchor="text" w:hAnchor="text" w:y="1"/>
              <w:jc w:val="center"/>
              <w:rPr>
                <w:lang w:val="sr-Cyrl-RS"/>
              </w:rPr>
            </w:pPr>
            <w:r w:rsidRPr="00CF77C1">
              <w:rPr>
                <w:lang w:val="sr-Cyrl-RS"/>
              </w:rPr>
              <w:t>Изградња нових ТС 110/X kV</w:t>
            </w:r>
          </w:p>
        </w:tc>
        <w:tc>
          <w:tcPr>
            <w:tcW w:w="2551" w:type="dxa"/>
            <w:shd w:val="clear" w:color="auto" w:fill="auto"/>
            <w:vAlign w:val="center"/>
          </w:tcPr>
          <w:p w14:paraId="65657160" w14:textId="77777777" w:rsidR="00747A3E" w:rsidRPr="00CF77C1" w:rsidRDefault="00DD69C2" w:rsidP="0080044B">
            <w:pPr>
              <w:framePr w:hSpace="181" w:wrap="notBeside" w:vAnchor="text" w:hAnchor="text" w:y="1"/>
              <w:jc w:val="center"/>
              <w:rPr>
                <w:lang w:val="sr-Cyrl-RS"/>
              </w:rPr>
            </w:pPr>
            <w:r w:rsidRPr="00CF77C1">
              <w:rPr>
                <w:lang w:val="sr-Cyrl-RS"/>
              </w:rPr>
              <w:t>Одговорни субјекат</w:t>
            </w:r>
          </w:p>
        </w:tc>
        <w:tc>
          <w:tcPr>
            <w:tcW w:w="1113" w:type="dxa"/>
            <w:shd w:val="clear" w:color="auto" w:fill="auto"/>
            <w:vAlign w:val="center"/>
          </w:tcPr>
          <w:p w14:paraId="7FBB6EBA" w14:textId="77777777" w:rsidR="00747A3E" w:rsidRPr="00CF77C1" w:rsidRDefault="00747A3E" w:rsidP="0080044B">
            <w:pPr>
              <w:framePr w:hSpace="181" w:wrap="notBeside" w:vAnchor="text" w:hAnchor="text" w:y="1"/>
              <w:jc w:val="center"/>
              <w:rPr>
                <w:lang w:val="sr-Cyrl-RS"/>
              </w:rPr>
            </w:pPr>
            <w:r w:rsidRPr="00CF77C1">
              <w:rPr>
                <w:lang w:val="sr-Cyrl-RS"/>
              </w:rPr>
              <w:t>2017.</w:t>
            </w:r>
          </w:p>
        </w:tc>
        <w:tc>
          <w:tcPr>
            <w:tcW w:w="1114" w:type="dxa"/>
            <w:shd w:val="clear" w:color="auto" w:fill="auto"/>
            <w:vAlign w:val="center"/>
          </w:tcPr>
          <w:p w14:paraId="5493C344" w14:textId="77777777" w:rsidR="00747A3E" w:rsidRPr="00CF77C1" w:rsidRDefault="00747A3E" w:rsidP="0080044B">
            <w:pPr>
              <w:framePr w:hSpace="181" w:wrap="notBeside" w:vAnchor="text" w:hAnchor="text" w:y="1"/>
              <w:jc w:val="center"/>
              <w:rPr>
                <w:lang w:val="sr-Cyrl-RS"/>
              </w:rPr>
            </w:pPr>
            <w:r w:rsidRPr="00CF77C1">
              <w:rPr>
                <w:lang w:val="sr-Cyrl-RS"/>
              </w:rPr>
              <w:t>2018.</w:t>
            </w:r>
          </w:p>
        </w:tc>
        <w:tc>
          <w:tcPr>
            <w:tcW w:w="1114" w:type="dxa"/>
            <w:shd w:val="clear" w:color="auto" w:fill="auto"/>
            <w:vAlign w:val="center"/>
          </w:tcPr>
          <w:p w14:paraId="43B6DE8C" w14:textId="77777777" w:rsidR="00747A3E" w:rsidRPr="00CF77C1" w:rsidRDefault="00747A3E" w:rsidP="0080044B">
            <w:pPr>
              <w:framePr w:hSpace="181" w:wrap="notBeside" w:vAnchor="text" w:hAnchor="text" w:y="1"/>
              <w:jc w:val="center"/>
              <w:rPr>
                <w:lang w:val="sr-Cyrl-RS"/>
              </w:rPr>
            </w:pPr>
            <w:r w:rsidRPr="00CF77C1">
              <w:rPr>
                <w:lang w:val="sr-Cyrl-RS"/>
              </w:rPr>
              <w:t>2019.</w:t>
            </w:r>
          </w:p>
        </w:tc>
        <w:tc>
          <w:tcPr>
            <w:tcW w:w="1113" w:type="dxa"/>
            <w:shd w:val="clear" w:color="auto" w:fill="auto"/>
            <w:vAlign w:val="center"/>
          </w:tcPr>
          <w:p w14:paraId="59846857" w14:textId="77777777" w:rsidR="00747A3E" w:rsidRPr="00CF77C1" w:rsidRDefault="00747A3E" w:rsidP="0080044B">
            <w:pPr>
              <w:framePr w:hSpace="181" w:wrap="notBeside" w:vAnchor="text" w:hAnchor="text" w:y="1"/>
              <w:jc w:val="center"/>
              <w:rPr>
                <w:lang w:val="sr-Cyrl-RS"/>
              </w:rPr>
            </w:pPr>
            <w:r w:rsidRPr="00CF77C1">
              <w:rPr>
                <w:lang w:val="sr-Cyrl-RS"/>
              </w:rPr>
              <w:t>2020.</w:t>
            </w:r>
          </w:p>
        </w:tc>
        <w:tc>
          <w:tcPr>
            <w:tcW w:w="1114" w:type="dxa"/>
            <w:shd w:val="clear" w:color="auto" w:fill="auto"/>
            <w:vAlign w:val="center"/>
          </w:tcPr>
          <w:p w14:paraId="47A3B662" w14:textId="77777777" w:rsidR="00747A3E" w:rsidRPr="00CF77C1" w:rsidRDefault="00747A3E" w:rsidP="0080044B">
            <w:pPr>
              <w:framePr w:hSpace="181" w:wrap="notBeside" w:vAnchor="text" w:hAnchor="text" w:y="1"/>
              <w:jc w:val="center"/>
              <w:rPr>
                <w:lang w:val="sr-Cyrl-RS"/>
              </w:rPr>
            </w:pPr>
            <w:r w:rsidRPr="00CF77C1">
              <w:rPr>
                <w:lang w:val="sr-Cyrl-RS"/>
              </w:rPr>
              <w:t>2021.</w:t>
            </w:r>
          </w:p>
        </w:tc>
        <w:tc>
          <w:tcPr>
            <w:tcW w:w="1114" w:type="dxa"/>
            <w:shd w:val="clear" w:color="auto" w:fill="auto"/>
            <w:vAlign w:val="center"/>
          </w:tcPr>
          <w:p w14:paraId="6E98B334" w14:textId="77777777" w:rsidR="00747A3E" w:rsidRPr="00CF77C1" w:rsidRDefault="00747A3E" w:rsidP="0080044B">
            <w:pPr>
              <w:framePr w:hSpace="181" w:wrap="notBeside" w:vAnchor="text" w:hAnchor="text" w:y="1"/>
              <w:jc w:val="center"/>
              <w:rPr>
                <w:lang w:val="sr-Cyrl-RS"/>
              </w:rPr>
            </w:pPr>
            <w:r w:rsidRPr="00CF77C1">
              <w:rPr>
                <w:lang w:val="sr-Cyrl-RS"/>
              </w:rPr>
              <w:t>2022.</w:t>
            </w:r>
          </w:p>
        </w:tc>
        <w:tc>
          <w:tcPr>
            <w:tcW w:w="1114" w:type="dxa"/>
            <w:shd w:val="clear" w:color="auto" w:fill="auto"/>
            <w:vAlign w:val="center"/>
          </w:tcPr>
          <w:p w14:paraId="731FB76A" w14:textId="77777777" w:rsidR="00747A3E" w:rsidRPr="00CF77C1" w:rsidRDefault="00747A3E" w:rsidP="0080044B">
            <w:pPr>
              <w:framePr w:hSpace="181" w:wrap="notBeside" w:vAnchor="text" w:hAnchor="text" w:y="1"/>
              <w:jc w:val="center"/>
              <w:rPr>
                <w:lang w:val="sr-Cyrl-RS"/>
              </w:rPr>
            </w:pPr>
            <w:r w:rsidRPr="00CF77C1">
              <w:rPr>
                <w:lang w:val="sr-Cyrl-RS"/>
              </w:rPr>
              <w:t>2023.</w:t>
            </w:r>
          </w:p>
        </w:tc>
      </w:tr>
      <w:tr w:rsidR="001A764A" w:rsidRPr="00CF77C1" w14:paraId="4E2B895A" w14:textId="77777777" w:rsidTr="001D7735">
        <w:trPr>
          <w:trHeight w:val="592"/>
        </w:trPr>
        <w:tc>
          <w:tcPr>
            <w:tcW w:w="4503" w:type="dxa"/>
            <w:shd w:val="clear" w:color="auto" w:fill="auto"/>
            <w:vAlign w:val="center"/>
          </w:tcPr>
          <w:p w14:paraId="15EBD897" w14:textId="77777777" w:rsidR="001A764A" w:rsidRPr="00CF77C1" w:rsidRDefault="001A764A" w:rsidP="0080044B">
            <w:pPr>
              <w:framePr w:hSpace="181" w:wrap="notBeside" w:vAnchor="text" w:hAnchor="text" w:y="1"/>
              <w:spacing w:before="20" w:after="20"/>
              <w:jc w:val="left"/>
              <w:rPr>
                <w:lang w:val="sr-Cyrl-RS"/>
              </w:rPr>
            </w:pPr>
            <w:r w:rsidRPr="00CF77C1">
              <w:rPr>
                <w:lang w:val="sr-Cyrl-RS"/>
              </w:rPr>
              <w:t>Организациони и послови руковођења пројектом</w:t>
            </w:r>
          </w:p>
        </w:tc>
        <w:tc>
          <w:tcPr>
            <w:tcW w:w="2551" w:type="dxa"/>
            <w:vMerge w:val="restart"/>
            <w:shd w:val="clear" w:color="auto" w:fill="auto"/>
            <w:vAlign w:val="center"/>
          </w:tcPr>
          <w:p w14:paraId="13E0D7A6" w14:textId="77777777" w:rsidR="001A764A" w:rsidRPr="00CF77C1" w:rsidRDefault="001B761F" w:rsidP="0080044B">
            <w:pPr>
              <w:framePr w:hSpace="181" w:wrap="notBeside" w:vAnchor="text" w:hAnchor="text" w:y="1"/>
              <w:spacing w:before="20" w:after="20"/>
              <w:jc w:val="left"/>
              <w:rPr>
                <w:lang w:val="sr-Cyrl-RS"/>
              </w:rPr>
            </w:pPr>
            <w:r w:rsidRPr="00CF77C1">
              <w:rPr>
                <w:lang w:val="sr-Cyrl-RS"/>
              </w:rPr>
              <w:t>ЕПС</w:t>
            </w:r>
            <w:r w:rsidR="001A764A" w:rsidRPr="00CF77C1">
              <w:rPr>
                <w:lang w:val="sr-Cyrl-RS"/>
              </w:rPr>
              <w:t>, ОДС</w:t>
            </w:r>
          </w:p>
        </w:tc>
        <w:tc>
          <w:tcPr>
            <w:tcW w:w="1113" w:type="dxa"/>
            <w:shd w:val="clear" w:color="auto" w:fill="auto"/>
            <w:vAlign w:val="center"/>
          </w:tcPr>
          <w:p w14:paraId="33BDB706"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24 ТС</w:t>
            </w:r>
          </w:p>
        </w:tc>
        <w:tc>
          <w:tcPr>
            <w:tcW w:w="1114" w:type="dxa"/>
            <w:shd w:val="clear" w:color="auto" w:fill="auto"/>
            <w:vAlign w:val="center"/>
          </w:tcPr>
          <w:p w14:paraId="1023321B"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22 ТС</w:t>
            </w:r>
          </w:p>
        </w:tc>
        <w:tc>
          <w:tcPr>
            <w:tcW w:w="1114" w:type="dxa"/>
            <w:shd w:val="clear" w:color="auto" w:fill="auto"/>
            <w:vAlign w:val="center"/>
          </w:tcPr>
          <w:p w14:paraId="3145EFE1"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24 ТС</w:t>
            </w:r>
          </w:p>
        </w:tc>
        <w:tc>
          <w:tcPr>
            <w:tcW w:w="1113" w:type="dxa"/>
            <w:shd w:val="clear" w:color="auto" w:fill="auto"/>
            <w:vAlign w:val="center"/>
          </w:tcPr>
          <w:p w14:paraId="63105BCF"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21 ТС</w:t>
            </w:r>
          </w:p>
        </w:tc>
        <w:tc>
          <w:tcPr>
            <w:tcW w:w="1114" w:type="dxa"/>
            <w:shd w:val="clear" w:color="auto" w:fill="auto"/>
            <w:vAlign w:val="center"/>
          </w:tcPr>
          <w:p w14:paraId="059F0293"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21 ТС</w:t>
            </w:r>
          </w:p>
        </w:tc>
        <w:tc>
          <w:tcPr>
            <w:tcW w:w="1114" w:type="dxa"/>
            <w:shd w:val="clear" w:color="auto" w:fill="auto"/>
            <w:vAlign w:val="center"/>
          </w:tcPr>
          <w:p w14:paraId="403263DF"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10 ТС</w:t>
            </w:r>
          </w:p>
        </w:tc>
        <w:tc>
          <w:tcPr>
            <w:tcW w:w="1114" w:type="dxa"/>
            <w:shd w:val="clear" w:color="auto" w:fill="auto"/>
            <w:vAlign w:val="center"/>
          </w:tcPr>
          <w:p w14:paraId="682E2AC4"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8 ТС</w:t>
            </w:r>
          </w:p>
        </w:tc>
      </w:tr>
      <w:tr w:rsidR="001A764A" w:rsidRPr="00CF77C1" w14:paraId="5D215B43" w14:textId="77777777" w:rsidTr="001D7735">
        <w:trPr>
          <w:trHeight w:val="592"/>
        </w:trPr>
        <w:tc>
          <w:tcPr>
            <w:tcW w:w="4503" w:type="dxa"/>
            <w:shd w:val="clear" w:color="auto" w:fill="auto"/>
            <w:vAlign w:val="center"/>
          </w:tcPr>
          <w:p w14:paraId="77412DF7" w14:textId="77777777" w:rsidR="001A764A" w:rsidRPr="00CF77C1" w:rsidRDefault="001A764A" w:rsidP="0080044B">
            <w:pPr>
              <w:framePr w:hSpace="181" w:wrap="notBeside" w:vAnchor="text" w:hAnchor="text" w:y="1"/>
              <w:spacing w:before="20" w:after="20"/>
              <w:jc w:val="left"/>
              <w:rPr>
                <w:lang w:val="sr-Cyrl-RS"/>
              </w:rPr>
            </w:pPr>
            <w:r w:rsidRPr="00CF77C1">
              <w:rPr>
                <w:lang w:val="sr-Cyrl-RS"/>
              </w:rPr>
              <w:t>Припрема просторно-планске документације</w:t>
            </w:r>
          </w:p>
        </w:tc>
        <w:tc>
          <w:tcPr>
            <w:tcW w:w="2551" w:type="dxa"/>
            <w:vMerge/>
            <w:shd w:val="clear" w:color="auto" w:fill="auto"/>
            <w:vAlign w:val="center"/>
          </w:tcPr>
          <w:p w14:paraId="1A8D48A1" w14:textId="77777777" w:rsidR="001A764A" w:rsidRPr="00CF77C1" w:rsidRDefault="001A764A" w:rsidP="0080044B">
            <w:pPr>
              <w:framePr w:hSpace="181" w:wrap="notBeside" w:vAnchor="text" w:hAnchor="text" w:y="1"/>
              <w:spacing w:before="20" w:after="20"/>
              <w:jc w:val="left"/>
              <w:rPr>
                <w:lang w:val="sr-Cyrl-RS"/>
              </w:rPr>
            </w:pPr>
          </w:p>
        </w:tc>
        <w:tc>
          <w:tcPr>
            <w:tcW w:w="1113" w:type="dxa"/>
            <w:shd w:val="clear" w:color="auto" w:fill="auto"/>
            <w:vAlign w:val="center"/>
          </w:tcPr>
          <w:p w14:paraId="3928118B"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 ТС</w:t>
            </w:r>
          </w:p>
        </w:tc>
        <w:tc>
          <w:tcPr>
            <w:tcW w:w="1114" w:type="dxa"/>
            <w:shd w:val="clear" w:color="auto" w:fill="auto"/>
            <w:vAlign w:val="center"/>
          </w:tcPr>
          <w:p w14:paraId="5135DF28"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13 ТС</w:t>
            </w:r>
          </w:p>
        </w:tc>
        <w:tc>
          <w:tcPr>
            <w:tcW w:w="1114" w:type="dxa"/>
            <w:shd w:val="clear" w:color="auto" w:fill="auto"/>
            <w:vAlign w:val="center"/>
          </w:tcPr>
          <w:p w14:paraId="1ABEDD52"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13 ТС</w:t>
            </w:r>
          </w:p>
        </w:tc>
        <w:tc>
          <w:tcPr>
            <w:tcW w:w="1113" w:type="dxa"/>
            <w:shd w:val="clear" w:color="auto" w:fill="auto"/>
            <w:vAlign w:val="center"/>
          </w:tcPr>
          <w:p w14:paraId="273D59D3"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7 ТС</w:t>
            </w:r>
          </w:p>
        </w:tc>
        <w:tc>
          <w:tcPr>
            <w:tcW w:w="1114" w:type="dxa"/>
            <w:shd w:val="clear" w:color="auto" w:fill="auto"/>
            <w:vAlign w:val="center"/>
          </w:tcPr>
          <w:p w14:paraId="77ABAE9E"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5 ТС</w:t>
            </w:r>
          </w:p>
        </w:tc>
        <w:tc>
          <w:tcPr>
            <w:tcW w:w="1114" w:type="dxa"/>
            <w:shd w:val="clear" w:color="auto" w:fill="auto"/>
            <w:vAlign w:val="center"/>
          </w:tcPr>
          <w:p w14:paraId="1056E1BB"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3 ТС</w:t>
            </w:r>
          </w:p>
        </w:tc>
        <w:tc>
          <w:tcPr>
            <w:tcW w:w="1114" w:type="dxa"/>
            <w:shd w:val="clear" w:color="auto" w:fill="auto"/>
            <w:vAlign w:val="center"/>
          </w:tcPr>
          <w:p w14:paraId="701E7FFF"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3 ТС</w:t>
            </w:r>
          </w:p>
        </w:tc>
      </w:tr>
      <w:tr w:rsidR="001A764A" w:rsidRPr="00CF77C1" w14:paraId="2288DA0B" w14:textId="77777777" w:rsidTr="001D7735">
        <w:trPr>
          <w:trHeight w:val="592"/>
        </w:trPr>
        <w:tc>
          <w:tcPr>
            <w:tcW w:w="4503" w:type="dxa"/>
            <w:shd w:val="clear" w:color="auto" w:fill="auto"/>
            <w:vAlign w:val="center"/>
          </w:tcPr>
          <w:p w14:paraId="63B6FC78" w14:textId="77777777" w:rsidR="001A764A" w:rsidRPr="00CF77C1" w:rsidRDefault="001A764A" w:rsidP="0080044B">
            <w:pPr>
              <w:framePr w:hSpace="181" w:wrap="notBeside" w:vAnchor="text" w:hAnchor="text" w:y="1"/>
              <w:spacing w:before="20" w:after="20"/>
              <w:jc w:val="left"/>
              <w:rPr>
                <w:lang w:val="sr-Cyrl-RS"/>
              </w:rPr>
            </w:pPr>
            <w:r w:rsidRPr="00CF77C1">
              <w:rPr>
                <w:lang w:val="sr-Cyrl-RS"/>
              </w:rPr>
              <w:t>Припрема техничке документације</w:t>
            </w:r>
          </w:p>
        </w:tc>
        <w:tc>
          <w:tcPr>
            <w:tcW w:w="2551" w:type="dxa"/>
            <w:vMerge/>
            <w:shd w:val="clear" w:color="auto" w:fill="auto"/>
          </w:tcPr>
          <w:p w14:paraId="7E006D58" w14:textId="77777777" w:rsidR="001A764A" w:rsidRPr="00CF77C1" w:rsidRDefault="001A764A" w:rsidP="0080044B">
            <w:pPr>
              <w:framePr w:hSpace="181" w:wrap="notBeside" w:vAnchor="text" w:hAnchor="text" w:y="1"/>
              <w:spacing w:before="20" w:after="20"/>
              <w:rPr>
                <w:lang w:val="sr-Cyrl-RS"/>
              </w:rPr>
            </w:pPr>
          </w:p>
        </w:tc>
        <w:tc>
          <w:tcPr>
            <w:tcW w:w="1113" w:type="dxa"/>
            <w:shd w:val="clear" w:color="auto" w:fill="auto"/>
            <w:vAlign w:val="center"/>
          </w:tcPr>
          <w:p w14:paraId="716FBC6E"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15 ТС</w:t>
            </w:r>
          </w:p>
        </w:tc>
        <w:tc>
          <w:tcPr>
            <w:tcW w:w="1114" w:type="dxa"/>
            <w:shd w:val="clear" w:color="auto" w:fill="auto"/>
            <w:vAlign w:val="center"/>
          </w:tcPr>
          <w:p w14:paraId="669CC4B7"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14 ТС</w:t>
            </w:r>
          </w:p>
        </w:tc>
        <w:tc>
          <w:tcPr>
            <w:tcW w:w="1114" w:type="dxa"/>
            <w:shd w:val="clear" w:color="auto" w:fill="auto"/>
            <w:vAlign w:val="center"/>
          </w:tcPr>
          <w:p w14:paraId="27338AF5"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7 ТС</w:t>
            </w:r>
          </w:p>
        </w:tc>
        <w:tc>
          <w:tcPr>
            <w:tcW w:w="1113" w:type="dxa"/>
            <w:shd w:val="clear" w:color="auto" w:fill="auto"/>
            <w:vAlign w:val="center"/>
          </w:tcPr>
          <w:p w14:paraId="7F6690BF"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5 ТС</w:t>
            </w:r>
          </w:p>
        </w:tc>
        <w:tc>
          <w:tcPr>
            <w:tcW w:w="1114" w:type="dxa"/>
            <w:shd w:val="clear" w:color="auto" w:fill="auto"/>
            <w:vAlign w:val="center"/>
          </w:tcPr>
          <w:p w14:paraId="1CCBF4FD"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3 ТС</w:t>
            </w:r>
          </w:p>
        </w:tc>
        <w:tc>
          <w:tcPr>
            <w:tcW w:w="1114" w:type="dxa"/>
            <w:shd w:val="clear" w:color="auto" w:fill="auto"/>
            <w:vAlign w:val="center"/>
          </w:tcPr>
          <w:p w14:paraId="57823C4A"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3 ТС</w:t>
            </w:r>
          </w:p>
        </w:tc>
        <w:tc>
          <w:tcPr>
            <w:tcW w:w="1114" w:type="dxa"/>
            <w:shd w:val="clear" w:color="auto" w:fill="auto"/>
            <w:vAlign w:val="center"/>
          </w:tcPr>
          <w:p w14:paraId="3A4FCD6E" w14:textId="77777777" w:rsidR="001A764A" w:rsidRPr="00CF77C1" w:rsidRDefault="001A764A" w:rsidP="0080044B">
            <w:pPr>
              <w:framePr w:hSpace="181" w:wrap="notBeside" w:vAnchor="text" w:hAnchor="text" w:y="1"/>
              <w:spacing w:before="20" w:after="20"/>
              <w:jc w:val="center"/>
              <w:rPr>
                <w:lang w:val="sr-Cyrl-RS"/>
              </w:rPr>
            </w:pPr>
          </w:p>
        </w:tc>
      </w:tr>
      <w:tr w:rsidR="001A764A" w:rsidRPr="00CF77C1" w14:paraId="7AEA87C2" w14:textId="77777777" w:rsidTr="001D7735">
        <w:trPr>
          <w:trHeight w:val="592"/>
        </w:trPr>
        <w:tc>
          <w:tcPr>
            <w:tcW w:w="4503" w:type="dxa"/>
            <w:shd w:val="clear" w:color="auto" w:fill="auto"/>
            <w:vAlign w:val="center"/>
          </w:tcPr>
          <w:p w14:paraId="77218CBE" w14:textId="77777777" w:rsidR="001A764A" w:rsidRPr="00CF77C1" w:rsidRDefault="001A764A" w:rsidP="0080044B">
            <w:pPr>
              <w:framePr w:hSpace="181" w:wrap="notBeside" w:vAnchor="text" w:hAnchor="text" w:y="1"/>
              <w:spacing w:before="20" w:after="20"/>
              <w:jc w:val="left"/>
              <w:rPr>
                <w:lang w:val="sr-Cyrl-RS"/>
              </w:rPr>
            </w:pPr>
            <w:r w:rsidRPr="00CF77C1">
              <w:rPr>
                <w:lang w:val="sr-Cyrl-RS"/>
              </w:rPr>
              <w:t>Дозволе</w:t>
            </w:r>
          </w:p>
        </w:tc>
        <w:tc>
          <w:tcPr>
            <w:tcW w:w="2551" w:type="dxa"/>
            <w:vMerge/>
            <w:shd w:val="clear" w:color="auto" w:fill="auto"/>
          </w:tcPr>
          <w:p w14:paraId="5D21506E" w14:textId="77777777" w:rsidR="001A764A" w:rsidRPr="00CF77C1" w:rsidRDefault="001A764A" w:rsidP="0080044B">
            <w:pPr>
              <w:framePr w:hSpace="181" w:wrap="notBeside" w:vAnchor="text" w:hAnchor="text" w:y="1"/>
              <w:spacing w:before="20" w:after="20"/>
              <w:rPr>
                <w:lang w:val="sr-Cyrl-RS"/>
              </w:rPr>
            </w:pPr>
          </w:p>
        </w:tc>
        <w:tc>
          <w:tcPr>
            <w:tcW w:w="1113" w:type="dxa"/>
            <w:shd w:val="clear" w:color="auto" w:fill="auto"/>
            <w:vAlign w:val="center"/>
          </w:tcPr>
          <w:p w14:paraId="62176C18"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4 ТС</w:t>
            </w:r>
          </w:p>
        </w:tc>
        <w:tc>
          <w:tcPr>
            <w:tcW w:w="1114" w:type="dxa"/>
            <w:shd w:val="clear" w:color="auto" w:fill="auto"/>
            <w:vAlign w:val="center"/>
          </w:tcPr>
          <w:p w14:paraId="379AB048"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 ТС</w:t>
            </w:r>
          </w:p>
        </w:tc>
        <w:tc>
          <w:tcPr>
            <w:tcW w:w="1114" w:type="dxa"/>
            <w:shd w:val="clear" w:color="auto" w:fill="auto"/>
            <w:vAlign w:val="center"/>
          </w:tcPr>
          <w:p w14:paraId="446992A6" w14:textId="77777777" w:rsidR="001A764A" w:rsidRPr="00CF77C1" w:rsidRDefault="000F7AFA" w:rsidP="0080044B">
            <w:pPr>
              <w:framePr w:hSpace="181" w:wrap="notBeside" w:vAnchor="text" w:hAnchor="text" w:y="1"/>
              <w:spacing w:before="20" w:after="20"/>
              <w:jc w:val="center"/>
              <w:rPr>
                <w:lang w:val="sr-Cyrl-RS"/>
              </w:rPr>
            </w:pPr>
            <w:r w:rsidRPr="00CF77C1">
              <w:rPr>
                <w:lang w:val="sr-Cyrl-RS"/>
              </w:rPr>
              <w:t>3</w:t>
            </w:r>
            <w:r w:rsidR="001A764A" w:rsidRPr="00CF77C1">
              <w:rPr>
                <w:lang w:val="sr-Cyrl-RS"/>
              </w:rPr>
              <w:t xml:space="preserve"> ТС</w:t>
            </w:r>
          </w:p>
        </w:tc>
        <w:tc>
          <w:tcPr>
            <w:tcW w:w="1113" w:type="dxa"/>
            <w:shd w:val="clear" w:color="auto" w:fill="auto"/>
            <w:vAlign w:val="center"/>
          </w:tcPr>
          <w:p w14:paraId="212BB1A3"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11 ТС</w:t>
            </w:r>
          </w:p>
        </w:tc>
        <w:tc>
          <w:tcPr>
            <w:tcW w:w="1114" w:type="dxa"/>
            <w:shd w:val="clear" w:color="auto" w:fill="auto"/>
            <w:vAlign w:val="center"/>
          </w:tcPr>
          <w:p w14:paraId="244A910F"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 ТС</w:t>
            </w:r>
          </w:p>
        </w:tc>
        <w:tc>
          <w:tcPr>
            <w:tcW w:w="1114" w:type="dxa"/>
            <w:shd w:val="clear" w:color="auto" w:fill="auto"/>
            <w:vAlign w:val="center"/>
          </w:tcPr>
          <w:p w14:paraId="5BABB3EE"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5 ТС</w:t>
            </w:r>
          </w:p>
        </w:tc>
        <w:tc>
          <w:tcPr>
            <w:tcW w:w="1114" w:type="dxa"/>
            <w:shd w:val="clear" w:color="auto" w:fill="auto"/>
            <w:vAlign w:val="center"/>
          </w:tcPr>
          <w:p w14:paraId="6522963D"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4 ТС</w:t>
            </w:r>
          </w:p>
        </w:tc>
      </w:tr>
      <w:tr w:rsidR="001A764A" w:rsidRPr="00CF77C1" w14:paraId="1D5EA29A" w14:textId="77777777" w:rsidTr="001D7735">
        <w:trPr>
          <w:trHeight w:val="592"/>
        </w:trPr>
        <w:tc>
          <w:tcPr>
            <w:tcW w:w="4503" w:type="dxa"/>
            <w:shd w:val="clear" w:color="auto" w:fill="auto"/>
            <w:vAlign w:val="center"/>
          </w:tcPr>
          <w:p w14:paraId="1267295F" w14:textId="77777777" w:rsidR="001A764A" w:rsidRPr="00CF77C1" w:rsidRDefault="001A764A" w:rsidP="0080044B">
            <w:pPr>
              <w:framePr w:hSpace="181" w:wrap="notBeside" w:vAnchor="text" w:hAnchor="text" w:y="1"/>
              <w:spacing w:before="20" w:after="20"/>
              <w:jc w:val="left"/>
              <w:rPr>
                <w:lang w:val="sr-Cyrl-RS"/>
              </w:rPr>
            </w:pPr>
            <w:r w:rsidRPr="00CF77C1">
              <w:rPr>
                <w:lang w:val="sr-Cyrl-RS"/>
              </w:rPr>
              <w:t>Реализација градње</w:t>
            </w:r>
          </w:p>
        </w:tc>
        <w:tc>
          <w:tcPr>
            <w:tcW w:w="2551" w:type="dxa"/>
            <w:vMerge/>
            <w:shd w:val="clear" w:color="auto" w:fill="auto"/>
          </w:tcPr>
          <w:p w14:paraId="1AAAD9C9" w14:textId="77777777" w:rsidR="001A764A" w:rsidRPr="00CF77C1" w:rsidRDefault="001A764A" w:rsidP="0080044B">
            <w:pPr>
              <w:framePr w:hSpace="181" w:wrap="notBeside" w:vAnchor="text" w:hAnchor="text" w:y="1"/>
              <w:spacing w:before="20" w:after="20"/>
              <w:rPr>
                <w:lang w:val="sr-Cyrl-RS"/>
              </w:rPr>
            </w:pPr>
          </w:p>
        </w:tc>
        <w:tc>
          <w:tcPr>
            <w:tcW w:w="1113" w:type="dxa"/>
            <w:shd w:val="clear" w:color="auto" w:fill="auto"/>
            <w:vAlign w:val="center"/>
          </w:tcPr>
          <w:p w14:paraId="2771B74F" w14:textId="77777777" w:rsidR="001A764A" w:rsidRPr="00CF77C1" w:rsidRDefault="000F7AFA" w:rsidP="0080044B">
            <w:pPr>
              <w:framePr w:hSpace="181" w:wrap="notBeside" w:vAnchor="text" w:hAnchor="text" w:y="1"/>
              <w:spacing w:before="20" w:after="20"/>
              <w:jc w:val="center"/>
              <w:rPr>
                <w:lang w:val="sr-Cyrl-RS"/>
              </w:rPr>
            </w:pPr>
            <w:r w:rsidRPr="00CF77C1">
              <w:rPr>
                <w:lang w:val="sr-Cyrl-RS"/>
              </w:rPr>
              <w:t>8</w:t>
            </w:r>
            <w:r w:rsidR="001A764A" w:rsidRPr="00CF77C1">
              <w:rPr>
                <w:lang w:val="sr-Cyrl-RS"/>
              </w:rPr>
              <w:t xml:space="preserve"> ТС</w:t>
            </w:r>
          </w:p>
        </w:tc>
        <w:tc>
          <w:tcPr>
            <w:tcW w:w="1114" w:type="dxa"/>
            <w:shd w:val="clear" w:color="auto" w:fill="auto"/>
            <w:vAlign w:val="center"/>
          </w:tcPr>
          <w:p w14:paraId="50920985" w14:textId="77777777" w:rsidR="001A764A" w:rsidRPr="00CF77C1" w:rsidRDefault="00B17AFE" w:rsidP="0080044B">
            <w:pPr>
              <w:framePr w:hSpace="181" w:wrap="notBeside" w:vAnchor="text" w:hAnchor="text" w:y="1"/>
              <w:spacing w:before="20" w:after="20"/>
              <w:jc w:val="center"/>
              <w:rPr>
                <w:lang w:val="sr-Cyrl-RS"/>
              </w:rPr>
            </w:pPr>
            <w:r w:rsidRPr="00CF77C1">
              <w:rPr>
                <w:lang w:val="sr-Cyrl-RS"/>
              </w:rPr>
              <w:t>6</w:t>
            </w:r>
            <w:r w:rsidR="001A764A" w:rsidRPr="00CF77C1">
              <w:rPr>
                <w:lang w:val="sr-Cyrl-RS"/>
              </w:rPr>
              <w:t xml:space="preserve"> ТС</w:t>
            </w:r>
          </w:p>
        </w:tc>
        <w:tc>
          <w:tcPr>
            <w:tcW w:w="1114" w:type="dxa"/>
            <w:shd w:val="clear" w:color="auto" w:fill="auto"/>
            <w:vAlign w:val="center"/>
          </w:tcPr>
          <w:p w14:paraId="0D841986" w14:textId="77777777" w:rsidR="001A764A" w:rsidRPr="00CF77C1" w:rsidRDefault="00B17AFE" w:rsidP="0080044B">
            <w:pPr>
              <w:framePr w:hSpace="181" w:wrap="notBeside" w:vAnchor="text" w:hAnchor="text" w:y="1"/>
              <w:spacing w:before="20" w:after="20"/>
              <w:jc w:val="center"/>
              <w:rPr>
                <w:lang w:val="sr-Cyrl-RS"/>
              </w:rPr>
            </w:pPr>
            <w:r w:rsidRPr="00CF77C1">
              <w:rPr>
                <w:lang w:val="sr-Cyrl-RS"/>
              </w:rPr>
              <w:t>6</w:t>
            </w:r>
            <w:r w:rsidR="001A764A" w:rsidRPr="00CF77C1">
              <w:rPr>
                <w:lang w:val="sr-Cyrl-RS"/>
              </w:rPr>
              <w:t xml:space="preserve"> ТС</w:t>
            </w:r>
          </w:p>
        </w:tc>
        <w:tc>
          <w:tcPr>
            <w:tcW w:w="1113" w:type="dxa"/>
            <w:shd w:val="clear" w:color="auto" w:fill="auto"/>
            <w:vAlign w:val="center"/>
          </w:tcPr>
          <w:p w14:paraId="1FD3D3DE" w14:textId="77777777" w:rsidR="001A764A" w:rsidRPr="00CF77C1" w:rsidRDefault="00B17AFE" w:rsidP="0080044B">
            <w:pPr>
              <w:framePr w:hSpace="181" w:wrap="notBeside" w:vAnchor="text" w:hAnchor="text" w:y="1"/>
              <w:spacing w:before="20" w:after="20"/>
              <w:jc w:val="center"/>
              <w:rPr>
                <w:lang w:val="sr-Cyrl-RS"/>
              </w:rPr>
            </w:pPr>
            <w:r w:rsidRPr="00CF77C1">
              <w:rPr>
                <w:lang w:val="sr-Cyrl-RS"/>
              </w:rPr>
              <w:t>14</w:t>
            </w:r>
            <w:r w:rsidR="001A764A" w:rsidRPr="00CF77C1">
              <w:rPr>
                <w:lang w:val="sr-Cyrl-RS"/>
              </w:rPr>
              <w:t xml:space="preserve"> ТС</w:t>
            </w:r>
          </w:p>
        </w:tc>
        <w:tc>
          <w:tcPr>
            <w:tcW w:w="1114" w:type="dxa"/>
            <w:shd w:val="clear" w:color="auto" w:fill="auto"/>
            <w:vAlign w:val="center"/>
          </w:tcPr>
          <w:p w14:paraId="1C73A93E" w14:textId="77777777" w:rsidR="001A764A" w:rsidRPr="00CF77C1" w:rsidRDefault="00B17AFE" w:rsidP="0080044B">
            <w:pPr>
              <w:framePr w:hSpace="181" w:wrap="notBeside" w:vAnchor="text" w:hAnchor="text" w:y="1"/>
              <w:spacing w:before="20" w:after="20"/>
              <w:jc w:val="center"/>
              <w:rPr>
                <w:lang w:val="sr-Cyrl-RS"/>
              </w:rPr>
            </w:pPr>
            <w:r w:rsidRPr="00CF77C1">
              <w:rPr>
                <w:lang w:val="sr-Cyrl-RS"/>
              </w:rPr>
              <w:t>13</w:t>
            </w:r>
            <w:r w:rsidR="001A764A" w:rsidRPr="00CF77C1">
              <w:rPr>
                <w:lang w:val="sr-Cyrl-RS"/>
              </w:rPr>
              <w:t xml:space="preserve"> ТС</w:t>
            </w:r>
          </w:p>
        </w:tc>
        <w:tc>
          <w:tcPr>
            <w:tcW w:w="1114" w:type="dxa"/>
            <w:shd w:val="clear" w:color="auto" w:fill="auto"/>
            <w:vAlign w:val="center"/>
          </w:tcPr>
          <w:p w14:paraId="1C306ED7"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7 ТС</w:t>
            </w:r>
          </w:p>
        </w:tc>
        <w:tc>
          <w:tcPr>
            <w:tcW w:w="1114" w:type="dxa"/>
            <w:shd w:val="clear" w:color="auto" w:fill="auto"/>
            <w:vAlign w:val="center"/>
          </w:tcPr>
          <w:p w14:paraId="0918F43E"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5 ТС</w:t>
            </w:r>
          </w:p>
        </w:tc>
      </w:tr>
      <w:tr w:rsidR="001A764A" w:rsidRPr="00CF77C1" w14:paraId="6319D216" w14:textId="77777777" w:rsidTr="001D7735">
        <w:trPr>
          <w:trHeight w:val="592"/>
        </w:trPr>
        <w:tc>
          <w:tcPr>
            <w:tcW w:w="4503" w:type="dxa"/>
            <w:shd w:val="clear" w:color="auto" w:fill="auto"/>
            <w:vAlign w:val="center"/>
          </w:tcPr>
          <w:p w14:paraId="5290AAA3" w14:textId="77777777" w:rsidR="001A764A" w:rsidRPr="00CF77C1" w:rsidRDefault="001A764A" w:rsidP="0080044B">
            <w:pPr>
              <w:framePr w:hSpace="181" w:wrap="notBeside" w:vAnchor="text" w:hAnchor="text" w:y="1"/>
              <w:spacing w:before="20" w:after="20"/>
              <w:jc w:val="left"/>
              <w:rPr>
                <w:lang w:val="sr-Cyrl-RS"/>
              </w:rPr>
            </w:pPr>
            <w:r w:rsidRPr="00CF77C1">
              <w:rPr>
                <w:lang w:val="sr-Cyrl-RS"/>
              </w:rPr>
              <w:t>Улазак у погон</w:t>
            </w:r>
          </w:p>
        </w:tc>
        <w:tc>
          <w:tcPr>
            <w:tcW w:w="2551" w:type="dxa"/>
            <w:vMerge/>
            <w:shd w:val="clear" w:color="auto" w:fill="auto"/>
          </w:tcPr>
          <w:p w14:paraId="12EF0E01" w14:textId="77777777" w:rsidR="001A764A" w:rsidRPr="00CF77C1" w:rsidRDefault="001A764A" w:rsidP="0080044B">
            <w:pPr>
              <w:framePr w:hSpace="181" w:wrap="notBeside" w:vAnchor="text" w:hAnchor="text" w:y="1"/>
              <w:spacing w:before="20" w:after="20"/>
              <w:rPr>
                <w:lang w:val="sr-Cyrl-RS"/>
              </w:rPr>
            </w:pPr>
          </w:p>
        </w:tc>
        <w:tc>
          <w:tcPr>
            <w:tcW w:w="1113" w:type="dxa"/>
            <w:shd w:val="clear" w:color="auto" w:fill="auto"/>
            <w:vAlign w:val="center"/>
          </w:tcPr>
          <w:p w14:paraId="77F8E738" w14:textId="77777777" w:rsidR="001A764A" w:rsidRPr="00CF77C1" w:rsidRDefault="001A764A" w:rsidP="0080044B">
            <w:pPr>
              <w:framePr w:hSpace="181" w:wrap="notBeside" w:vAnchor="text" w:hAnchor="text" w:y="1"/>
              <w:spacing w:before="20" w:after="20"/>
              <w:jc w:val="center"/>
              <w:rPr>
                <w:lang w:val="sr-Cyrl-RS"/>
              </w:rPr>
            </w:pPr>
          </w:p>
        </w:tc>
        <w:tc>
          <w:tcPr>
            <w:tcW w:w="1114" w:type="dxa"/>
            <w:shd w:val="clear" w:color="auto" w:fill="auto"/>
            <w:vAlign w:val="center"/>
          </w:tcPr>
          <w:p w14:paraId="22CB4BA7"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5 ТС</w:t>
            </w:r>
          </w:p>
        </w:tc>
        <w:tc>
          <w:tcPr>
            <w:tcW w:w="1114" w:type="dxa"/>
            <w:shd w:val="clear" w:color="auto" w:fill="auto"/>
            <w:vAlign w:val="center"/>
          </w:tcPr>
          <w:p w14:paraId="6C220654"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3 ТС</w:t>
            </w:r>
          </w:p>
        </w:tc>
        <w:tc>
          <w:tcPr>
            <w:tcW w:w="1113" w:type="dxa"/>
            <w:shd w:val="clear" w:color="auto" w:fill="auto"/>
            <w:vAlign w:val="center"/>
          </w:tcPr>
          <w:p w14:paraId="7059BB59"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3 ТС</w:t>
            </w:r>
          </w:p>
        </w:tc>
        <w:tc>
          <w:tcPr>
            <w:tcW w:w="1114" w:type="dxa"/>
            <w:shd w:val="clear" w:color="auto" w:fill="auto"/>
            <w:vAlign w:val="center"/>
          </w:tcPr>
          <w:p w14:paraId="3D7548D5"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3 ТС</w:t>
            </w:r>
          </w:p>
        </w:tc>
        <w:tc>
          <w:tcPr>
            <w:tcW w:w="1114" w:type="dxa"/>
            <w:shd w:val="clear" w:color="auto" w:fill="auto"/>
            <w:vAlign w:val="center"/>
          </w:tcPr>
          <w:p w14:paraId="5777E4D3"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11 ТС</w:t>
            </w:r>
          </w:p>
        </w:tc>
        <w:tc>
          <w:tcPr>
            <w:tcW w:w="1114" w:type="dxa"/>
            <w:shd w:val="clear" w:color="auto" w:fill="auto"/>
            <w:vAlign w:val="center"/>
          </w:tcPr>
          <w:p w14:paraId="2D925D80" w14:textId="77777777" w:rsidR="001A764A" w:rsidRPr="00CF77C1" w:rsidRDefault="001A764A" w:rsidP="0080044B">
            <w:pPr>
              <w:framePr w:hSpace="181" w:wrap="notBeside" w:vAnchor="text" w:hAnchor="text" w:y="1"/>
              <w:spacing w:before="20" w:after="20"/>
              <w:jc w:val="center"/>
              <w:rPr>
                <w:lang w:val="sr-Cyrl-RS"/>
              </w:rPr>
            </w:pPr>
            <w:r w:rsidRPr="00CF77C1">
              <w:rPr>
                <w:lang w:val="sr-Cyrl-RS"/>
              </w:rPr>
              <w:t>2 ТС</w:t>
            </w:r>
          </w:p>
        </w:tc>
      </w:tr>
    </w:tbl>
    <w:p w14:paraId="709D86FB" w14:textId="77777777" w:rsidR="00164D6D" w:rsidRPr="00CF77C1" w:rsidRDefault="00164D6D" w:rsidP="0080044B">
      <w:pPr>
        <w:rPr>
          <w:lang w:val="sr-Cyrl-RS"/>
        </w:rPr>
        <w:sectPr w:rsidR="00164D6D" w:rsidRPr="00CF77C1" w:rsidSect="00017454">
          <w:headerReference w:type="default" r:id="rId45"/>
          <w:footerReference w:type="even" r:id="rId46"/>
          <w:footerReference w:type="default" r:id="rId47"/>
          <w:pgSz w:w="16839" w:h="11907" w:orient="landscape" w:code="9"/>
          <w:pgMar w:top="1418" w:right="1134" w:bottom="1134" w:left="1134" w:header="1004" w:footer="720" w:gutter="0"/>
          <w:cols w:space="720"/>
          <w:docGrid w:linePitch="360"/>
        </w:sectPr>
      </w:pPr>
    </w:p>
    <w:p w14:paraId="66504816" w14:textId="49415363" w:rsidR="0099070F" w:rsidRPr="00615A4E" w:rsidRDefault="00141BA0" w:rsidP="00141BA0">
      <w:pPr>
        <w:pStyle w:val="Heading3"/>
        <w:numPr>
          <w:ilvl w:val="0"/>
          <w:numId w:val="0"/>
        </w:numPr>
        <w:ind w:left="720"/>
        <w:rPr>
          <w:b w:val="0"/>
          <w:lang w:val="sr-Cyrl-RS"/>
        </w:rPr>
      </w:pPr>
      <w:bookmarkStart w:id="44" w:name="_Toc484260286"/>
      <w:bookmarkStart w:id="45" w:name="_Toc463001116"/>
      <w:r w:rsidRPr="00CF77C1">
        <w:rPr>
          <w:b w:val="0"/>
          <w:lang w:val="sr-Cyrl-RS"/>
        </w:rPr>
        <w:t xml:space="preserve">3.1.3. </w:t>
      </w:r>
      <w:r w:rsidR="0099070F" w:rsidRPr="00CF77C1">
        <w:rPr>
          <w:b w:val="0"/>
          <w:lang w:val="sr-Cyrl-RS"/>
        </w:rPr>
        <w:t xml:space="preserve">Подобласт заштите животне средине </w:t>
      </w:r>
      <w:r w:rsidR="0099070F" w:rsidRPr="00615A4E">
        <w:rPr>
          <w:b w:val="0"/>
          <w:lang w:val="sr-Cyrl-RS"/>
        </w:rPr>
        <w:t>у области електричне енергије</w:t>
      </w:r>
      <w:bookmarkEnd w:id="44"/>
    </w:p>
    <w:p w14:paraId="30EA6C67" w14:textId="0AB0842E" w:rsidR="009813CB" w:rsidRPr="00CF77C1" w:rsidRDefault="0099070F" w:rsidP="00242883">
      <w:pPr>
        <w:ind w:firstLine="720"/>
        <w:rPr>
          <w:lang w:val="sr-Cyrl-RS"/>
        </w:rPr>
      </w:pPr>
      <w:r w:rsidRPr="00615A4E">
        <w:rPr>
          <w:lang w:val="sr-Cyrl-RS"/>
        </w:rPr>
        <w:t xml:space="preserve">Повлачење </w:t>
      </w:r>
      <w:r w:rsidR="001A4A8D" w:rsidRPr="00615A4E">
        <w:rPr>
          <w:lang w:val="sr-Cyrl-RS"/>
        </w:rPr>
        <w:t>осам</w:t>
      </w:r>
      <w:r w:rsidRPr="00615A4E">
        <w:rPr>
          <w:lang w:val="sr-Cyrl-RS"/>
        </w:rPr>
        <w:t xml:space="preserve"> </w:t>
      </w:r>
      <w:r w:rsidR="00091B64" w:rsidRPr="00615A4E">
        <w:rPr>
          <w:lang w:val="sr-Cyrl-RS"/>
        </w:rPr>
        <w:t>термо</w:t>
      </w:r>
      <w:r w:rsidR="007C6D0E">
        <w:rPr>
          <w:lang w:val="sr-Cyrl-RS"/>
        </w:rPr>
        <w:t>-</w:t>
      </w:r>
      <w:r w:rsidRPr="00615A4E">
        <w:rPr>
          <w:lang w:val="sr-Cyrl-RS"/>
        </w:rPr>
        <w:t xml:space="preserve">блокова </w:t>
      </w:r>
      <w:r w:rsidR="00091B64" w:rsidRPr="00615A4E">
        <w:rPr>
          <w:lang w:val="sr-Cyrl-RS"/>
        </w:rPr>
        <w:t xml:space="preserve">поменутих у </w:t>
      </w:r>
      <w:r w:rsidR="006D564C">
        <w:rPr>
          <w:lang w:val="sr-Cyrl-RS"/>
        </w:rPr>
        <w:t>тачки</w:t>
      </w:r>
      <w:r w:rsidR="00615A4E" w:rsidRPr="00615A4E">
        <w:rPr>
          <w:lang w:val="sr-Cyrl-RS"/>
        </w:rPr>
        <w:t xml:space="preserve"> 3.1.2.1.</w:t>
      </w:r>
      <w:r w:rsidR="00091B64" w:rsidRPr="00615A4E">
        <w:rPr>
          <w:lang w:val="sr-Cyrl-RS"/>
        </w:rPr>
        <w:t xml:space="preserve"> </w:t>
      </w:r>
      <w:r w:rsidRPr="00615A4E">
        <w:rPr>
          <w:lang w:val="sr-Cyrl-RS"/>
        </w:rPr>
        <w:t xml:space="preserve">из погона </w:t>
      </w:r>
      <w:r w:rsidR="00F10D3F" w:rsidRPr="00615A4E">
        <w:rPr>
          <w:lang w:val="sr-Cyrl-RS"/>
        </w:rPr>
        <w:t xml:space="preserve">последица </w:t>
      </w:r>
      <w:r w:rsidRPr="00615A4E">
        <w:rPr>
          <w:lang w:val="sr-Cyrl-RS"/>
        </w:rPr>
        <w:t>је, поред њихове старости</w:t>
      </w:r>
      <w:r w:rsidR="00850369" w:rsidRPr="00615A4E">
        <w:rPr>
          <w:lang w:val="sr-Cyrl-RS"/>
        </w:rPr>
        <w:t xml:space="preserve"> (што важи за блокове А1 и А2 у ТЕ Колубара</w:t>
      </w:r>
      <w:r w:rsidR="00850369" w:rsidRPr="00CF77C1">
        <w:rPr>
          <w:lang w:val="sr-Cyrl-RS"/>
        </w:rPr>
        <w:t xml:space="preserve"> А који ће у погону бити само до краја 2017. године)</w:t>
      </w:r>
      <w:r w:rsidRPr="00CF77C1">
        <w:rPr>
          <w:lang w:val="sr-Cyrl-RS"/>
        </w:rPr>
        <w:t xml:space="preserve">, </w:t>
      </w:r>
      <w:r w:rsidR="00F10D3F" w:rsidRPr="00CF77C1">
        <w:rPr>
          <w:lang w:val="sr-Cyrl-RS"/>
        </w:rPr>
        <w:t xml:space="preserve">и </w:t>
      </w:r>
      <w:r w:rsidRPr="00CF77C1">
        <w:rPr>
          <w:lang w:val="sr-Cyrl-RS"/>
        </w:rPr>
        <w:t>потребе да се задовоље захтеви Уредбе о граничним вредностима емисија загађујућих материја у ваздух из постројења за сагоревање, односно, примене механизма ограниченог рада постројења (20</w:t>
      </w:r>
      <w:r w:rsidR="00742189" w:rsidRPr="00CF77C1">
        <w:rPr>
          <w:lang w:val="sr-Cyrl-RS"/>
        </w:rPr>
        <w:t>.</w:t>
      </w:r>
      <w:r w:rsidRPr="00CF77C1">
        <w:rPr>
          <w:lang w:val="sr-Cyrl-RS"/>
        </w:rPr>
        <w:t xml:space="preserve">000 </w:t>
      </w:r>
      <w:r w:rsidR="00312709" w:rsidRPr="00CF77C1">
        <w:rPr>
          <w:lang w:val="sr-Cyrl-RS"/>
        </w:rPr>
        <w:t xml:space="preserve">радних </w:t>
      </w:r>
      <w:r w:rsidRPr="00CF77C1">
        <w:rPr>
          <w:lang w:val="sr-Cyrl-RS"/>
        </w:rPr>
        <w:t>сати у периоду 2018-202</w:t>
      </w:r>
      <w:r w:rsidR="00AE546A" w:rsidRPr="00CF77C1">
        <w:rPr>
          <w:lang w:val="sr-Cyrl-RS"/>
        </w:rPr>
        <w:t>3</w:t>
      </w:r>
      <w:r w:rsidRPr="00CF77C1">
        <w:rPr>
          <w:lang w:val="sr-Cyrl-RS"/>
        </w:rPr>
        <w:t>. година). Ради унапређења заштите животне средине у сектору за производњу електричне енергије из фосилних горива планирано је да се емисије сумпор-диоксида, азотних оксида и прашкастих материја сведу на прописане граничне вредно</w:t>
      </w:r>
      <w:r w:rsidR="0079450A" w:rsidRPr="00CF77C1">
        <w:rPr>
          <w:lang w:val="sr-Cyrl-RS"/>
        </w:rPr>
        <w:t>сти емисија дефинисаних уредбом</w:t>
      </w:r>
      <w:r w:rsidRPr="00CF77C1">
        <w:rPr>
          <w:lang w:val="sr-Cyrl-RS"/>
        </w:rPr>
        <w:t xml:space="preserve">. Свођење емисије на прописане граничне вредности је део Националног плана за смањење емисија чије је доношење последица </w:t>
      </w:r>
      <w:r w:rsidR="00312709" w:rsidRPr="00CF77C1">
        <w:rPr>
          <w:lang w:val="sr-Cyrl-RS"/>
        </w:rPr>
        <w:t>Одлуке Министарског Савета ЕЗ D/2013/05/MC-EnC о правилима имплементације Директиве о великим ложиштима (2001/80/EC)</w:t>
      </w:r>
      <w:r w:rsidRPr="00CF77C1">
        <w:rPr>
          <w:lang w:val="sr-Cyrl-RS"/>
        </w:rPr>
        <w:t xml:space="preserve"> и</w:t>
      </w:r>
      <w:r w:rsidR="00312709" w:rsidRPr="00CF77C1">
        <w:rPr>
          <w:lang w:val="sr-Cyrl-RS"/>
        </w:rPr>
        <w:t xml:space="preserve"> Одлуке Министарског Савета ЕЗ D</w:t>
      </w:r>
      <w:r w:rsidR="00F72297" w:rsidRPr="00CF77C1">
        <w:rPr>
          <w:lang w:val="sr-Cyrl-RS"/>
        </w:rPr>
        <w:t>/2013/06/MC-EnC о имплементацији</w:t>
      </w:r>
      <w:r w:rsidR="00312709" w:rsidRPr="00CF77C1">
        <w:rPr>
          <w:lang w:val="sr-Cyrl-RS"/>
        </w:rPr>
        <w:t xml:space="preserve"> дела Директиве о индустријским емисијама (2010/75/</w:t>
      </w:r>
      <w:r w:rsidR="007C592D">
        <w:rPr>
          <w:lang w:val="sr-Cyrl-RS"/>
        </w:rPr>
        <w:t>ЕУ</w:t>
      </w:r>
      <w:r w:rsidR="00312709" w:rsidRPr="00CF77C1">
        <w:rPr>
          <w:lang w:val="sr-Cyrl-RS"/>
        </w:rPr>
        <w:t>)</w:t>
      </w:r>
      <w:r w:rsidR="009813CB" w:rsidRPr="00CF77C1">
        <w:rPr>
          <w:lang w:val="sr-Cyrl-RS"/>
        </w:rPr>
        <w:t>. Одредбама Директиве 2001/80/EC подлежу постројења чија је инсталисана топлотна снага већа или једнака 50 MWth. Примена Националног плана за смањење емисија предвиђена је у периоду 1. јануар 2018. године</w:t>
      </w:r>
      <w:r w:rsidR="007938E0" w:rsidRPr="00CF77C1">
        <w:rPr>
          <w:lang w:val="sr-Cyrl-RS"/>
        </w:rPr>
        <w:t xml:space="preserve"> </w:t>
      </w:r>
      <w:r w:rsidR="009813CB" w:rsidRPr="00CF77C1">
        <w:rPr>
          <w:lang w:val="sr-Cyrl-RS"/>
        </w:rPr>
        <w:t>- 31. децембар 2027. године.</w:t>
      </w:r>
    </w:p>
    <w:p w14:paraId="2C4D814A" w14:textId="0FF0DE28" w:rsidR="0099070F" w:rsidRPr="00CF77C1" w:rsidRDefault="00F72297" w:rsidP="00242883">
      <w:pPr>
        <w:ind w:firstLine="720"/>
        <w:rPr>
          <w:lang w:val="sr-Cyrl-RS"/>
        </w:rPr>
      </w:pPr>
      <w:r w:rsidRPr="00CF77C1">
        <w:rPr>
          <w:lang w:val="sr-Cyrl-RS"/>
        </w:rPr>
        <w:t xml:space="preserve">У току </w:t>
      </w:r>
      <w:r w:rsidR="00F10D3F" w:rsidRPr="00CF77C1">
        <w:rPr>
          <w:lang w:val="sr-Cyrl-RS"/>
        </w:rPr>
        <w:t>су</w:t>
      </w:r>
      <w:r w:rsidRPr="00CF77C1">
        <w:rPr>
          <w:lang w:val="sr-Cyrl-RS"/>
        </w:rPr>
        <w:t xml:space="preserve"> реализација пројекта изградње постројења за одсумпоравање димних гасова (ОДГ) н</w:t>
      </w:r>
      <w:r w:rsidR="00F10D3F" w:rsidRPr="00CF77C1">
        <w:rPr>
          <w:lang w:val="sr-Cyrl-RS"/>
        </w:rPr>
        <w:t>а блоковима А3-А6 у ТЕНТ А и при</w:t>
      </w:r>
      <w:r w:rsidRPr="00CF77C1">
        <w:rPr>
          <w:lang w:val="sr-Cyrl-RS"/>
        </w:rPr>
        <w:t xml:space="preserve">премне активности за изградњу постројења за ОДГ на блоковима Б1 и Б2 у ТЕНТ Б. </w:t>
      </w:r>
      <w:r w:rsidR="0099070F" w:rsidRPr="00CF77C1">
        <w:rPr>
          <w:lang w:val="sr-Cyrl-RS"/>
        </w:rPr>
        <w:t>Постројења за смањење емисија</w:t>
      </w:r>
      <w:r w:rsidR="00F10D3F" w:rsidRPr="00CF77C1">
        <w:rPr>
          <w:lang w:val="sr-Cyrl-RS"/>
        </w:rPr>
        <w:t xml:space="preserve"> ће</w:t>
      </w:r>
      <w:r w:rsidR="0099070F" w:rsidRPr="00CF77C1">
        <w:rPr>
          <w:lang w:val="sr-Cyrl-RS"/>
        </w:rPr>
        <w:t xml:space="preserve">, услед сопствене потрошње, узроковати смањење расположиве снаге на прагу преноса. Потрошња постројења за смањење емисија износи највише </w:t>
      </w:r>
      <w:r w:rsidR="00AE546A" w:rsidRPr="00CF77C1">
        <w:rPr>
          <w:lang w:val="sr-Cyrl-RS"/>
        </w:rPr>
        <w:t>2</w:t>
      </w:r>
      <w:r w:rsidR="0099070F" w:rsidRPr="00CF77C1">
        <w:rPr>
          <w:lang w:val="sr-Cyrl-RS"/>
        </w:rPr>
        <w:t xml:space="preserve">% у односу на расположиву снагу, те је очекивана редукција од 4 MW по блоку у ТЕ Костолац Б (блокови Б1 и Б2) до 10 MW по блоку у ТЕНТ А и Б (блокови А3-А6 и Б1-Б2). Иако </w:t>
      </w:r>
      <w:r w:rsidR="00F10D3F" w:rsidRPr="00CF77C1">
        <w:rPr>
          <w:lang w:val="sr-Cyrl-RS"/>
        </w:rPr>
        <w:t xml:space="preserve">ова постројења </w:t>
      </w:r>
      <w:r w:rsidR="0099070F" w:rsidRPr="00CF77C1">
        <w:rPr>
          <w:lang w:val="sr-Cyrl-RS"/>
        </w:rPr>
        <w:t xml:space="preserve">имају утицаја на смањење расположиве енергије за пласман у преносни систем, овај утицај није од пресудног значаја за биланс електричне енергије као што је </w:t>
      </w:r>
      <w:r w:rsidR="00F10D3F" w:rsidRPr="00CF77C1">
        <w:rPr>
          <w:lang w:val="sr-Cyrl-RS"/>
        </w:rPr>
        <w:t xml:space="preserve">то у случају </w:t>
      </w:r>
      <w:r w:rsidR="00E67C92">
        <w:rPr>
          <w:lang w:val="sr-Cyrl-RS"/>
        </w:rPr>
        <w:t>капиталних ремон</w:t>
      </w:r>
      <w:r w:rsidR="003077C0">
        <w:rPr>
          <w:lang w:val="sr-Cyrl-RS"/>
        </w:rPr>
        <w:t>та у периоду реализације ПОС</w:t>
      </w:r>
      <w:r w:rsidR="00742189" w:rsidRPr="00CF77C1">
        <w:rPr>
          <w:lang w:val="sr-Cyrl-RS"/>
        </w:rPr>
        <w:t>.</w:t>
      </w:r>
    </w:p>
    <w:p w14:paraId="4A56AE8C" w14:textId="48DC6AAE" w:rsidR="00F254C2" w:rsidRPr="00CF77C1" w:rsidRDefault="00F254C2" w:rsidP="00242883">
      <w:pPr>
        <w:ind w:firstLine="720"/>
        <w:rPr>
          <w:lang w:val="sr-Cyrl-RS"/>
        </w:rPr>
      </w:pPr>
      <w:r w:rsidRPr="00CF77C1">
        <w:rPr>
          <w:lang w:val="sr-Cyrl-RS"/>
        </w:rPr>
        <w:t>Државе потписнице Конвенција о сарадњи на заштити и одрживом коришћењу реке Дунав улажу напоре за израду студије о могућностима миграције рибљег света (нарочито јесетри) кроз коју су идентификоване могућности финансирања могућих техничких мера кроз које се унапређује подужна повезаност воде Дунава.</w:t>
      </w:r>
    </w:p>
    <w:p w14:paraId="65341325" w14:textId="0D604D02" w:rsidR="0099070F" w:rsidRPr="00CF77C1" w:rsidRDefault="0099070F" w:rsidP="00242883">
      <w:pPr>
        <w:ind w:firstLine="357"/>
        <w:rPr>
          <w:lang w:val="sr-Cyrl-RS"/>
        </w:rPr>
      </w:pPr>
      <w:r w:rsidRPr="00CF77C1">
        <w:rPr>
          <w:lang w:val="sr-Cyrl-RS"/>
        </w:rPr>
        <w:t xml:space="preserve">Поред поштовања регулативе </w:t>
      </w:r>
      <w:r w:rsidR="005934B3" w:rsidRPr="00CF77C1">
        <w:rPr>
          <w:lang w:val="sr-Cyrl-RS"/>
        </w:rPr>
        <w:t>у вези са емисијом</w:t>
      </w:r>
      <w:r w:rsidR="009507C4" w:rsidRPr="00CF77C1">
        <w:rPr>
          <w:lang w:val="sr-Cyrl-RS"/>
        </w:rPr>
        <w:t xml:space="preserve"> штетних материј</w:t>
      </w:r>
      <w:r w:rsidR="0079450A" w:rsidRPr="00CF77C1">
        <w:rPr>
          <w:lang w:val="sr-Cyrl-RS"/>
        </w:rPr>
        <w:t>а у ваздух, у складу са Уредбом о граничним вредностима емисија загађујућих материја у ваздух из постројења за сагоревање</w:t>
      </w:r>
      <w:r w:rsidR="009507C4" w:rsidRPr="00CF77C1">
        <w:rPr>
          <w:lang w:val="sr-Cyrl-RS"/>
        </w:rPr>
        <w:t xml:space="preserve">, </w:t>
      </w:r>
      <w:r w:rsidRPr="00CF77C1">
        <w:rPr>
          <w:lang w:val="sr-Cyrl-RS"/>
        </w:rPr>
        <w:t>продужени рад реконструисаних термо</w:t>
      </w:r>
      <w:r w:rsidR="007C6D0E">
        <w:rPr>
          <w:lang w:val="sr-Cyrl-RS"/>
        </w:rPr>
        <w:t>-</w:t>
      </w:r>
      <w:r w:rsidRPr="00CF77C1">
        <w:rPr>
          <w:lang w:val="sr-Cyrl-RS"/>
        </w:rPr>
        <w:t>блокова за наредних</w:t>
      </w:r>
      <w:r w:rsidR="005934B3" w:rsidRPr="00CF77C1">
        <w:rPr>
          <w:lang w:val="sr-Cyrl-RS"/>
        </w:rPr>
        <w:t xml:space="preserve"> 100.</w:t>
      </w:r>
      <w:r w:rsidRPr="00CF77C1">
        <w:rPr>
          <w:lang w:val="sr-Cyrl-RS"/>
        </w:rPr>
        <w:t>000 радних сати условљен је поштовањем захтева регулативе која се односи на заштиту квалитета вода и земљишта, као и поступање са свим врстама отпада. У том смислу, неопходно је да радови на продужењу радног века термо</w:t>
      </w:r>
      <w:r w:rsidR="007C6D0E">
        <w:rPr>
          <w:lang w:val="sr-Cyrl-RS"/>
        </w:rPr>
        <w:t>-</w:t>
      </w:r>
      <w:r w:rsidRPr="00CF77C1">
        <w:rPr>
          <w:lang w:val="sr-Cyrl-RS"/>
        </w:rPr>
        <w:t>блокова обухвате, најмање, следеће активности:</w:t>
      </w:r>
    </w:p>
    <w:p w14:paraId="19CF5DD1" w14:textId="29BCF4DE" w:rsidR="0099070F" w:rsidRPr="00CF77C1" w:rsidRDefault="0099070F" w:rsidP="003E39B4">
      <w:pPr>
        <w:pStyle w:val="ListParagraph"/>
        <w:numPr>
          <w:ilvl w:val="0"/>
          <w:numId w:val="56"/>
        </w:numPr>
        <w:spacing w:before="60" w:after="60"/>
        <w:ind w:left="0" w:firstLine="720"/>
        <w:contextualSpacing w:val="0"/>
        <w:rPr>
          <w:lang w:val="sr-Cyrl-RS"/>
        </w:rPr>
      </w:pPr>
      <w:r w:rsidRPr="00CF77C1">
        <w:rPr>
          <w:lang w:val="sr-Cyrl-RS"/>
        </w:rPr>
        <w:t xml:space="preserve">изградњу постројења за третман отпадних вода у складу са Уредбом </w:t>
      </w:r>
      <w:r w:rsidR="00E67C92">
        <w:rPr>
          <w:lang w:val="sr-Cyrl-RS"/>
        </w:rPr>
        <w:t xml:space="preserve">о граничним вредностима емисије загађујућих материја </w:t>
      </w:r>
      <w:r w:rsidRPr="00CF77C1">
        <w:rPr>
          <w:lang w:val="sr-Cyrl-RS"/>
        </w:rPr>
        <w:t>у воде</w:t>
      </w:r>
      <w:r w:rsidR="00E67C92">
        <w:rPr>
          <w:lang w:val="sr-Cyrl-RS"/>
        </w:rPr>
        <w:t xml:space="preserve"> и роковима за њихово достизање („Службени гласник РС”, бр. 67/11, 48/12 и 1/16)</w:t>
      </w:r>
      <w:r w:rsidRPr="00CF77C1">
        <w:rPr>
          <w:lang w:val="sr-Cyrl-RS"/>
        </w:rPr>
        <w:t>,</w:t>
      </w:r>
    </w:p>
    <w:p w14:paraId="434ED991" w14:textId="19278BE5" w:rsidR="0099070F" w:rsidRPr="00CF77C1" w:rsidRDefault="0099070F" w:rsidP="003E39B4">
      <w:pPr>
        <w:pStyle w:val="ListParagraph"/>
        <w:numPr>
          <w:ilvl w:val="0"/>
          <w:numId w:val="56"/>
        </w:numPr>
        <w:spacing w:before="60" w:after="60"/>
        <w:ind w:left="0" w:firstLine="720"/>
        <w:contextualSpacing w:val="0"/>
        <w:rPr>
          <w:lang w:val="sr-Cyrl-RS"/>
        </w:rPr>
      </w:pPr>
      <w:r w:rsidRPr="00CF77C1">
        <w:rPr>
          <w:lang w:val="sr-Cyrl-RS"/>
        </w:rPr>
        <w:t xml:space="preserve">изградњу нових простора за депоновање отпада у складу са Уредбом о одлагању отпада на депоније </w:t>
      </w:r>
      <w:r w:rsidR="004626D2">
        <w:rPr>
          <w:lang w:val="sr-Cyrl-RS"/>
        </w:rPr>
        <w:t xml:space="preserve">(„Службени гласник РС”, број 92/10) </w:t>
      </w:r>
      <w:r w:rsidRPr="00CF77C1">
        <w:rPr>
          <w:lang w:val="sr-Cyrl-RS"/>
        </w:rPr>
        <w:t>и</w:t>
      </w:r>
    </w:p>
    <w:p w14:paraId="42FD63D2" w14:textId="77777777" w:rsidR="0099070F" w:rsidRPr="00CF77C1" w:rsidRDefault="0099070F" w:rsidP="003E39B4">
      <w:pPr>
        <w:pStyle w:val="ListParagraph"/>
        <w:numPr>
          <w:ilvl w:val="0"/>
          <w:numId w:val="56"/>
        </w:numPr>
        <w:spacing w:before="60" w:after="60"/>
        <w:ind w:left="0" w:firstLine="720"/>
        <w:contextualSpacing w:val="0"/>
        <w:rPr>
          <w:lang w:val="sr-Cyrl-RS"/>
        </w:rPr>
      </w:pPr>
      <w:r w:rsidRPr="00CF77C1">
        <w:rPr>
          <w:lang w:val="sr-Cyrl-RS"/>
        </w:rPr>
        <w:t>израду процедура за управљање отпадом.</w:t>
      </w:r>
    </w:p>
    <w:p w14:paraId="5E1180D2" w14:textId="7A55B092" w:rsidR="00C3571E" w:rsidRPr="00CF77C1" w:rsidRDefault="0099070F" w:rsidP="00E1023A">
      <w:pPr>
        <w:ind w:firstLine="720"/>
        <w:rPr>
          <w:lang w:val="sr-Cyrl-RS"/>
        </w:rPr>
      </w:pPr>
      <w:r w:rsidRPr="00CF77C1">
        <w:rPr>
          <w:lang w:val="sr-Cyrl-RS"/>
        </w:rPr>
        <w:t xml:space="preserve">Наведене активности </w:t>
      </w:r>
      <w:r w:rsidR="005934B3" w:rsidRPr="00CF77C1">
        <w:rPr>
          <w:lang w:val="sr-Cyrl-RS"/>
        </w:rPr>
        <w:t>у вези</w:t>
      </w:r>
      <w:r w:rsidR="009507C4" w:rsidRPr="00CF77C1">
        <w:rPr>
          <w:lang w:val="sr-Cyrl-RS"/>
        </w:rPr>
        <w:t xml:space="preserve"> </w:t>
      </w:r>
      <w:r w:rsidR="005934B3" w:rsidRPr="00CF77C1">
        <w:rPr>
          <w:lang w:val="sr-Cyrl-RS"/>
        </w:rPr>
        <w:t>са</w:t>
      </w:r>
      <w:r w:rsidRPr="00CF77C1">
        <w:rPr>
          <w:lang w:val="sr-Cyrl-RS"/>
        </w:rPr>
        <w:t xml:space="preserve"> унапређење</w:t>
      </w:r>
      <w:r w:rsidR="005934B3" w:rsidRPr="00CF77C1">
        <w:rPr>
          <w:lang w:val="sr-Cyrl-RS"/>
        </w:rPr>
        <w:t>м</w:t>
      </w:r>
      <w:r w:rsidRPr="00CF77C1">
        <w:rPr>
          <w:lang w:val="sr-Cyrl-RS"/>
        </w:rPr>
        <w:t xml:space="preserve"> животне средине су обухваћене кроз пројекте који су део Јединствене листе приоритетних инфраструктурних</w:t>
      </w:r>
      <w:r w:rsidR="00C3571E" w:rsidRPr="00CF77C1">
        <w:rPr>
          <w:lang w:val="sr-Cyrl-RS"/>
        </w:rPr>
        <w:t xml:space="preserve"> пројеката у области енергетике</w:t>
      </w:r>
      <w:r w:rsidR="003077C0">
        <w:rPr>
          <w:lang w:val="sr-Cyrl-RS"/>
        </w:rPr>
        <w:t>. Ови пројекти су у оквиру ПОС</w:t>
      </w:r>
      <w:r w:rsidR="00C3571E" w:rsidRPr="00CF77C1">
        <w:rPr>
          <w:lang w:val="sr-Cyrl-RS"/>
        </w:rPr>
        <w:t xml:space="preserve"> груписани и укључени у јединствени пројекат заштите животне средине.</w:t>
      </w:r>
    </w:p>
    <w:p w14:paraId="56AD2DA7" w14:textId="24A24F2B" w:rsidR="00C95825" w:rsidRPr="00CF77C1" w:rsidRDefault="00C3571E" w:rsidP="00E1023A">
      <w:pPr>
        <w:pStyle w:val="ListParagraph"/>
        <w:keepNext/>
        <w:numPr>
          <w:ilvl w:val="0"/>
          <w:numId w:val="14"/>
        </w:numPr>
        <w:ind w:left="0" w:firstLine="720"/>
        <w:contextualSpacing w:val="0"/>
        <w:rPr>
          <w:lang w:val="sr-Cyrl-RS"/>
        </w:rPr>
      </w:pPr>
      <w:bookmarkStart w:id="46" w:name="_Ref479965552"/>
      <w:bookmarkStart w:id="47" w:name="_Ref479966482"/>
      <w:r w:rsidRPr="00CF77C1">
        <w:rPr>
          <w:lang w:val="sr-Cyrl-RS"/>
        </w:rPr>
        <w:t xml:space="preserve">Пројекат </w:t>
      </w:r>
      <w:r w:rsidR="00C95825" w:rsidRPr="00CF77C1">
        <w:rPr>
          <w:lang w:val="sr-Cyrl-RS"/>
        </w:rPr>
        <w:t xml:space="preserve">заштите животне средине у области </w:t>
      </w:r>
      <w:bookmarkEnd w:id="46"/>
      <w:r w:rsidR="00B2758B" w:rsidRPr="00CF77C1">
        <w:rPr>
          <w:lang w:val="sr-Cyrl-RS"/>
        </w:rPr>
        <w:t>производње електричне енергије из електрана ЕПС</w:t>
      </w:r>
      <w:bookmarkEnd w:id="47"/>
    </w:p>
    <w:p w14:paraId="2C4379C4" w14:textId="0E082962" w:rsidR="00C95825" w:rsidRPr="00CF77C1" w:rsidRDefault="00C95825" w:rsidP="00E1023A">
      <w:pPr>
        <w:ind w:firstLine="720"/>
        <w:rPr>
          <w:lang w:val="sr-Cyrl-RS"/>
        </w:rPr>
      </w:pPr>
      <w:r w:rsidRPr="00CF77C1">
        <w:rPr>
          <w:lang w:val="sr-Cyrl-RS"/>
        </w:rPr>
        <w:t xml:space="preserve">Пројекат заштите животне средине у области електроенергетике обухвата </w:t>
      </w:r>
      <w:r w:rsidR="00450111" w:rsidRPr="00CF77C1">
        <w:rPr>
          <w:lang w:val="sr-Cyrl-RS"/>
        </w:rPr>
        <w:t>13</w:t>
      </w:r>
      <w:r w:rsidRPr="00CF77C1">
        <w:rPr>
          <w:lang w:val="sr-Cyrl-RS"/>
        </w:rPr>
        <w:t xml:space="preserve"> потпројеката чија је намена смањење емисије отровних гасова SO</w:t>
      </w:r>
      <w:r w:rsidRPr="00CF77C1">
        <w:rPr>
          <w:vertAlign w:val="subscript"/>
          <w:lang w:val="sr-Cyrl-RS"/>
        </w:rPr>
        <w:t>2</w:t>
      </w:r>
      <w:r w:rsidRPr="00CF77C1">
        <w:rPr>
          <w:lang w:val="sr-Cyrl-RS"/>
        </w:rPr>
        <w:t xml:space="preserve"> и NO</w:t>
      </w:r>
      <w:r w:rsidRPr="00CF77C1">
        <w:rPr>
          <w:vertAlign w:val="subscript"/>
          <w:lang w:val="sr-Cyrl-RS"/>
        </w:rPr>
        <w:t>x</w:t>
      </w:r>
      <w:r w:rsidRPr="00CF77C1">
        <w:rPr>
          <w:lang w:val="sr-Cyrl-RS"/>
        </w:rPr>
        <w:t xml:space="preserve"> и њихово свођење у дозвољене границе и решавање проблема отпепељавања, складиштења отпада и пречишћавања отпадних вода на локацијама поједини</w:t>
      </w:r>
      <w:r w:rsidR="001741AC" w:rsidRPr="00CF77C1">
        <w:rPr>
          <w:lang w:val="sr-Cyrl-RS"/>
        </w:rPr>
        <w:t>х производних капацитета у ЕПС</w:t>
      </w:r>
      <w:r w:rsidRPr="00CF77C1">
        <w:rPr>
          <w:lang w:val="sr-Cyrl-RS"/>
        </w:rPr>
        <w:t>.</w:t>
      </w:r>
      <w:r w:rsidR="00572939" w:rsidRPr="00CF77C1">
        <w:rPr>
          <w:lang w:val="sr-Cyrl-RS"/>
        </w:rPr>
        <w:t xml:space="preserve"> Поред чињенице да обезбеђује транзицију ка одрживој енергетици, пројекат доприноси обезбеђењу сигурности снабдевања електричном енергијом (јер омогућава задржавање постојећих капацитета у погону) и развоју тржишта енергије (јер омогућ</w:t>
      </w:r>
      <w:r w:rsidR="001741AC" w:rsidRPr="00CF77C1">
        <w:rPr>
          <w:lang w:val="sr-Cyrl-RS"/>
        </w:rPr>
        <w:t>ује пласман енергије из ЕПС</w:t>
      </w:r>
      <w:r w:rsidR="00572939" w:rsidRPr="00CF77C1">
        <w:rPr>
          <w:lang w:val="sr-Cyrl-RS"/>
        </w:rPr>
        <w:t xml:space="preserve"> електрана на регионално тржиште, при чему су обезбеђени неопходни услови у погледу заштите животне средине).</w:t>
      </w:r>
    </w:p>
    <w:p w14:paraId="164769D4" w14:textId="05C14EE3"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мањење емисија SO</w:t>
      </w:r>
      <w:r w:rsidR="0099070F" w:rsidRPr="00CF77C1">
        <w:rPr>
          <w:vertAlign w:val="subscript"/>
          <w:lang w:val="sr-Cyrl-RS"/>
        </w:rPr>
        <w:t>2</w:t>
      </w:r>
      <w:r w:rsidR="0099070F" w:rsidRPr="00CF77C1">
        <w:rPr>
          <w:lang w:val="sr-Cyrl-RS"/>
        </w:rPr>
        <w:t xml:space="preserve"> и NO</w:t>
      </w:r>
      <w:r w:rsidR="0099070F" w:rsidRPr="00CF77C1">
        <w:rPr>
          <w:vertAlign w:val="subscript"/>
          <w:lang w:val="sr-Cyrl-RS"/>
        </w:rPr>
        <w:t>x</w:t>
      </w:r>
      <w:r w:rsidR="0099070F" w:rsidRPr="00CF77C1">
        <w:rPr>
          <w:lang w:val="sr-Cyrl-RS"/>
        </w:rPr>
        <w:t xml:space="preserve"> у Термоелектрани Никола Тесла</w:t>
      </w:r>
      <w:r w:rsidR="00F10D3F" w:rsidRPr="00CF77C1">
        <w:rPr>
          <w:lang w:val="sr-Cyrl-RS"/>
        </w:rPr>
        <w:t xml:space="preserve"> А, блок</w:t>
      </w:r>
      <w:r w:rsidR="0099070F" w:rsidRPr="00CF77C1">
        <w:rPr>
          <w:lang w:val="sr-Cyrl-RS"/>
        </w:rPr>
        <w:t xml:space="preserve"> A1 - вредност пројекта је 36 милиона € - још није јасно дефинисан термин реализације пројекта;</w:t>
      </w:r>
    </w:p>
    <w:p w14:paraId="4CB39BC4" w14:textId="193B1EF3"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 xml:space="preserve">мањење емисија SO2 и NOx у Термоелектрани Никола Тесла </w:t>
      </w:r>
      <w:r w:rsidR="00F10D3F" w:rsidRPr="00CF77C1">
        <w:rPr>
          <w:lang w:val="sr-Cyrl-RS"/>
        </w:rPr>
        <w:t xml:space="preserve">А, блок </w:t>
      </w:r>
      <w:r w:rsidR="0099070F" w:rsidRPr="00CF77C1">
        <w:rPr>
          <w:lang w:val="sr-Cyrl-RS"/>
        </w:rPr>
        <w:t>A2 - вредност пројекта је 36 милиона € - још није јасно дефинисан термин реализације пројекта;</w:t>
      </w:r>
    </w:p>
    <w:p w14:paraId="216B9F6C" w14:textId="3EE62069"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мањење емисија SO2 у Термоелектрани Костолац A, блок А2 - вредност пројекта је 4</w:t>
      </w:r>
      <w:r w:rsidR="009507C4" w:rsidRPr="00CF77C1">
        <w:rPr>
          <w:lang w:val="sr-Cyrl-RS"/>
        </w:rPr>
        <w:t>9</w:t>
      </w:r>
      <w:r w:rsidR="0099070F" w:rsidRPr="00CF77C1">
        <w:rPr>
          <w:lang w:val="sr-Cyrl-RS"/>
        </w:rPr>
        <w:t> милиона € - пројекат ће се реализовати у току 2022-2023. године;</w:t>
      </w:r>
    </w:p>
    <w:p w14:paraId="38CFB752" w14:textId="136392FB"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мањење емисија NOx у Термоелектрани Костолац A, б</w:t>
      </w:r>
      <w:r w:rsidR="009507C4" w:rsidRPr="00CF77C1">
        <w:rPr>
          <w:lang w:val="sr-Cyrl-RS"/>
        </w:rPr>
        <w:t>лок А2 - вредност пројекта је 10</w:t>
      </w:r>
      <w:r w:rsidR="0099070F" w:rsidRPr="00CF77C1">
        <w:rPr>
          <w:lang w:val="sr-Cyrl-RS"/>
        </w:rPr>
        <w:t> милиона € - пројекат ће се реализовати у току 2022. године;</w:t>
      </w:r>
    </w:p>
    <w:p w14:paraId="13B88A67" w14:textId="3A48855E"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 xml:space="preserve">мањење емисија NOx у Термоелектрани Никола Тесла </w:t>
      </w:r>
      <w:r w:rsidR="00F10D3F" w:rsidRPr="00CF77C1">
        <w:rPr>
          <w:lang w:val="sr-Cyrl-RS"/>
        </w:rPr>
        <w:t xml:space="preserve">А, блок </w:t>
      </w:r>
      <w:r w:rsidR="0099070F" w:rsidRPr="00CF77C1">
        <w:rPr>
          <w:lang w:val="sr-Cyrl-RS"/>
        </w:rPr>
        <w:t>A6 - вредност пројекта је 1</w:t>
      </w:r>
      <w:r w:rsidR="009507C4" w:rsidRPr="00CF77C1">
        <w:rPr>
          <w:lang w:val="sr-Cyrl-RS"/>
        </w:rPr>
        <w:t>2,2</w:t>
      </w:r>
      <w:r w:rsidR="0099070F" w:rsidRPr="00CF77C1">
        <w:rPr>
          <w:lang w:val="sr-Cyrl-RS"/>
        </w:rPr>
        <w:t> милиона € - пројекат ће се реализовати у току 2020-2021. године;</w:t>
      </w:r>
    </w:p>
    <w:p w14:paraId="29A23B14" w14:textId="41803A96"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 xml:space="preserve">мањење емисија NOx у Термоелектрани Никола Тесла </w:t>
      </w:r>
      <w:r w:rsidR="00F10D3F" w:rsidRPr="00CF77C1">
        <w:rPr>
          <w:lang w:val="sr-Cyrl-RS"/>
        </w:rPr>
        <w:t xml:space="preserve">Б, блок </w:t>
      </w:r>
      <w:r w:rsidR="0099070F" w:rsidRPr="00CF77C1">
        <w:rPr>
          <w:lang w:val="sr-Cyrl-RS"/>
        </w:rPr>
        <w:t>Б1 - вредност пројекта је 1</w:t>
      </w:r>
      <w:r w:rsidR="009507C4" w:rsidRPr="00CF77C1">
        <w:rPr>
          <w:lang w:val="sr-Cyrl-RS"/>
        </w:rPr>
        <w:t>2,3</w:t>
      </w:r>
      <w:r w:rsidR="0099070F" w:rsidRPr="00CF77C1">
        <w:rPr>
          <w:lang w:val="sr-Cyrl-RS"/>
        </w:rPr>
        <w:t> милиона € - пројекат ће се реализовати у току 20</w:t>
      </w:r>
      <w:r w:rsidR="009507C4" w:rsidRPr="00CF77C1">
        <w:rPr>
          <w:lang w:val="sr-Cyrl-RS"/>
        </w:rPr>
        <w:t>19-2020</w:t>
      </w:r>
      <w:r w:rsidR="0099070F" w:rsidRPr="00CF77C1">
        <w:rPr>
          <w:lang w:val="sr-Cyrl-RS"/>
        </w:rPr>
        <w:t>. године;</w:t>
      </w:r>
    </w:p>
    <w:p w14:paraId="4FC147CE" w14:textId="6B414712"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 xml:space="preserve">мањење емисија NOx у Термоелектрани Никола Тесла </w:t>
      </w:r>
      <w:r w:rsidR="00F10D3F" w:rsidRPr="00CF77C1">
        <w:rPr>
          <w:lang w:val="sr-Cyrl-RS"/>
        </w:rPr>
        <w:t xml:space="preserve">Б, блок </w:t>
      </w:r>
      <w:r w:rsidR="0099070F" w:rsidRPr="00CF77C1">
        <w:rPr>
          <w:lang w:val="sr-Cyrl-RS"/>
        </w:rPr>
        <w:t>Б2 - вредност пројекта је 1</w:t>
      </w:r>
      <w:r w:rsidR="009507C4" w:rsidRPr="00CF77C1">
        <w:rPr>
          <w:lang w:val="sr-Cyrl-RS"/>
        </w:rPr>
        <w:t>2,2</w:t>
      </w:r>
      <w:r w:rsidR="0099070F" w:rsidRPr="00CF77C1">
        <w:rPr>
          <w:lang w:val="sr-Cyrl-RS"/>
        </w:rPr>
        <w:t> милиона € - пројекат ће се реализовати у току 2022-2023. године;</w:t>
      </w:r>
    </w:p>
    <w:p w14:paraId="44EC85FF" w14:textId="241BD39D"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мањење емисија NOx у Термоелектрани Костолац Б, б</w:t>
      </w:r>
      <w:r w:rsidR="009507C4" w:rsidRPr="00CF77C1">
        <w:rPr>
          <w:lang w:val="sr-Cyrl-RS"/>
        </w:rPr>
        <w:t>лок Б2 - вредност пројекта је 12,2</w:t>
      </w:r>
      <w:r w:rsidR="0099070F" w:rsidRPr="00CF77C1">
        <w:rPr>
          <w:lang w:val="sr-Cyrl-RS"/>
        </w:rPr>
        <w:t> милиона € - пројек</w:t>
      </w:r>
      <w:r w:rsidR="009507C4" w:rsidRPr="00CF77C1">
        <w:rPr>
          <w:lang w:val="sr-Cyrl-RS"/>
        </w:rPr>
        <w:t>ат ће се реализовати у току 2018-2019</w:t>
      </w:r>
      <w:r w:rsidR="0099070F" w:rsidRPr="00CF77C1">
        <w:rPr>
          <w:lang w:val="sr-Cyrl-RS"/>
        </w:rPr>
        <w:t>. године;</w:t>
      </w:r>
    </w:p>
    <w:p w14:paraId="40DD7183" w14:textId="7E1BE6D4"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мањење емисија SO2 и NOx у Термоелектрани Костолац A, блок А1 - вредност пројекта је 27 милиона € - још није јасно дефинисан термин реализације пројекта;</w:t>
      </w:r>
    </w:p>
    <w:p w14:paraId="0A587B52" w14:textId="38E04DF9"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с</w:t>
      </w:r>
      <w:r w:rsidR="0099070F" w:rsidRPr="00CF77C1">
        <w:rPr>
          <w:lang w:val="sr-Cyrl-RS"/>
        </w:rPr>
        <w:t xml:space="preserve">мањење емисија SO2 у Термоелектрани Никола Тесла </w:t>
      </w:r>
      <w:r w:rsidR="00F10D3F" w:rsidRPr="00CF77C1">
        <w:rPr>
          <w:lang w:val="sr-Cyrl-RS"/>
        </w:rPr>
        <w:t xml:space="preserve">Б, блок </w:t>
      </w:r>
      <w:r w:rsidR="0099070F" w:rsidRPr="00CF77C1">
        <w:rPr>
          <w:lang w:val="sr-Cyrl-RS"/>
        </w:rPr>
        <w:t xml:space="preserve">Б1 и Б2 (одсумпоравање) - вредност пројекта је </w:t>
      </w:r>
      <w:r w:rsidR="00E2227A" w:rsidRPr="00CF77C1">
        <w:rPr>
          <w:lang w:val="sr-Cyrl-RS"/>
        </w:rPr>
        <w:t>190</w:t>
      </w:r>
      <w:r w:rsidR="0099070F" w:rsidRPr="00CF77C1">
        <w:rPr>
          <w:lang w:val="sr-Cyrl-RS"/>
        </w:rPr>
        <w:t xml:space="preserve"> милиона € - пројек</w:t>
      </w:r>
      <w:r w:rsidR="009507C4" w:rsidRPr="00CF77C1">
        <w:rPr>
          <w:lang w:val="sr-Cyrl-RS"/>
        </w:rPr>
        <w:t>ат ће се реализовати у току 2021-2022</w:t>
      </w:r>
      <w:r w:rsidR="0099070F" w:rsidRPr="00CF77C1">
        <w:rPr>
          <w:lang w:val="sr-Cyrl-RS"/>
        </w:rPr>
        <w:t>. године;</w:t>
      </w:r>
    </w:p>
    <w:p w14:paraId="7F7FAC43" w14:textId="2024412B"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н</w:t>
      </w:r>
      <w:r w:rsidR="0099070F" w:rsidRPr="00CF77C1">
        <w:rPr>
          <w:lang w:val="sr-Cyrl-RS"/>
        </w:rPr>
        <w:t xml:space="preserve">ови систем за отпепељавање у Термоелектрани Никола Тесла А - вредност </w:t>
      </w:r>
      <w:r w:rsidR="009507C4" w:rsidRPr="00CF77C1">
        <w:rPr>
          <w:lang w:val="sr-Cyrl-RS"/>
        </w:rPr>
        <w:t xml:space="preserve">пројекта је </w:t>
      </w:r>
      <w:r w:rsidR="00E2227A" w:rsidRPr="00CF77C1">
        <w:rPr>
          <w:lang w:val="sr-Cyrl-RS"/>
        </w:rPr>
        <w:t>65,8</w:t>
      </w:r>
      <w:r w:rsidR="0099070F" w:rsidRPr="00CF77C1">
        <w:rPr>
          <w:lang w:val="sr-Cyrl-RS"/>
        </w:rPr>
        <w:t xml:space="preserve"> милиона € - пројекат ће се реализовати у току 2020-2021. године;</w:t>
      </w:r>
    </w:p>
    <w:p w14:paraId="60007E60" w14:textId="399DB33B"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а</w:t>
      </w:r>
      <w:r w:rsidR="0099070F" w:rsidRPr="00CF77C1">
        <w:rPr>
          <w:lang w:val="sr-Cyrl-RS"/>
        </w:rPr>
        <w:t>даптација депоније у складу са директивом Европске уније за депоније (Термоелектрана Никола Тесла А, Термоелектрана Никола Тесла Б, Термоелектрана Колубара А, Термоелектрана Морава) - вредност пројекта је 55 милиона € - још није јасно дефинисан термин реализације пројекта;</w:t>
      </w:r>
    </w:p>
    <w:p w14:paraId="0DFD026B" w14:textId="30E18169" w:rsidR="0099070F" w:rsidRPr="00CF77C1" w:rsidRDefault="007810BD" w:rsidP="003E39B4">
      <w:pPr>
        <w:pStyle w:val="ListParagraph"/>
        <w:numPr>
          <w:ilvl w:val="0"/>
          <w:numId w:val="102"/>
        </w:numPr>
        <w:spacing w:before="60" w:after="60"/>
        <w:ind w:left="0" w:firstLine="720"/>
        <w:contextualSpacing w:val="0"/>
        <w:rPr>
          <w:lang w:val="sr-Cyrl-RS"/>
        </w:rPr>
      </w:pPr>
      <w:r w:rsidRPr="00CF77C1">
        <w:rPr>
          <w:lang w:val="sr-Cyrl-RS"/>
        </w:rPr>
        <w:t>к</w:t>
      </w:r>
      <w:r w:rsidR="0099070F" w:rsidRPr="00CF77C1">
        <w:rPr>
          <w:lang w:val="sr-Cyrl-RS"/>
        </w:rPr>
        <w:t>онструкција постројења за пречишћавање отпадних вода у: Термоелектрани Костолац А, Хидроелектрани Ђердап (осам локација) и Хидроелектрани Дринско-Лимске (осам локација) - вредност пројекта је 18 милиона € - још није јасно дефини</w:t>
      </w:r>
      <w:r w:rsidR="00F10D3F" w:rsidRPr="00CF77C1">
        <w:rPr>
          <w:lang w:val="sr-Cyrl-RS"/>
        </w:rPr>
        <w:t>сан термин реализације пројекта.</w:t>
      </w:r>
    </w:p>
    <w:p w14:paraId="3FA00CB9" w14:textId="4E4739B3" w:rsidR="00C95825" w:rsidRPr="00CF77C1" w:rsidRDefault="00C95825" w:rsidP="00E1023A">
      <w:pPr>
        <w:ind w:firstLine="720"/>
        <w:rPr>
          <w:lang w:val="sr-Cyrl-RS"/>
        </w:rPr>
      </w:pPr>
      <w:r w:rsidRPr="00CF77C1">
        <w:rPr>
          <w:lang w:val="sr-Cyrl-RS"/>
        </w:rPr>
        <w:t xml:space="preserve">Процењене вредности појединих пројеката разликују се од вредности које су наведене у </w:t>
      </w:r>
      <w:r w:rsidR="004255D0" w:rsidRPr="00CF77C1">
        <w:rPr>
          <w:lang w:val="sr-Cyrl-RS"/>
        </w:rPr>
        <w:fldChar w:fldCharType="begin"/>
      </w:r>
      <w:r w:rsidR="004255D0" w:rsidRPr="00CF77C1">
        <w:rPr>
          <w:lang w:val="sr-Cyrl-RS"/>
        </w:rPr>
        <w:instrText xml:space="preserve"> REF _Ref478730171 \h </w:instrText>
      </w:r>
      <w:r w:rsidR="0077363A" w:rsidRPr="00CF77C1">
        <w:rPr>
          <w:lang w:val="sr-Cyrl-RS"/>
        </w:rPr>
        <w:instrText xml:space="preserve"> \* MERGEFORMAT </w:instrText>
      </w:r>
      <w:r w:rsidR="004255D0" w:rsidRPr="00CF77C1">
        <w:rPr>
          <w:lang w:val="sr-Cyrl-RS"/>
        </w:rPr>
      </w:r>
      <w:r w:rsidR="004255D0" w:rsidRPr="00CF77C1">
        <w:rPr>
          <w:lang w:val="sr-Cyrl-RS"/>
        </w:rPr>
        <w:fldChar w:fldCharType="separate"/>
      </w:r>
      <w:r w:rsidR="002D5918" w:rsidRPr="002D5918">
        <w:rPr>
          <w:lang w:val="sr-Cyrl-RS"/>
        </w:rPr>
        <w:t xml:space="preserve">таб. </w:t>
      </w:r>
      <w:r w:rsidR="002D5918" w:rsidRPr="002D5918">
        <w:rPr>
          <w:noProof/>
          <w:lang w:val="sr-Cyrl-RS"/>
        </w:rPr>
        <w:t>129</w:t>
      </w:r>
      <w:r w:rsidR="004255D0" w:rsidRPr="00CF77C1">
        <w:rPr>
          <w:lang w:val="sr-Cyrl-RS"/>
        </w:rPr>
        <w:fldChar w:fldCharType="end"/>
      </w:r>
      <w:r w:rsidR="003077C0">
        <w:rPr>
          <w:lang w:val="sr-Cyrl-RS"/>
        </w:rPr>
        <w:t xml:space="preserve"> ПОС</w:t>
      </w:r>
      <w:r w:rsidR="004255D0" w:rsidRPr="00CF77C1">
        <w:rPr>
          <w:lang w:val="sr-Cyrl-RS"/>
        </w:rPr>
        <w:t xml:space="preserve"> </w:t>
      </w:r>
      <w:r w:rsidRPr="00CF77C1">
        <w:rPr>
          <w:lang w:val="sr-Cyrl-RS"/>
        </w:rPr>
        <w:t xml:space="preserve">у којој су наведене вредности из Јединствене листе инфраструктурних пројеката у области енергетике. Разлика је последица ажурираних информација насталих на основу доступне документације и/или избора различите технологије. Корекције ће бити примењене током следећег ажурирања Јединствене листе </w:t>
      </w:r>
      <w:r w:rsidR="00CE75BE" w:rsidRPr="00CF77C1">
        <w:rPr>
          <w:lang w:val="sr-Cyrl-RS"/>
        </w:rPr>
        <w:t xml:space="preserve">инфраструктурних </w:t>
      </w:r>
      <w:r w:rsidRPr="00CF77C1">
        <w:rPr>
          <w:lang w:val="sr-Cyrl-RS"/>
        </w:rPr>
        <w:t>пројеката.</w:t>
      </w:r>
      <w:r w:rsidR="00572939" w:rsidRPr="00CF77C1">
        <w:rPr>
          <w:lang w:val="sr-Cyrl-RS"/>
        </w:rPr>
        <w:t xml:space="preserve"> Укупна процењена вредност пројекта је </w:t>
      </w:r>
      <w:r w:rsidR="00E2227A" w:rsidRPr="00CF77C1">
        <w:rPr>
          <w:lang w:val="sr-Cyrl-RS"/>
        </w:rPr>
        <w:t>535,7</w:t>
      </w:r>
      <w:r w:rsidR="00572939" w:rsidRPr="00CF77C1">
        <w:rPr>
          <w:lang w:val="sr-Cyrl-RS"/>
        </w:rPr>
        <w:t xml:space="preserve"> милиона €.</w:t>
      </w:r>
    </w:p>
    <w:p w14:paraId="3E5278AC" w14:textId="64450732" w:rsidR="0099070F" w:rsidRPr="00CF77C1" w:rsidRDefault="0099070F" w:rsidP="00E1023A">
      <w:pPr>
        <w:ind w:firstLine="720"/>
        <w:rPr>
          <w:lang w:val="sr-Cyrl-RS"/>
        </w:rPr>
      </w:pPr>
      <w:r w:rsidRPr="00CF77C1">
        <w:rPr>
          <w:lang w:val="sr-Cyrl-RS"/>
        </w:rPr>
        <w:t xml:space="preserve">Индикатори тока реализације ових пројеката су проценти реализације термин плана усаглашеног са извођачем по кварталима, у годинама када су пројекти планирани за реализацију. С обзиром </w:t>
      </w:r>
      <w:r w:rsidR="00096E05" w:rsidRPr="00CF77C1">
        <w:rPr>
          <w:lang w:val="sr-Cyrl-RS"/>
        </w:rPr>
        <w:t xml:space="preserve">на то </w:t>
      </w:r>
      <w:r w:rsidRPr="00CF77C1">
        <w:rPr>
          <w:lang w:val="sr-Cyrl-RS"/>
        </w:rPr>
        <w:t>да је уобичајено трајање оваквих пројеката једна година, то значи да је са аспекта праћења њи</w:t>
      </w:r>
      <w:r w:rsidR="001F2A75" w:rsidRPr="00CF77C1">
        <w:rPr>
          <w:lang w:val="sr-Cyrl-RS"/>
        </w:rPr>
        <w:t>хове реализа</w:t>
      </w:r>
      <w:r w:rsidR="00805602">
        <w:rPr>
          <w:lang w:val="sr-Cyrl-RS"/>
        </w:rPr>
        <w:t>ције у оквиру ПОС</w:t>
      </w:r>
      <w:r w:rsidR="00F10D3F" w:rsidRPr="00CF77C1">
        <w:rPr>
          <w:lang w:val="sr-Cyrl-RS"/>
        </w:rPr>
        <w:t xml:space="preserve"> релевантан </w:t>
      </w:r>
      <w:r w:rsidRPr="00CF77C1">
        <w:rPr>
          <w:lang w:val="sr-Cyrl-RS"/>
        </w:rPr>
        <w:t>индикатор „Пројекат је завршен</w:t>
      </w:r>
      <w:r w:rsidR="00AD5740" w:rsidRPr="00CF77C1">
        <w:rPr>
          <w:lang w:val="sr-Cyrl-RS"/>
        </w:rPr>
        <w:t>”</w:t>
      </w:r>
      <w:r w:rsidRPr="00CF77C1">
        <w:rPr>
          <w:lang w:val="sr-Cyrl-RS"/>
        </w:rPr>
        <w:t>.</w:t>
      </w:r>
    </w:p>
    <w:p w14:paraId="7CEC21FE" w14:textId="2925A15B" w:rsidR="00091B64" w:rsidRPr="00CF77C1" w:rsidRDefault="00091B64" w:rsidP="00E1023A">
      <w:pPr>
        <w:ind w:firstLine="720"/>
        <w:rPr>
          <w:lang w:val="sr-Cyrl-RS"/>
        </w:rPr>
      </w:pPr>
      <w:r w:rsidRPr="00CF77C1">
        <w:rPr>
          <w:lang w:val="sr-Cyrl-RS"/>
        </w:rPr>
        <w:t>При изградњи и реконструкцији далековода и трансформаторских станица, које су предмет пројеката у области преноса и дистрибуције електричне енергије, и у току њихове експлоатације јављају се утицаји на животну средину које ће за сваки пројекат појединачно обрадити одговарајућа студија процене утицаја на животну средину. За изабра</w:t>
      </w:r>
      <w:r w:rsidR="006C729D">
        <w:rPr>
          <w:lang w:val="sr-Cyrl-RS"/>
        </w:rPr>
        <w:t>ни скуп пројеката у оквиру ПОС</w:t>
      </w:r>
      <w:r w:rsidRPr="00CF77C1">
        <w:rPr>
          <w:lang w:val="sr-Cyrl-RS"/>
        </w:rPr>
        <w:t xml:space="preserve">, на основу расположивих информација, основне информације о утицају на животну средину (eмисије CO2, емисије штетних материја у ваздух, повећано нејонизујуће зрачење, </w:t>
      </w:r>
      <w:r w:rsidR="00EC7E28" w:rsidRPr="00CF77C1">
        <w:rPr>
          <w:lang w:val="sr-Cyrl-RS"/>
        </w:rPr>
        <w:t>количине отпадних вода, отпада,</w:t>
      </w:r>
      <w:r w:rsidRPr="00CF77C1">
        <w:rPr>
          <w:lang w:val="sr-Cyrl-RS"/>
        </w:rPr>
        <w:t xml:space="preserve"> хемикалија, загађења земљишта и акцидената </w:t>
      </w:r>
      <w:r w:rsidR="00F915E2" w:rsidRPr="00CF77C1">
        <w:rPr>
          <w:lang w:val="sr-Cyrl-RS"/>
        </w:rPr>
        <w:t xml:space="preserve">који су извор загађења животне средине, </w:t>
      </w:r>
      <w:r w:rsidRPr="00CF77C1">
        <w:rPr>
          <w:lang w:val="sr-Cyrl-RS"/>
        </w:rPr>
        <w:t>са потребним мерама заштите животне средине) ће се обрадити у Извештају о стратешкој процени утица</w:t>
      </w:r>
      <w:r w:rsidR="006C729D">
        <w:rPr>
          <w:lang w:val="sr-Cyrl-RS"/>
        </w:rPr>
        <w:t>ја ПОС</w:t>
      </w:r>
      <w:r w:rsidRPr="00CF77C1">
        <w:rPr>
          <w:lang w:val="sr-Cyrl-RS"/>
        </w:rPr>
        <w:t xml:space="preserve"> за период </w:t>
      </w:r>
      <w:r w:rsidR="0032090F">
        <w:rPr>
          <w:lang w:val="sr-Cyrl-RS"/>
        </w:rPr>
        <w:t xml:space="preserve">од </w:t>
      </w:r>
      <w:r w:rsidRPr="00CF77C1">
        <w:rPr>
          <w:lang w:val="sr-Cyrl-RS"/>
        </w:rPr>
        <w:t>2017. до 2023. године на животну средину.</w:t>
      </w:r>
    </w:p>
    <w:p w14:paraId="3ACEC7EA" w14:textId="2D21C190" w:rsidR="0052492B" w:rsidRPr="00CF77C1" w:rsidRDefault="0052492B" w:rsidP="00E1023A">
      <w:pPr>
        <w:ind w:firstLine="720"/>
        <w:rPr>
          <w:lang w:val="sr-Cyrl-RS"/>
        </w:rPr>
      </w:pPr>
      <w:r w:rsidRPr="00CF77C1">
        <w:rPr>
          <w:lang w:val="sr-Cyrl-RS"/>
        </w:rPr>
        <w:t>Процењени збирни допринос анализираних пројеката у области електричне енергије у погледу смањења годишње емисија гасова са ефектом стаклене баште, изузимајући изградњу ветропаркова који су разматрани у поглављу које се односи на област обнов</w:t>
      </w:r>
      <w:r w:rsidR="00FD4DC7" w:rsidRPr="00CF77C1">
        <w:rPr>
          <w:lang w:val="sr-Cyrl-RS"/>
        </w:rPr>
        <w:t>љивих извора енергије, износи 3.</w:t>
      </w:r>
      <w:r w:rsidRPr="00CF77C1">
        <w:rPr>
          <w:lang w:val="sr-Cyrl-RS"/>
        </w:rPr>
        <w:t xml:space="preserve">033 Gg CO2eq, што чини око </w:t>
      </w:r>
      <w:r w:rsidR="003E69A1" w:rsidRPr="00CF77C1">
        <w:rPr>
          <w:lang w:val="sr-Cyrl-RS"/>
        </w:rPr>
        <w:t>37</w:t>
      </w:r>
      <w:r w:rsidRPr="00CF77C1">
        <w:rPr>
          <w:lang w:val="sr-Cyrl-RS"/>
        </w:rPr>
        <w:t>% намераваног национално одређеног доприноса за 2030. годину.</w:t>
      </w:r>
    </w:p>
    <w:p w14:paraId="5FD4EEB0" w14:textId="18F1D654" w:rsidR="00293B1E" w:rsidRPr="00CF77C1" w:rsidRDefault="00293B1E" w:rsidP="00E1023A">
      <w:pPr>
        <w:ind w:firstLine="720"/>
        <w:rPr>
          <w:lang w:val="sr-Cyrl-RS"/>
        </w:rPr>
      </w:pPr>
      <w:r w:rsidRPr="00CF77C1">
        <w:rPr>
          <w:lang w:val="sr-Cyrl-RS"/>
        </w:rPr>
        <w:t>Такође,</w:t>
      </w:r>
      <w:r w:rsidR="001877CE" w:rsidRPr="00CF77C1">
        <w:rPr>
          <w:lang w:val="sr-Cyrl-RS"/>
        </w:rPr>
        <w:t xml:space="preserve"> </w:t>
      </w:r>
      <w:r w:rsidRPr="00CF77C1">
        <w:rPr>
          <w:lang w:val="sr-Cyrl-RS"/>
        </w:rPr>
        <w:t>остваривањем</w:t>
      </w:r>
      <w:r w:rsidR="001877CE" w:rsidRPr="00CF77C1">
        <w:rPr>
          <w:lang w:val="sr-Cyrl-RS"/>
        </w:rPr>
        <w:t xml:space="preserve"> </w:t>
      </w:r>
      <w:r w:rsidRPr="00CF77C1">
        <w:rPr>
          <w:lang w:val="sr-Cyrl-RS"/>
        </w:rPr>
        <w:t>циљева који су предвиђени Националним акционим планом за коришћење обновљи</w:t>
      </w:r>
      <w:r w:rsidR="0032090F">
        <w:rPr>
          <w:lang w:val="sr-Cyrl-RS"/>
        </w:rPr>
        <w:t>вих извора енергије Републике Ср</w:t>
      </w:r>
      <w:r w:rsidRPr="00CF77C1">
        <w:rPr>
          <w:lang w:val="sr-Cyrl-RS"/>
        </w:rPr>
        <w:t>бије у сектору електроенерегетике постиже се смањење емисије сумпордиоксида.</w:t>
      </w:r>
    </w:p>
    <w:p w14:paraId="09E1005E" w14:textId="77777777" w:rsidR="00091B64" w:rsidRPr="00CF77C1" w:rsidRDefault="00091B64" w:rsidP="00E1023A">
      <w:pPr>
        <w:ind w:firstLine="720"/>
        <w:rPr>
          <w:lang w:val="sr-Cyrl-RS"/>
        </w:rPr>
      </w:pPr>
      <w:r w:rsidRPr="00CF77C1">
        <w:rPr>
          <w:lang w:val="sr-Cyrl-RS"/>
        </w:rPr>
        <w:t>Аспекти животне средине на које утиче изградња и реконструкција далековода су:</w:t>
      </w:r>
    </w:p>
    <w:p w14:paraId="17D7C9A1"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загађење ваздуха,</w:t>
      </w:r>
    </w:p>
    <w:p w14:paraId="4C5ED0CC"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појачана бука и вибрације,</w:t>
      </w:r>
    </w:p>
    <w:p w14:paraId="6C7CFB7F"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потенцијално загађење воде,</w:t>
      </w:r>
    </w:p>
    <w:p w14:paraId="11C92BBA"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потенцијално загађење земљишта и заузимање обрадивог земљишта,</w:t>
      </w:r>
    </w:p>
    <w:p w14:paraId="6D9F4A52"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негативан утицај на биолошку разноврсност,</w:t>
      </w:r>
    </w:p>
    <w:p w14:paraId="12F31E22"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потенцијално повећано нејонизујуће зрачење у околини далековода,</w:t>
      </w:r>
    </w:p>
    <w:p w14:paraId="13D7B906"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негативан утицај на предео.</w:t>
      </w:r>
    </w:p>
    <w:p w14:paraId="55E1D745" w14:textId="77777777" w:rsidR="00091B64" w:rsidRPr="00CF77C1" w:rsidRDefault="00091B64" w:rsidP="00E1023A">
      <w:pPr>
        <w:ind w:firstLine="720"/>
        <w:rPr>
          <w:lang w:val="sr-Cyrl-RS"/>
        </w:rPr>
      </w:pPr>
      <w:r w:rsidRPr="00CF77C1">
        <w:rPr>
          <w:lang w:val="sr-Cyrl-RS"/>
        </w:rPr>
        <w:t xml:space="preserve">Аспекти животне средине на које утиче изградња и реконструкција </w:t>
      </w:r>
      <w:r w:rsidR="00312709" w:rsidRPr="00CF77C1">
        <w:rPr>
          <w:lang w:val="sr-Cyrl-RS"/>
        </w:rPr>
        <w:t>трансформаторских станица</w:t>
      </w:r>
      <w:r w:rsidRPr="00CF77C1">
        <w:rPr>
          <w:lang w:val="sr-Cyrl-RS"/>
        </w:rPr>
        <w:t xml:space="preserve"> су:</w:t>
      </w:r>
    </w:p>
    <w:p w14:paraId="540C65D4"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загађење ваздуха,</w:t>
      </w:r>
    </w:p>
    <w:p w14:paraId="7AAB6834"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појачана бука и вибрације,</w:t>
      </w:r>
    </w:p>
    <w:p w14:paraId="1CC98C34" w14:textId="77777777" w:rsidR="00091B64" w:rsidRPr="00CF77C1" w:rsidRDefault="00083CA8" w:rsidP="003E39B4">
      <w:pPr>
        <w:pStyle w:val="ListParagraph"/>
        <w:numPr>
          <w:ilvl w:val="0"/>
          <w:numId w:val="56"/>
        </w:numPr>
        <w:spacing w:before="60" w:after="60"/>
        <w:ind w:left="0" w:firstLine="720"/>
        <w:contextualSpacing w:val="0"/>
        <w:rPr>
          <w:lang w:val="sr-Cyrl-RS"/>
        </w:rPr>
      </w:pPr>
      <w:r w:rsidRPr="00CF77C1">
        <w:rPr>
          <w:lang w:val="sr-Cyrl-RS"/>
        </w:rPr>
        <w:t>п</w:t>
      </w:r>
      <w:r w:rsidR="00091B64" w:rsidRPr="00CF77C1">
        <w:rPr>
          <w:lang w:val="sr-Cyrl-RS"/>
        </w:rPr>
        <w:t>отенцијално загађење воде,</w:t>
      </w:r>
    </w:p>
    <w:p w14:paraId="7B145D5C"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потенцијално загађење земљишта,</w:t>
      </w:r>
    </w:p>
    <w:p w14:paraId="574E94A5"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негативан утицај на биолошку разноврсност,</w:t>
      </w:r>
    </w:p>
    <w:p w14:paraId="7CA97274"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 xml:space="preserve">потенцијално повећано нејонизујуће зрачење унутар и у околини </w:t>
      </w:r>
      <w:r w:rsidR="00312709" w:rsidRPr="00CF77C1">
        <w:rPr>
          <w:lang w:val="sr-Cyrl-RS"/>
        </w:rPr>
        <w:t>трансформаторске станице</w:t>
      </w:r>
      <w:r w:rsidRPr="00CF77C1">
        <w:rPr>
          <w:lang w:val="sr-Cyrl-RS"/>
        </w:rPr>
        <w:t>,</w:t>
      </w:r>
    </w:p>
    <w:p w14:paraId="0B98B74B" w14:textId="77777777" w:rsidR="00091B64" w:rsidRPr="00CF77C1" w:rsidRDefault="00091B64" w:rsidP="003E39B4">
      <w:pPr>
        <w:pStyle w:val="ListParagraph"/>
        <w:numPr>
          <w:ilvl w:val="0"/>
          <w:numId w:val="56"/>
        </w:numPr>
        <w:spacing w:before="60" w:after="60"/>
        <w:ind w:left="0" w:firstLine="720"/>
        <w:contextualSpacing w:val="0"/>
        <w:rPr>
          <w:lang w:val="sr-Cyrl-RS"/>
        </w:rPr>
      </w:pPr>
      <w:r w:rsidRPr="00CF77C1">
        <w:rPr>
          <w:lang w:val="sr-Cyrl-RS"/>
        </w:rPr>
        <w:t>негативан утицај на предео.</w:t>
      </w:r>
    </w:p>
    <w:p w14:paraId="7CBC6221" w14:textId="274ED49A" w:rsidR="0080044B" w:rsidRPr="00CF77C1" w:rsidRDefault="00141BA0" w:rsidP="00141BA0">
      <w:pPr>
        <w:pStyle w:val="Heading2"/>
        <w:numPr>
          <w:ilvl w:val="0"/>
          <w:numId w:val="0"/>
        </w:numPr>
        <w:ind w:left="720"/>
        <w:rPr>
          <w:rFonts w:ascii="Times New Roman" w:hAnsi="Times New Roman"/>
          <w:b w:val="0"/>
          <w:lang w:val="sr-Cyrl-RS"/>
        </w:rPr>
      </w:pPr>
      <w:bookmarkStart w:id="48" w:name="_Toc471730771"/>
      <w:bookmarkStart w:id="49" w:name="_Ref475700095"/>
      <w:bookmarkStart w:id="50" w:name="_Toc484260287"/>
      <w:r w:rsidRPr="00CF77C1">
        <w:rPr>
          <w:rFonts w:ascii="Times New Roman" w:hAnsi="Times New Roman"/>
          <w:b w:val="0"/>
          <w:lang w:val="sr-Cyrl-RS"/>
        </w:rPr>
        <w:t xml:space="preserve">3.2. </w:t>
      </w:r>
      <w:r w:rsidR="0080044B" w:rsidRPr="00CF77C1">
        <w:rPr>
          <w:rFonts w:ascii="Times New Roman" w:hAnsi="Times New Roman"/>
          <w:b w:val="0"/>
          <w:lang w:val="sr-Cyrl-RS"/>
        </w:rPr>
        <w:t>Област топлотне енергије</w:t>
      </w:r>
      <w:bookmarkEnd w:id="48"/>
      <w:bookmarkEnd w:id="49"/>
      <w:bookmarkEnd w:id="50"/>
    </w:p>
    <w:p w14:paraId="71B6DB89" w14:textId="783ED6BA" w:rsidR="006236B9" w:rsidRPr="00CF77C1" w:rsidRDefault="006236B9" w:rsidP="00E1023A">
      <w:pPr>
        <w:ind w:firstLine="720"/>
        <w:rPr>
          <w:lang w:val="sr-Cyrl-RS"/>
        </w:rPr>
      </w:pPr>
      <w:r w:rsidRPr="00CF77C1">
        <w:rPr>
          <w:lang w:val="sr-Cyrl-RS"/>
        </w:rPr>
        <w:t>У оквиру система даљинског грејања у Републици Србији послује 59 енергетских субјеката са укупно расположивим капацитетима топлотних извора од око 6900 MW (2880 MW припада ЈКП Београдске електране), више од 2100 km дистрибутивне мреже и 23500 топлотно-предајних подстаница. Просечна старост котловских јединица, дистрибутивне мреже и топлотно-предајних подстаница је 21-24 године.</w:t>
      </w:r>
    </w:p>
    <w:p w14:paraId="3A1EC446" w14:textId="4D40790C" w:rsidR="0080044B" w:rsidRPr="00CF77C1" w:rsidRDefault="0080044B" w:rsidP="00E1023A">
      <w:pPr>
        <w:ind w:firstLine="720"/>
        <w:rPr>
          <w:lang w:val="sr-Cyrl-RS"/>
        </w:rPr>
      </w:pPr>
      <w:r w:rsidRPr="00CF77C1">
        <w:rPr>
          <w:lang w:val="sr-Cyrl-RS"/>
        </w:rPr>
        <w:t xml:space="preserve">Стратешки циљеви у области топлотне енергије дефинисани су Стратегијом </w:t>
      </w:r>
      <w:r w:rsidR="0011648E" w:rsidRPr="00CF77C1">
        <w:rPr>
          <w:lang w:val="sr-Cyrl-RS"/>
        </w:rPr>
        <w:t>енергетике</w:t>
      </w:r>
      <w:r w:rsidRPr="00CF77C1">
        <w:rPr>
          <w:lang w:val="sr-Cyrl-RS"/>
        </w:rPr>
        <w:t>:</w:t>
      </w:r>
    </w:p>
    <w:p w14:paraId="495C8400"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обезбеђење топлотне енергије за сигурно снабдевање широке потрошње и индустрије уз стриктно поштовање норми заштите животне средине;</w:t>
      </w:r>
    </w:p>
    <w:p w14:paraId="7D40D448"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повећање енергетске ефикасности у производњи, дистрибуцији и снабдевању топлотном енергијом;</w:t>
      </w:r>
    </w:p>
    <w:p w14:paraId="3B1CB7A8"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повећање удела коришћења обновљивих извора енергије (ОИЕ) и диверсификација коришћених енергената;</w:t>
      </w:r>
    </w:p>
    <w:p w14:paraId="57BE7847"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одрживо пословање енергетских субјеката који се баве производњом, дистрибуцијом и снабдевањем топлотном енергијом.</w:t>
      </w:r>
    </w:p>
    <w:p w14:paraId="7E976786" w14:textId="1C06BA4D" w:rsidR="006236B9" w:rsidRPr="00CF77C1" w:rsidRDefault="006236B9" w:rsidP="00E1023A">
      <w:pPr>
        <w:ind w:firstLine="720"/>
        <w:rPr>
          <w:lang w:val="sr-Cyrl-RS"/>
        </w:rPr>
      </w:pPr>
      <w:r w:rsidRPr="00CF77C1">
        <w:rPr>
          <w:lang w:val="sr-Cyrl-RS"/>
        </w:rPr>
        <w:t>Напомена: У даљем делу текста за енергетске субјекте који се баве производњом, дистрибуцијом и снабдевањем топлотном енергијом ће се користити термин топлане.</w:t>
      </w:r>
    </w:p>
    <w:p w14:paraId="41192A3D" w14:textId="77777777" w:rsidR="0080044B" w:rsidRPr="00CF77C1" w:rsidRDefault="0080044B" w:rsidP="00E1023A">
      <w:pPr>
        <w:ind w:firstLine="720"/>
        <w:rPr>
          <w:lang w:val="sr-Cyrl-RS"/>
        </w:rPr>
      </w:pPr>
      <w:r w:rsidRPr="00CF77C1">
        <w:rPr>
          <w:lang w:val="sr-Cyrl-RS"/>
        </w:rPr>
        <w:t>Стратешки правци деловања су:</w:t>
      </w:r>
    </w:p>
    <w:p w14:paraId="7D7635F5"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континуална модернизација постојећих топлификационих система;</w:t>
      </w:r>
    </w:p>
    <w:p w14:paraId="3B00E301"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формирање и примена јединственог тарифног система за производњу, дистрибуцију и снабдевање топлотном енергијом;</w:t>
      </w:r>
    </w:p>
    <w:p w14:paraId="2C115F87"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институционално повезивање система;</w:t>
      </w:r>
    </w:p>
    <w:p w14:paraId="318A806E" w14:textId="77777777" w:rsidR="0080044B" w:rsidRPr="00CF77C1" w:rsidRDefault="0080044B" w:rsidP="003E39B4">
      <w:pPr>
        <w:pStyle w:val="ListParagraph"/>
        <w:numPr>
          <w:ilvl w:val="0"/>
          <w:numId w:val="63"/>
        </w:numPr>
        <w:spacing w:before="60" w:after="60"/>
        <w:ind w:left="0" w:firstLine="720"/>
        <w:contextualSpacing w:val="0"/>
        <w:rPr>
          <w:lang w:val="sr-Cyrl-RS"/>
        </w:rPr>
      </w:pPr>
      <w:r w:rsidRPr="00CF77C1">
        <w:rPr>
          <w:lang w:val="sr-Cyrl-RS"/>
        </w:rPr>
        <w:t>ширење постојећих система даљинског грејања;</w:t>
      </w:r>
    </w:p>
    <w:p w14:paraId="10F0040F" w14:textId="77777777" w:rsidR="00805602" w:rsidRDefault="0080044B" w:rsidP="00805602">
      <w:pPr>
        <w:pStyle w:val="ListParagraph"/>
        <w:numPr>
          <w:ilvl w:val="0"/>
          <w:numId w:val="63"/>
        </w:numPr>
        <w:spacing w:before="60" w:after="60"/>
        <w:ind w:left="0" w:firstLine="720"/>
        <w:contextualSpacing w:val="0"/>
        <w:rPr>
          <w:lang w:val="sr-Cyrl-RS"/>
        </w:rPr>
      </w:pPr>
      <w:r w:rsidRPr="00CF77C1">
        <w:rPr>
          <w:lang w:val="sr-Cyrl-RS"/>
        </w:rPr>
        <w:t>промоција примене енергената и њиховог ефикаснијег коришћења кроз:</w:t>
      </w:r>
      <w:r w:rsidR="00805602">
        <w:rPr>
          <w:lang w:val="sr-Cyrl-RS"/>
        </w:rPr>
        <w:t xml:space="preserve"> </w:t>
      </w:r>
    </w:p>
    <w:p w14:paraId="1014F6DD" w14:textId="5574E2F4" w:rsidR="0080044B" w:rsidRPr="00805602" w:rsidRDefault="0080044B" w:rsidP="00163CB3">
      <w:pPr>
        <w:pStyle w:val="ListParagraph"/>
        <w:spacing w:before="60" w:after="60"/>
        <w:ind w:left="0"/>
        <w:contextualSpacing w:val="0"/>
        <w:rPr>
          <w:lang w:val="sr-Cyrl-RS"/>
        </w:rPr>
      </w:pPr>
      <w:r w:rsidRPr="00805602">
        <w:rPr>
          <w:lang w:val="sr-Cyrl-RS"/>
        </w:rPr>
        <w:t>смањење учешћа течних горива и угља,</w:t>
      </w:r>
      <w:r w:rsidR="00805602" w:rsidRPr="00805602">
        <w:rPr>
          <w:lang w:val="sr-Cyrl-RS"/>
        </w:rPr>
        <w:t xml:space="preserve"> </w:t>
      </w:r>
      <w:r w:rsidRPr="00805602">
        <w:rPr>
          <w:lang w:val="sr-Cyrl-RS"/>
        </w:rPr>
        <w:t>значајније коришћење биомасе (могуће косагоревање у постојећим топланама на угаљ),</w:t>
      </w:r>
      <w:r w:rsidR="00805602" w:rsidRPr="00805602">
        <w:rPr>
          <w:lang w:val="sr-Cyrl-RS"/>
        </w:rPr>
        <w:t xml:space="preserve"> </w:t>
      </w:r>
      <w:r w:rsidRPr="00805602">
        <w:rPr>
          <w:lang w:val="sr-Cyrl-RS"/>
        </w:rPr>
        <w:t>увођење комбиноване производње електричне и топлотне енергије;</w:t>
      </w:r>
      <w:r w:rsidR="00805602" w:rsidRPr="00805602">
        <w:rPr>
          <w:lang w:val="sr-Cyrl-RS"/>
        </w:rPr>
        <w:t xml:space="preserve"> </w:t>
      </w:r>
      <w:r w:rsidRPr="00805602">
        <w:rPr>
          <w:lang w:val="sr-Cyrl-RS"/>
        </w:rPr>
        <w:t>повећање броја прикључака за коришћење санитарне топле воде;</w:t>
      </w:r>
      <w:r w:rsidR="00805602" w:rsidRPr="00805602">
        <w:rPr>
          <w:lang w:val="sr-Cyrl-RS"/>
        </w:rPr>
        <w:t xml:space="preserve"> </w:t>
      </w:r>
      <w:r w:rsidRPr="00805602">
        <w:rPr>
          <w:lang w:val="sr-Cyrl-RS"/>
        </w:rPr>
        <w:t>подизање капацитета јединица локалних самоуправа у вези са регулисањем тржишта (наплата према утрошеној количини топлотне енергије).</w:t>
      </w:r>
    </w:p>
    <w:p w14:paraId="0F4F4438" w14:textId="5D68B468" w:rsidR="0080044B" w:rsidRPr="00CF77C1" w:rsidRDefault="00141BA0" w:rsidP="00141BA0">
      <w:pPr>
        <w:pStyle w:val="Heading3"/>
        <w:numPr>
          <w:ilvl w:val="0"/>
          <w:numId w:val="0"/>
        </w:numPr>
        <w:ind w:left="720"/>
        <w:rPr>
          <w:b w:val="0"/>
          <w:lang w:val="sr-Cyrl-RS"/>
        </w:rPr>
      </w:pPr>
      <w:bookmarkStart w:id="51" w:name="_Toc471730772"/>
      <w:bookmarkStart w:id="52" w:name="_Toc484260288"/>
      <w:r w:rsidRPr="00CF77C1">
        <w:rPr>
          <w:b w:val="0"/>
          <w:lang w:val="sr-Cyrl-RS"/>
        </w:rPr>
        <w:t xml:space="preserve">3.2.1. </w:t>
      </w:r>
      <w:r w:rsidR="0080044B" w:rsidRPr="00CF77C1">
        <w:rPr>
          <w:b w:val="0"/>
          <w:lang w:val="sr-Cyrl-RS"/>
        </w:rPr>
        <w:t>Преглед мера у области топлотне енергије</w:t>
      </w:r>
      <w:bookmarkEnd w:id="51"/>
      <w:bookmarkEnd w:id="52"/>
    </w:p>
    <w:p w14:paraId="6EF8DA34" w14:textId="0AAECE56" w:rsidR="0080044B" w:rsidRPr="00CF77C1" w:rsidRDefault="00CB58DD" w:rsidP="00E1023A">
      <w:pPr>
        <w:ind w:firstLine="720"/>
        <w:rPr>
          <w:lang w:val="sr-Cyrl-RS"/>
        </w:rPr>
      </w:pPr>
      <w:r>
        <w:rPr>
          <w:lang w:val="sr-Cyrl-RS"/>
        </w:rPr>
        <w:t>Мере у области топлотне енер</w:t>
      </w:r>
      <w:r w:rsidR="0080044B" w:rsidRPr="00CF77C1">
        <w:rPr>
          <w:lang w:val="sr-Cyrl-RS"/>
        </w:rPr>
        <w:t>г</w:t>
      </w:r>
      <w:r>
        <w:rPr>
          <w:lang w:val="sr-Cyrl-RS"/>
        </w:rPr>
        <w:t>и</w:t>
      </w:r>
      <w:r w:rsidR="0080044B" w:rsidRPr="00CF77C1">
        <w:rPr>
          <w:lang w:val="sr-Cyrl-RS"/>
        </w:rPr>
        <w:t>је усмерене су ка испуњењу стратешких циљева и обухватају:</w:t>
      </w:r>
    </w:p>
    <w:p w14:paraId="5BD7F021" w14:textId="42FB26D3" w:rsidR="0080044B" w:rsidRPr="00CF77C1" w:rsidRDefault="00141BA0" w:rsidP="00141BA0">
      <w:pPr>
        <w:pStyle w:val="Heading3"/>
        <w:numPr>
          <w:ilvl w:val="0"/>
          <w:numId w:val="0"/>
        </w:numPr>
        <w:ind w:left="720"/>
        <w:rPr>
          <w:b w:val="0"/>
          <w:lang w:val="sr-Cyrl-RS"/>
        </w:rPr>
      </w:pPr>
      <w:bookmarkStart w:id="53" w:name="_Toc471730773"/>
      <w:bookmarkStart w:id="54" w:name="_Toc484260289"/>
      <w:r w:rsidRPr="00CF77C1">
        <w:rPr>
          <w:b w:val="0"/>
          <w:lang w:val="sr-Cyrl-RS"/>
        </w:rPr>
        <w:t xml:space="preserve">3.2.1.1. </w:t>
      </w:r>
      <w:r w:rsidR="0080044B" w:rsidRPr="00CF77C1">
        <w:rPr>
          <w:b w:val="0"/>
          <w:lang w:val="sr-Cyrl-RS"/>
        </w:rPr>
        <w:t>Унапређење регулаторног оквира у области топлотне енергије</w:t>
      </w:r>
      <w:bookmarkEnd w:id="53"/>
      <w:bookmarkEnd w:id="54"/>
    </w:p>
    <w:p w14:paraId="062409EB" w14:textId="4C7601CF" w:rsidR="0080044B" w:rsidRPr="00CF77C1" w:rsidRDefault="0080044B" w:rsidP="00E1023A">
      <w:pPr>
        <w:ind w:firstLine="720"/>
        <w:rPr>
          <w:lang w:val="sr-Cyrl-RS"/>
        </w:rPr>
      </w:pPr>
      <w:r w:rsidRPr="00CF77C1">
        <w:rPr>
          <w:lang w:val="sr-Cyrl-RS"/>
        </w:rPr>
        <w:t xml:space="preserve">Делатност енергетских субјеката који учествују у раду овог система уређују: Закон о енергетици, Закон о ефикасном коришћењу енергије, Закон о комуналним делатностима </w:t>
      </w:r>
      <w:r w:rsidR="002359DA" w:rsidRPr="00CF77C1">
        <w:rPr>
          <w:lang w:val="sr-Cyrl-RS"/>
        </w:rPr>
        <w:t>(</w:t>
      </w:r>
      <w:r w:rsidR="009A670A" w:rsidRPr="00CF77C1">
        <w:rPr>
          <w:lang w:val="sr-Cyrl-RS"/>
        </w:rPr>
        <w:t>„Службени гласник РС”, бр. 88/</w:t>
      </w:r>
      <w:r w:rsidR="002359DA" w:rsidRPr="00CF77C1">
        <w:rPr>
          <w:lang w:val="sr-Cyrl-RS"/>
        </w:rPr>
        <w:t>11 и 10</w:t>
      </w:r>
      <w:r w:rsidR="009A670A" w:rsidRPr="00CF77C1">
        <w:rPr>
          <w:lang w:val="sr-Cyrl-RS"/>
        </w:rPr>
        <w:t>4/</w:t>
      </w:r>
      <w:r w:rsidR="002359DA" w:rsidRPr="00CF77C1">
        <w:rPr>
          <w:lang w:val="sr-Cyrl-RS"/>
        </w:rPr>
        <w:t>16)</w:t>
      </w:r>
      <w:r w:rsidRPr="00CF77C1">
        <w:rPr>
          <w:lang w:val="sr-Cyrl-RS"/>
        </w:rPr>
        <w:t>, Закон о јавним предузећима</w:t>
      </w:r>
      <w:r w:rsidR="009A670A" w:rsidRPr="00CF77C1">
        <w:rPr>
          <w:lang w:val="sr-Cyrl-RS"/>
        </w:rPr>
        <w:t xml:space="preserve"> („Службени гласник РС”, број 15/</w:t>
      </w:r>
      <w:r w:rsidR="002359DA" w:rsidRPr="00CF77C1">
        <w:rPr>
          <w:lang w:val="sr-Cyrl-RS"/>
        </w:rPr>
        <w:t>16)</w:t>
      </w:r>
      <w:r w:rsidRPr="00CF77C1">
        <w:rPr>
          <w:lang w:val="sr-Cyrl-RS"/>
        </w:rPr>
        <w:t>, Закон о привредним друштвима</w:t>
      </w:r>
      <w:r w:rsidR="002359DA" w:rsidRPr="00CF77C1">
        <w:rPr>
          <w:lang w:val="sr-Cyrl-RS"/>
        </w:rPr>
        <w:t xml:space="preserve"> (</w:t>
      </w:r>
      <w:r w:rsidR="0079450A" w:rsidRPr="00CF77C1">
        <w:rPr>
          <w:lang w:val="sr-Cyrl-RS"/>
        </w:rPr>
        <w:t>„Службени гласник РС”, бр. 36/11, 99/11, 83/14 - др. закон и 5/</w:t>
      </w:r>
      <w:r w:rsidR="002359DA" w:rsidRPr="00CF77C1">
        <w:rPr>
          <w:lang w:val="sr-Cyrl-RS"/>
        </w:rPr>
        <w:t>15)</w:t>
      </w:r>
      <w:r w:rsidRPr="00CF77C1">
        <w:rPr>
          <w:lang w:val="sr-Cyrl-RS"/>
        </w:rPr>
        <w:t>, Закон о јавно-приватном партнерству и концесијама</w:t>
      </w:r>
      <w:r w:rsidR="002359DA" w:rsidRPr="00CF77C1">
        <w:rPr>
          <w:lang w:val="sr-Cyrl-RS"/>
        </w:rPr>
        <w:t xml:space="preserve"> („Служб</w:t>
      </w:r>
      <w:r w:rsidR="0079450A" w:rsidRPr="00CF77C1">
        <w:rPr>
          <w:lang w:val="sr-Cyrl-RS"/>
        </w:rPr>
        <w:t>ени гласник РС”, бр. 88/11, 15/16 и 104/</w:t>
      </w:r>
      <w:r w:rsidR="002359DA" w:rsidRPr="00CF77C1">
        <w:rPr>
          <w:lang w:val="sr-Cyrl-RS"/>
        </w:rPr>
        <w:t>16)</w:t>
      </w:r>
      <w:r w:rsidRPr="00CF77C1">
        <w:rPr>
          <w:lang w:val="sr-Cyrl-RS"/>
        </w:rPr>
        <w:t>, Закон о локалној самоуправи</w:t>
      </w:r>
      <w:r w:rsidR="002359DA" w:rsidRPr="00CF77C1">
        <w:rPr>
          <w:lang w:val="sr-Cyrl-RS"/>
        </w:rPr>
        <w:t xml:space="preserve"> („Службени г</w:t>
      </w:r>
      <w:r w:rsidR="0079450A" w:rsidRPr="00CF77C1">
        <w:rPr>
          <w:lang w:val="sr-Cyrl-RS"/>
        </w:rPr>
        <w:t>ласник РС”, бр. 129/07</w:t>
      </w:r>
      <w:r w:rsidR="00CB58DD">
        <w:rPr>
          <w:lang w:val="sr-Cyrl-RS"/>
        </w:rPr>
        <w:t>,</w:t>
      </w:r>
      <w:r w:rsidR="0079450A" w:rsidRPr="00CF77C1">
        <w:rPr>
          <w:lang w:val="sr-Cyrl-RS"/>
        </w:rPr>
        <w:t xml:space="preserve"> 83/</w:t>
      </w:r>
      <w:r w:rsidR="002359DA" w:rsidRPr="00CF77C1">
        <w:rPr>
          <w:lang w:val="sr-Cyrl-RS"/>
        </w:rPr>
        <w:t>14 - др. закон</w:t>
      </w:r>
      <w:r w:rsidR="00CB58DD">
        <w:rPr>
          <w:lang w:val="sr-Cyrl-RS"/>
        </w:rPr>
        <w:t xml:space="preserve"> и 101/16 - др. закон</w:t>
      </w:r>
      <w:r w:rsidR="002359DA" w:rsidRPr="00CF77C1">
        <w:rPr>
          <w:lang w:val="sr-Cyrl-RS"/>
        </w:rPr>
        <w:t>)</w:t>
      </w:r>
      <w:r w:rsidRPr="00CF77C1">
        <w:rPr>
          <w:lang w:val="sr-Cyrl-RS"/>
        </w:rPr>
        <w:t>, Закон о јавним набавкама</w:t>
      </w:r>
      <w:r w:rsidR="002359DA" w:rsidRPr="00CF77C1">
        <w:rPr>
          <w:lang w:val="sr-Cyrl-RS"/>
        </w:rPr>
        <w:t xml:space="preserve"> („</w:t>
      </w:r>
      <w:r w:rsidR="0079450A" w:rsidRPr="00CF77C1">
        <w:rPr>
          <w:lang w:val="sr-Cyrl-RS"/>
        </w:rPr>
        <w:t>Службени гласник РС”, бр. 124/12, 14/15 и 68/</w:t>
      </w:r>
      <w:r w:rsidR="002359DA" w:rsidRPr="00CF77C1">
        <w:rPr>
          <w:lang w:val="sr-Cyrl-RS"/>
        </w:rPr>
        <w:t>15)</w:t>
      </w:r>
      <w:r w:rsidRPr="00CF77C1">
        <w:rPr>
          <w:lang w:val="sr-Cyrl-RS"/>
        </w:rPr>
        <w:t xml:space="preserve">, Закон о становању и одржавању зграда </w:t>
      </w:r>
      <w:r w:rsidR="002359DA" w:rsidRPr="00CF77C1">
        <w:rPr>
          <w:lang w:val="sr-Cyrl-RS"/>
        </w:rPr>
        <w:t xml:space="preserve">(„Службени гласник РС”, </w:t>
      </w:r>
      <w:r w:rsidR="009A670A" w:rsidRPr="00CF77C1">
        <w:rPr>
          <w:lang w:val="sr-Cyrl-RS"/>
        </w:rPr>
        <w:t>број</w:t>
      </w:r>
      <w:r w:rsidR="0079450A" w:rsidRPr="00CF77C1">
        <w:rPr>
          <w:lang w:val="sr-Cyrl-RS"/>
        </w:rPr>
        <w:t xml:space="preserve"> 104/</w:t>
      </w:r>
      <w:r w:rsidR="00BB3AC3" w:rsidRPr="00CF77C1">
        <w:rPr>
          <w:lang w:val="sr-Cyrl-RS"/>
        </w:rPr>
        <w:t>16</w:t>
      </w:r>
      <w:r w:rsidR="002359DA" w:rsidRPr="00CF77C1">
        <w:rPr>
          <w:lang w:val="sr-Cyrl-RS"/>
        </w:rPr>
        <w:t xml:space="preserve">) </w:t>
      </w:r>
      <w:r w:rsidRPr="00CF77C1">
        <w:rPr>
          <w:lang w:val="sr-Cyrl-RS"/>
        </w:rPr>
        <w:t>и пратећа подзaконска акта ових закона.</w:t>
      </w:r>
    </w:p>
    <w:p w14:paraId="2F9D2D60" w14:textId="2B81948E" w:rsidR="0080044B" w:rsidRPr="00CF77C1" w:rsidRDefault="0080044B" w:rsidP="00E1023A">
      <w:pPr>
        <w:ind w:firstLine="720"/>
        <w:rPr>
          <w:lang w:val="sr-Cyrl-RS"/>
        </w:rPr>
      </w:pPr>
      <w:r w:rsidRPr="00CF77C1">
        <w:rPr>
          <w:lang w:val="sr-Cyrl-RS"/>
        </w:rPr>
        <w:t>Јединица локалне самоуправе издаје лиценцу за обављање енергетских делатности: производња, дистрибуција и снабд</w:t>
      </w:r>
      <w:r w:rsidR="005E2A87">
        <w:rPr>
          <w:lang w:val="sr-Cyrl-RS"/>
        </w:rPr>
        <w:t>е</w:t>
      </w:r>
      <w:r w:rsidRPr="00CF77C1">
        <w:rPr>
          <w:lang w:val="sr-Cyrl-RS"/>
        </w:rPr>
        <w:t>вање топлотном енергијом. При томе, води регистар издатих лиценци и евиденцију произвођача топлотне енергије снаге од 0,1 до 1 MW, прописима које самостално доноси утврђује услове испоруке и снабдевања топлотном енергијом купаца на свом подручју, дефинише права и обавезе произвођача, дистрибутера и снабдевача и крајњих купаца топлотне енергије, доноси прописе којим се уређује начин расподеле трошкова са заједничког мерног места у топлотно-предајној станици, као и услове и начин одржавања дела система од завршетка дистрибутивног система до крајњег купца, укључујући и његову грејну опрему. Јединица локалне самоуправе дефинише: права и обавезе крајњих купаца топлотне енергије, посебно у случају престанка уговора, као и услове подношења и решавања захтева крајњег купца за обуставу испоруке топлотне енергије, даје сагласност на цене топлотне енергије и прописује друге услове за обезбеђивање поузданог и сигурног снабдевања купаца топлотном енергијом, у складу са Законом о енергетици. Енергетски субјект који обавља енергетску делатност снабдевања топлотном енергијом утврђује цену снабдевања крајњих купаца, а методологија за утврђивање цене се утврђује актом Владе.</w:t>
      </w:r>
    </w:p>
    <w:p w14:paraId="3BE28DC6" w14:textId="5CD1775B" w:rsidR="0080044B" w:rsidRPr="00CF77C1" w:rsidRDefault="0080044B" w:rsidP="00E1023A">
      <w:pPr>
        <w:ind w:firstLine="720"/>
        <w:rPr>
          <w:lang w:val="sr-Cyrl-RS"/>
        </w:rPr>
      </w:pPr>
      <w:r w:rsidRPr="00CF77C1">
        <w:rPr>
          <w:lang w:val="sr-Cyrl-RS"/>
        </w:rPr>
        <w:t xml:space="preserve">У складу са Законом о ефикасном коришћењу енергије и законом којим се утврђује интегрисано спречавање и контрола загађења животне средине нова и ревитализована постројења за производњу топлотне енергије, односно системи за дистрибуцију топлотне енергије морају испуњавати минималне захтеве у погледу енергетске ефикасности (минимални степен корисности постројења за производњу и минимални степен система за дистрибуцију), Влада на предлог </w:t>
      </w:r>
      <w:r w:rsidR="00CC5829" w:rsidRPr="00CF77C1">
        <w:rPr>
          <w:lang w:val="sr-Cyrl-RS"/>
        </w:rPr>
        <w:t xml:space="preserve">министра </w:t>
      </w:r>
      <w:r w:rsidRPr="00CF77C1">
        <w:rPr>
          <w:lang w:val="sr-Cyrl-RS"/>
        </w:rPr>
        <w:t>ближе прописује минималне захтеве енергетске ефикасности које морају да испуњавају нова и ревитализована постројења и системи. Уз захтев за издавање енергетске дозволе за изградњу нових или реконструкцију постојећих постројења за про</w:t>
      </w:r>
      <w:r w:rsidR="001431C0">
        <w:rPr>
          <w:lang w:val="sr-Cyrl-RS"/>
        </w:rPr>
        <w:t>и</w:t>
      </w:r>
      <w:r w:rsidRPr="00CF77C1">
        <w:rPr>
          <w:lang w:val="sr-Cyrl-RS"/>
        </w:rPr>
        <w:t>зводњу топлотне енергије, подносилац захтева је у обавези да приложи елаборат о енергетској ефикасности постројења, при чему овај елаборат за постројење за производњу топлотне енергије мора садржати и техно-економску анализу повећања енергетског степена кори</w:t>
      </w:r>
      <w:r w:rsidR="006236B9" w:rsidRPr="00CF77C1">
        <w:rPr>
          <w:lang w:val="sr-Cyrl-RS"/>
        </w:rPr>
        <w:t>сности постројења, који б</w:t>
      </w:r>
      <w:r w:rsidRPr="00CF77C1">
        <w:rPr>
          <w:lang w:val="sr-Cyrl-RS"/>
        </w:rPr>
        <w:t>и</w:t>
      </w:r>
      <w:r w:rsidR="006236B9" w:rsidRPr="00CF77C1">
        <w:rPr>
          <w:lang w:val="sr-Cyrl-RS"/>
        </w:rPr>
        <w:t xml:space="preserve"> </w:t>
      </w:r>
      <w:r w:rsidRPr="00CF77C1">
        <w:rPr>
          <w:lang w:val="sr-Cyrl-RS"/>
        </w:rPr>
        <w:t>се остварио коришћењем комбиноване производње топлотне и електричне енергије. Уз захтев за добијање грађевинске дозволе за изградњу нових или реконструкцију старих система или делова система за дистрибуцију топлотне енергије, инвеститор је дужан да као саставни део техничке документације приложи и елаборат о енергетској ефикасности система за дистрибуцију топлотне енергије. Овим елаборатом се доказује да ће бити испуњен захтев о прописаној минималној енергетској ефикасности система. У припреми су следећи документи:</w:t>
      </w:r>
    </w:p>
    <w:p w14:paraId="7D65ACDC" w14:textId="656B35A5" w:rsidR="0080044B" w:rsidRPr="00CF77C1" w:rsidRDefault="00CA4A3A" w:rsidP="003E39B4">
      <w:pPr>
        <w:pStyle w:val="ListParagraph"/>
        <w:numPr>
          <w:ilvl w:val="0"/>
          <w:numId w:val="64"/>
        </w:numPr>
        <w:spacing w:before="60" w:after="60"/>
        <w:ind w:left="0" w:firstLine="720"/>
        <w:contextualSpacing w:val="0"/>
        <w:rPr>
          <w:lang w:val="sr-Cyrl-RS"/>
        </w:rPr>
      </w:pPr>
      <w:r w:rsidRPr="00CF77C1">
        <w:rPr>
          <w:lang w:val="sr-Cyrl-RS"/>
        </w:rPr>
        <w:t xml:space="preserve">уредба </w:t>
      </w:r>
      <w:r w:rsidR="0080044B" w:rsidRPr="00CF77C1">
        <w:rPr>
          <w:lang w:val="sr-Cyrl-RS"/>
        </w:rPr>
        <w:t>о минималним захтевима енергетске ефикасности које морају да испуњавају постројења за производњу електричне енергије, као и постројења за комбиновану производњу електричне и топлотне енергије, системи за пренос и дистрибуцију електричне енергије, постројења за производњу топлотне енергије и система за дистрибуцију топлотне енергије;</w:t>
      </w:r>
    </w:p>
    <w:p w14:paraId="40A55C26" w14:textId="6CC9EACE" w:rsidR="0080044B" w:rsidRPr="00CF77C1" w:rsidRDefault="00CA4A3A" w:rsidP="003E39B4">
      <w:pPr>
        <w:pStyle w:val="ListParagraph"/>
        <w:numPr>
          <w:ilvl w:val="0"/>
          <w:numId w:val="64"/>
        </w:numPr>
        <w:spacing w:before="60" w:after="60"/>
        <w:ind w:left="0" w:firstLine="720"/>
        <w:contextualSpacing w:val="0"/>
        <w:rPr>
          <w:lang w:val="sr-Cyrl-RS"/>
        </w:rPr>
      </w:pPr>
      <w:r w:rsidRPr="00CF77C1">
        <w:rPr>
          <w:lang w:val="sr-Cyrl-RS"/>
        </w:rPr>
        <w:t xml:space="preserve">правилник </w:t>
      </w:r>
      <w:r w:rsidR="0080044B" w:rsidRPr="00CF77C1">
        <w:rPr>
          <w:lang w:val="sr-Cyrl-RS"/>
        </w:rPr>
        <w:t>о садржини елабората о енергетској ефикасности постројења за производњу електричне енергије, постројења за комбиновану производњу електричне и топлотне енергије, система за пренос и дистрибуцију електричне енергије, постројења за производњу и дистрибуцију топлотне енергије.</w:t>
      </w:r>
      <w:r w:rsidR="00A262F2">
        <w:rPr>
          <w:lang w:val="sr-Cyrl-RS"/>
        </w:rPr>
        <w:t xml:space="preserve"> </w:t>
      </w:r>
    </w:p>
    <w:p w14:paraId="22CCEAC2" w14:textId="6A02A05C" w:rsidR="0080044B" w:rsidRPr="00CF77C1" w:rsidRDefault="0080044B" w:rsidP="00A262F2">
      <w:pPr>
        <w:ind w:firstLine="720"/>
        <w:rPr>
          <w:lang w:val="sr-Cyrl-RS"/>
        </w:rPr>
      </w:pPr>
      <w:r w:rsidRPr="00CF77C1">
        <w:rPr>
          <w:lang w:val="sr-Cyrl-RS"/>
        </w:rPr>
        <w:t>Законом о ефикасном коришћењу енергије се уређује да јединице локалне самоуправе имају обавезу да у тарифни систем за услуге даљинског грејања укључе као један од елемената за обрачун цене услуге грејања измерену, односно стварно предату количину топлотне енергије. У одређивању цена појединих тарифних елемената у тарифним системима за дистри</w:t>
      </w:r>
      <w:r w:rsidR="00A262F2">
        <w:rPr>
          <w:lang w:val="sr-Cyrl-RS"/>
        </w:rPr>
        <w:t>буцију топлотне енергије не мог</w:t>
      </w:r>
      <w:r w:rsidRPr="00CF77C1">
        <w:rPr>
          <w:lang w:val="sr-Cyrl-RS"/>
        </w:rPr>
        <w:t>у</w:t>
      </w:r>
      <w:r w:rsidR="00A262F2">
        <w:rPr>
          <w:lang w:val="sr-Cyrl-RS"/>
        </w:rPr>
        <w:t xml:space="preserve"> </w:t>
      </w:r>
      <w:r w:rsidRPr="00CF77C1">
        <w:rPr>
          <w:lang w:val="sr-Cyrl-RS"/>
        </w:rPr>
        <w:t>се користити вредности губитака ако су веће од вредности максималних губитака које се ут</w:t>
      </w:r>
      <w:r w:rsidR="00A262F2">
        <w:rPr>
          <w:lang w:val="sr-Cyrl-RS"/>
        </w:rPr>
        <w:t>врђују актом В</w:t>
      </w:r>
      <w:r w:rsidR="00C54056">
        <w:rPr>
          <w:lang w:val="sr-Cyrl-RS"/>
        </w:rPr>
        <w:t>л</w:t>
      </w:r>
      <w:r w:rsidR="00A262F2">
        <w:rPr>
          <w:lang w:val="sr-Cyrl-RS"/>
        </w:rPr>
        <w:t>аде из члана 45. с</w:t>
      </w:r>
      <w:r w:rsidRPr="00CF77C1">
        <w:rPr>
          <w:lang w:val="sr-Cyrl-RS"/>
        </w:rPr>
        <w:t>тав 2. Закона о ефикасном коришћењу енергије.</w:t>
      </w:r>
    </w:p>
    <w:p w14:paraId="2A56DCDC" w14:textId="77777777" w:rsidR="0080044B" w:rsidRPr="00CF77C1" w:rsidRDefault="0080044B" w:rsidP="00E1023A">
      <w:pPr>
        <w:ind w:firstLine="720"/>
        <w:rPr>
          <w:lang w:val="sr-Cyrl-RS"/>
        </w:rPr>
      </w:pPr>
      <w:r w:rsidRPr="00CF77C1">
        <w:rPr>
          <w:lang w:val="sr-Cyrl-RS"/>
        </w:rPr>
        <w:t>Закон о ефикасном коришћењу енергије прописује да сви власници котлова снаге веће од 20 kW дужни су да обезбеде спровођење редове контроле процеса сагоревања у циљу утврђивања степена корисности котлова, као и да предузму мере са циљем достизања вредности прописаних величина стања сагоревања.</w:t>
      </w:r>
    </w:p>
    <w:p w14:paraId="6163A93B" w14:textId="6891263E" w:rsidR="0080044B" w:rsidRPr="00CF77C1" w:rsidRDefault="0080044B" w:rsidP="00E1023A">
      <w:pPr>
        <w:ind w:firstLine="720"/>
        <w:rPr>
          <w:lang w:val="sr-Cyrl-RS"/>
        </w:rPr>
      </w:pPr>
      <w:r w:rsidRPr="00CF77C1">
        <w:rPr>
          <w:lang w:val="sr-Cyrl-RS"/>
        </w:rPr>
        <w:t xml:space="preserve">Закон о ефикасном коришћењу енергије прописује </w:t>
      </w:r>
      <w:r w:rsidR="006236B9" w:rsidRPr="00CF77C1">
        <w:rPr>
          <w:lang w:val="sr-Cyrl-RS"/>
        </w:rPr>
        <w:t xml:space="preserve">и </w:t>
      </w:r>
      <w:r w:rsidRPr="00CF77C1">
        <w:rPr>
          <w:lang w:val="sr-Cyrl-RS"/>
        </w:rPr>
        <w:t>ко су субјекти система енергетског менаџмента, па тако дефинише услове (граничне вредности потрошње примарне енергије) које ако привредна друштва испуњавају постају обвезници система енергетског менаџмента. Законом се прописују обавезе обвезника система енергетског менаџмента: реализација планираних циљева уштеде енергије на годишњем нивоу, именовање потребног броја енергетских менаџера, доношење програма и плана енергетске ефикасности, доставља надлежном министарству годишње извештаје о остваривању циљева садржаних планом и програмом енергетске ефикасности, обезбеђује спровођење енергетских прегледа најмање ј</w:t>
      </w:r>
      <w:r w:rsidR="00834557">
        <w:rPr>
          <w:lang w:val="sr-Cyrl-RS"/>
        </w:rPr>
        <w:t>е</w:t>
      </w:r>
      <w:r w:rsidRPr="00CF77C1">
        <w:rPr>
          <w:lang w:val="sr-Cyrl-RS"/>
        </w:rPr>
        <w:t>дном у пет година и друге активности и мере које су у складу са одредбама Закона.</w:t>
      </w:r>
    </w:p>
    <w:p w14:paraId="476016F2" w14:textId="77777777" w:rsidR="0080044B" w:rsidRPr="00CF77C1" w:rsidRDefault="0080044B" w:rsidP="00E1023A">
      <w:pPr>
        <w:ind w:firstLine="720"/>
        <w:rPr>
          <w:lang w:val="sr-Cyrl-RS"/>
        </w:rPr>
      </w:pPr>
      <w:r w:rsidRPr="00CF77C1">
        <w:rPr>
          <w:lang w:val="sr-Cyrl-RS"/>
        </w:rPr>
        <w:t xml:space="preserve">Законом о енергетици дефинисан је појам повлашћеног произвођача топлотне енергије - који користе обновљиве изворе енергије и при томе испуњавају услове у погледу енергетске ефикасности, а подстицајна средства додељује јединица локалне самоуправе Јединица локалне самоуправе води регистар повлашћених произвођача топлотне енергије и дужне су да најмање једанпут годишње обавештава </w:t>
      </w:r>
      <w:r w:rsidR="005C650D" w:rsidRPr="00CF77C1">
        <w:rPr>
          <w:lang w:val="sr-Cyrl-RS"/>
        </w:rPr>
        <w:t>министарство надлежно за послове рударства и енергетике</w:t>
      </w:r>
      <w:r w:rsidRPr="00CF77C1">
        <w:rPr>
          <w:lang w:val="sr-Cyrl-RS"/>
        </w:rPr>
        <w:t xml:space="preserve"> о подацима садржаним у овом регистру.</w:t>
      </w:r>
    </w:p>
    <w:p w14:paraId="4C5D2BF0" w14:textId="77777777" w:rsidR="0080044B" w:rsidRPr="00CF77C1" w:rsidRDefault="0080044B" w:rsidP="00E1023A">
      <w:pPr>
        <w:ind w:firstLine="720"/>
        <w:rPr>
          <w:lang w:val="sr-Cyrl-RS"/>
        </w:rPr>
      </w:pPr>
      <w:r w:rsidRPr="00CF77C1">
        <w:rPr>
          <w:lang w:val="sr-Cyrl-RS"/>
        </w:rPr>
        <w:t xml:space="preserve">Инспекцијски надзор над спровођењем одредаба Закона о енергетици у области топлотне енергије, као једне од дужности у оквиру своје делатности, обавља енергетски инспектор, чиме се индиректно </w:t>
      </w:r>
      <w:r w:rsidR="005C650D" w:rsidRPr="00CF77C1">
        <w:rPr>
          <w:lang w:val="sr-Cyrl-RS"/>
        </w:rPr>
        <w:t>министарство надлежно за послове</w:t>
      </w:r>
      <w:r w:rsidRPr="00CF77C1">
        <w:rPr>
          <w:lang w:val="sr-Cyrl-RS"/>
        </w:rPr>
        <w:t xml:space="preserve"> рударства и енергетике укључује у надзор и праћење свих активности на пољу топлотне енергије.</w:t>
      </w:r>
    </w:p>
    <w:p w14:paraId="2D6B70DA" w14:textId="65F832B7" w:rsidR="0080044B" w:rsidRPr="00CF77C1" w:rsidRDefault="0080044B" w:rsidP="00E1023A">
      <w:pPr>
        <w:pStyle w:val="ListParagraph"/>
        <w:numPr>
          <w:ilvl w:val="2"/>
          <w:numId w:val="18"/>
        </w:numPr>
        <w:spacing w:before="60" w:after="60"/>
        <w:ind w:left="0" w:firstLine="720"/>
        <w:contextualSpacing w:val="0"/>
        <w:rPr>
          <w:lang w:val="sr-Cyrl-RS"/>
        </w:rPr>
      </w:pPr>
      <w:r w:rsidRPr="00CF77C1">
        <w:rPr>
          <w:lang w:val="sr-Cyrl-RS"/>
        </w:rPr>
        <w:t xml:space="preserve">Активност - успостављање групе за локалну енергетику и ангажовање енергетских инспектора у </w:t>
      </w:r>
      <w:r w:rsidR="006236B9" w:rsidRPr="00CF77C1">
        <w:rPr>
          <w:lang w:val="sr-Cyrl-RS"/>
        </w:rPr>
        <w:t>министарству надлежном за послове рударства и енергетике</w:t>
      </w:r>
      <w:r w:rsidRPr="00CF77C1">
        <w:rPr>
          <w:lang w:val="sr-Cyrl-RS"/>
        </w:rPr>
        <w:t xml:space="preserve"> сходно Закону о енергетици, чија делатност покрива област топлотне енергије.</w:t>
      </w:r>
    </w:p>
    <w:p w14:paraId="0DD52CCC" w14:textId="2CEBEB2F" w:rsidR="0080044B" w:rsidRPr="00CF77C1" w:rsidRDefault="0080044B" w:rsidP="00E1023A">
      <w:pPr>
        <w:pStyle w:val="ListParagraph"/>
        <w:numPr>
          <w:ilvl w:val="2"/>
          <w:numId w:val="18"/>
        </w:numPr>
        <w:spacing w:before="60" w:after="60"/>
        <w:ind w:left="0" w:firstLine="720"/>
        <w:contextualSpacing w:val="0"/>
        <w:rPr>
          <w:lang w:val="sr-Cyrl-RS"/>
        </w:rPr>
      </w:pPr>
      <w:r w:rsidRPr="00CF77C1">
        <w:rPr>
          <w:lang w:val="sr-Cyrl-RS"/>
        </w:rPr>
        <w:t xml:space="preserve">Активност - усклађивање правних аката које су донеле јединице локалне самоуправе са одредбама Закона </w:t>
      </w:r>
      <w:r w:rsidR="0079450A" w:rsidRPr="00CF77C1">
        <w:rPr>
          <w:lang w:val="sr-Cyrl-RS"/>
        </w:rPr>
        <w:t>о енергетици</w:t>
      </w:r>
      <w:r w:rsidR="00984997" w:rsidRPr="00CF77C1">
        <w:rPr>
          <w:lang w:val="sr-Cyrl-RS"/>
        </w:rPr>
        <w:t xml:space="preserve"> и </w:t>
      </w:r>
      <w:r w:rsidR="0011648E" w:rsidRPr="00CF77C1">
        <w:rPr>
          <w:lang w:val="sr-Cyrl-RS"/>
        </w:rPr>
        <w:t>Закона о ефикасном коришћењу енергије</w:t>
      </w:r>
      <w:r w:rsidRPr="00CF77C1">
        <w:rPr>
          <w:lang w:val="sr-Cyrl-RS"/>
        </w:rPr>
        <w:t xml:space="preserve"> којe третираjу област топлотне енергије. Проверу усклађености правних аката које доносе јединице локалне самоуправе периодично проверавати на сваке 2 до 3 године, осим у случају промене законске регулативе. Надзор над </w:t>
      </w:r>
      <w:r w:rsidR="004F70DF">
        <w:rPr>
          <w:lang w:val="sr-Cyrl-RS"/>
        </w:rPr>
        <w:t xml:space="preserve">овом </w:t>
      </w:r>
      <w:r w:rsidR="004F70DF" w:rsidRPr="00CF77C1">
        <w:rPr>
          <w:lang w:val="sr-Cyrl-RS"/>
        </w:rPr>
        <w:t xml:space="preserve">активношћу </w:t>
      </w:r>
      <w:r w:rsidRPr="00CF77C1">
        <w:rPr>
          <w:lang w:val="sr-Cyrl-RS"/>
        </w:rPr>
        <w:t xml:space="preserve">треба да буде спроведена имплементацијом ЛЕП базе </w:t>
      </w:r>
      <w:r w:rsidR="006236B9" w:rsidRPr="00CF77C1">
        <w:rPr>
          <w:lang w:val="sr-Cyrl-RS"/>
        </w:rPr>
        <w:t xml:space="preserve">министарства надлежног за послове рударства и енергетике </w:t>
      </w:r>
      <w:r w:rsidRPr="00CF77C1">
        <w:rPr>
          <w:lang w:val="sr-Cyrl-RS"/>
        </w:rPr>
        <w:t xml:space="preserve">коју попуњавају јединице локалне самоуправе потребном документацијом, а која се у прописаном периоду ажурира. Енергетски инспектори у </w:t>
      </w:r>
      <w:r w:rsidR="006236B9" w:rsidRPr="00CF77C1">
        <w:rPr>
          <w:lang w:val="sr-Cyrl-RS"/>
        </w:rPr>
        <w:t>министарству надлежном за послове рударства и енергетике</w:t>
      </w:r>
      <w:r w:rsidRPr="00CF77C1">
        <w:rPr>
          <w:lang w:val="sr-Cyrl-RS"/>
        </w:rPr>
        <w:t xml:space="preserve"> обављају надзор и контролу над подацима у бази. Министарство</w:t>
      </w:r>
      <w:r w:rsidR="005C650D" w:rsidRPr="00CF77C1">
        <w:rPr>
          <w:lang w:val="sr-Cyrl-RS"/>
        </w:rPr>
        <w:t xml:space="preserve"> надлежно за послове рударства и енергетике</w:t>
      </w:r>
      <w:r w:rsidRPr="00CF77C1">
        <w:rPr>
          <w:lang w:val="sr-Cyrl-RS"/>
        </w:rPr>
        <w:t xml:space="preserve"> и јединице локалне самоуправе су у сталној комуникацији путем ЛЕП базе. ЛЕП база треба да послужи и за формирање регистра локалних котларница које се користе за грејање простора, а које нису у саставу топлана.</w:t>
      </w:r>
    </w:p>
    <w:p w14:paraId="46243A2B" w14:textId="3E5337D1" w:rsidR="0080044B" w:rsidRPr="00CF77C1" w:rsidRDefault="0080044B" w:rsidP="00E1023A">
      <w:pPr>
        <w:pStyle w:val="ListParagraph"/>
        <w:numPr>
          <w:ilvl w:val="2"/>
          <w:numId w:val="18"/>
        </w:numPr>
        <w:spacing w:before="60" w:after="60"/>
        <w:ind w:left="0" w:firstLine="720"/>
        <w:contextualSpacing w:val="0"/>
        <w:rPr>
          <w:lang w:val="sr-Cyrl-RS"/>
        </w:rPr>
      </w:pPr>
      <w:r w:rsidRPr="00CF77C1">
        <w:rPr>
          <w:lang w:val="sr-Cyrl-RS"/>
        </w:rPr>
        <w:t xml:space="preserve">Активност </w:t>
      </w:r>
      <w:r w:rsidR="006236B9" w:rsidRPr="00CF77C1">
        <w:rPr>
          <w:lang w:val="sr-Cyrl-RS"/>
        </w:rPr>
        <w:t>-</w:t>
      </w:r>
      <w:r w:rsidR="00984997" w:rsidRPr="00CF77C1">
        <w:rPr>
          <w:lang w:val="sr-Cyrl-RS"/>
        </w:rPr>
        <w:t xml:space="preserve"> према </w:t>
      </w:r>
      <w:r w:rsidR="00B9618D" w:rsidRPr="00CF77C1">
        <w:rPr>
          <w:lang w:val="sr-Cyrl-RS"/>
        </w:rPr>
        <w:t>Закону о енергетици</w:t>
      </w:r>
      <w:r w:rsidR="0079450A" w:rsidRPr="00CF77C1">
        <w:rPr>
          <w:lang w:val="sr-Cyrl-RS"/>
        </w:rPr>
        <w:t xml:space="preserve"> </w:t>
      </w:r>
      <w:r w:rsidR="002359DA" w:rsidRPr="00CF77C1">
        <w:rPr>
          <w:lang w:val="sr-Cyrl-RS"/>
        </w:rPr>
        <w:t xml:space="preserve">и </w:t>
      </w:r>
      <w:r w:rsidR="0011648E" w:rsidRPr="00CF77C1">
        <w:rPr>
          <w:lang w:val="sr-Cyrl-RS"/>
        </w:rPr>
        <w:t>Закону о ефикасном коришћењу енергије</w:t>
      </w:r>
      <w:r w:rsidR="002359DA" w:rsidRPr="00CF77C1">
        <w:rPr>
          <w:lang w:val="sr-Cyrl-RS"/>
        </w:rPr>
        <w:t xml:space="preserve"> </w:t>
      </w:r>
      <w:r w:rsidRPr="00CF77C1">
        <w:rPr>
          <w:lang w:val="sr-Cyrl-RS"/>
        </w:rPr>
        <w:t xml:space="preserve">прелазак на наплату топлотне енергије по утрошку (ова активност не сме бити везана за један тренутак, већ је то процес). Сви учесници у сектору топлотне енергије морају бити укључени у овај процес. Локалне самоуправе морају бити више укључене у реализацију ове активности, а крајње купце топлотне енергије треба едуковати и обавештавати о начину спровођења </w:t>
      </w:r>
      <w:r w:rsidR="00B67F00">
        <w:rPr>
          <w:lang w:val="sr-Cyrl-RS"/>
        </w:rPr>
        <w:t xml:space="preserve">наведене </w:t>
      </w:r>
      <w:r w:rsidR="00B67F00" w:rsidRPr="00CF77C1">
        <w:rPr>
          <w:lang w:val="sr-Cyrl-RS"/>
        </w:rPr>
        <w:t>активности</w:t>
      </w:r>
      <w:r w:rsidRPr="00CF77C1">
        <w:rPr>
          <w:lang w:val="sr-Cyrl-RS"/>
        </w:rPr>
        <w:t>. Са једне стране, очекује се да ће најдуже три године после увођења наплате по утрошку доћи до пада прихода предузећа која се баве производњом, дистрибуцијом</w:t>
      </w:r>
      <w:r w:rsidR="001C20DE">
        <w:rPr>
          <w:lang w:val="sr-Cyrl-RS"/>
        </w:rPr>
        <w:t xml:space="preserve"> </w:t>
      </w:r>
      <w:r w:rsidRPr="00CF77C1">
        <w:rPr>
          <w:lang w:val="sr-Cyrl-RS"/>
        </w:rPr>
        <w:t>и снабдевањем топлотне ен</w:t>
      </w:r>
      <w:r w:rsidR="001C20DE">
        <w:rPr>
          <w:lang w:val="sr-Cyrl-RS"/>
        </w:rPr>
        <w:t>е</w:t>
      </w:r>
      <w:r w:rsidRPr="00CF77C1">
        <w:rPr>
          <w:lang w:val="sr-Cyrl-RS"/>
        </w:rPr>
        <w:t xml:space="preserve">ргије, док са друге стране наплата по утрошку носи са собом бенефит умањења трошкова пословања топлана, будући да се очекује смањење трошкова за енергенте. Једна од најважнијих тачака код реализације </w:t>
      </w:r>
      <w:r w:rsidR="001C20DE">
        <w:rPr>
          <w:lang w:val="sr-Cyrl-RS"/>
        </w:rPr>
        <w:t xml:space="preserve">поменуте </w:t>
      </w:r>
      <w:r w:rsidR="001C20DE" w:rsidRPr="00CF77C1">
        <w:rPr>
          <w:lang w:val="sr-Cyrl-RS"/>
        </w:rPr>
        <w:t>активности</w:t>
      </w:r>
      <w:r w:rsidRPr="00CF77C1">
        <w:rPr>
          <w:lang w:val="sr-Cyrl-RS"/>
        </w:rPr>
        <w:t>, односи се на успостављање економске цене за јединицу испоручене топлотне енергије крајњим купцима. Једино у том случају трансфер наплате са паушалног вида плаћања услуга на наплату по утрошку топлотне енергије неће предста</w:t>
      </w:r>
      <w:r w:rsidR="00DA32D0">
        <w:rPr>
          <w:lang w:val="sr-Cyrl-RS"/>
        </w:rPr>
        <w:t>в</w:t>
      </w:r>
      <w:r w:rsidRPr="00CF77C1">
        <w:rPr>
          <w:lang w:val="sr-Cyrl-RS"/>
        </w:rPr>
        <w:t>љати критичну тачку која би потенцијално могла да угрози пословање топлана.</w:t>
      </w:r>
      <w:r w:rsidR="00E46C90" w:rsidRPr="00CF77C1">
        <w:rPr>
          <w:lang w:val="sr-Cyrl-RS"/>
        </w:rPr>
        <w:t xml:space="preserve"> </w:t>
      </w:r>
      <w:r w:rsidRPr="00CF77C1">
        <w:rPr>
          <w:lang w:val="sr-Cyrl-RS"/>
        </w:rPr>
        <w:t xml:space="preserve">Индикатор за праћење реализације </w:t>
      </w:r>
      <w:r w:rsidR="00DA32D0">
        <w:rPr>
          <w:lang w:val="sr-Cyrl-RS"/>
        </w:rPr>
        <w:t xml:space="preserve">наведене </w:t>
      </w:r>
      <w:r w:rsidRPr="00CF77C1">
        <w:rPr>
          <w:lang w:val="sr-Cyrl-RS"/>
        </w:rPr>
        <w:t>Активности - праћење преласка на обрачун и наплату према утрошку топлотне енергије (% увећање купаца топлотне енергије који су прешли на обрачун према утрошку топлотне енергије).</w:t>
      </w:r>
    </w:p>
    <w:p w14:paraId="76D855F7" w14:textId="58A75017" w:rsidR="0080044B" w:rsidRPr="00CF77C1" w:rsidRDefault="0080044B" w:rsidP="0079450A">
      <w:pPr>
        <w:pStyle w:val="ListParagraph"/>
        <w:numPr>
          <w:ilvl w:val="2"/>
          <w:numId w:val="18"/>
        </w:numPr>
        <w:spacing w:before="60" w:after="60"/>
        <w:ind w:left="0" w:firstLine="720"/>
        <w:contextualSpacing w:val="0"/>
        <w:rPr>
          <w:lang w:val="sr-Cyrl-RS"/>
        </w:rPr>
      </w:pPr>
      <w:r w:rsidRPr="00CF77C1">
        <w:rPr>
          <w:lang w:val="sr-Cyrl-RS"/>
        </w:rPr>
        <w:t xml:space="preserve">Активност - усклађивање Програма развоја топлана са </w:t>
      </w:r>
      <w:r w:rsidR="00B66529" w:rsidRPr="00CF77C1">
        <w:rPr>
          <w:lang w:val="sr-Cyrl-RS"/>
        </w:rPr>
        <w:t xml:space="preserve">програмима </w:t>
      </w:r>
      <w:r w:rsidRPr="00CF77C1">
        <w:rPr>
          <w:lang w:val="sr-Cyrl-RS"/>
        </w:rPr>
        <w:t xml:space="preserve">развоја јединица локалне самоуправе. Своје </w:t>
      </w:r>
      <w:r w:rsidR="00B66529" w:rsidRPr="00CF77C1">
        <w:rPr>
          <w:lang w:val="sr-Cyrl-RS"/>
        </w:rPr>
        <w:t xml:space="preserve">програме </w:t>
      </w:r>
      <w:r w:rsidRPr="00CF77C1">
        <w:rPr>
          <w:lang w:val="sr-Cyrl-RS"/>
        </w:rPr>
        <w:t xml:space="preserve">и </w:t>
      </w:r>
      <w:r w:rsidR="00B66529" w:rsidRPr="00CF77C1">
        <w:rPr>
          <w:lang w:val="sr-Cyrl-RS"/>
        </w:rPr>
        <w:t xml:space="preserve">планове </w:t>
      </w:r>
      <w:r w:rsidRPr="00CF77C1">
        <w:rPr>
          <w:lang w:val="sr-Cyrl-RS"/>
        </w:rPr>
        <w:t>развоја јединице локалне самоуправе морају уск</w:t>
      </w:r>
      <w:r w:rsidR="006236B9" w:rsidRPr="00CF77C1">
        <w:rPr>
          <w:lang w:val="sr-Cyrl-RS"/>
        </w:rPr>
        <w:t xml:space="preserve">ладити са одредбама Закона </w:t>
      </w:r>
      <w:r w:rsidR="00B9618D" w:rsidRPr="00CF77C1">
        <w:rPr>
          <w:lang w:val="sr-Cyrl-RS"/>
        </w:rPr>
        <w:t>о ефикасном коришћењу енерг</w:t>
      </w:r>
      <w:r w:rsidR="0079450A" w:rsidRPr="00CF77C1">
        <w:rPr>
          <w:lang w:val="sr-Cyrl-RS"/>
        </w:rPr>
        <w:t xml:space="preserve">ије, </w:t>
      </w:r>
      <w:r w:rsidR="006236B9" w:rsidRPr="00CF77C1">
        <w:rPr>
          <w:lang w:val="sr-Cyrl-RS"/>
        </w:rPr>
        <w:t xml:space="preserve">према којим је дистрибутер топлотне енергије дужан да својим Планом развоја утврђује начин и динамику изградње новог и реконструисаног постојећег дистрибутивног система и других дистрибутивних капацитета за период од пет година. </w:t>
      </w:r>
      <w:r w:rsidR="00B66529">
        <w:rPr>
          <w:lang w:val="sr-Cyrl-RS"/>
        </w:rPr>
        <w:t>Дистрибутер је у обавези да под</w:t>
      </w:r>
      <w:r w:rsidR="006236B9" w:rsidRPr="00CF77C1">
        <w:rPr>
          <w:lang w:val="sr-Cyrl-RS"/>
        </w:rPr>
        <w:t>н</w:t>
      </w:r>
      <w:r w:rsidR="00B66529">
        <w:rPr>
          <w:lang w:val="sr-Cyrl-RS"/>
        </w:rPr>
        <w:t>е</w:t>
      </w:r>
      <w:r w:rsidR="006236B9" w:rsidRPr="00CF77C1">
        <w:rPr>
          <w:lang w:val="sr-Cyrl-RS"/>
        </w:rPr>
        <w:t>се годишњи извештај јединици локалне самоуправе. Најзначајнију улогу усклађивања планова развоја инфраструктуре имају јединице локалне самоуправе.</w:t>
      </w:r>
    </w:p>
    <w:p w14:paraId="6466D678" w14:textId="62971FF8" w:rsidR="0080044B" w:rsidRPr="00CF77C1" w:rsidRDefault="0080044B" w:rsidP="00E1023A">
      <w:pPr>
        <w:ind w:firstLine="720"/>
        <w:rPr>
          <w:lang w:val="sr-Cyrl-RS"/>
        </w:rPr>
      </w:pPr>
      <w:r w:rsidRPr="00CF77C1">
        <w:rPr>
          <w:lang w:val="sr-Cyrl-RS"/>
        </w:rPr>
        <w:t xml:space="preserve">У </w:t>
      </w:r>
      <w:r w:rsidR="0092145E" w:rsidRPr="00CF77C1">
        <w:rPr>
          <w:lang w:val="sr-Cyrl-RS"/>
        </w:rPr>
        <w:fldChar w:fldCharType="begin"/>
      </w:r>
      <w:r w:rsidR="009E4135" w:rsidRPr="00CF77C1">
        <w:rPr>
          <w:lang w:val="sr-Cyrl-RS"/>
        </w:rPr>
        <w:instrText xml:space="preserve"> REF _Ref475640393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28</w:t>
      </w:r>
      <w:r w:rsidR="0092145E" w:rsidRPr="00CF77C1">
        <w:rPr>
          <w:lang w:val="sr-Cyrl-RS"/>
        </w:rPr>
        <w:fldChar w:fldCharType="end"/>
      </w:r>
      <w:r w:rsidRPr="00CF77C1">
        <w:rPr>
          <w:lang w:val="sr-Cyrl-RS"/>
        </w:rPr>
        <w:t xml:space="preserve"> приказане су сумарно активности које се односе на унапређење регулаторног оквира у области топлотне енергетике.</w:t>
      </w:r>
    </w:p>
    <w:p w14:paraId="583EAF9B" w14:textId="3FD751B6" w:rsidR="0080044B" w:rsidRPr="00CF77C1" w:rsidRDefault="0080044B" w:rsidP="00E1023A">
      <w:pPr>
        <w:pStyle w:val="Caption"/>
        <w:ind w:firstLine="720"/>
        <w:rPr>
          <w:b w:val="0"/>
          <w:lang w:val="sr-Cyrl-RS"/>
        </w:rPr>
      </w:pPr>
      <w:bookmarkStart w:id="55" w:name="_Ref475640393"/>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28</w:t>
      </w:r>
      <w:r w:rsidR="0092145E" w:rsidRPr="00CF77C1">
        <w:rPr>
          <w:b w:val="0"/>
          <w:lang w:val="sr-Cyrl-RS"/>
        </w:rPr>
        <w:fldChar w:fldCharType="end"/>
      </w:r>
      <w:bookmarkEnd w:id="55"/>
      <w:r w:rsidRPr="00CF77C1">
        <w:rPr>
          <w:b w:val="0"/>
          <w:lang w:val="sr-Cyrl-RS"/>
        </w:rPr>
        <w:t>: Активности за унапређење регулаторног оквира у области топлотне енергије</w:t>
      </w:r>
    </w:p>
    <w:tbl>
      <w:tblPr>
        <w:tblStyle w:val="TableGrid"/>
        <w:tblW w:w="9468" w:type="dxa"/>
        <w:tblLook w:val="04A0" w:firstRow="1" w:lastRow="0" w:firstColumn="1" w:lastColumn="0" w:noHBand="0" w:noVBand="1"/>
      </w:tblPr>
      <w:tblGrid>
        <w:gridCol w:w="2257"/>
        <w:gridCol w:w="1680"/>
        <w:gridCol w:w="3355"/>
        <w:gridCol w:w="2176"/>
      </w:tblGrid>
      <w:tr w:rsidR="0080044B" w:rsidRPr="00CF77C1" w14:paraId="2C7D855A" w14:textId="77777777" w:rsidTr="007C5922">
        <w:trPr>
          <w:cantSplit/>
          <w:tblHeader/>
        </w:trPr>
        <w:tc>
          <w:tcPr>
            <w:tcW w:w="2257" w:type="dxa"/>
            <w:vAlign w:val="center"/>
          </w:tcPr>
          <w:p w14:paraId="77E3AA5E" w14:textId="77777777" w:rsidR="0080044B" w:rsidRPr="00CF77C1" w:rsidRDefault="0080044B" w:rsidP="007C5922">
            <w:pPr>
              <w:spacing w:before="0" w:after="0"/>
              <w:jc w:val="center"/>
              <w:rPr>
                <w:lang w:val="sr-Cyrl-RS"/>
              </w:rPr>
            </w:pPr>
            <w:r w:rsidRPr="00CF77C1">
              <w:rPr>
                <w:lang w:val="sr-Cyrl-RS"/>
              </w:rPr>
              <w:t>Активност</w:t>
            </w:r>
          </w:p>
        </w:tc>
        <w:tc>
          <w:tcPr>
            <w:tcW w:w="1680" w:type="dxa"/>
            <w:vAlign w:val="center"/>
          </w:tcPr>
          <w:p w14:paraId="740BC8EA" w14:textId="77777777" w:rsidR="0080044B" w:rsidRPr="00CF77C1" w:rsidRDefault="0080044B" w:rsidP="007C5922">
            <w:pPr>
              <w:spacing w:before="0" w:after="0"/>
              <w:jc w:val="center"/>
              <w:rPr>
                <w:lang w:val="sr-Cyrl-RS"/>
              </w:rPr>
            </w:pPr>
            <w:r w:rsidRPr="00CF77C1">
              <w:rPr>
                <w:lang w:val="sr-Cyrl-RS"/>
              </w:rPr>
              <w:t>Рок доношења</w:t>
            </w:r>
          </w:p>
        </w:tc>
        <w:tc>
          <w:tcPr>
            <w:tcW w:w="3355" w:type="dxa"/>
            <w:vAlign w:val="center"/>
          </w:tcPr>
          <w:p w14:paraId="0327A116" w14:textId="77777777" w:rsidR="0080044B" w:rsidRPr="00CF77C1" w:rsidRDefault="0080044B" w:rsidP="007C5922">
            <w:pPr>
              <w:spacing w:before="0" w:after="0"/>
              <w:jc w:val="center"/>
              <w:rPr>
                <w:lang w:val="sr-Cyrl-RS"/>
              </w:rPr>
            </w:pPr>
            <w:r w:rsidRPr="00CF77C1">
              <w:rPr>
                <w:lang w:val="sr-Cyrl-RS"/>
              </w:rPr>
              <w:t>Индикатор</w:t>
            </w:r>
          </w:p>
        </w:tc>
        <w:tc>
          <w:tcPr>
            <w:tcW w:w="2176" w:type="dxa"/>
            <w:vAlign w:val="center"/>
          </w:tcPr>
          <w:p w14:paraId="225B8802" w14:textId="77777777" w:rsidR="0080044B" w:rsidRPr="00CF77C1" w:rsidRDefault="0080044B" w:rsidP="007C5922">
            <w:pPr>
              <w:spacing w:before="0" w:after="0"/>
              <w:jc w:val="center"/>
              <w:rPr>
                <w:lang w:val="sr-Cyrl-RS"/>
              </w:rPr>
            </w:pPr>
            <w:r w:rsidRPr="00CF77C1">
              <w:rPr>
                <w:lang w:val="sr-Cyrl-RS"/>
              </w:rPr>
              <w:t>Одговорне институције</w:t>
            </w:r>
          </w:p>
        </w:tc>
      </w:tr>
      <w:tr w:rsidR="006236B9" w:rsidRPr="00CF77C1" w14:paraId="23998E09" w14:textId="77777777" w:rsidTr="007C5922">
        <w:trPr>
          <w:cantSplit/>
        </w:trPr>
        <w:tc>
          <w:tcPr>
            <w:tcW w:w="2257" w:type="dxa"/>
          </w:tcPr>
          <w:p w14:paraId="6671A941" w14:textId="3EB18551" w:rsidR="006236B9" w:rsidRPr="00CF77C1" w:rsidRDefault="006236B9" w:rsidP="006236B9">
            <w:pPr>
              <w:spacing w:before="0" w:after="0"/>
              <w:jc w:val="left"/>
              <w:rPr>
                <w:lang w:val="sr-Cyrl-RS"/>
              </w:rPr>
            </w:pPr>
            <w:r w:rsidRPr="00CF77C1">
              <w:rPr>
                <w:lang w:val="sr-Cyrl-RS"/>
              </w:rPr>
              <w:t>Унапређење кадровских капацитета министарства надлежног за послове енергетике попуњавањем радних места у Групи за локалну енергетику и ангажовање енергетских инспектора</w:t>
            </w:r>
          </w:p>
        </w:tc>
        <w:tc>
          <w:tcPr>
            <w:tcW w:w="1680" w:type="dxa"/>
          </w:tcPr>
          <w:p w14:paraId="31772178" w14:textId="2BC15E96" w:rsidR="006236B9" w:rsidRPr="00CF77C1" w:rsidRDefault="006236B9" w:rsidP="007C5922">
            <w:pPr>
              <w:spacing w:before="0" w:after="0"/>
              <w:jc w:val="left"/>
              <w:rPr>
                <w:lang w:val="sr-Cyrl-RS"/>
              </w:rPr>
            </w:pPr>
            <w:r w:rsidRPr="00CF77C1">
              <w:rPr>
                <w:lang w:val="sr-Cyrl-RS"/>
              </w:rPr>
              <w:t>IV квартал 2017. године</w:t>
            </w:r>
          </w:p>
        </w:tc>
        <w:tc>
          <w:tcPr>
            <w:tcW w:w="3355" w:type="dxa"/>
          </w:tcPr>
          <w:p w14:paraId="424BBFED" w14:textId="6FB4D931" w:rsidR="006236B9" w:rsidRPr="00CF77C1" w:rsidRDefault="006236B9" w:rsidP="007C5922">
            <w:pPr>
              <w:spacing w:before="0" w:after="0"/>
              <w:jc w:val="left"/>
              <w:rPr>
                <w:lang w:val="sr-Cyrl-RS"/>
              </w:rPr>
            </w:pPr>
            <w:r w:rsidRPr="00CF77C1">
              <w:rPr>
                <w:lang w:val="sr-Cyrl-RS"/>
              </w:rPr>
              <w:t>Успостављена група и постављени инспектори за област локалне енергетике</w:t>
            </w:r>
          </w:p>
        </w:tc>
        <w:tc>
          <w:tcPr>
            <w:tcW w:w="2176" w:type="dxa"/>
          </w:tcPr>
          <w:p w14:paraId="6F0EBDF0" w14:textId="35A40BA1" w:rsidR="006236B9" w:rsidRPr="00CF77C1" w:rsidRDefault="000F4ACF" w:rsidP="007C5922">
            <w:pPr>
              <w:spacing w:before="0" w:after="0"/>
              <w:jc w:val="left"/>
              <w:rPr>
                <w:lang w:val="sr-Cyrl-RS"/>
              </w:rPr>
            </w:pPr>
            <w:r w:rsidRPr="00CF77C1">
              <w:rPr>
                <w:lang w:val="sr-Cyrl-RS"/>
              </w:rPr>
              <w:t xml:space="preserve">Министарство </w:t>
            </w:r>
            <w:r w:rsidR="006236B9" w:rsidRPr="00CF77C1">
              <w:rPr>
                <w:lang w:val="sr-Cyrl-RS"/>
              </w:rPr>
              <w:t>надлежно за послове енергетике</w:t>
            </w:r>
          </w:p>
        </w:tc>
      </w:tr>
      <w:tr w:rsidR="0080044B" w:rsidRPr="00CF77C1" w14:paraId="4FBA883E" w14:textId="77777777" w:rsidTr="007C5922">
        <w:trPr>
          <w:cantSplit/>
        </w:trPr>
        <w:tc>
          <w:tcPr>
            <w:tcW w:w="2257" w:type="dxa"/>
          </w:tcPr>
          <w:p w14:paraId="54EAADD5" w14:textId="419786FD" w:rsidR="0080044B" w:rsidRPr="00CF77C1" w:rsidRDefault="0080044B" w:rsidP="00B9618D">
            <w:pPr>
              <w:spacing w:before="0" w:after="0"/>
              <w:jc w:val="left"/>
              <w:rPr>
                <w:lang w:val="sr-Cyrl-RS"/>
              </w:rPr>
            </w:pPr>
            <w:r w:rsidRPr="00CF77C1">
              <w:rPr>
                <w:lang w:val="sr-Cyrl-RS"/>
              </w:rPr>
              <w:t xml:space="preserve">Усклађивање правних аката које су донеле локалне самоуправе и усклађивање истих са одредбама Закона </w:t>
            </w:r>
            <w:r w:rsidR="00B9618D" w:rsidRPr="00CF77C1">
              <w:rPr>
                <w:lang w:val="sr-Cyrl-RS"/>
              </w:rPr>
              <w:t>о енергетици</w:t>
            </w:r>
            <w:r w:rsidR="002359DA" w:rsidRPr="00CF77C1">
              <w:rPr>
                <w:lang w:val="sr-Cyrl-RS"/>
              </w:rPr>
              <w:t xml:space="preserve"> </w:t>
            </w:r>
            <w:r w:rsidRPr="00CF77C1">
              <w:rPr>
                <w:lang w:val="sr-Cyrl-RS"/>
              </w:rPr>
              <w:t>којe третираjу област топлотне енергије</w:t>
            </w:r>
          </w:p>
        </w:tc>
        <w:tc>
          <w:tcPr>
            <w:tcW w:w="1680" w:type="dxa"/>
          </w:tcPr>
          <w:p w14:paraId="4A1BB7EB" w14:textId="77777777" w:rsidR="0080044B" w:rsidRPr="00CF77C1" w:rsidRDefault="0080044B" w:rsidP="007C5922">
            <w:pPr>
              <w:spacing w:before="0" w:after="0"/>
              <w:jc w:val="left"/>
              <w:rPr>
                <w:lang w:val="sr-Cyrl-RS"/>
              </w:rPr>
            </w:pPr>
            <w:r w:rsidRPr="00CF77C1">
              <w:rPr>
                <w:lang w:val="sr-Cyrl-RS"/>
              </w:rPr>
              <w:t>II квартал 2018. године</w:t>
            </w:r>
          </w:p>
        </w:tc>
        <w:tc>
          <w:tcPr>
            <w:tcW w:w="3355" w:type="dxa"/>
          </w:tcPr>
          <w:p w14:paraId="246B8FA9" w14:textId="77777777" w:rsidR="0080044B" w:rsidRPr="00CF77C1" w:rsidRDefault="0080044B" w:rsidP="007C5922">
            <w:pPr>
              <w:spacing w:before="0" w:after="0"/>
              <w:jc w:val="left"/>
              <w:rPr>
                <w:lang w:val="sr-Cyrl-RS"/>
              </w:rPr>
            </w:pPr>
            <w:r w:rsidRPr="00CF77C1">
              <w:rPr>
                <w:lang w:val="sr-Cyrl-RS"/>
              </w:rPr>
              <w:t>Попуњена и ажурирана ЛЕП база (инспектори за област локалне енергетике проверавају усклађеност аката)</w:t>
            </w:r>
          </w:p>
        </w:tc>
        <w:tc>
          <w:tcPr>
            <w:tcW w:w="2176" w:type="dxa"/>
          </w:tcPr>
          <w:p w14:paraId="4D72FF57" w14:textId="71DCF7BE" w:rsidR="0080044B" w:rsidRPr="00CF77C1" w:rsidRDefault="0080044B" w:rsidP="006236B9">
            <w:pPr>
              <w:spacing w:before="0" w:after="0"/>
              <w:jc w:val="left"/>
              <w:rPr>
                <w:lang w:val="sr-Cyrl-RS"/>
              </w:rPr>
            </w:pPr>
            <w:r w:rsidRPr="00CF77C1">
              <w:rPr>
                <w:lang w:val="sr-Cyrl-RS"/>
              </w:rPr>
              <w:t xml:space="preserve">Јединице локалне самоуправе, </w:t>
            </w:r>
            <w:r w:rsidR="005C650D" w:rsidRPr="00CF77C1">
              <w:rPr>
                <w:lang w:val="sr-Cyrl-RS"/>
              </w:rPr>
              <w:t>министарство надлежно за послове</w:t>
            </w:r>
            <w:r w:rsidRPr="00CF77C1">
              <w:rPr>
                <w:lang w:val="sr-Cyrl-RS"/>
              </w:rPr>
              <w:t xml:space="preserve"> енергетике</w:t>
            </w:r>
          </w:p>
        </w:tc>
      </w:tr>
      <w:tr w:rsidR="006236B9" w:rsidRPr="00CF77C1" w14:paraId="368E7C82" w14:textId="77777777" w:rsidTr="007C5922">
        <w:trPr>
          <w:cantSplit/>
        </w:trPr>
        <w:tc>
          <w:tcPr>
            <w:tcW w:w="2257" w:type="dxa"/>
          </w:tcPr>
          <w:p w14:paraId="72304B78" w14:textId="0F8EF2AA" w:rsidR="006236B9" w:rsidRPr="00CF77C1" w:rsidRDefault="006236B9" w:rsidP="007C5922">
            <w:pPr>
              <w:spacing w:before="0" w:after="0"/>
              <w:jc w:val="left"/>
              <w:rPr>
                <w:lang w:val="sr-Cyrl-RS"/>
              </w:rPr>
            </w:pPr>
            <w:r w:rsidRPr="00CF77C1">
              <w:rPr>
                <w:lang w:val="sr-Cyrl-RS"/>
              </w:rPr>
              <w:t>Наплата по утрошку топлотне енергије</w:t>
            </w:r>
          </w:p>
        </w:tc>
        <w:tc>
          <w:tcPr>
            <w:tcW w:w="1680" w:type="dxa"/>
          </w:tcPr>
          <w:p w14:paraId="41CC4117" w14:textId="7A002804" w:rsidR="006236B9" w:rsidRPr="00CF77C1" w:rsidRDefault="006236B9" w:rsidP="007C5922">
            <w:pPr>
              <w:spacing w:before="0" w:after="0"/>
              <w:jc w:val="left"/>
              <w:rPr>
                <w:lang w:val="sr-Cyrl-RS"/>
              </w:rPr>
            </w:pPr>
            <w:r w:rsidRPr="00CF77C1">
              <w:rPr>
                <w:lang w:val="sr-Cyrl-RS"/>
              </w:rPr>
              <w:t>2017-2020.</w:t>
            </w:r>
          </w:p>
        </w:tc>
        <w:tc>
          <w:tcPr>
            <w:tcW w:w="3355" w:type="dxa"/>
          </w:tcPr>
          <w:p w14:paraId="53E9EAFE" w14:textId="730C0D7F" w:rsidR="006236B9" w:rsidRPr="00CF77C1" w:rsidRDefault="006236B9" w:rsidP="007C5922">
            <w:pPr>
              <w:spacing w:before="0" w:after="0"/>
              <w:jc w:val="left"/>
              <w:rPr>
                <w:lang w:val="sr-Cyrl-RS"/>
              </w:rPr>
            </w:pPr>
            <w:r w:rsidRPr="00CF77C1">
              <w:rPr>
                <w:lang w:val="sr-Cyrl-RS"/>
              </w:rPr>
              <w:t>Успостављен систем наплате према утрошку топлотне енергије код свих корисника у СДГ</w:t>
            </w:r>
          </w:p>
        </w:tc>
        <w:tc>
          <w:tcPr>
            <w:tcW w:w="2176" w:type="dxa"/>
          </w:tcPr>
          <w:p w14:paraId="4FE8F1BB" w14:textId="451930DB" w:rsidR="006236B9" w:rsidRPr="00CF77C1" w:rsidRDefault="006236B9" w:rsidP="006236B9">
            <w:pPr>
              <w:spacing w:before="0" w:after="0"/>
              <w:jc w:val="left"/>
              <w:rPr>
                <w:lang w:val="sr-Cyrl-RS"/>
              </w:rPr>
            </w:pPr>
            <w:r w:rsidRPr="00CF77C1">
              <w:rPr>
                <w:lang w:val="sr-Cyrl-RS"/>
              </w:rPr>
              <w:t>Јединице локалне самоуправе, енергетски субјекти који се баве производњом, дистрибуцијом и снабдевањем топлотном енергијом, министарство надлежно за послове енергетике</w:t>
            </w:r>
          </w:p>
        </w:tc>
      </w:tr>
      <w:tr w:rsidR="006236B9" w:rsidRPr="00CF77C1" w14:paraId="44D86A4C" w14:textId="77777777" w:rsidTr="007C5922">
        <w:trPr>
          <w:cantSplit/>
        </w:trPr>
        <w:tc>
          <w:tcPr>
            <w:tcW w:w="2257" w:type="dxa"/>
          </w:tcPr>
          <w:p w14:paraId="420991FB" w14:textId="77777777" w:rsidR="006236B9" w:rsidRPr="00CF77C1" w:rsidRDefault="006236B9" w:rsidP="007C5922">
            <w:pPr>
              <w:spacing w:before="0" w:after="0"/>
              <w:jc w:val="left"/>
              <w:rPr>
                <w:lang w:val="sr-Cyrl-RS"/>
              </w:rPr>
            </w:pPr>
            <w:r w:rsidRPr="00CF77C1">
              <w:rPr>
                <w:lang w:val="sr-Cyrl-RS"/>
              </w:rPr>
              <w:t>Усклађивање Програма развоја топлана са Програмима развоја јединица локалне самоуправе и са оквирима система енергетског менаџмента</w:t>
            </w:r>
          </w:p>
        </w:tc>
        <w:tc>
          <w:tcPr>
            <w:tcW w:w="1680" w:type="dxa"/>
          </w:tcPr>
          <w:p w14:paraId="043233C3" w14:textId="77777777" w:rsidR="006236B9" w:rsidRPr="00A70A84" w:rsidRDefault="006236B9" w:rsidP="007C5922">
            <w:pPr>
              <w:spacing w:before="0" w:after="0"/>
              <w:jc w:val="left"/>
              <w:rPr>
                <w:lang w:val="sr-Cyrl-RS"/>
              </w:rPr>
            </w:pPr>
            <w:r w:rsidRPr="00A70A84">
              <w:rPr>
                <w:lang w:val="sr-Cyrl-RS"/>
              </w:rPr>
              <w:t>II квартал 2018.године</w:t>
            </w:r>
          </w:p>
        </w:tc>
        <w:tc>
          <w:tcPr>
            <w:tcW w:w="3355" w:type="dxa"/>
          </w:tcPr>
          <w:p w14:paraId="14F870B2" w14:textId="0A31542C" w:rsidR="006236B9" w:rsidRPr="00CF77C1" w:rsidRDefault="006236B9" w:rsidP="007C5922">
            <w:pPr>
              <w:spacing w:before="0" w:after="0"/>
              <w:jc w:val="left"/>
              <w:rPr>
                <w:lang w:val="sr-Cyrl-RS"/>
              </w:rPr>
            </w:pPr>
            <w:r w:rsidRPr="00CF77C1">
              <w:rPr>
                <w:lang w:val="sr-Cyrl-RS"/>
              </w:rPr>
              <w:t>Донет акт јединице локалне самоуправе о усклађености програма развоја инфраструктуре (топловоднамрежа и дистрибутивна мрежа за природни гас)</w:t>
            </w:r>
          </w:p>
        </w:tc>
        <w:tc>
          <w:tcPr>
            <w:tcW w:w="2176" w:type="dxa"/>
          </w:tcPr>
          <w:p w14:paraId="1A0820A0" w14:textId="670A27A4" w:rsidR="006236B9" w:rsidRPr="00CF77C1" w:rsidRDefault="006236B9" w:rsidP="007C5922">
            <w:pPr>
              <w:spacing w:before="0" w:after="0"/>
              <w:jc w:val="left"/>
              <w:rPr>
                <w:lang w:val="sr-Cyrl-RS"/>
              </w:rPr>
            </w:pPr>
            <w:r w:rsidRPr="00CF77C1">
              <w:rPr>
                <w:lang w:val="sr-Cyrl-RS"/>
              </w:rPr>
              <w:t>Јединице локалне самоуправе и енергетски субјекти који се баве производњом, дистрибуцијом и снабдевањем топлотном енергијом,</w:t>
            </w:r>
          </w:p>
        </w:tc>
      </w:tr>
      <w:tr w:rsidR="0080044B" w:rsidRPr="00CF77C1" w14:paraId="1C45DD9D" w14:textId="77777777" w:rsidTr="007C5922">
        <w:trPr>
          <w:cantSplit/>
        </w:trPr>
        <w:tc>
          <w:tcPr>
            <w:tcW w:w="2257" w:type="dxa"/>
          </w:tcPr>
          <w:p w14:paraId="3D72CD16" w14:textId="28D7810C" w:rsidR="0080044B" w:rsidRPr="00CF77C1" w:rsidRDefault="0080044B" w:rsidP="007C5922">
            <w:pPr>
              <w:spacing w:before="0" w:after="0"/>
              <w:jc w:val="left"/>
              <w:rPr>
                <w:lang w:val="sr-Cyrl-RS"/>
              </w:rPr>
            </w:pPr>
            <w:r w:rsidRPr="00CF77C1">
              <w:rPr>
                <w:lang w:val="sr-Cyrl-RS"/>
              </w:rPr>
              <w:t xml:space="preserve">Доношење </w:t>
            </w:r>
            <w:r w:rsidR="000F4ACF" w:rsidRPr="00CF77C1">
              <w:rPr>
                <w:lang w:val="sr-Cyrl-RS"/>
              </w:rPr>
              <w:t xml:space="preserve">уредбе </w:t>
            </w:r>
            <w:r w:rsidRPr="00CF77C1">
              <w:rPr>
                <w:lang w:val="sr-Cyrl-RS"/>
              </w:rPr>
              <w:t xml:space="preserve">и </w:t>
            </w:r>
            <w:r w:rsidR="000F4ACF" w:rsidRPr="00CF77C1">
              <w:rPr>
                <w:lang w:val="sr-Cyrl-RS"/>
              </w:rPr>
              <w:t xml:space="preserve">правилника </w:t>
            </w:r>
            <w:r w:rsidR="002A36AE" w:rsidRPr="00CF77C1">
              <w:rPr>
                <w:lang w:val="sr-Cyrl-RS"/>
              </w:rPr>
              <w:t>који су у вези са чл.</w:t>
            </w:r>
            <w:r w:rsidRPr="00CF77C1">
              <w:rPr>
                <w:lang w:val="sr-Cyrl-RS"/>
              </w:rPr>
              <w:t xml:space="preserve"> 45. и 46. За</w:t>
            </w:r>
            <w:r w:rsidR="006236B9" w:rsidRPr="00CF77C1">
              <w:rPr>
                <w:lang w:val="sr-Cyrl-RS"/>
              </w:rPr>
              <w:t>кона о ефикасном коришћењу енер</w:t>
            </w:r>
            <w:r w:rsidRPr="00CF77C1">
              <w:rPr>
                <w:lang w:val="sr-Cyrl-RS"/>
              </w:rPr>
              <w:t>г</w:t>
            </w:r>
            <w:r w:rsidR="006236B9" w:rsidRPr="00CF77C1">
              <w:rPr>
                <w:lang w:val="sr-Cyrl-RS"/>
              </w:rPr>
              <w:t>и</w:t>
            </w:r>
            <w:r w:rsidRPr="00CF77C1">
              <w:rPr>
                <w:lang w:val="sr-Cyrl-RS"/>
              </w:rPr>
              <w:t>је</w:t>
            </w:r>
            <w:r w:rsidR="00984997" w:rsidRPr="00CF77C1">
              <w:rPr>
                <w:vertAlign w:val="superscript"/>
                <w:lang w:val="sr-Cyrl-RS"/>
              </w:rPr>
              <w:t>*1</w:t>
            </w:r>
          </w:p>
        </w:tc>
        <w:tc>
          <w:tcPr>
            <w:tcW w:w="1680" w:type="dxa"/>
          </w:tcPr>
          <w:p w14:paraId="783298E9" w14:textId="7E264823" w:rsidR="0080044B" w:rsidRPr="00A70A84" w:rsidRDefault="00277EFF" w:rsidP="007C5922">
            <w:pPr>
              <w:tabs>
                <w:tab w:val="left" w:pos="2552"/>
              </w:tabs>
              <w:spacing w:before="0" w:after="0"/>
              <w:jc w:val="left"/>
              <w:rPr>
                <w:lang w:val="sr-Cyrl-RS"/>
              </w:rPr>
            </w:pPr>
            <w:r w:rsidRPr="00A70A84">
              <w:rPr>
                <w:lang w:val="sr-Cyrl-RS"/>
              </w:rPr>
              <w:t>I</w:t>
            </w:r>
            <w:r w:rsidRPr="00A70A84">
              <w:rPr>
                <w:lang w:val="sr-Latn-CS"/>
              </w:rPr>
              <w:t>V</w:t>
            </w:r>
            <w:r w:rsidR="0080044B" w:rsidRPr="00A70A84">
              <w:rPr>
                <w:lang w:val="sr-Cyrl-RS"/>
              </w:rPr>
              <w:t xml:space="preserve"> квартал 2017. године</w:t>
            </w:r>
          </w:p>
        </w:tc>
        <w:tc>
          <w:tcPr>
            <w:tcW w:w="3355" w:type="dxa"/>
          </w:tcPr>
          <w:p w14:paraId="48210D44" w14:textId="52EA0C26" w:rsidR="0080044B" w:rsidRPr="00CF77C1" w:rsidRDefault="0080044B" w:rsidP="007C5922">
            <w:pPr>
              <w:spacing w:before="0" w:after="0"/>
              <w:jc w:val="left"/>
              <w:rPr>
                <w:lang w:val="sr-Cyrl-RS"/>
              </w:rPr>
            </w:pPr>
            <w:r w:rsidRPr="00CF77C1">
              <w:rPr>
                <w:lang w:val="sr-Cyrl-RS"/>
              </w:rPr>
              <w:t xml:space="preserve">Донети акти </w:t>
            </w:r>
            <w:r w:rsidR="000F4ACF" w:rsidRPr="00CF77C1">
              <w:rPr>
                <w:lang w:val="sr-Cyrl-RS"/>
              </w:rPr>
              <w:t xml:space="preserve">уредба </w:t>
            </w:r>
            <w:r w:rsidRPr="00CF77C1">
              <w:rPr>
                <w:lang w:val="sr-Cyrl-RS"/>
              </w:rPr>
              <w:t xml:space="preserve">и </w:t>
            </w:r>
            <w:r w:rsidR="000F4ACF" w:rsidRPr="00CF77C1">
              <w:rPr>
                <w:lang w:val="sr-Cyrl-RS"/>
              </w:rPr>
              <w:t xml:space="preserve">правилник </w:t>
            </w:r>
          </w:p>
        </w:tc>
        <w:tc>
          <w:tcPr>
            <w:tcW w:w="2176" w:type="dxa"/>
          </w:tcPr>
          <w:p w14:paraId="3706D5D3" w14:textId="36AA0364" w:rsidR="0080044B" w:rsidRPr="00CF77C1" w:rsidRDefault="000F4ACF" w:rsidP="006236B9">
            <w:pPr>
              <w:spacing w:before="0" w:after="0"/>
              <w:jc w:val="left"/>
              <w:rPr>
                <w:lang w:val="sr-Cyrl-RS"/>
              </w:rPr>
            </w:pPr>
            <w:r w:rsidRPr="00CF77C1">
              <w:rPr>
                <w:lang w:val="sr-Cyrl-RS"/>
              </w:rPr>
              <w:t xml:space="preserve">Министарство </w:t>
            </w:r>
            <w:r w:rsidR="005C650D" w:rsidRPr="00CF77C1">
              <w:rPr>
                <w:lang w:val="sr-Cyrl-RS"/>
              </w:rPr>
              <w:t>надлежно за послове</w:t>
            </w:r>
            <w:r w:rsidR="0080044B" w:rsidRPr="00CF77C1">
              <w:rPr>
                <w:lang w:val="sr-Cyrl-RS"/>
              </w:rPr>
              <w:t xml:space="preserve"> енергетике</w:t>
            </w:r>
          </w:p>
        </w:tc>
      </w:tr>
      <w:tr w:rsidR="0080044B" w:rsidRPr="00CF77C1" w14:paraId="355B3682" w14:textId="77777777" w:rsidTr="007C5922">
        <w:trPr>
          <w:cantSplit/>
        </w:trPr>
        <w:tc>
          <w:tcPr>
            <w:tcW w:w="2257" w:type="dxa"/>
          </w:tcPr>
          <w:p w14:paraId="3F53A155" w14:textId="22100F7D" w:rsidR="0080044B" w:rsidRPr="00CF77C1" w:rsidRDefault="0080044B" w:rsidP="007C5922">
            <w:pPr>
              <w:spacing w:before="0" w:after="0"/>
              <w:jc w:val="left"/>
              <w:rPr>
                <w:lang w:val="sr-Cyrl-RS"/>
              </w:rPr>
            </w:pPr>
            <w:r w:rsidRPr="00CF77C1">
              <w:rPr>
                <w:lang w:val="sr-Cyrl-RS"/>
              </w:rPr>
              <w:t>Доношење Правилника саг</w:t>
            </w:r>
            <w:r w:rsidR="000F4ACF">
              <w:rPr>
                <w:lang w:val="sr-Cyrl-RS"/>
              </w:rPr>
              <w:t>л</w:t>
            </w:r>
            <w:r w:rsidRPr="00CF77C1">
              <w:rPr>
                <w:lang w:val="sr-Cyrl-RS"/>
              </w:rPr>
              <w:t>асно члану 51. Закона о ефикасном коришћењу енергије</w:t>
            </w:r>
            <w:r w:rsidR="00984997" w:rsidRPr="00CF77C1">
              <w:rPr>
                <w:vertAlign w:val="superscript"/>
                <w:lang w:val="sr-Cyrl-RS"/>
              </w:rPr>
              <w:t>*2</w:t>
            </w:r>
          </w:p>
        </w:tc>
        <w:tc>
          <w:tcPr>
            <w:tcW w:w="1680" w:type="dxa"/>
          </w:tcPr>
          <w:p w14:paraId="066116CB" w14:textId="77777777" w:rsidR="0080044B" w:rsidRPr="00CF77C1" w:rsidRDefault="0080044B" w:rsidP="007C5922">
            <w:pPr>
              <w:tabs>
                <w:tab w:val="left" w:pos="2552"/>
              </w:tabs>
              <w:spacing w:before="0" w:after="0"/>
              <w:jc w:val="left"/>
              <w:rPr>
                <w:lang w:val="sr-Cyrl-RS"/>
              </w:rPr>
            </w:pPr>
            <w:r w:rsidRPr="00CF77C1">
              <w:rPr>
                <w:lang w:val="sr-Cyrl-RS"/>
              </w:rPr>
              <w:t>IV квартал 2017. године</w:t>
            </w:r>
          </w:p>
        </w:tc>
        <w:tc>
          <w:tcPr>
            <w:tcW w:w="3355" w:type="dxa"/>
          </w:tcPr>
          <w:p w14:paraId="55B42636" w14:textId="404E9753" w:rsidR="0080044B" w:rsidRPr="00CF77C1" w:rsidRDefault="0080044B" w:rsidP="007C5922">
            <w:pPr>
              <w:spacing w:before="0" w:after="0"/>
              <w:jc w:val="left"/>
              <w:rPr>
                <w:lang w:val="sr-Cyrl-RS"/>
              </w:rPr>
            </w:pPr>
            <w:r w:rsidRPr="00CF77C1">
              <w:rPr>
                <w:lang w:val="sr-Cyrl-RS"/>
              </w:rPr>
              <w:t xml:space="preserve">Донет акт - </w:t>
            </w:r>
            <w:r w:rsidR="000F4ACF" w:rsidRPr="00CF77C1">
              <w:rPr>
                <w:lang w:val="sr-Cyrl-RS"/>
              </w:rPr>
              <w:t>Правилник</w:t>
            </w:r>
          </w:p>
        </w:tc>
        <w:tc>
          <w:tcPr>
            <w:tcW w:w="2176" w:type="dxa"/>
          </w:tcPr>
          <w:p w14:paraId="7B2AD5DB" w14:textId="58E53343" w:rsidR="0080044B" w:rsidRPr="00CF77C1" w:rsidRDefault="000F4ACF" w:rsidP="006236B9">
            <w:pPr>
              <w:spacing w:before="0" w:after="0"/>
              <w:jc w:val="left"/>
              <w:rPr>
                <w:lang w:val="sr-Cyrl-RS"/>
              </w:rPr>
            </w:pPr>
            <w:r w:rsidRPr="00CF77C1">
              <w:rPr>
                <w:lang w:val="sr-Cyrl-RS"/>
              </w:rPr>
              <w:t xml:space="preserve">Министарство </w:t>
            </w:r>
            <w:r w:rsidR="005C650D" w:rsidRPr="00CF77C1">
              <w:rPr>
                <w:lang w:val="sr-Cyrl-RS"/>
              </w:rPr>
              <w:t>надлежно за послове</w:t>
            </w:r>
            <w:r w:rsidR="0080044B" w:rsidRPr="00CF77C1">
              <w:rPr>
                <w:lang w:val="sr-Cyrl-RS"/>
              </w:rPr>
              <w:t xml:space="preserve"> енергетике</w:t>
            </w:r>
          </w:p>
        </w:tc>
      </w:tr>
    </w:tbl>
    <w:p w14:paraId="0B9F9C78" w14:textId="5B598DFB" w:rsidR="006236B9" w:rsidRPr="00CF77C1" w:rsidRDefault="006236B9" w:rsidP="00E1023A">
      <w:pPr>
        <w:ind w:firstLine="720"/>
        <w:rPr>
          <w:lang w:val="sr-Cyrl-RS"/>
        </w:rPr>
      </w:pPr>
      <w:bookmarkStart w:id="56" w:name="_Toc471730774"/>
      <w:r w:rsidRPr="00CF77C1">
        <w:rPr>
          <w:lang w:val="sr-Cyrl-RS"/>
        </w:rPr>
        <w:t>Напомене:</w:t>
      </w:r>
    </w:p>
    <w:p w14:paraId="05424B90" w14:textId="74711BE6" w:rsidR="006236B9" w:rsidRPr="00CF77C1" w:rsidRDefault="00984997" w:rsidP="00E1023A">
      <w:pPr>
        <w:ind w:firstLine="720"/>
        <w:rPr>
          <w:lang w:val="sr-Cyrl-RS"/>
        </w:rPr>
      </w:pPr>
      <w:r w:rsidRPr="00CF77C1">
        <w:rPr>
          <w:vertAlign w:val="superscript"/>
          <w:lang w:val="sr-Cyrl-RS"/>
        </w:rPr>
        <w:t>*1</w:t>
      </w:r>
      <w:r w:rsidRPr="00CF77C1">
        <w:rPr>
          <w:lang w:val="sr-Cyrl-RS"/>
        </w:rPr>
        <w:tab/>
      </w:r>
      <w:r w:rsidR="006236B9" w:rsidRPr="00CF77C1">
        <w:rPr>
          <w:lang w:val="sr-Cyrl-RS"/>
        </w:rPr>
        <w:t>У оквиру документа Методологија за одређивање цене снабдевања крајњег купца топлотном енергијом дефинисани су минимални степени корисности код постојећих производних постројења у зависности од врсте горива, као и минимални степен корисности постојеће дистрибутивне мреже у зависности од њеног капацитета.</w:t>
      </w:r>
    </w:p>
    <w:p w14:paraId="2DC2059F" w14:textId="198D3520" w:rsidR="006236B9" w:rsidRPr="00CF77C1" w:rsidRDefault="00984997" w:rsidP="00E1023A">
      <w:pPr>
        <w:ind w:firstLine="720"/>
        <w:rPr>
          <w:lang w:val="sr-Cyrl-RS"/>
        </w:rPr>
      </w:pPr>
      <w:r w:rsidRPr="00CF77C1">
        <w:rPr>
          <w:vertAlign w:val="superscript"/>
          <w:lang w:val="sr-Cyrl-RS"/>
        </w:rPr>
        <w:t>*2</w:t>
      </w:r>
      <w:r w:rsidRPr="00CF77C1">
        <w:rPr>
          <w:lang w:val="sr-Cyrl-RS"/>
        </w:rPr>
        <w:tab/>
      </w:r>
      <w:r w:rsidR="006236B9" w:rsidRPr="00CF77C1">
        <w:rPr>
          <w:lang w:val="sr-Cyrl-RS"/>
        </w:rPr>
        <w:t xml:space="preserve">Министар надлежан за послове енергетике прописује услове под којима би опремање грејне инсталације мерним </w:t>
      </w:r>
      <w:r w:rsidR="006236B9" w:rsidRPr="00B57AE3">
        <w:t>уређајима</w:t>
      </w:r>
      <w:r w:rsidR="006236B9" w:rsidRPr="00CF77C1">
        <w:rPr>
          <w:lang w:val="sr-Cyrl-RS"/>
        </w:rPr>
        <w:t xml:space="preserve"> било технички неизводљиво или у односу на дугорочно процењену уштеду енергије није економски исплативо.</w:t>
      </w:r>
    </w:p>
    <w:p w14:paraId="0746EE20" w14:textId="151FBEB7" w:rsidR="0080044B" w:rsidRPr="00CF77C1" w:rsidRDefault="00141BA0" w:rsidP="00141BA0">
      <w:pPr>
        <w:pStyle w:val="Heading4"/>
        <w:numPr>
          <w:ilvl w:val="0"/>
          <w:numId w:val="0"/>
        </w:numPr>
        <w:ind w:firstLine="720"/>
        <w:rPr>
          <w:b w:val="0"/>
          <w:lang w:val="sr-Cyrl-RS"/>
        </w:rPr>
      </w:pPr>
      <w:bookmarkStart w:id="57" w:name="_Toc484260290"/>
      <w:r w:rsidRPr="00CF77C1">
        <w:rPr>
          <w:b w:val="0"/>
          <w:lang w:val="sr-Cyrl-RS"/>
        </w:rPr>
        <w:t xml:space="preserve">3.2.1.2. </w:t>
      </w:r>
      <w:r w:rsidR="0080044B" w:rsidRPr="00CF77C1">
        <w:rPr>
          <w:b w:val="0"/>
          <w:lang w:val="sr-Cyrl-RS"/>
        </w:rPr>
        <w:t>Техничке мере за обезбеђење топлотне енергије за сигурно снабдевање потрошача, унапређење енергетске ефикасности у производњи, дистрибуцији и испоруци топлотне енергије, повећање удела ОИЕ код топлотних извора</w:t>
      </w:r>
      <w:bookmarkEnd w:id="56"/>
      <w:bookmarkEnd w:id="57"/>
      <w:r w:rsidRPr="00CF77C1">
        <w:rPr>
          <w:b w:val="0"/>
          <w:lang w:val="sr-Cyrl-RS"/>
        </w:rPr>
        <w:t xml:space="preserve">  </w:t>
      </w:r>
    </w:p>
    <w:p w14:paraId="4729ED62" w14:textId="6C694B8A" w:rsidR="0080044B" w:rsidRPr="00CF77C1" w:rsidRDefault="0080044B" w:rsidP="003E39B4">
      <w:pPr>
        <w:pStyle w:val="ListParagraph"/>
        <w:numPr>
          <w:ilvl w:val="1"/>
          <w:numId w:val="65"/>
        </w:numPr>
        <w:spacing w:before="60" w:after="60"/>
        <w:ind w:left="0" w:firstLine="720"/>
        <w:contextualSpacing w:val="0"/>
        <w:rPr>
          <w:lang w:val="sr-Cyrl-RS"/>
        </w:rPr>
      </w:pPr>
      <w:r w:rsidRPr="00CF77C1">
        <w:rPr>
          <w:lang w:val="sr-Cyrl-RS"/>
        </w:rPr>
        <w:t xml:space="preserve">Активност </w:t>
      </w:r>
      <w:r w:rsidR="006236B9" w:rsidRPr="00CF77C1">
        <w:rPr>
          <w:lang w:val="sr-Cyrl-RS"/>
        </w:rPr>
        <w:t>-</w:t>
      </w:r>
      <w:r w:rsidRPr="00CF77C1">
        <w:rPr>
          <w:lang w:val="sr-Cyrl-RS"/>
        </w:rPr>
        <w:t xml:space="preserve"> потенцијална реализација пројекта Изградња топлодалековода Београд - Обреновац (коришћење топлоте из ТЕНТ А - 600 MWth на рачун смањења расположиве снаге за производњу електричне енергије од 150 MWe) - повећање сигурности снабдевања потрошача, смањење емисије загађујућих компонената из топлана, повећање коришћења енергије из когенеративних система, нижа цена грејања, повећана могућност затварања малих локалних котларница. Индикатори за праћење реализације активности су смањење потрошње увозног енергента (природног гаса) у топланама и предата количина топлоте у топлодалековод из ТЕНТ А3-</w:t>
      </w:r>
      <w:r w:rsidR="006236B9" w:rsidRPr="00CF77C1">
        <w:rPr>
          <w:lang w:val="sr-Cyrl-RS"/>
        </w:rPr>
        <w:t>А</w:t>
      </w:r>
      <w:r w:rsidRPr="00CF77C1">
        <w:rPr>
          <w:lang w:val="sr-Cyrl-RS"/>
        </w:rPr>
        <w:t>6.</w:t>
      </w:r>
      <w:r w:rsidR="00E46C90" w:rsidRPr="00CF77C1">
        <w:rPr>
          <w:lang w:val="sr-Cyrl-RS"/>
        </w:rPr>
        <w:t xml:space="preserve"> </w:t>
      </w:r>
      <w:r w:rsidRPr="00CF77C1">
        <w:rPr>
          <w:lang w:val="sr-Cyrl-RS"/>
        </w:rPr>
        <w:t>За даљу потенцијалну реализацију пројекта неопходно је доношење потребних пословних одлука свих учесника на пројекту.</w:t>
      </w:r>
    </w:p>
    <w:p w14:paraId="2E84A570" w14:textId="33F813AB" w:rsidR="0080044B" w:rsidRPr="00CF77C1" w:rsidRDefault="0080044B" w:rsidP="003E39B4">
      <w:pPr>
        <w:pStyle w:val="ListParagraph"/>
        <w:numPr>
          <w:ilvl w:val="1"/>
          <w:numId w:val="65"/>
        </w:numPr>
        <w:spacing w:before="60" w:after="60"/>
        <w:ind w:left="0" w:firstLine="720"/>
        <w:contextualSpacing w:val="0"/>
        <w:rPr>
          <w:lang w:val="sr-Cyrl-RS"/>
        </w:rPr>
      </w:pPr>
      <w:r w:rsidRPr="00CF77C1">
        <w:rPr>
          <w:lang w:val="sr-Cyrl-RS"/>
        </w:rPr>
        <w:t>Активност - имплементација пројеката који се од</w:t>
      </w:r>
      <w:r w:rsidR="00127E86" w:rsidRPr="00CF77C1">
        <w:rPr>
          <w:lang w:val="sr-Cyrl-RS"/>
        </w:rPr>
        <w:t>н</w:t>
      </w:r>
      <w:r w:rsidRPr="00CF77C1">
        <w:rPr>
          <w:lang w:val="sr-Cyrl-RS"/>
        </w:rPr>
        <w:t>осе на унапређење топлотних извора топлана - изградња нових топлотних извора, гашење дотрајалих и неусловних котларница, конверзија горива</w:t>
      </w:r>
      <w:r w:rsidR="006C11C7" w:rsidRPr="00CF77C1">
        <w:rPr>
          <w:lang w:val="sr-Cyrl-RS"/>
        </w:rPr>
        <w:t xml:space="preserve"> природним гасом где је то технички изводљиво</w:t>
      </w:r>
      <w:r w:rsidRPr="00CF77C1">
        <w:rPr>
          <w:lang w:val="sr-Cyrl-RS"/>
        </w:rPr>
        <w:t>, прелазак на коришћење ОИЕ, уградња екстерних економајзера на димни тракт ради искоришћења отпадне топлоте димног гаса, унапређење система за аутоматску контролу топлотних извора, CHP постројење. Индикатори за праћење реализације активности - процентуално побољшање ефикасности система кроз унапређење ефикасности топлотних извора, процентуално повећање учешћа обновљивих извора енергије као основног горива, процентуално повећање удела когенеративних постројења у системима даљинског грејања.</w:t>
      </w:r>
    </w:p>
    <w:p w14:paraId="31CB958D" w14:textId="77777777" w:rsidR="0080044B" w:rsidRPr="00CF77C1" w:rsidRDefault="0080044B" w:rsidP="003E39B4">
      <w:pPr>
        <w:pStyle w:val="ListParagraph"/>
        <w:numPr>
          <w:ilvl w:val="1"/>
          <w:numId w:val="65"/>
        </w:numPr>
        <w:spacing w:before="60" w:after="60"/>
        <w:ind w:left="0" w:firstLine="720"/>
        <w:contextualSpacing w:val="0"/>
        <w:rPr>
          <w:lang w:val="sr-Cyrl-RS"/>
        </w:rPr>
      </w:pPr>
      <w:r w:rsidRPr="00CF77C1">
        <w:rPr>
          <w:lang w:val="sr-Cyrl-RS"/>
        </w:rPr>
        <w:t>Активност - имплементација пројеката који се односе на унапређење дистрибутивног система топлана - рехабилитација мреже даљинског грејања уз замену дотрајалих деоница дистрибутивног топловода, даљи развој мреже ради прикључивања нових крајњих купаца топлотне енергије. Индикатор - смањење губитака дистрибутивној мрежи; побољшање поузданости снабдевања потрошача топлотном енергијом кроз праћење броја рекламација у току грејне сезоне.</w:t>
      </w:r>
    </w:p>
    <w:p w14:paraId="6A351039" w14:textId="19834DD7" w:rsidR="0080044B" w:rsidRPr="00CF77C1" w:rsidRDefault="0080044B" w:rsidP="003E39B4">
      <w:pPr>
        <w:pStyle w:val="ListParagraph"/>
        <w:numPr>
          <w:ilvl w:val="1"/>
          <w:numId w:val="65"/>
        </w:numPr>
        <w:spacing w:before="60" w:after="60"/>
        <w:ind w:left="0" w:firstLine="720"/>
        <w:contextualSpacing w:val="0"/>
        <w:rPr>
          <w:lang w:val="sr-Cyrl-RS"/>
        </w:rPr>
      </w:pPr>
      <w:r w:rsidRPr="00CF77C1">
        <w:rPr>
          <w:lang w:val="sr-Cyrl-RS"/>
        </w:rPr>
        <w:t xml:space="preserve">Активност - имплементација пројеката који се односе на унапређење рада топлотно-предајних подстаница - осавремењавање мерно-регулационе опреме у топлотно-предајним станицама, даљински систем надзора и управљања конзумом, даљинско очитавање утрошене топлотне енергије уградња нових компактних подстаница. Индикатори за праћење реализације </w:t>
      </w:r>
      <w:r w:rsidR="0018192E">
        <w:rPr>
          <w:lang w:val="sr-Cyrl-RS"/>
        </w:rPr>
        <w:t xml:space="preserve">наведене </w:t>
      </w:r>
      <w:r w:rsidR="0018192E" w:rsidRPr="00CF77C1">
        <w:rPr>
          <w:lang w:val="sr-Cyrl-RS"/>
        </w:rPr>
        <w:t xml:space="preserve">активности </w:t>
      </w:r>
      <w:r w:rsidRPr="00CF77C1">
        <w:rPr>
          <w:lang w:val="sr-Cyrl-RS"/>
        </w:rPr>
        <w:t>- повећање поузданости рада, побољшање енергетске ефикасности, испуњење неопходних услова за увођење наплате према утрошеној топлотној енергији.</w:t>
      </w:r>
    </w:p>
    <w:p w14:paraId="10BC37EC" w14:textId="59460534" w:rsidR="0080044B" w:rsidRPr="00CF77C1" w:rsidRDefault="00141BA0" w:rsidP="00141BA0">
      <w:pPr>
        <w:pStyle w:val="Heading4"/>
        <w:numPr>
          <w:ilvl w:val="0"/>
          <w:numId w:val="0"/>
        </w:numPr>
        <w:ind w:left="720"/>
        <w:rPr>
          <w:b w:val="0"/>
          <w:lang w:val="sr-Cyrl-RS"/>
        </w:rPr>
      </w:pPr>
      <w:bookmarkStart w:id="58" w:name="_Toc471730775"/>
      <w:bookmarkStart w:id="59" w:name="_Toc484260291"/>
      <w:r w:rsidRPr="00CF77C1">
        <w:rPr>
          <w:b w:val="0"/>
          <w:lang w:val="sr-Cyrl-RS"/>
        </w:rPr>
        <w:t xml:space="preserve">3.2.2. </w:t>
      </w:r>
      <w:r w:rsidR="0080044B" w:rsidRPr="00CF77C1">
        <w:rPr>
          <w:b w:val="0"/>
          <w:lang w:val="sr-Cyrl-RS"/>
        </w:rPr>
        <w:t>Мерљиви циљ и индикатори</w:t>
      </w:r>
      <w:bookmarkEnd w:id="58"/>
      <w:bookmarkEnd w:id="59"/>
    </w:p>
    <w:tbl>
      <w:tblPr>
        <w:tblStyle w:val="TableGrid"/>
        <w:tblW w:w="9571" w:type="dxa"/>
        <w:tblLayout w:type="fixed"/>
        <w:tblLook w:val="04A0" w:firstRow="1" w:lastRow="0" w:firstColumn="1" w:lastColumn="0" w:noHBand="0" w:noVBand="1"/>
      </w:tblPr>
      <w:tblGrid>
        <w:gridCol w:w="3085"/>
        <w:gridCol w:w="926"/>
        <w:gridCol w:w="927"/>
        <w:gridCol w:w="926"/>
        <w:gridCol w:w="927"/>
        <w:gridCol w:w="926"/>
        <w:gridCol w:w="927"/>
        <w:gridCol w:w="927"/>
      </w:tblGrid>
      <w:tr w:rsidR="0080044B" w:rsidRPr="00CF77C1" w14:paraId="3DDE0E6E" w14:textId="77777777" w:rsidTr="006C11C7">
        <w:trPr>
          <w:cantSplit/>
          <w:tblHeader/>
        </w:trPr>
        <w:tc>
          <w:tcPr>
            <w:tcW w:w="3085" w:type="dxa"/>
            <w:vAlign w:val="center"/>
          </w:tcPr>
          <w:p w14:paraId="1FBA0AB7" w14:textId="77777777" w:rsidR="0080044B" w:rsidRPr="00CF77C1" w:rsidRDefault="0080044B" w:rsidP="007C5922">
            <w:pPr>
              <w:jc w:val="center"/>
              <w:rPr>
                <w:lang w:val="sr-Cyrl-RS"/>
              </w:rPr>
            </w:pPr>
            <w:r w:rsidRPr="00CF77C1">
              <w:rPr>
                <w:lang w:val="sr-Cyrl-RS"/>
              </w:rPr>
              <w:t>Мерљиви циљ</w:t>
            </w:r>
          </w:p>
        </w:tc>
        <w:tc>
          <w:tcPr>
            <w:tcW w:w="926" w:type="dxa"/>
            <w:vAlign w:val="center"/>
          </w:tcPr>
          <w:p w14:paraId="3F39C7E0" w14:textId="77777777" w:rsidR="0080044B" w:rsidRPr="00CF77C1" w:rsidRDefault="0080044B" w:rsidP="007C5922">
            <w:pPr>
              <w:jc w:val="center"/>
              <w:rPr>
                <w:lang w:val="sr-Cyrl-RS"/>
              </w:rPr>
            </w:pPr>
            <w:r w:rsidRPr="00CF77C1">
              <w:rPr>
                <w:lang w:val="sr-Cyrl-RS"/>
              </w:rPr>
              <w:t>2017.</w:t>
            </w:r>
          </w:p>
        </w:tc>
        <w:tc>
          <w:tcPr>
            <w:tcW w:w="927" w:type="dxa"/>
            <w:vAlign w:val="center"/>
          </w:tcPr>
          <w:p w14:paraId="26B5BB76" w14:textId="77777777" w:rsidR="0080044B" w:rsidRPr="00CF77C1" w:rsidRDefault="0080044B" w:rsidP="007C5922">
            <w:pPr>
              <w:jc w:val="center"/>
              <w:rPr>
                <w:lang w:val="sr-Cyrl-RS"/>
              </w:rPr>
            </w:pPr>
            <w:r w:rsidRPr="00CF77C1">
              <w:rPr>
                <w:lang w:val="sr-Cyrl-RS"/>
              </w:rPr>
              <w:t>2018.</w:t>
            </w:r>
          </w:p>
        </w:tc>
        <w:tc>
          <w:tcPr>
            <w:tcW w:w="926" w:type="dxa"/>
            <w:vAlign w:val="center"/>
          </w:tcPr>
          <w:p w14:paraId="24E5649A" w14:textId="77777777" w:rsidR="0080044B" w:rsidRPr="00CF77C1" w:rsidRDefault="0080044B" w:rsidP="007C5922">
            <w:pPr>
              <w:jc w:val="center"/>
              <w:rPr>
                <w:lang w:val="sr-Cyrl-RS"/>
              </w:rPr>
            </w:pPr>
            <w:r w:rsidRPr="00CF77C1">
              <w:rPr>
                <w:lang w:val="sr-Cyrl-RS"/>
              </w:rPr>
              <w:t>2019.</w:t>
            </w:r>
          </w:p>
        </w:tc>
        <w:tc>
          <w:tcPr>
            <w:tcW w:w="927" w:type="dxa"/>
            <w:vAlign w:val="center"/>
          </w:tcPr>
          <w:p w14:paraId="0F512D68" w14:textId="77777777" w:rsidR="0080044B" w:rsidRPr="00CF77C1" w:rsidRDefault="0080044B" w:rsidP="007C5922">
            <w:pPr>
              <w:jc w:val="center"/>
              <w:rPr>
                <w:lang w:val="sr-Cyrl-RS"/>
              </w:rPr>
            </w:pPr>
            <w:r w:rsidRPr="00CF77C1">
              <w:rPr>
                <w:lang w:val="sr-Cyrl-RS"/>
              </w:rPr>
              <w:t>2020.</w:t>
            </w:r>
          </w:p>
        </w:tc>
        <w:tc>
          <w:tcPr>
            <w:tcW w:w="926" w:type="dxa"/>
            <w:vAlign w:val="center"/>
          </w:tcPr>
          <w:p w14:paraId="3847B0DE" w14:textId="77777777" w:rsidR="0080044B" w:rsidRPr="00CF77C1" w:rsidRDefault="0080044B" w:rsidP="007C5922">
            <w:pPr>
              <w:jc w:val="center"/>
              <w:rPr>
                <w:lang w:val="sr-Cyrl-RS"/>
              </w:rPr>
            </w:pPr>
            <w:r w:rsidRPr="00CF77C1">
              <w:rPr>
                <w:lang w:val="sr-Cyrl-RS"/>
              </w:rPr>
              <w:t>2021.</w:t>
            </w:r>
          </w:p>
        </w:tc>
        <w:tc>
          <w:tcPr>
            <w:tcW w:w="927" w:type="dxa"/>
            <w:vAlign w:val="center"/>
          </w:tcPr>
          <w:p w14:paraId="3159166E" w14:textId="77777777" w:rsidR="0080044B" w:rsidRPr="00CF77C1" w:rsidRDefault="0080044B" w:rsidP="007C5922">
            <w:pPr>
              <w:jc w:val="center"/>
              <w:rPr>
                <w:lang w:val="sr-Cyrl-RS"/>
              </w:rPr>
            </w:pPr>
            <w:r w:rsidRPr="00CF77C1">
              <w:rPr>
                <w:lang w:val="sr-Cyrl-RS"/>
              </w:rPr>
              <w:t>2022.</w:t>
            </w:r>
          </w:p>
        </w:tc>
        <w:tc>
          <w:tcPr>
            <w:tcW w:w="927" w:type="dxa"/>
            <w:vAlign w:val="center"/>
          </w:tcPr>
          <w:p w14:paraId="41BE5560" w14:textId="77777777" w:rsidR="0080044B" w:rsidRPr="00CF77C1" w:rsidRDefault="0080044B" w:rsidP="007C5922">
            <w:pPr>
              <w:jc w:val="center"/>
              <w:rPr>
                <w:lang w:val="sr-Cyrl-RS"/>
              </w:rPr>
            </w:pPr>
            <w:r w:rsidRPr="00CF77C1">
              <w:rPr>
                <w:lang w:val="sr-Cyrl-RS"/>
              </w:rPr>
              <w:t>2023.</w:t>
            </w:r>
          </w:p>
        </w:tc>
      </w:tr>
      <w:tr w:rsidR="00B47B8C" w:rsidRPr="00CF77C1" w14:paraId="07C62E75" w14:textId="77777777" w:rsidTr="006C11C7">
        <w:trPr>
          <w:cantSplit/>
        </w:trPr>
        <w:tc>
          <w:tcPr>
            <w:tcW w:w="3085" w:type="dxa"/>
            <w:vAlign w:val="center"/>
          </w:tcPr>
          <w:p w14:paraId="0ADC618A" w14:textId="66E8F8B9" w:rsidR="00B47B8C" w:rsidRPr="00CF77C1" w:rsidRDefault="00B47B8C" w:rsidP="007C5922">
            <w:pPr>
              <w:jc w:val="left"/>
              <w:rPr>
                <w:lang w:val="sr-Cyrl-RS"/>
              </w:rPr>
            </w:pPr>
            <w:r w:rsidRPr="00CF77C1">
              <w:rPr>
                <w:lang w:val="sr-Cyrl-RS"/>
              </w:rPr>
              <w:t>Повећање удела CHP у производњи топлотне енергије (%)</w:t>
            </w:r>
            <w:r w:rsidRPr="00CF77C1">
              <w:rPr>
                <w:vertAlign w:val="superscript"/>
                <w:lang w:val="sr-Cyrl-RS"/>
              </w:rPr>
              <w:t>*1</w:t>
            </w:r>
          </w:p>
        </w:tc>
        <w:tc>
          <w:tcPr>
            <w:tcW w:w="926" w:type="dxa"/>
            <w:vAlign w:val="center"/>
          </w:tcPr>
          <w:p w14:paraId="43969ADD" w14:textId="2D9B75A4" w:rsidR="00B47B8C" w:rsidRPr="00CF77C1" w:rsidRDefault="00B47B8C" w:rsidP="007C5922">
            <w:pPr>
              <w:jc w:val="center"/>
              <w:rPr>
                <w:lang w:val="sr-Cyrl-RS"/>
              </w:rPr>
            </w:pPr>
            <w:r w:rsidRPr="00CF77C1">
              <w:rPr>
                <w:lang w:val="sr-Cyrl-RS"/>
              </w:rPr>
              <w:t>4,16</w:t>
            </w:r>
          </w:p>
        </w:tc>
        <w:tc>
          <w:tcPr>
            <w:tcW w:w="927" w:type="dxa"/>
            <w:vAlign w:val="center"/>
          </w:tcPr>
          <w:p w14:paraId="03BFDED0" w14:textId="628D507C" w:rsidR="00B47B8C" w:rsidRPr="00CF77C1" w:rsidRDefault="00B47B8C" w:rsidP="007C5922">
            <w:pPr>
              <w:jc w:val="center"/>
              <w:rPr>
                <w:lang w:val="sr-Cyrl-RS"/>
              </w:rPr>
            </w:pPr>
            <w:r w:rsidRPr="00CF77C1">
              <w:rPr>
                <w:lang w:val="sr-Cyrl-RS"/>
              </w:rPr>
              <w:t>4,16</w:t>
            </w:r>
          </w:p>
        </w:tc>
        <w:tc>
          <w:tcPr>
            <w:tcW w:w="926" w:type="dxa"/>
            <w:vAlign w:val="center"/>
          </w:tcPr>
          <w:p w14:paraId="72D392D3" w14:textId="07F1199C" w:rsidR="00B47B8C" w:rsidRPr="00CF77C1" w:rsidRDefault="00B47B8C" w:rsidP="007C5922">
            <w:pPr>
              <w:jc w:val="center"/>
              <w:rPr>
                <w:lang w:val="sr-Cyrl-RS"/>
              </w:rPr>
            </w:pPr>
            <w:r w:rsidRPr="00CF77C1">
              <w:rPr>
                <w:lang w:val="sr-Cyrl-RS"/>
              </w:rPr>
              <w:t>4,33</w:t>
            </w:r>
          </w:p>
        </w:tc>
        <w:tc>
          <w:tcPr>
            <w:tcW w:w="927" w:type="dxa"/>
            <w:vAlign w:val="center"/>
          </w:tcPr>
          <w:p w14:paraId="39B48A82" w14:textId="36AAB42C" w:rsidR="00B47B8C" w:rsidRPr="00CF77C1" w:rsidRDefault="00B47B8C" w:rsidP="007C5922">
            <w:pPr>
              <w:jc w:val="center"/>
              <w:rPr>
                <w:lang w:val="sr-Cyrl-RS"/>
              </w:rPr>
            </w:pPr>
            <w:r w:rsidRPr="00CF77C1">
              <w:rPr>
                <w:lang w:val="sr-Cyrl-RS"/>
              </w:rPr>
              <w:t>4,50</w:t>
            </w:r>
          </w:p>
        </w:tc>
        <w:tc>
          <w:tcPr>
            <w:tcW w:w="926" w:type="dxa"/>
            <w:vAlign w:val="center"/>
          </w:tcPr>
          <w:p w14:paraId="5E327FC1" w14:textId="13A2E92E" w:rsidR="00B47B8C" w:rsidRPr="00CF77C1" w:rsidRDefault="00B47B8C" w:rsidP="007C5922">
            <w:pPr>
              <w:jc w:val="center"/>
              <w:rPr>
                <w:lang w:val="sr-Cyrl-RS"/>
              </w:rPr>
            </w:pPr>
            <w:r w:rsidRPr="00CF77C1">
              <w:rPr>
                <w:lang w:val="sr-Cyrl-RS"/>
              </w:rPr>
              <w:t>4,66</w:t>
            </w:r>
          </w:p>
        </w:tc>
        <w:tc>
          <w:tcPr>
            <w:tcW w:w="927" w:type="dxa"/>
            <w:vAlign w:val="center"/>
          </w:tcPr>
          <w:p w14:paraId="525C09D8" w14:textId="62F4FD7E" w:rsidR="00B47B8C" w:rsidRPr="00CF77C1" w:rsidRDefault="00B47B8C" w:rsidP="007C5922">
            <w:pPr>
              <w:jc w:val="center"/>
              <w:rPr>
                <w:lang w:val="sr-Cyrl-RS"/>
              </w:rPr>
            </w:pPr>
            <w:r w:rsidRPr="00CF77C1">
              <w:rPr>
                <w:lang w:val="sr-Cyrl-RS"/>
              </w:rPr>
              <w:t>4,83</w:t>
            </w:r>
          </w:p>
        </w:tc>
        <w:tc>
          <w:tcPr>
            <w:tcW w:w="927" w:type="dxa"/>
            <w:vAlign w:val="center"/>
          </w:tcPr>
          <w:p w14:paraId="2FF2918A" w14:textId="04763453" w:rsidR="00B47B8C" w:rsidRPr="00CF77C1" w:rsidRDefault="00B47B8C" w:rsidP="007C5922">
            <w:pPr>
              <w:jc w:val="center"/>
              <w:rPr>
                <w:lang w:val="sr-Cyrl-RS"/>
              </w:rPr>
            </w:pPr>
            <w:r w:rsidRPr="00CF77C1">
              <w:rPr>
                <w:lang w:val="sr-Cyrl-RS"/>
              </w:rPr>
              <w:t>5</w:t>
            </w:r>
          </w:p>
        </w:tc>
      </w:tr>
      <w:tr w:rsidR="00B47B8C" w:rsidRPr="00CF77C1" w14:paraId="017D0499" w14:textId="77777777" w:rsidTr="006C11C7">
        <w:trPr>
          <w:cantSplit/>
        </w:trPr>
        <w:tc>
          <w:tcPr>
            <w:tcW w:w="3085" w:type="dxa"/>
            <w:vAlign w:val="center"/>
          </w:tcPr>
          <w:p w14:paraId="583D0ECD" w14:textId="6DF04D45" w:rsidR="00B47B8C" w:rsidRPr="00CF77C1" w:rsidRDefault="00B47B8C" w:rsidP="007C5922">
            <w:pPr>
              <w:jc w:val="left"/>
              <w:rPr>
                <w:lang w:val="sr-Cyrl-RS"/>
              </w:rPr>
            </w:pPr>
            <w:r w:rsidRPr="00CF77C1">
              <w:rPr>
                <w:lang w:val="sr-Cyrl-RS"/>
              </w:rPr>
              <w:t>Смањење губитака у дистрибутивној мрежи (%)</w:t>
            </w:r>
          </w:p>
        </w:tc>
        <w:tc>
          <w:tcPr>
            <w:tcW w:w="926" w:type="dxa"/>
            <w:vAlign w:val="center"/>
          </w:tcPr>
          <w:p w14:paraId="396DBF17" w14:textId="409172D0" w:rsidR="00B47B8C" w:rsidRPr="00CF77C1" w:rsidRDefault="00B47B8C" w:rsidP="007C5922">
            <w:pPr>
              <w:jc w:val="center"/>
              <w:rPr>
                <w:lang w:val="sr-Cyrl-RS"/>
              </w:rPr>
            </w:pPr>
            <w:r w:rsidRPr="00CF77C1">
              <w:rPr>
                <w:lang w:val="sr-Cyrl-RS"/>
              </w:rPr>
              <w:t>18</w:t>
            </w:r>
          </w:p>
        </w:tc>
        <w:tc>
          <w:tcPr>
            <w:tcW w:w="927" w:type="dxa"/>
            <w:vAlign w:val="center"/>
          </w:tcPr>
          <w:p w14:paraId="4248AF6B" w14:textId="267939F8" w:rsidR="00B47B8C" w:rsidRPr="00CF77C1" w:rsidRDefault="00B47B8C" w:rsidP="007C5922">
            <w:pPr>
              <w:jc w:val="center"/>
              <w:rPr>
                <w:lang w:val="sr-Cyrl-RS"/>
              </w:rPr>
            </w:pPr>
            <w:r w:rsidRPr="00CF77C1">
              <w:rPr>
                <w:lang w:val="sr-Cyrl-RS"/>
              </w:rPr>
              <w:t>17</w:t>
            </w:r>
          </w:p>
        </w:tc>
        <w:tc>
          <w:tcPr>
            <w:tcW w:w="926" w:type="dxa"/>
            <w:vAlign w:val="center"/>
          </w:tcPr>
          <w:p w14:paraId="797E8272" w14:textId="1FFA2993" w:rsidR="00B47B8C" w:rsidRPr="00CF77C1" w:rsidRDefault="00B47B8C" w:rsidP="007C5922">
            <w:pPr>
              <w:jc w:val="center"/>
              <w:rPr>
                <w:lang w:val="sr-Cyrl-RS"/>
              </w:rPr>
            </w:pPr>
            <w:r w:rsidRPr="00CF77C1">
              <w:rPr>
                <w:lang w:val="sr-Cyrl-RS"/>
              </w:rPr>
              <w:t>16</w:t>
            </w:r>
          </w:p>
        </w:tc>
        <w:tc>
          <w:tcPr>
            <w:tcW w:w="927" w:type="dxa"/>
            <w:vAlign w:val="center"/>
          </w:tcPr>
          <w:p w14:paraId="055F42CF" w14:textId="019B8677" w:rsidR="00B47B8C" w:rsidRPr="00CF77C1" w:rsidRDefault="00B47B8C" w:rsidP="007C5922">
            <w:pPr>
              <w:jc w:val="center"/>
              <w:rPr>
                <w:lang w:val="sr-Cyrl-RS"/>
              </w:rPr>
            </w:pPr>
            <w:r w:rsidRPr="00CF77C1">
              <w:rPr>
                <w:lang w:val="sr-Cyrl-RS"/>
              </w:rPr>
              <w:t>15</w:t>
            </w:r>
          </w:p>
        </w:tc>
        <w:tc>
          <w:tcPr>
            <w:tcW w:w="926" w:type="dxa"/>
            <w:vAlign w:val="center"/>
          </w:tcPr>
          <w:p w14:paraId="3292A830" w14:textId="0CBE8C54" w:rsidR="00B47B8C" w:rsidRPr="00CF77C1" w:rsidRDefault="00B47B8C" w:rsidP="007C5922">
            <w:pPr>
              <w:jc w:val="center"/>
              <w:rPr>
                <w:lang w:val="sr-Cyrl-RS"/>
              </w:rPr>
            </w:pPr>
            <w:r w:rsidRPr="00CF77C1">
              <w:rPr>
                <w:lang w:val="sr-Cyrl-RS"/>
              </w:rPr>
              <w:t>14</w:t>
            </w:r>
          </w:p>
        </w:tc>
        <w:tc>
          <w:tcPr>
            <w:tcW w:w="927" w:type="dxa"/>
            <w:vAlign w:val="center"/>
          </w:tcPr>
          <w:p w14:paraId="3F4AFAA0" w14:textId="55840637" w:rsidR="00B47B8C" w:rsidRPr="00CF77C1" w:rsidRDefault="00B47B8C" w:rsidP="007C5922">
            <w:pPr>
              <w:jc w:val="center"/>
              <w:rPr>
                <w:lang w:val="sr-Cyrl-RS"/>
              </w:rPr>
            </w:pPr>
            <w:r w:rsidRPr="00CF77C1">
              <w:rPr>
                <w:lang w:val="sr-Cyrl-RS"/>
              </w:rPr>
              <w:t>13</w:t>
            </w:r>
          </w:p>
        </w:tc>
        <w:tc>
          <w:tcPr>
            <w:tcW w:w="927" w:type="dxa"/>
            <w:vAlign w:val="center"/>
          </w:tcPr>
          <w:p w14:paraId="3A7DA704" w14:textId="2A4DBB5A" w:rsidR="00B47B8C" w:rsidRPr="00CF77C1" w:rsidRDefault="00B47B8C" w:rsidP="007C5922">
            <w:pPr>
              <w:jc w:val="center"/>
              <w:rPr>
                <w:lang w:val="sr-Cyrl-RS"/>
              </w:rPr>
            </w:pPr>
            <w:r w:rsidRPr="00CF77C1">
              <w:rPr>
                <w:lang w:val="sr-Cyrl-RS"/>
              </w:rPr>
              <w:t>12</w:t>
            </w:r>
          </w:p>
        </w:tc>
      </w:tr>
      <w:tr w:rsidR="00B47B8C" w:rsidRPr="00CF77C1" w14:paraId="6DC4100A" w14:textId="77777777" w:rsidTr="006C11C7">
        <w:trPr>
          <w:cantSplit/>
        </w:trPr>
        <w:tc>
          <w:tcPr>
            <w:tcW w:w="3085" w:type="dxa"/>
            <w:vAlign w:val="center"/>
          </w:tcPr>
          <w:p w14:paraId="34260147" w14:textId="48B34E61" w:rsidR="00B47B8C" w:rsidRPr="00CF77C1" w:rsidRDefault="00B47B8C" w:rsidP="007C5922">
            <w:pPr>
              <w:tabs>
                <w:tab w:val="left" w:pos="2552"/>
              </w:tabs>
              <w:jc w:val="left"/>
              <w:rPr>
                <w:lang w:val="sr-Cyrl-RS"/>
              </w:rPr>
            </w:pPr>
            <w:r w:rsidRPr="00CF77C1">
              <w:rPr>
                <w:lang w:val="sr-Cyrl-RS"/>
              </w:rPr>
              <w:t>Увећање топлотног конзума изражено преко грејане површине (10</w:t>
            </w:r>
            <w:r w:rsidRPr="00CF77C1">
              <w:rPr>
                <w:vertAlign w:val="superscript"/>
                <w:lang w:val="sr-Cyrl-RS"/>
              </w:rPr>
              <w:t>6</w:t>
            </w:r>
            <w:r w:rsidRPr="00CF77C1">
              <w:rPr>
                <w:lang w:val="sr-Cyrl-RS"/>
              </w:rPr>
              <w:t xml:space="preserve"> m</w:t>
            </w:r>
            <w:r w:rsidRPr="00CF77C1">
              <w:rPr>
                <w:vertAlign w:val="superscript"/>
                <w:lang w:val="sr-Cyrl-RS"/>
              </w:rPr>
              <w:t>2</w:t>
            </w:r>
            <w:r w:rsidRPr="00CF77C1">
              <w:rPr>
                <w:lang w:val="sr-Cyrl-RS"/>
              </w:rPr>
              <w:t>)</w:t>
            </w:r>
            <w:r w:rsidRPr="00CF77C1">
              <w:rPr>
                <w:vertAlign w:val="superscript"/>
                <w:lang w:val="sr-Cyrl-RS"/>
              </w:rPr>
              <w:t>*2</w:t>
            </w:r>
          </w:p>
        </w:tc>
        <w:tc>
          <w:tcPr>
            <w:tcW w:w="926" w:type="dxa"/>
            <w:vAlign w:val="center"/>
          </w:tcPr>
          <w:p w14:paraId="310BD444" w14:textId="7796B817" w:rsidR="00B47B8C" w:rsidRPr="00CF77C1" w:rsidRDefault="00B47B8C" w:rsidP="007C5922">
            <w:pPr>
              <w:tabs>
                <w:tab w:val="left" w:pos="2552"/>
              </w:tabs>
              <w:jc w:val="center"/>
              <w:rPr>
                <w:lang w:val="sr-Cyrl-RS"/>
              </w:rPr>
            </w:pPr>
            <w:r w:rsidRPr="00CF77C1">
              <w:rPr>
                <w:lang w:val="sr-Cyrl-RS"/>
              </w:rPr>
              <w:t>43,21</w:t>
            </w:r>
          </w:p>
        </w:tc>
        <w:tc>
          <w:tcPr>
            <w:tcW w:w="927" w:type="dxa"/>
            <w:vAlign w:val="center"/>
          </w:tcPr>
          <w:p w14:paraId="2DDB0105" w14:textId="53AF1EC7" w:rsidR="00B47B8C" w:rsidRPr="00CF77C1" w:rsidRDefault="00B47B8C" w:rsidP="007C5922">
            <w:pPr>
              <w:tabs>
                <w:tab w:val="left" w:pos="2552"/>
              </w:tabs>
              <w:jc w:val="center"/>
              <w:rPr>
                <w:lang w:val="sr-Cyrl-RS"/>
              </w:rPr>
            </w:pPr>
            <w:r w:rsidRPr="00CF77C1">
              <w:rPr>
                <w:lang w:val="sr-Cyrl-RS"/>
              </w:rPr>
              <w:t>43,77</w:t>
            </w:r>
          </w:p>
        </w:tc>
        <w:tc>
          <w:tcPr>
            <w:tcW w:w="926" w:type="dxa"/>
            <w:vAlign w:val="center"/>
          </w:tcPr>
          <w:p w14:paraId="45C2E383" w14:textId="2EA7F50F" w:rsidR="00B47B8C" w:rsidRPr="00CF77C1" w:rsidRDefault="00B47B8C" w:rsidP="007C5922">
            <w:pPr>
              <w:tabs>
                <w:tab w:val="left" w:pos="2552"/>
              </w:tabs>
              <w:jc w:val="center"/>
              <w:rPr>
                <w:lang w:val="sr-Cyrl-RS"/>
              </w:rPr>
            </w:pPr>
            <w:r w:rsidRPr="00CF77C1">
              <w:rPr>
                <w:lang w:val="sr-Cyrl-RS"/>
              </w:rPr>
              <w:t>44,33</w:t>
            </w:r>
          </w:p>
        </w:tc>
        <w:tc>
          <w:tcPr>
            <w:tcW w:w="927" w:type="dxa"/>
            <w:vAlign w:val="center"/>
          </w:tcPr>
          <w:p w14:paraId="609EEDBF" w14:textId="192A3308" w:rsidR="00B47B8C" w:rsidRPr="00CF77C1" w:rsidRDefault="00B47B8C" w:rsidP="007C5922">
            <w:pPr>
              <w:tabs>
                <w:tab w:val="left" w:pos="2552"/>
              </w:tabs>
              <w:jc w:val="center"/>
              <w:rPr>
                <w:lang w:val="sr-Cyrl-RS"/>
              </w:rPr>
            </w:pPr>
            <w:r w:rsidRPr="00CF77C1">
              <w:rPr>
                <w:lang w:val="sr-Cyrl-RS"/>
              </w:rPr>
              <w:t>44,90</w:t>
            </w:r>
          </w:p>
        </w:tc>
        <w:tc>
          <w:tcPr>
            <w:tcW w:w="926" w:type="dxa"/>
            <w:vAlign w:val="center"/>
          </w:tcPr>
          <w:p w14:paraId="4C138FC1" w14:textId="77798A3C" w:rsidR="00B47B8C" w:rsidRPr="00CF77C1" w:rsidRDefault="00B47B8C" w:rsidP="007C5922">
            <w:pPr>
              <w:tabs>
                <w:tab w:val="left" w:pos="2552"/>
              </w:tabs>
              <w:jc w:val="center"/>
              <w:rPr>
                <w:lang w:val="sr-Cyrl-RS"/>
              </w:rPr>
            </w:pPr>
            <w:r w:rsidRPr="00CF77C1">
              <w:rPr>
                <w:lang w:val="sr-Cyrl-RS"/>
              </w:rPr>
              <w:t>45,48</w:t>
            </w:r>
          </w:p>
        </w:tc>
        <w:tc>
          <w:tcPr>
            <w:tcW w:w="927" w:type="dxa"/>
            <w:vAlign w:val="center"/>
          </w:tcPr>
          <w:p w14:paraId="257EB103" w14:textId="3324DEA9" w:rsidR="00B47B8C" w:rsidRPr="00CF77C1" w:rsidRDefault="00B47B8C" w:rsidP="007C5922">
            <w:pPr>
              <w:tabs>
                <w:tab w:val="left" w:pos="2552"/>
              </w:tabs>
              <w:jc w:val="center"/>
              <w:rPr>
                <w:lang w:val="sr-Cyrl-RS"/>
              </w:rPr>
            </w:pPr>
            <w:r w:rsidRPr="00CF77C1">
              <w:rPr>
                <w:lang w:val="sr-Cyrl-RS"/>
              </w:rPr>
              <w:t>46,07</w:t>
            </w:r>
          </w:p>
        </w:tc>
        <w:tc>
          <w:tcPr>
            <w:tcW w:w="927" w:type="dxa"/>
            <w:vAlign w:val="center"/>
          </w:tcPr>
          <w:p w14:paraId="08598806" w14:textId="248E9591" w:rsidR="00B47B8C" w:rsidRPr="00CF77C1" w:rsidRDefault="00B47B8C" w:rsidP="007C5922">
            <w:pPr>
              <w:tabs>
                <w:tab w:val="left" w:pos="2552"/>
              </w:tabs>
              <w:jc w:val="center"/>
              <w:rPr>
                <w:lang w:val="sr-Cyrl-RS"/>
              </w:rPr>
            </w:pPr>
            <w:r w:rsidRPr="00CF77C1">
              <w:rPr>
                <w:lang w:val="sr-Cyrl-RS"/>
              </w:rPr>
              <w:t>46,66</w:t>
            </w:r>
          </w:p>
        </w:tc>
      </w:tr>
      <w:tr w:rsidR="00B47B8C" w:rsidRPr="00CF77C1" w14:paraId="6BCC1EB8" w14:textId="77777777" w:rsidTr="006C11C7">
        <w:trPr>
          <w:cantSplit/>
        </w:trPr>
        <w:tc>
          <w:tcPr>
            <w:tcW w:w="3085" w:type="dxa"/>
            <w:vAlign w:val="center"/>
          </w:tcPr>
          <w:p w14:paraId="15A842E0" w14:textId="2B3E4F82" w:rsidR="00B47B8C" w:rsidRPr="00CF77C1" w:rsidRDefault="00B47B8C" w:rsidP="007C5922">
            <w:pPr>
              <w:tabs>
                <w:tab w:val="left" w:pos="2552"/>
              </w:tabs>
              <w:jc w:val="left"/>
              <w:rPr>
                <w:vertAlign w:val="superscript"/>
                <w:lang w:val="sr-Cyrl-RS"/>
              </w:rPr>
            </w:pPr>
            <w:r w:rsidRPr="00CF77C1">
              <w:rPr>
                <w:lang w:val="sr-Cyrl-RS"/>
              </w:rPr>
              <w:t>Развој дистрибутивне мреже (km)</w:t>
            </w:r>
            <w:r w:rsidRPr="00CF77C1">
              <w:rPr>
                <w:vertAlign w:val="superscript"/>
                <w:lang w:val="sr-Cyrl-RS"/>
              </w:rPr>
              <w:t>*3</w:t>
            </w:r>
          </w:p>
        </w:tc>
        <w:tc>
          <w:tcPr>
            <w:tcW w:w="926" w:type="dxa"/>
            <w:vAlign w:val="center"/>
          </w:tcPr>
          <w:p w14:paraId="731A4CEF" w14:textId="37386D31" w:rsidR="00B47B8C" w:rsidRPr="00CF77C1" w:rsidRDefault="00B47B8C" w:rsidP="007C5922">
            <w:pPr>
              <w:tabs>
                <w:tab w:val="left" w:pos="2552"/>
              </w:tabs>
              <w:jc w:val="center"/>
              <w:rPr>
                <w:lang w:val="sr-Cyrl-RS"/>
              </w:rPr>
            </w:pPr>
            <w:r w:rsidRPr="00CF77C1">
              <w:rPr>
                <w:lang w:val="sr-Cyrl-RS"/>
              </w:rPr>
              <w:t>3860</w:t>
            </w:r>
          </w:p>
        </w:tc>
        <w:tc>
          <w:tcPr>
            <w:tcW w:w="927" w:type="dxa"/>
            <w:vAlign w:val="center"/>
          </w:tcPr>
          <w:p w14:paraId="53066A8E" w14:textId="477967E5" w:rsidR="00B47B8C" w:rsidRPr="00CF77C1" w:rsidRDefault="00B47B8C" w:rsidP="007C5922">
            <w:pPr>
              <w:tabs>
                <w:tab w:val="left" w:pos="2552"/>
              </w:tabs>
              <w:jc w:val="center"/>
              <w:rPr>
                <w:lang w:val="sr-Cyrl-RS"/>
              </w:rPr>
            </w:pPr>
            <w:r w:rsidRPr="00CF77C1">
              <w:rPr>
                <w:lang w:val="sr-Cyrl-RS"/>
              </w:rPr>
              <w:t>3898,6</w:t>
            </w:r>
          </w:p>
        </w:tc>
        <w:tc>
          <w:tcPr>
            <w:tcW w:w="926" w:type="dxa"/>
            <w:vAlign w:val="center"/>
          </w:tcPr>
          <w:p w14:paraId="38329BA2" w14:textId="16F4BFCB" w:rsidR="00B47B8C" w:rsidRPr="00CF77C1" w:rsidRDefault="00B47B8C" w:rsidP="007C5922">
            <w:pPr>
              <w:tabs>
                <w:tab w:val="left" w:pos="2552"/>
              </w:tabs>
              <w:jc w:val="center"/>
              <w:rPr>
                <w:lang w:val="sr-Cyrl-RS"/>
              </w:rPr>
            </w:pPr>
            <w:r w:rsidRPr="00CF77C1">
              <w:rPr>
                <w:lang w:val="sr-Cyrl-RS"/>
              </w:rPr>
              <w:t>3937,6</w:t>
            </w:r>
          </w:p>
        </w:tc>
        <w:tc>
          <w:tcPr>
            <w:tcW w:w="927" w:type="dxa"/>
            <w:vAlign w:val="center"/>
          </w:tcPr>
          <w:p w14:paraId="08896BB9" w14:textId="190DB04E" w:rsidR="00B47B8C" w:rsidRPr="00CF77C1" w:rsidRDefault="00B47B8C" w:rsidP="007C5922">
            <w:pPr>
              <w:tabs>
                <w:tab w:val="left" w:pos="2552"/>
              </w:tabs>
              <w:jc w:val="center"/>
              <w:rPr>
                <w:lang w:val="sr-Cyrl-RS"/>
              </w:rPr>
            </w:pPr>
            <w:r w:rsidRPr="00CF77C1">
              <w:rPr>
                <w:lang w:val="sr-Cyrl-RS"/>
              </w:rPr>
              <w:t>3977</w:t>
            </w:r>
          </w:p>
        </w:tc>
        <w:tc>
          <w:tcPr>
            <w:tcW w:w="926" w:type="dxa"/>
            <w:vAlign w:val="center"/>
          </w:tcPr>
          <w:p w14:paraId="1AF651D4" w14:textId="2810083F" w:rsidR="00B47B8C" w:rsidRPr="00CF77C1" w:rsidRDefault="00B47B8C" w:rsidP="007C5922">
            <w:pPr>
              <w:tabs>
                <w:tab w:val="left" w:pos="2552"/>
              </w:tabs>
              <w:jc w:val="center"/>
              <w:rPr>
                <w:lang w:val="sr-Cyrl-RS"/>
              </w:rPr>
            </w:pPr>
            <w:r w:rsidRPr="00CF77C1">
              <w:rPr>
                <w:lang w:val="sr-Cyrl-RS"/>
              </w:rPr>
              <w:t>4036,6</w:t>
            </w:r>
          </w:p>
        </w:tc>
        <w:tc>
          <w:tcPr>
            <w:tcW w:w="927" w:type="dxa"/>
            <w:vAlign w:val="center"/>
          </w:tcPr>
          <w:p w14:paraId="76ADFFA3" w14:textId="7FD0A860" w:rsidR="00B47B8C" w:rsidRPr="00CF77C1" w:rsidRDefault="00B47B8C" w:rsidP="007C5922">
            <w:pPr>
              <w:tabs>
                <w:tab w:val="left" w:pos="2552"/>
              </w:tabs>
              <w:jc w:val="center"/>
              <w:rPr>
                <w:lang w:val="sr-Cyrl-RS"/>
              </w:rPr>
            </w:pPr>
            <w:r w:rsidRPr="00CF77C1">
              <w:rPr>
                <w:lang w:val="sr-Cyrl-RS"/>
              </w:rPr>
              <w:t>4097,2</w:t>
            </w:r>
          </w:p>
        </w:tc>
        <w:tc>
          <w:tcPr>
            <w:tcW w:w="927" w:type="dxa"/>
            <w:vAlign w:val="center"/>
          </w:tcPr>
          <w:p w14:paraId="0C351750" w14:textId="40913278" w:rsidR="00B47B8C" w:rsidRPr="00CF77C1" w:rsidRDefault="00B47B8C" w:rsidP="007C5922">
            <w:pPr>
              <w:tabs>
                <w:tab w:val="left" w:pos="2552"/>
              </w:tabs>
              <w:jc w:val="center"/>
              <w:rPr>
                <w:lang w:val="sr-Cyrl-RS"/>
              </w:rPr>
            </w:pPr>
            <w:r w:rsidRPr="00CF77C1">
              <w:rPr>
                <w:lang w:val="sr-Cyrl-RS"/>
              </w:rPr>
              <w:t>4158,6</w:t>
            </w:r>
          </w:p>
        </w:tc>
      </w:tr>
    </w:tbl>
    <w:p w14:paraId="011F8ABB" w14:textId="4D3D83C3" w:rsidR="006236B9" w:rsidRPr="00CF77C1" w:rsidRDefault="006236B9" w:rsidP="00E1023A">
      <w:pPr>
        <w:ind w:firstLine="720"/>
        <w:rPr>
          <w:lang w:val="sr-Cyrl-RS"/>
        </w:rPr>
      </w:pPr>
      <w:bookmarkStart w:id="60" w:name="_Toc471730776"/>
      <w:r w:rsidRPr="00CF77C1">
        <w:rPr>
          <w:lang w:val="sr-Cyrl-RS"/>
        </w:rPr>
        <w:t>Напомене:</w:t>
      </w:r>
    </w:p>
    <w:p w14:paraId="5B672038" w14:textId="71FB284E" w:rsidR="002862C5" w:rsidRPr="00CF77C1" w:rsidRDefault="002862C5" w:rsidP="00E1023A">
      <w:pPr>
        <w:ind w:firstLine="720"/>
        <w:rPr>
          <w:lang w:val="sr-Cyrl-RS"/>
        </w:rPr>
      </w:pPr>
      <w:r w:rsidRPr="00CF77C1">
        <w:rPr>
          <w:lang w:val="sr-Cyrl-RS"/>
        </w:rPr>
        <w:t>Удео ОИЕ у сектору топлотне енергије прати се у оквиру извештавања о спровођењу Националног акционог плана за коришћење ОИЕ сходно члану 66. Закона о енергетици.</w:t>
      </w:r>
    </w:p>
    <w:p w14:paraId="05493C70" w14:textId="6E7F56A5" w:rsidR="006236B9" w:rsidRPr="00CF77C1" w:rsidRDefault="00984997" w:rsidP="00E1023A">
      <w:pPr>
        <w:ind w:firstLine="720"/>
        <w:rPr>
          <w:lang w:val="sr-Cyrl-RS"/>
        </w:rPr>
      </w:pPr>
      <w:r w:rsidRPr="00CF77C1">
        <w:rPr>
          <w:vertAlign w:val="superscript"/>
          <w:lang w:val="sr-Cyrl-RS"/>
        </w:rPr>
        <w:t>*1</w:t>
      </w:r>
      <w:r w:rsidRPr="00CF77C1">
        <w:rPr>
          <w:lang w:val="sr-Cyrl-RS"/>
        </w:rPr>
        <w:tab/>
      </w:r>
      <w:r w:rsidR="006236B9" w:rsidRPr="00CF77C1">
        <w:rPr>
          <w:lang w:val="sr-Cyrl-RS"/>
        </w:rPr>
        <w:t>Инсталирани капацитет у топлотним изворима у системима даљинског грејања у</w:t>
      </w:r>
      <w:r w:rsidR="00EC16A1" w:rsidRPr="00CF77C1">
        <w:rPr>
          <w:lang w:val="sr-Cyrl-RS"/>
        </w:rPr>
        <w:t xml:space="preserve"> Републици</w:t>
      </w:r>
      <w:r w:rsidR="006236B9" w:rsidRPr="00CF77C1">
        <w:rPr>
          <w:lang w:val="sr-Cyrl-RS"/>
        </w:rPr>
        <w:t xml:space="preserve"> Србији износи 6900 MWth од чега се 4,16% топлоте производи у CHP постројењима која у односу на инсталисани капацитет топлотних извора износи 287,31 MWth. Према постојећим плановима и програмима развоја топлана у </w:t>
      </w:r>
      <w:r w:rsidR="00EC16A1" w:rsidRPr="00CF77C1">
        <w:rPr>
          <w:lang w:val="sr-Cyrl-RS"/>
        </w:rPr>
        <w:t xml:space="preserve">Републици </w:t>
      </w:r>
      <w:r w:rsidR="006236B9" w:rsidRPr="00CF77C1">
        <w:rPr>
          <w:lang w:val="sr-Cyrl-RS"/>
        </w:rPr>
        <w:t>Србији у периоду од 2017. до 2023. потенцијал за изградњу нових CHP постројења износи 43,3 MWth. У том смислу, пројектовано повећање удела CHP постројења у инсталисаним топлотним изворима у оквиру система даљинског грејања дато је у табели мерљивих циљева и индикатора.</w:t>
      </w:r>
    </w:p>
    <w:p w14:paraId="7ACBFFB9" w14:textId="580295E4" w:rsidR="006236B9" w:rsidRPr="00CF77C1" w:rsidRDefault="006236B9" w:rsidP="00E1023A">
      <w:pPr>
        <w:ind w:firstLine="720"/>
        <w:rPr>
          <w:lang w:val="sr-Cyrl-RS"/>
        </w:rPr>
      </w:pPr>
      <w:r w:rsidRPr="00CF77C1">
        <w:rPr>
          <w:lang w:val="sr-Cyrl-RS"/>
        </w:rPr>
        <w:t>ЈКП Београдске електране у свој план развоја уврстиле су Пројекат Снабдевање Београда топлотном енергијом из комбиноване производње електричне и топлотне енергије у постојећој ТЕ Никола Тесла А, Обреновац коришћењем колубарског лигнита. Према том пројекту предвиђено је да се изгради топлодалековод капацитета 600 MWth.</w:t>
      </w:r>
      <w:r w:rsidR="00E62843" w:rsidRPr="00CF77C1">
        <w:rPr>
          <w:lang w:val="sr-Cyrl-RS"/>
        </w:rPr>
        <w:t xml:space="preserve"> </w:t>
      </w:r>
      <w:r w:rsidRPr="00CF77C1">
        <w:rPr>
          <w:lang w:val="sr-Cyrl-RS"/>
        </w:rPr>
        <w:t>Под условом да се овај велики пројекат реализује, повећао би се удео CHP постројења у производњи топлотне енергије за 8,7% у односу на инсталисани капацитет топлотних извора система даљинског грејања, што значи да би уколико би се пројекат изградње топлодалековода реализовао у периоду од 2017</w:t>
      </w:r>
      <w:r w:rsidR="0018192E">
        <w:rPr>
          <w:lang w:val="sr-Cyrl-RS"/>
        </w:rPr>
        <w:t xml:space="preserve">. до </w:t>
      </w:r>
      <w:r w:rsidRPr="00CF77C1">
        <w:rPr>
          <w:lang w:val="sr-Cyrl-RS"/>
        </w:rPr>
        <w:t>2023. удео CHP постројења у производњи топлотне енергије у односу на садашњу инсталисану снагу топлотних извора у систему даљинског грејања износио 13,5%.</w:t>
      </w:r>
    </w:p>
    <w:p w14:paraId="54311A55" w14:textId="60C2C488" w:rsidR="006236B9" w:rsidRPr="00CF77C1" w:rsidRDefault="00984997" w:rsidP="00E1023A">
      <w:pPr>
        <w:ind w:firstLine="720"/>
        <w:rPr>
          <w:lang w:val="sr-Cyrl-RS"/>
        </w:rPr>
      </w:pPr>
      <w:r w:rsidRPr="00CF77C1">
        <w:rPr>
          <w:vertAlign w:val="superscript"/>
          <w:lang w:val="sr-Cyrl-RS"/>
        </w:rPr>
        <w:t>*</w:t>
      </w:r>
      <w:r w:rsidR="002862C5" w:rsidRPr="00CF77C1">
        <w:rPr>
          <w:vertAlign w:val="superscript"/>
          <w:lang w:val="sr-Cyrl-RS"/>
        </w:rPr>
        <w:t>2</w:t>
      </w:r>
      <w:r w:rsidRPr="00CF77C1">
        <w:rPr>
          <w:lang w:val="sr-Cyrl-RS"/>
        </w:rPr>
        <w:tab/>
      </w:r>
      <w:r w:rsidR="006236B9" w:rsidRPr="00CF77C1">
        <w:rPr>
          <w:lang w:val="sr-Cyrl-RS"/>
        </w:rPr>
        <w:t xml:space="preserve">Увећање топлотног конзума је узето у обзир преко проширења прикључене грејне површине на систем даљинског грејања. На основу појединих стратешких докумената ЈКП </w:t>
      </w:r>
      <w:r w:rsidR="00D27CE2" w:rsidRPr="00CF77C1">
        <w:rPr>
          <w:lang w:val="sr-Cyrl-RS"/>
        </w:rPr>
        <w:t>Београдске електране</w:t>
      </w:r>
      <w:r w:rsidR="006236B9" w:rsidRPr="00CF77C1">
        <w:rPr>
          <w:lang w:val="sr-Cyrl-RS"/>
        </w:rPr>
        <w:t>, а превасходно ослањајући се на стра</w:t>
      </w:r>
      <w:r w:rsidRPr="00CF77C1">
        <w:rPr>
          <w:lang w:val="sr-Cyrl-RS"/>
        </w:rPr>
        <w:t>тегију развоја Београда од 2016</w:t>
      </w:r>
      <w:r w:rsidR="000E46B6">
        <w:rPr>
          <w:lang w:val="sr-Cyrl-RS"/>
        </w:rPr>
        <w:t>.</w:t>
      </w:r>
      <w:r w:rsidR="006236B9" w:rsidRPr="00CF77C1">
        <w:rPr>
          <w:lang w:val="sr-Cyrl-RS"/>
        </w:rPr>
        <w:t xml:space="preserve"> </w:t>
      </w:r>
      <w:r w:rsidR="000E46B6">
        <w:rPr>
          <w:lang w:val="sr-Cyrl-RS"/>
        </w:rPr>
        <w:t xml:space="preserve">до </w:t>
      </w:r>
      <w:r w:rsidR="006236B9" w:rsidRPr="00CF77C1">
        <w:rPr>
          <w:lang w:val="sr-Cyrl-RS"/>
        </w:rPr>
        <w:t>2021. (највећи конзум се налази на подручју града Београда - 52%) и развоја ЈКП Београдске електране, предвиђен је раст конзума на подручју главног града од 1,289%. У том смислу, испраћена је ова пројекција за увећање топлотног конзума, израженог преко грејне површине.</w:t>
      </w:r>
    </w:p>
    <w:p w14:paraId="1B0B1CC1" w14:textId="1C2869AD" w:rsidR="00EF4EA9" w:rsidRPr="00CF77C1" w:rsidRDefault="00984997" w:rsidP="00E1023A">
      <w:pPr>
        <w:ind w:firstLine="720"/>
        <w:rPr>
          <w:lang w:val="sr-Cyrl-RS"/>
        </w:rPr>
      </w:pPr>
      <w:r w:rsidRPr="00CF77C1">
        <w:rPr>
          <w:vertAlign w:val="superscript"/>
          <w:lang w:val="sr-Cyrl-RS"/>
        </w:rPr>
        <w:t>*</w:t>
      </w:r>
      <w:r w:rsidR="002862C5" w:rsidRPr="00CF77C1">
        <w:rPr>
          <w:vertAlign w:val="superscript"/>
          <w:lang w:val="sr-Cyrl-RS"/>
        </w:rPr>
        <w:t>3</w:t>
      </w:r>
      <w:r w:rsidRPr="00CF77C1">
        <w:rPr>
          <w:lang w:val="sr-Cyrl-RS"/>
        </w:rPr>
        <w:tab/>
      </w:r>
      <w:r w:rsidR="00EF4EA9" w:rsidRPr="00CF77C1">
        <w:rPr>
          <w:lang w:val="sr-Cyrl-RS"/>
        </w:rPr>
        <w:t>Узимајући у обзир планове развоја највећих система за производњу (пре свега се мисли на ЈКП Београдске електране који са својим инсталисаним капацитетима топлотних извора покрива 42% од укупно инсталисане снаге свих котлова), дистрибуцију и снабдевање, односно могућности реалног ширења мреже, предвиђен је ширење мреже од по 1% годишње до 2020. године, а од 2020. године надаље предвиђа се стопа раста мреже од 1,5%. Као полазни податак узета је укупна дужина мреже за дистрибуцију топлоте (двоцевни систем - потисни и повратни вод).</w:t>
      </w:r>
    </w:p>
    <w:p w14:paraId="04800E85" w14:textId="5A6D60DC" w:rsidR="0080044B" w:rsidRPr="00CF77C1" w:rsidRDefault="00141BA0" w:rsidP="00141BA0">
      <w:pPr>
        <w:pStyle w:val="Heading3"/>
        <w:numPr>
          <w:ilvl w:val="0"/>
          <w:numId w:val="0"/>
        </w:numPr>
        <w:ind w:left="720"/>
        <w:rPr>
          <w:b w:val="0"/>
          <w:lang w:val="sr-Cyrl-RS"/>
        </w:rPr>
      </w:pPr>
      <w:bookmarkStart w:id="61" w:name="_Toc484260292"/>
      <w:r w:rsidRPr="00CF77C1">
        <w:rPr>
          <w:b w:val="0"/>
          <w:lang w:val="sr-Cyrl-RS"/>
        </w:rPr>
        <w:t xml:space="preserve">3.2.3. </w:t>
      </w:r>
      <w:r w:rsidR="0080044B" w:rsidRPr="00CF77C1">
        <w:rPr>
          <w:b w:val="0"/>
          <w:lang w:val="sr-Cyrl-RS"/>
        </w:rPr>
        <w:t>Листа пројеката у области топлотне енергије</w:t>
      </w:r>
      <w:bookmarkEnd w:id="60"/>
      <w:bookmarkEnd w:id="61"/>
    </w:p>
    <w:p w14:paraId="33C4EA08" w14:textId="029E0A73" w:rsidR="00221656" w:rsidRPr="00795146" w:rsidRDefault="00221656" w:rsidP="00E1023A">
      <w:pPr>
        <w:ind w:firstLine="720"/>
        <w:rPr>
          <w:lang w:val="sr-Cyrl-RS"/>
        </w:rPr>
      </w:pPr>
      <w:r w:rsidRPr="00CF77C1">
        <w:rPr>
          <w:lang w:val="sr-Cyrl-RS"/>
        </w:rPr>
        <w:t>У области топлотне е</w:t>
      </w:r>
      <w:r w:rsidR="00A70A84">
        <w:rPr>
          <w:lang w:val="sr-Cyrl-RS"/>
        </w:rPr>
        <w:t>нергије у току реализације ПОС</w:t>
      </w:r>
      <w:r w:rsidRPr="00CF77C1">
        <w:rPr>
          <w:lang w:val="sr-Cyrl-RS"/>
        </w:rPr>
        <w:t xml:space="preserve"> започеће се са реализацијом </w:t>
      </w:r>
      <w:r w:rsidRPr="00795146">
        <w:rPr>
          <w:lang w:val="sr-Cyrl-RS"/>
        </w:rPr>
        <w:t>следећих пројеката из области топлотне енергије:</w:t>
      </w:r>
    </w:p>
    <w:p w14:paraId="3FB9A429" w14:textId="1BF7C7C4" w:rsidR="0080044B" w:rsidRPr="00795146" w:rsidRDefault="00141BA0" w:rsidP="00795146">
      <w:pPr>
        <w:pStyle w:val="ListParagraph"/>
        <w:keepNext/>
        <w:numPr>
          <w:ilvl w:val="0"/>
          <w:numId w:val="14"/>
        </w:numPr>
        <w:ind w:left="0" w:firstLine="720"/>
        <w:contextualSpacing w:val="0"/>
        <w:rPr>
          <w:lang w:val="sr-Cyrl-RS"/>
        </w:rPr>
      </w:pPr>
      <w:bookmarkStart w:id="62" w:name="_Ref476806021"/>
      <w:r w:rsidRPr="00795146">
        <w:rPr>
          <w:lang w:val="sr-Cyrl-RS"/>
        </w:rPr>
        <w:t>с</w:t>
      </w:r>
      <w:r w:rsidR="00221656" w:rsidRPr="00795146">
        <w:rPr>
          <w:lang w:val="sr-Cyrl-RS"/>
        </w:rPr>
        <w:t>набдевање Београда топлотном енергијом из ТЕ „Никола Тесла А” топлодалеководом капацитета од 600 MW топлотне енергије</w:t>
      </w:r>
      <w:bookmarkEnd w:id="62"/>
    </w:p>
    <w:p w14:paraId="0A408D0E" w14:textId="7F9244FE" w:rsidR="00221656" w:rsidRPr="00CF77C1" w:rsidRDefault="00141BA0" w:rsidP="00E1023A">
      <w:pPr>
        <w:pStyle w:val="ListParagraph"/>
        <w:keepNext/>
        <w:numPr>
          <w:ilvl w:val="0"/>
          <w:numId w:val="14"/>
        </w:numPr>
        <w:ind w:left="0" w:firstLine="720"/>
        <w:contextualSpacing w:val="0"/>
        <w:rPr>
          <w:lang w:val="sr-Cyrl-RS"/>
        </w:rPr>
      </w:pPr>
      <w:bookmarkStart w:id="63" w:name="_Ref476806036"/>
      <w:r w:rsidRPr="00CF77C1">
        <w:rPr>
          <w:lang w:val="sr-Cyrl-RS"/>
        </w:rPr>
        <w:t>и</w:t>
      </w:r>
      <w:r w:rsidR="00221656" w:rsidRPr="00CF77C1">
        <w:rPr>
          <w:lang w:val="sr-Cyrl-RS"/>
        </w:rPr>
        <w:t>зградња но</w:t>
      </w:r>
      <w:r w:rsidR="006C44D2">
        <w:rPr>
          <w:lang w:val="sr-Cyrl-RS"/>
        </w:rPr>
        <w:t>вих топлотних извора, гашење до</w:t>
      </w:r>
      <w:r w:rsidR="00221656" w:rsidRPr="00CF77C1">
        <w:rPr>
          <w:lang w:val="sr-Cyrl-RS"/>
        </w:rPr>
        <w:t>трајалих и неусловних котларница, конверзија горива, прелазак на коришћење ОИЕ, уградња екстерних економајзера на димни тракт ради искоришћења отпадне топлоте димног гаса, унапређење система за аутоматску контролу топлотних извора, CHP постројења</w:t>
      </w:r>
      <w:bookmarkEnd w:id="63"/>
    </w:p>
    <w:p w14:paraId="6817BDD6" w14:textId="4F9DD712" w:rsidR="00221656" w:rsidRPr="00CF77C1" w:rsidRDefault="00141BA0" w:rsidP="00E1023A">
      <w:pPr>
        <w:pStyle w:val="ListParagraph"/>
        <w:keepNext/>
        <w:numPr>
          <w:ilvl w:val="0"/>
          <w:numId w:val="14"/>
        </w:numPr>
        <w:ind w:left="0" w:firstLine="720"/>
        <w:contextualSpacing w:val="0"/>
        <w:rPr>
          <w:lang w:val="sr-Cyrl-RS"/>
        </w:rPr>
      </w:pPr>
      <w:bookmarkStart w:id="64" w:name="_Ref476806038"/>
      <w:r w:rsidRPr="00CF77C1">
        <w:rPr>
          <w:lang w:val="sr-Cyrl-RS"/>
        </w:rPr>
        <w:t>р</w:t>
      </w:r>
      <w:r w:rsidR="00221656" w:rsidRPr="00CF77C1">
        <w:rPr>
          <w:lang w:val="sr-Cyrl-RS"/>
        </w:rPr>
        <w:t>ехабилитација мреже даљинског грејања уз замену дотрајалих деоница дистрибутивног топловода, даљи развој мреже ради прикључивања нових крајњих купаца топлотне енергије</w:t>
      </w:r>
      <w:bookmarkEnd w:id="64"/>
    </w:p>
    <w:p w14:paraId="12D24DA1" w14:textId="131A376A" w:rsidR="00221656" w:rsidRPr="00CF77C1" w:rsidRDefault="00141BA0" w:rsidP="00E1023A">
      <w:pPr>
        <w:pStyle w:val="ListParagraph"/>
        <w:keepNext/>
        <w:numPr>
          <w:ilvl w:val="0"/>
          <w:numId w:val="14"/>
        </w:numPr>
        <w:ind w:left="0" w:firstLine="720"/>
        <w:contextualSpacing w:val="0"/>
        <w:rPr>
          <w:lang w:val="sr-Cyrl-RS"/>
        </w:rPr>
      </w:pPr>
      <w:bookmarkStart w:id="65" w:name="_Ref476806040"/>
      <w:r w:rsidRPr="00CF77C1">
        <w:rPr>
          <w:lang w:val="sr-Cyrl-RS"/>
        </w:rPr>
        <w:t>р</w:t>
      </w:r>
      <w:r w:rsidR="00221656" w:rsidRPr="00CF77C1">
        <w:rPr>
          <w:lang w:val="sr-Cyrl-RS"/>
        </w:rPr>
        <w:t xml:space="preserve">ехабилитација система даљинског грејања у </w:t>
      </w:r>
      <w:r w:rsidR="00EC16A1" w:rsidRPr="00CF77C1">
        <w:rPr>
          <w:lang w:val="sr-Cyrl-RS"/>
        </w:rPr>
        <w:t xml:space="preserve">Републици </w:t>
      </w:r>
      <w:r w:rsidR="00221656" w:rsidRPr="00CF77C1">
        <w:rPr>
          <w:lang w:val="sr-Cyrl-RS"/>
        </w:rPr>
        <w:t>Србији - Фаза V</w:t>
      </w:r>
      <w:bookmarkEnd w:id="65"/>
    </w:p>
    <w:p w14:paraId="6010B9EC" w14:textId="037557DD" w:rsidR="00221656" w:rsidRPr="00CF77C1" w:rsidRDefault="00141BA0" w:rsidP="00E1023A">
      <w:pPr>
        <w:pStyle w:val="ListParagraph"/>
        <w:keepNext/>
        <w:numPr>
          <w:ilvl w:val="0"/>
          <w:numId w:val="14"/>
        </w:numPr>
        <w:ind w:left="0" w:firstLine="720"/>
        <w:contextualSpacing w:val="0"/>
        <w:rPr>
          <w:lang w:val="sr-Cyrl-RS"/>
        </w:rPr>
      </w:pPr>
      <w:bookmarkStart w:id="66" w:name="_Ref476806042"/>
      <w:r w:rsidRPr="00CF77C1">
        <w:rPr>
          <w:lang w:val="sr-Cyrl-RS"/>
        </w:rPr>
        <w:t>п</w:t>
      </w:r>
      <w:r w:rsidR="00221656" w:rsidRPr="00CF77C1">
        <w:rPr>
          <w:lang w:val="sr-Cyrl-RS"/>
        </w:rPr>
        <w:t>одстицај коришћења обновљивих извора енергије: Развој тржишта биомасе у</w:t>
      </w:r>
      <w:r w:rsidR="00EC16A1" w:rsidRPr="00CF77C1">
        <w:rPr>
          <w:lang w:val="sr-Cyrl-RS"/>
        </w:rPr>
        <w:t xml:space="preserve"> </w:t>
      </w:r>
      <w:r w:rsidR="00221656" w:rsidRPr="00CF77C1">
        <w:rPr>
          <w:lang w:val="sr-Cyrl-RS"/>
        </w:rPr>
        <w:t>Србији (BMZ-ID 201197888)</w:t>
      </w:r>
      <w:bookmarkEnd w:id="66"/>
    </w:p>
    <w:p w14:paraId="4FDB9A4D" w14:textId="77777777" w:rsidR="0080044B" w:rsidRPr="00CF77C1" w:rsidRDefault="0080044B" w:rsidP="00221656">
      <w:pPr>
        <w:rPr>
          <w:lang w:val="sr-Cyrl-RS"/>
        </w:rPr>
      </w:pPr>
    </w:p>
    <w:p w14:paraId="38A57427" w14:textId="77777777" w:rsidR="00221656" w:rsidRPr="00CF77C1" w:rsidRDefault="00221656" w:rsidP="00221656">
      <w:pPr>
        <w:rPr>
          <w:lang w:val="sr-Cyrl-RS"/>
        </w:rPr>
        <w:sectPr w:rsidR="00221656" w:rsidRPr="00CF77C1" w:rsidSect="00E1023A">
          <w:headerReference w:type="default" r:id="rId48"/>
          <w:footerReference w:type="default" r:id="rId49"/>
          <w:pgSz w:w="11907" w:h="16839" w:code="9"/>
          <w:pgMar w:top="1134" w:right="1287" w:bottom="1134" w:left="1350" w:header="720" w:footer="720" w:gutter="0"/>
          <w:cols w:space="720"/>
          <w:docGrid w:linePitch="360"/>
        </w:sectPr>
      </w:pPr>
    </w:p>
    <w:p w14:paraId="36BB5AE8" w14:textId="19796506" w:rsidR="0080044B" w:rsidRPr="00CF77C1" w:rsidRDefault="0080044B" w:rsidP="00E1023A">
      <w:pPr>
        <w:pStyle w:val="Caption"/>
        <w:ind w:firstLine="720"/>
        <w:rPr>
          <w:b w:val="0"/>
          <w:lang w:val="sr-Cyrl-RS"/>
        </w:rPr>
      </w:pPr>
      <w:bookmarkStart w:id="67" w:name="_Ref475640464"/>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29</w:t>
      </w:r>
      <w:r w:rsidR="0092145E" w:rsidRPr="00CF77C1">
        <w:rPr>
          <w:b w:val="0"/>
          <w:lang w:val="sr-Cyrl-RS"/>
        </w:rPr>
        <w:fldChar w:fldCharType="end"/>
      </w:r>
      <w:bookmarkEnd w:id="67"/>
      <w:r w:rsidRPr="00CF77C1">
        <w:rPr>
          <w:b w:val="0"/>
          <w:lang w:val="sr-Cyrl-RS"/>
        </w:rPr>
        <w:t>: Основне карактеристике и ефекти пројекта</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2404"/>
        <w:gridCol w:w="5953"/>
        <w:gridCol w:w="4285"/>
      </w:tblGrid>
      <w:tr w:rsidR="00D86A7B" w:rsidRPr="00CF77C1" w14:paraId="36200947" w14:textId="77777777" w:rsidTr="00F10D3F">
        <w:trPr>
          <w:cantSplit/>
          <w:tblHeader/>
        </w:trPr>
        <w:tc>
          <w:tcPr>
            <w:tcW w:w="793" w:type="pct"/>
            <w:tcBorders>
              <w:top w:val="single" w:sz="4" w:space="0" w:color="auto"/>
              <w:left w:val="single" w:sz="4" w:space="0" w:color="auto"/>
              <w:bottom w:val="single" w:sz="4" w:space="0" w:color="auto"/>
              <w:right w:val="single" w:sz="4" w:space="0" w:color="auto"/>
            </w:tcBorders>
            <w:shd w:val="clear" w:color="auto" w:fill="auto"/>
            <w:vAlign w:val="center"/>
          </w:tcPr>
          <w:p w14:paraId="6932D398" w14:textId="77777777" w:rsidR="00D86A7B" w:rsidRPr="00CF77C1" w:rsidRDefault="00D86A7B" w:rsidP="00F10D3F">
            <w:pPr>
              <w:jc w:val="center"/>
              <w:rPr>
                <w:lang w:val="sr-Cyrl-RS"/>
              </w:rPr>
            </w:pPr>
            <w:r w:rsidRPr="00CF77C1">
              <w:rPr>
                <w:lang w:val="sr-Cyrl-RS"/>
              </w:rPr>
              <w:t>Техничке карактеристике</w:t>
            </w:r>
          </w:p>
        </w:tc>
        <w:tc>
          <w:tcPr>
            <w:tcW w:w="800" w:type="pct"/>
            <w:tcBorders>
              <w:top w:val="single" w:sz="4" w:space="0" w:color="auto"/>
              <w:left w:val="single" w:sz="4" w:space="0" w:color="auto"/>
              <w:bottom w:val="single" w:sz="4" w:space="0" w:color="auto"/>
              <w:right w:val="single" w:sz="4" w:space="0" w:color="auto"/>
            </w:tcBorders>
            <w:shd w:val="clear" w:color="auto" w:fill="auto"/>
            <w:vAlign w:val="center"/>
          </w:tcPr>
          <w:p w14:paraId="5DEC4D00" w14:textId="77777777" w:rsidR="00D86A7B" w:rsidRPr="00CF77C1" w:rsidRDefault="00D86A7B" w:rsidP="00F10D3F">
            <w:pPr>
              <w:jc w:val="center"/>
              <w:rPr>
                <w:lang w:val="sr-Cyrl-RS"/>
              </w:rPr>
            </w:pPr>
            <w:r w:rsidRPr="00CF77C1">
              <w:rPr>
                <w:lang w:val="sr-Cyrl-RS"/>
              </w:rPr>
              <w:t>Вредност пројекта и извор средстава</w:t>
            </w:r>
          </w:p>
        </w:tc>
        <w:tc>
          <w:tcPr>
            <w:tcW w:w="1981" w:type="pct"/>
            <w:tcBorders>
              <w:top w:val="single" w:sz="4" w:space="0" w:color="auto"/>
              <w:left w:val="single" w:sz="4" w:space="0" w:color="auto"/>
              <w:bottom w:val="single" w:sz="4" w:space="0" w:color="auto"/>
              <w:right w:val="single" w:sz="4" w:space="0" w:color="auto"/>
            </w:tcBorders>
            <w:shd w:val="clear" w:color="auto" w:fill="auto"/>
            <w:vAlign w:val="center"/>
          </w:tcPr>
          <w:p w14:paraId="4D52F096" w14:textId="77777777" w:rsidR="00D86A7B" w:rsidRPr="00CF77C1" w:rsidRDefault="00D86A7B" w:rsidP="00F10D3F">
            <w:pPr>
              <w:jc w:val="center"/>
              <w:rPr>
                <w:lang w:val="sr-Cyrl-RS"/>
              </w:rPr>
            </w:pPr>
            <w:r w:rsidRPr="00CF77C1">
              <w:rPr>
                <w:lang w:val="sr-Cyrl-RS"/>
              </w:rPr>
              <w:t>Опис ефеката реализације</w:t>
            </w: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tcPr>
          <w:p w14:paraId="01E48070" w14:textId="77777777" w:rsidR="00D86A7B" w:rsidRPr="00CF77C1" w:rsidRDefault="00D86A7B" w:rsidP="00F10D3F">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D86A7B" w:rsidRPr="00CF77C1" w14:paraId="4428D0C2" w14:textId="77777777" w:rsidTr="00F10D3F">
        <w:trPr>
          <w:cantSplit/>
        </w:trPr>
        <w:tc>
          <w:tcPr>
            <w:tcW w:w="793" w:type="pct"/>
            <w:shd w:val="clear" w:color="auto" w:fill="auto"/>
            <w:vAlign w:val="center"/>
          </w:tcPr>
          <w:p w14:paraId="0610B24E" w14:textId="2FECFB22" w:rsidR="00D86A7B" w:rsidRPr="00CF77C1" w:rsidRDefault="00D86A7B" w:rsidP="00E62843">
            <w:pPr>
              <w:jc w:val="left"/>
              <w:rPr>
                <w:sz w:val="22"/>
                <w:szCs w:val="22"/>
                <w:lang w:val="sr-Cyrl-RS"/>
              </w:rPr>
            </w:pPr>
            <w:r w:rsidRPr="00CF77C1">
              <w:rPr>
                <w:sz w:val="22"/>
                <w:szCs w:val="22"/>
                <w:lang w:val="sr-Cyrl-RS"/>
              </w:rPr>
              <w:t>Снабдевање Београда топлотном енергијом</w:t>
            </w:r>
            <w:r w:rsidR="00E62843" w:rsidRPr="00CF77C1">
              <w:rPr>
                <w:sz w:val="22"/>
                <w:szCs w:val="22"/>
                <w:lang w:val="sr-Cyrl-RS"/>
              </w:rPr>
              <w:t xml:space="preserve"> </w:t>
            </w:r>
            <w:r w:rsidRPr="00CF77C1">
              <w:rPr>
                <w:sz w:val="22"/>
                <w:szCs w:val="22"/>
                <w:lang w:val="sr-Cyrl-RS"/>
              </w:rPr>
              <w:t>из ТЕ „Никола Тесла А</w:t>
            </w:r>
            <w:r w:rsidR="00AD5740" w:rsidRPr="00CF77C1">
              <w:rPr>
                <w:sz w:val="22"/>
                <w:szCs w:val="22"/>
                <w:lang w:val="sr-Cyrl-RS"/>
              </w:rPr>
              <w:t>”</w:t>
            </w:r>
            <w:r w:rsidRPr="00CF77C1">
              <w:rPr>
                <w:sz w:val="22"/>
                <w:szCs w:val="22"/>
                <w:lang w:val="sr-Cyrl-RS"/>
              </w:rPr>
              <w:t xml:space="preserve"> топлодалеководом капацитета од 600 MW топлотне енергије</w:t>
            </w:r>
          </w:p>
        </w:tc>
        <w:tc>
          <w:tcPr>
            <w:tcW w:w="800" w:type="pct"/>
            <w:shd w:val="clear" w:color="auto" w:fill="auto"/>
            <w:vAlign w:val="center"/>
          </w:tcPr>
          <w:p w14:paraId="499505B8" w14:textId="39303394" w:rsidR="00D86A7B" w:rsidRPr="00CF77C1" w:rsidRDefault="00D86A7B" w:rsidP="00F10D3F">
            <w:pPr>
              <w:jc w:val="center"/>
              <w:rPr>
                <w:sz w:val="22"/>
                <w:szCs w:val="22"/>
                <w:lang w:val="sr-Cyrl-RS"/>
              </w:rPr>
            </w:pPr>
            <w:r w:rsidRPr="00CF77C1">
              <w:rPr>
                <w:sz w:val="22"/>
                <w:szCs w:val="22"/>
                <w:lang w:val="sr-Cyrl-RS"/>
              </w:rPr>
              <w:t xml:space="preserve">165.000.000,00 </w:t>
            </w:r>
            <w:r w:rsidR="00547038" w:rsidRPr="00CF77C1">
              <w:rPr>
                <w:sz w:val="22"/>
                <w:szCs w:val="22"/>
                <w:lang w:val="sr-Cyrl-RS"/>
              </w:rPr>
              <w:t>€</w:t>
            </w:r>
          </w:p>
          <w:p w14:paraId="75094433" w14:textId="77777777" w:rsidR="00D86A7B" w:rsidRPr="00CF77C1" w:rsidRDefault="00D86A7B" w:rsidP="00F10D3F">
            <w:pPr>
              <w:jc w:val="center"/>
              <w:rPr>
                <w:sz w:val="22"/>
                <w:szCs w:val="22"/>
                <w:lang w:val="sr-Cyrl-RS"/>
              </w:rPr>
            </w:pPr>
            <w:r w:rsidRPr="00CF77C1">
              <w:rPr>
                <w:sz w:val="22"/>
                <w:szCs w:val="22"/>
                <w:lang w:val="sr-Cyrl-RS"/>
              </w:rPr>
              <w:t>Модел финансирања ће бити накнадно утврђен</w:t>
            </w:r>
          </w:p>
        </w:tc>
        <w:tc>
          <w:tcPr>
            <w:tcW w:w="1981" w:type="pct"/>
            <w:shd w:val="clear" w:color="auto" w:fill="auto"/>
            <w:vAlign w:val="center"/>
          </w:tcPr>
          <w:p w14:paraId="7F8A48FE" w14:textId="4531FB5D" w:rsidR="00D86A7B" w:rsidRPr="007F160C" w:rsidRDefault="00D86A7B" w:rsidP="00F10D3F">
            <w:pPr>
              <w:jc w:val="left"/>
              <w:rPr>
                <w:sz w:val="20"/>
                <w:lang w:val="sr-Cyrl-RS"/>
              </w:rPr>
            </w:pPr>
            <w:r w:rsidRPr="007F160C">
              <w:rPr>
                <w:sz w:val="20"/>
                <w:lang w:val="sr-Cyrl-RS"/>
              </w:rPr>
              <w:t>Предвиђени капацитет топловода од 600 MWth обезбеђује топлотну енергију за више од 50% топлотног конзума топлане Нови Београд. Комплементарни пројекат је и повезивање великих и ефикаснијих топлана (Нови Београд, Дунав, Коњарник</w:t>
            </w:r>
            <w:r w:rsidR="00C560B5" w:rsidRPr="007F160C">
              <w:rPr>
                <w:sz w:val="20"/>
                <w:lang w:val="sr-Cyrl-RS"/>
              </w:rPr>
              <w:t>,</w:t>
            </w:r>
            <w:r w:rsidRPr="007F160C">
              <w:rPr>
                <w:sz w:val="20"/>
                <w:lang w:val="sr-Cyrl-RS"/>
              </w:rPr>
              <w:t>...) у јединствен систем за снабдевање потрошача, као и уградња система складишта топлотне енергије. СДГ Београда ће се потенцијално снабдевати са 600 МWth из блокова А3 до А6 ТЕНТ-А, што ће утицати на смањење расположиве снаге на ТЕНТ А од око 150 MWe.</w:t>
            </w:r>
          </w:p>
          <w:p w14:paraId="771F2AD6" w14:textId="77777777" w:rsidR="00D86A7B" w:rsidRPr="007F160C" w:rsidRDefault="00D86A7B" w:rsidP="00F10D3F">
            <w:pPr>
              <w:spacing w:before="0" w:after="0"/>
              <w:jc w:val="left"/>
              <w:rPr>
                <w:sz w:val="20"/>
                <w:lang w:val="sr-Cyrl-RS"/>
              </w:rPr>
            </w:pPr>
            <w:r w:rsidRPr="007F160C">
              <w:rPr>
                <w:sz w:val="20"/>
                <w:lang w:val="sr-Cyrl-RS"/>
              </w:rPr>
              <w:t>Пројекат омогућава:</w:t>
            </w:r>
          </w:p>
          <w:p w14:paraId="01BB499C" w14:textId="77777777" w:rsidR="00D86A7B" w:rsidRPr="007F160C" w:rsidRDefault="00D86A7B" w:rsidP="00F10D3F">
            <w:pPr>
              <w:spacing w:before="0" w:after="0"/>
              <w:jc w:val="left"/>
              <w:rPr>
                <w:sz w:val="20"/>
                <w:lang w:val="sr-Cyrl-RS"/>
              </w:rPr>
            </w:pPr>
            <w:r w:rsidRPr="007F160C">
              <w:rPr>
                <w:sz w:val="20"/>
                <w:lang w:val="sr-Cyrl-RS"/>
              </w:rPr>
              <w:t>- повећање удела производње/коришћење топлотне енергије из CHP постројења (овај пројекат доприноси да се за 8,7% увећа учешће CHP постројења из којих се производи топлотна енергија у односу на досадашњи инсталисани капацитет топлотних извора у СДГ);</w:t>
            </w:r>
          </w:p>
          <w:p w14:paraId="09038E83" w14:textId="77777777" w:rsidR="00D86A7B" w:rsidRPr="007F160C" w:rsidRDefault="00D86A7B" w:rsidP="00F10D3F">
            <w:pPr>
              <w:spacing w:before="0" w:after="0"/>
              <w:jc w:val="left"/>
              <w:rPr>
                <w:sz w:val="20"/>
                <w:lang w:val="sr-Cyrl-RS"/>
              </w:rPr>
            </w:pPr>
            <w:r w:rsidRPr="007F160C">
              <w:rPr>
                <w:sz w:val="20"/>
                <w:lang w:val="sr-Cyrl-RS"/>
              </w:rPr>
              <w:t>- смањење потрошње увозних енергената и увозне зависности (уштеда у примарној енергији је еквивалентна 164.940.000 m</w:t>
            </w:r>
            <w:r w:rsidRPr="007F160C">
              <w:rPr>
                <w:sz w:val="20"/>
                <w:vertAlign w:val="superscript"/>
                <w:lang w:val="sr-Cyrl-RS"/>
              </w:rPr>
              <w:t>3</w:t>
            </w:r>
            <w:r w:rsidRPr="007F160C">
              <w:rPr>
                <w:sz w:val="20"/>
                <w:lang w:val="sr-Cyrl-RS"/>
              </w:rPr>
              <w:t>/год (н.у));</w:t>
            </w:r>
          </w:p>
          <w:p w14:paraId="687EEAD7" w14:textId="77777777" w:rsidR="00D86A7B" w:rsidRPr="007F160C" w:rsidRDefault="00D86A7B" w:rsidP="00F10D3F">
            <w:pPr>
              <w:spacing w:before="0" w:after="0"/>
              <w:jc w:val="left"/>
              <w:rPr>
                <w:sz w:val="20"/>
                <w:lang w:val="sr-Cyrl-RS"/>
              </w:rPr>
            </w:pPr>
            <w:r w:rsidRPr="007F160C">
              <w:rPr>
                <w:sz w:val="20"/>
                <w:lang w:val="sr-Cyrl-RS"/>
              </w:rPr>
              <w:t>- смањење штетних емисија и унапређење заштите животне средине (умањење емисије CO</w:t>
            </w:r>
            <w:r w:rsidRPr="007F160C">
              <w:rPr>
                <w:sz w:val="20"/>
                <w:vertAlign w:val="subscript"/>
                <w:lang w:val="sr-Cyrl-RS"/>
              </w:rPr>
              <w:t>2</w:t>
            </w:r>
            <w:r w:rsidRPr="007F160C">
              <w:rPr>
                <w:sz w:val="20"/>
                <w:lang w:val="sr-Cyrl-RS"/>
              </w:rPr>
              <w:t xml:space="preserve"> за 327.876 t/год.;</w:t>
            </w:r>
          </w:p>
          <w:p w14:paraId="6804343A" w14:textId="522EEA91" w:rsidR="00D86A7B" w:rsidRPr="007F160C" w:rsidRDefault="00D86A7B" w:rsidP="00F10D3F">
            <w:pPr>
              <w:spacing w:before="0" w:after="0"/>
              <w:jc w:val="left"/>
              <w:rPr>
                <w:sz w:val="20"/>
                <w:lang w:val="sr-Cyrl-RS"/>
              </w:rPr>
            </w:pPr>
            <w:r w:rsidRPr="007F160C">
              <w:rPr>
                <w:sz w:val="20"/>
                <w:lang w:val="sr-Cyrl-RS"/>
              </w:rPr>
              <w:t xml:space="preserve">- смањење употреба фосилних горива у ЈКП </w:t>
            </w:r>
            <w:r w:rsidR="002D451D" w:rsidRPr="007F160C">
              <w:rPr>
                <w:sz w:val="20"/>
                <w:lang w:val="sr-Cyrl-RS"/>
              </w:rPr>
              <w:t>„</w:t>
            </w:r>
            <w:r w:rsidRPr="007F160C">
              <w:rPr>
                <w:sz w:val="20"/>
                <w:lang w:val="sr-Cyrl-RS"/>
              </w:rPr>
              <w:t>Б</w:t>
            </w:r>
            <w:r w:rsidR="002D451D" w:rsidRPr="007F160C">
              <w:rPr>
                <w:sz w:val="20"/>
                <w:lang w:val="sr-Cyrl-RS"/>
              </w:rPr>
              <w:t>еоградске електране”</w:t>
            </w:r>
            <w:r w:rsidRPr="007F160C">
              <w:rPr>
                <w:sz w:val="20"/>
                <w:lang w:val="sr-Cyrl-RS"/>
              </w:rPr>
              <w:t>;</w:t>
            </w:r>
          </w:p>
          <w:p w14:paraId="045488D7" w14:textId="77777777" w:rsidR="00D86A7B" w:rsidRPr="007F160C" w:rsidRDefault="00D86A7B" w:rsidP="00F10D3F">
            <w:pPr>
              <w:spacing w:before="0" w:after="0"/>
              <w:jc w:val="left"/>
              <w:rPr>
                <w:sz w:val="20"/>
                <w:lang w:val="sr-Cyrl-RS"/>
              </w:rPr>
            </w:pPr>
            <w:r w:rsidRPr="007F160C">
              <w:rPr>
                <w:sz w:val="20"/>
                <w:lang w:val="sr-Cyrl-RS"/>
              </w:rPr>
              <w:t>- повећана је сигурност рада ел. енергетског система због поузданог СДГ;</w:t>
            </w:r>
          </w:p>
          <w:p w14:paraId="3A124592" w14:textId="77777777" w:rsidR="00D86A7B" w:rsidRPr="007F160C" w:rsidRDefault="00D86A7B" w:rsidP="00F10D3F">
            <w:pPr>
              <w:spacing w:before="0" w:after="0"/>
              <w:jc w:val="left"/>
              <w:rPr>
                <w:sz w:val="20"/>
                <w:lang w:val="sr-Cyrl-RS"/>
              </w:rPr>
            </w:pPr>
            <w:r w:rsidRPr="007F160C">
              <w:rPr>
                <w:sz w:val="20"/>
                <w:lang w:val="sr-Cyrl-RS"/>
              </w:rPr>
              <w:t>- нижа цена грејања за крајње купце и могућност прикључења нових крајњих купаца на СДГ;</w:t>
            </w:r>
          </w:p>
          <w:p w14:paraId="6A03C4FC" w14:textId="77777777" w:rsidR="00D86A7B" w:rsidRPr="007F160C" w:rsidRDefault="00D86A7B" w:rsidP="00F10D3F">
            <w:pPr>
              <w:spacing w:before="0" w:after="0"/>
              <w:jc w:val="left"/>
              <w:rPr>
                <w:sz w:val="20"/>
                <w:lang w:val="sr-Cyrl-RS"/>
              </w:rPr>
            </w:pPr>
            <w:r w:rsidRPr="007F160C">
              <w:rPr>
                <w:sz w:val="20"/>
                <w:lang w:val="sr-Cyrl-RS"/>
              </w:rPr>
              <w:t>- стабилност цене грејања у дужем периоду;</w:t>
            </w:r>
          </w:p>
          <w:p w14:paraId="2DA8D44F" w14:textId="77777777" w:rsidR="00D86A7B" w:rsidRPr="007F160C" w:rsidRDefault="00D86A7B" w:rsidP="00F10D3F">
            <w:pPr>
              <w:spacing w:before="0" w:after="0"/>
              <w:jc w:val="left"/>
              <w:rPr>
                <w:sz w:val="20"/>
                <w:lang w:val="sr-Cyrl-RS"/>
              </w:rPr>
            </w:pPr>
            <w:r w:rsidRPr="007F160C">
              <w:rPr>
                <w:sz w:val="20"/>
                <w:lang w:val="sr-Cyrl-RS"/>
              </w:rPr>
              <w:t>- брз повраћај инвестираних средстава;</w:t>
            </w:r>
          </w:p>
          <w:p w14:paraId="40E5AF98" w14:textId="24ACDA02" w:rsidR="00D86A7B" w:rsidRPr="007F160C" w:rsidRDefault="00D86A7B" w:rsidP="00F10D3F">
            <w:pPr>
              <w:jc w:val="left"/>
              <w:rPr>
                <w:sz w:val="20"/>
                <w:lang w:val="sr-Cyrl-RS"/>
              </w:rPr>
            </w:pPr>
            <w:r w:rsidRPr="007F160C">
              <w:rPr>
                <w:sz w:val="20"/>
                <w:lang w:val="sr-Cyrl-RS"/>
              </w:rPr>
              <w:t>- могућност гашења локалних котларница - највећих загађивача</w:t>
            </w:r>
            <w:r w:rsidR="006A70A0" w:rsidRPr="007F160C">
              <w:rPr>
                <w:sz w:val="20"/>
                <w:lang w:val="sr-Cyrl-RS"/>
              </w:rPr>
              <w:t>.</w:t>
            </w:r>
          </w:p>
        </w:tc>
        <w:tc>
          <w:tcPr>
            <w:tcW w:w="1426" w:type="pct"/>
            <w:shd w:val="clear" w:color="auto" w:fill="auto"/>
            <w:vAlign w:val="center"/>
          </w:tcPr>
          <w:p w14:paraId="468E2C57" w14:textId="3090CDDC" w:rsidR="00D86A7B" w:rsidRPr="00CF77C1" w:rsidRDefault="00D86A7B" w:rsidP="00F10D3F">
            <w:pPr>
              <w:jc w:val="left"/>
              <w:rPr>
                <w:sz w:val="22"/>
                <w:szCs w:val="22"/>
                <w:lang w:val="sr-Cyrl-RS"/>
              </w:rPr>
            </w:pPr>
            <w:r w:rsidRPr="00CF77C1">
              <w:rPr>
                <w:sz w:val="22"/>
                <w:szCs w:val="22"/>
                <w:lang w:val="sr-Cyrl-RS"/>
              </w:rPr>
              <w:t>Уштеда у примарној енергији за 600 MWth:</w:t>
            </w:r>
          </w:p>
          <w:p w14:paraId="5747E271" w14:textId="16345100" w:rsidR="00D86A7B" w:rsidRPr="00CF77C1" w:rsidRDefault="00D86A7B" w:rsidP="00F10D3F">
            <w:pPr>
              <w:jc w:val="left"/>
              <w:rPr>
                <w:sz w:val="22"/>
                <w:szCs w:val="22"/>
                <w:lang w:val="sr-Cyrl-RS"/>
              </w:rPr>
            </w:pPr>
            <w:r w:rsidRPr="00CF77C1">
              <w:rPr>
                <w:sz w:val="22"/>
                <w:szCs w:val="22"/>
                <w:lang w:val="sr-Cyrl-RS"/>
              </w:rPr>
              <w:t xml:space="preserve">- изражено у природном </w:t>
            </w:r>
            <w:r w:rsidR="003401B0" w:rsidRPr="00CF77C1">
              <w:rPr>
                <w:sz w:val="22"/>
                <w:szCs w:val="22"/>
                <w:lang w:val="sr-Cyrl-RS"/>
              </w:rPr>
              <w:t xml:space="preserve">гасу </w:t>
            </w:r>
            <w:r w:rsidRPr="00CF77C1">
              <w:rPr>
                <w:sz w:val="22"/>
                <w:szCs w:val="22"/>
                <w:lang w:val="sr-Cyrl-RS"/>
              </w:rPr>
              <w:t>износи 164.940.000 m</w:t>
            </w:r>
            <w:r w:rsidRPr="00CF77C1">
              <w:rPr>
                <w:sz w:val="22"/>
                <w:szCs w:val="22"/>
                <w:vertAlign w:val="superscript"/>
                <w:lang w:val="sr-Cyrl-RS"/>
              </w:rPr>
              <w:t>3</w:t>
            </w:r>
            <w:r w:rsidRPr="00CF77C1">
              <w:rPr>
                <w:sz w:val="22"/>
                <w:szCs w:val="22"/>
                <w:lang w:val="sr-Cyrl-RS"/>
              </w:rPr>
              <w:t>/год (н.у.)</w:t>
            </w:r>
            <w:r w:rsidR="006A70A0">
              <w:rPr>
                <w:sz w:val="22"/>
                <w:szCs w:val="22"/>
                <w:lang w:val="sr-Cyrl-RS"/>
              </w:rPr>
              <w:t>;</w:t>
            </w:r>
          </w:p>
          <w:p w14:paraId="7BC6E4E9" w14:textId="77777777" w:rsidR="00D86A7B" w:rsidRPr="00CF77C1" w:rsidRDefault="00D86A7B" w:rsidP="00F10D3F">
            <w:pPr>
              <w:jc w:val="left"/>
              <w:rPr>
                <w:sz w:val="22"/>
                <w:szCs w:val="22"/>
                <w:lang w:val="sr-Cyrl-RS"/>
              </w:rPr>
            </w:pPr>
            <w:r w:rsidRPr="00CF77C1">
              <w:rPr>
                <w:sz w:val="22"/>
                <w:szCs w:val="22"/>
                <w:lang w:val="sr-Cyrl-RS"/>
              </w:rPr>
              <w:t>- изражено у мазуту 143.167.920 kg/год.</w:t>
            </w:r>
          </w:p>
          <w:p w14:paraId="1848B303" w14:textId="77777777" w:rsidR="00D86A7B" w:rsidRPr="00CF77C1" w:rsidRDefault="00D86A7B" w:rsidP="00F10D3F">
            <w:pPr>
              <w:jc w:val="left"/>
              <w:rPr>
                <w:sz w:val="22"/>
                <w:szCs w:val="22"/>
                <w:lang w:val="sr-Cyrl-RS"/>
              </w:rPr>
            </w:pPr>
            <w:r w:rsidRPr="00CF77C1">
              <w:rPr>
                <w:sz w:val="22"/>
                <w:szCs w:val="22"/>
                <w:lang w:val="sr-Cyrl-RS"/>
              </w:rPr>
              <w:t>Умањење емисије CO</w:t>
            </w:r>
            <w:r w:rsidRPr="00CF77C1">
              <w:rPr>
                <w:sz w:val="22"/>
                <w:szCs w:val="22"/>
                <w:vertAlign w:val="subscript"/>
                <w:lang w:val="sr-Cyrl-RS"/>
              </w:rPr>
              <w:t>2</w:t>
            </w:r>
            <w:r w:rsidRPr="00CF77C1">
              <w:rPr>
                <w:sz w:val="22"/>
                <w:szCs w:val="22"/>
                <w:lang w:val="sr-Cyrl-RS"/>
              </w:rPr>
              <w:t>:</w:t>
            </w:r>
          </w:p>
          <w:p w14:paraId="38083103" w14:textId="77777777" w:rsidR="00D86A7B" w:rsidRPr="00CF77C1" w:rsidRDefault="00D86A7B" w:rsidP="00F10D3F">
            <w:pPr>
              <w:jc w:val="left"/>
              <w:rPr>
                <w:sz w:val="22"/>
                <w:szCs w:val="22"/>
                <w:lang w:val="sr-Cyrl-RS"/>
              </w:rPr>
            </w:pPr>
            <w:r w:rsidRPr="00CF77C1">
              <w:rPr>
                <w:sz w:val="22"/>
                <w:szCs w:val="22"/>
                <w:lang w:val="sr-Cyrl-RS"/>
              </w:rPr>
              <w:t>- за 327.876 t/год. уколико се уштеде изражавају у природном гасу,</w:t>
            </w:r>
          </w:p>
          <w:p w14:paraId="2D4D1F66" w14:textId="77777777" w:rsidR="00D86A7B" w:rsidRPr="00CF77C1" w:rsidRDefault="00D86A7B" w:rsidP="00F10D3F">
            <w:pPr>
              <w:jc w:val="left"/>
              <w:rPr>
                <w:sz w:val="22"/>
                <w:szCs w:val="22"/>
                <w:lang w:val="sr-Cyrl-RS"/>
              </w:rPr>
            </w:pPr>
            <w:r w:rsidRPr="00CF77C1">
              <w:rPr>
                <w:sz w:val="22"/>
                <w:szCs w:val="22"/>
                <w:lang w:val="sr-Cyrl-RS"/>
              </w:rPr>
              <w:t>- 458.851 t/год. уколико се уштеде изражавају у мазуту.</w:t>
            </w:r>
          </w:p>
          <w:p w14:paraId="02BA67B2" w14:textId="77777777" w:rsidR="00D86A7B" w:rsidRPr="00CF77C1" w:rsidRDefault="00D86A7B" w:rsidP="00F10D3F">
            <w:pPr>
              <w:jc w:val="left"/>
              <w:rPr>
                <w:sz w:val="22"/>
                <w:szCs w:val="22"/>
                <w:lang w:val="sr-Cyrl-RS"/>
              </w:rPr>
            </w:pPr>
          </w:p>
        </w:tc>
      </w:tr>
      <w:tr w:rsidR="00D86A7B" w:rsidRPr="00CF77C1" w14:paraId="48FCF3EA" w14:textId="77777777" w:rsidTr="00F10D3F">
        <w:trPr>
          <w:cantSplit/>
        </w:trPr>
        <w:tc>
          <w:tcPr>
            <w:tcW w:w="793" w:type="pct"/>
            <w:shd w:val="clear" w:color="auto" w:fill="auto"/>
            <w:vAlign w:val="center"/>
          </w:tcPr>
          <w:p w14:paraId="6CDD8C0D" w14:textId="3CD93245" w:rsidR="00D86A7B" w:rsidRPr="00CF77C1" w:rsidRDefault="00D86A7B" w:rsidP="00F10D3F">
            <w:pPr>
              <w:jc w:val="left"/>
              <w:rPr>
                <w:sz w:val="22"/>
                <w:szCs w:val="22"/>
                <w:lang w:val="sr-Cyrl-RS"/>
              </w:rPr>
            </w:pPr>
            <w:r w:rsidRPr="00CF77C1">
              <w:rPr>
                <w:sz w:val="22"/>
                <w:szCs w:val="22"/>
                <w:lang w:val="sr-Cyrl-RS"/>
              </w:rPr>
              <w:t>Изградња но</w:t>
            </w:r>
            <w:r w:rsidR="00D13F4F">
              <w:rPr>
                <w:sz w:val="22"/>
                <w:szCs w:val="22"/>
                <w:lang w:val="sr-Cyrl-RS"/>
              </w:rPr>
              <w:t>вих топлотних извора, гашење до</w:t>
            </w:r>
            <w:r w:rsidRPr="00CF77C1">
              <w:rPr>
                <w:sz w:val="22"/>
                <w:szCs w:val="22"/>
                <w:lang w:val="sr-Cyrl-RS"/>
              </w:rPr>
              <w:t>трајалих и неусловних котларница, конверзија горива, прелазак на коришћење ОИЕ, уградња екстерних економајзера на димни тракт ради искоришћења отпадне топлоте димног гаса, унапређење система за аутоматску контролу топлотних извора, CHP постројење.</w:t>
            </w:r>
          </w:p>
          <w:p w14:paraId="0A52BCF2" w14:textId="77777777" w:rsidR="00D86A7B" w:rsidRPr="00CF77C1" w:rsidRDefault="00D86A7B" w:rsidP="00F10D3F">
            <w:pPr>
              <w:jc w:val="left"/>
              <w:rPr>
                <w:sz w:val="22"/>
                <w:szCs w:val="22"/>
                <w:lang w:val="sr-Cyrl-RS"/>
              </w:rPr>
            </w:pPr>
            <w:r w:rsidRPr="00CF77C1">
              <w:rPr>
                <w:sz w:val="22"/>
                <w:szCs w:val="22"/>
                <w:lang w:val="sr-Cyrl-RS"/>
              </w:rPr>
              <w:t>Пројекти обухватају 28 топлана.</w:t>
            </w:r>
          </w:p>
        </w:tc>
        <w:tc>
          <w:tcPr>
            <w:tcW w:w="800" w:type="pct"/>
            <w:shd w:val="clear" w:color="auto" w:fill="auto"/>
            <w:vAlign w:val="center"/>
          </w:tcPr>
          <w:p w14:paraId="23274AE2" w14:textId="2C89F7B8" w:rsidR="00D86A7B" w:rsidRPr="00CF77C1" w:rsidRDefault="00D86A7B" w:rsidP="00F10D3F">
            <w:pPr>
              <w:rPr>
                <w:sz w:val="22"/>
                <w:szCs w:val="22"/>
                <w:lang w:val="sr-Cyrl-RS"/>
              </w:rPr>
            </w:pPr>
            <w:r w:rsidRPr="00CF77C1">
              <w:rPr>
                <w:sz w:val="22"/>
                <w:szCs w:val="22"/>
                <w:lang w:val="sr-Cyrl-RS"/>
              </w:rPr>
              <w:t xml:space="preserve">121.012.572,00 </w:t>
            </w:r>
            <w:r w:rsidR="00984997" w:rsidRPr="00CF77C1">
              <w:rPr>
                <w:sz w:val="22"/>
                <w:szCs w:val="22"/>
                <w:lang w:val="sr-Cyrl-RS"/>
              </w:rPr>
              <w:t>€</w:t>
            </w:r>
          </w:p>
          <w:p w14:paraId="35709811" w14:textId="77777777" w:rsidR="00D86A7B" w:rsidRPr="00CF77C1" w:rsidRDefault="00D86A7B" w:rsidP="00F10D3F">
            <w:pPr>
              <w:jc w:val="left"/>
              <w:rPr>
                <w:sz w:val="22"/>
                <w:szCs w:val="22"/>
                <w:lang w:val="sr-Cyrl-RS"/>
              </w:rPr>
            </w:pPr>
          </w:p>
          <w:p w14:paraId="3B86A775" w14:textId="77777777" w:rsidR="00D86A7B" w:rsidRPr="00CF77C1" w:rsidRDefault="00D86A7B" w:rsidP="00F10D3F">
            <w:pPr>
              <w:jc w:val="left"/>
              <w:rPr>
                <w:sz w:val="22"/>
                <w:szCs w:val="22"/>
                <w:lang w:val="sr-Cyrl-RS"/>
              </w:rPr>
            </w:pPr>
            <w:r w:rsidRPr="00CF77C1">
              <w:rPr>
                <w:sz w:val="22"/>
                <w:szCs w:val="22"/>
                <w:lang w:val="sr-Cyrl-RS"/>
              </w:rPr>
              <w:t>Извор средстава финансирања:</w:t>
            </w:r>
          </w:p>
          <w:p w14:paraId="37D300D5" w14:textId="77777777" w:rsidR="00D86A7B" w:rsidRPr="00CF77C1" w:rsidRDefault="00D86A7B" w:rsidP="00F10D3F">
            <w:pPr>
              <w:jc w:val="left"/>
              <w:rPr>
                <w:sz w:val="22"/>
                <w:szCs w:val="22"/>
                <w:lang w:val="sr-Cyrl-RS"/>
              </w:rPr>
            </w:pPr>
            <w:r w:rsidRPr="00CF77C1">
              <w:rPr>
                <w:sz w:val="22"/>
                <w:szCs w:val="22"/>
                <w:lang w:val="sr-Cyrl-RS"/>
              </w:rPr>
              <w:t>- сопствена средства ЈКП,</w:t>
            </w:r>
          </w:p>
          <w:p w14:paraId="34D3B03D" w14:textId="32C9E4C0" w:rsidR="00D86A7B" w:rsidRPr="00CF77C1" w:rsidRDefault="00D86A7B" w:rsidP="00F10D3F">
            <w:pPr>
              <w:jc w:val="left"/>
              <w:rPr>
                <w:sz w:val="22"/>
                <w:szCs w:val="22"/>
                <w:lang w:val="sr-Cyrl-RS"/>
              </w:rPr>
            </w:pPr>
            <w:r w:rsidRPr="00CF77C1">
              <w:rPr>
                <w:sz w:val="22"/>
                <w:szCs w:val="22"/>
                <w:lang w:val="sr-Cyrl-RS"/>
              </w:rPr>
              <w:t>- неповратна средства министарства надлеж</w:t>
            </w:r>
            <w:r w:rsidR="00FE6568">
              <w:rPr>
                <w:sz w:val="22"/>
                <w:szCs w:val="22"/>
                <w:lang w:val="sr-Cyrl-RS"/>
              </w:rPr>
              <w:t xml:space="preserve">ног за послове енергетике кроз </w:t>
            </w:r>
            <w:r w:rsidR="00D13F4F">
              <w:rPr>
                <w:sz w:val="22"/>
                <w:szCs w:val="22"/>
                <w:lang w:val="sr-Cyrl-RS"/>
              </w:rPr>
              <w:t>Б</w:t>
            </w:r>
            <w:r w:rsidR="00D13F4F" w:rsidRPr="00CF77C1">
              <w:rPr>
                <w:sz w:val="22"/>
                <w:szCs w:val="22"/>
                <w:lang w:val="sr-Cyrl-RS"/>
              </w:rPr>
              <w:t xml:space="preserve">уџетски </w:t>
            </w:r>
            <w:r w:rsidRPr="00CF77C1">
              <w:rPr>
                <w:sz w:val="22"/>
                <w:szCs w:val="22"/>
                <w:lang w:val="sr-Cyrl-RS"/>
              </w:rPr>
              <w:t>фонд за ЕЕ,</w:t>
            </w:r>
          </w:p>
          <w:p w14:paraId="381CEB3A" w14:textId="77777777" w:rsidR="00D86A7B" w:rsidRPr="00CF77C1" w:rsidRDefault="00D86A7B" w:rsidP="00F10D3F">
            <w:pPr>
              <w:jc w:val="left"/>
              <w:rPr>
                <w:sz w:val="22"/>
                <w:szCs w:val="22"/>
                <w:lang w:val="sr-Cyrl-RS"/>
              </w:rPr>
            </w:pPr>
            <w:r w:rsidRPr="00CF77C1">
              <w:rPr>
                <w:sz w:val="22"/>
                <w:szCs w:val="22"/>
                <w:lang w:val="sr-Cyrl-RS"/>
              </w:rPr>
              <w:t>донације,</w:t>
            </w:r>
          </w:p>
          <w:p w14:paraId="4878EC75" w14:textId="77777777" w:rsidR="00D86A7B" w:rsidRPr="00CF77C1" w:rsidRDefault="00D86A7B" w:rsidP="00F10D3F">
            <w:pPr>
              <w:jc w:val="left"/>
              <w:rPr>
                <w:sz w:val="22"/>
                <w:szCs w:val="22"/>
                <w:lang w:val="sr-Cyrl-RS"/>
              </w:rPr>
            </w:pPr>
            <w:r w:rsidRPr="00CF77C1">
              <w:rPr>
                <w:sz w:val="22"/>
                <w:szCs w:val="22"/>
                <w:lang w:val="sr-Cyrl-RS"/>
              </w:rPr>
              <w:t>- кредитне линије,</w:t>
            </w:r>
          </w:p>
          <w:p w14:paraId="62141CEB" w14:textId="017FAD35" w:rsidR="00D86A7B" w:rsidRPr="00CF77C1" w:rsidRDefault="00D86A7B" w:rsidP="00F10D3F">
            <w:pPr>
              <w:jc w:val="left"/>
              <w:rPr>
                <w:sz w:val="22"/>
                <w:szCs w:val="22"/>
                <w:lang w:val="sr-Cyrl-RS"/>
              </w:rPr>
            </w:pPr>
            <w:r w:rsidRPr="00CF77C1">
              <w:rPr>
                <w:sz w:val="22"/>
                <w:szCs w:val="22"/>
                <w:lang w:val="sr-Cyrl-RS"/>
              </w:rPr>
              <w:t>- програми KfW, GIZ, IPA п</w:t>
            </w:r>
            <w:r w:rsidR="00547505">
              <w:rPr>
                <w:sz w:val="22"/>
                <w:szCs w:val="22"/>
                <w:lang w:val="sr-Cyrl-RS"/>
              </w:rPr>
              <w:t>р</w:t>
            </w:r>
            <w:r w:rsidRPr="00CF77C1">
              <w:rPr>
                <w:sz w:val="22"/>
                <w:szCs w:val="22"/>
                <w:lang w:val="sr-Cyrl-RS"/>
              </w:rPr>
              <w:t>ојекти</w:t>
            </w:r>
          </w:p>
          <w:p w14:paraId="38A64A19" w14:textId="77777777" w:rsidR="00D86A7B" w:rsidRPr="00CF77C1" w:rsidRDefault="00D86A7B" w:rsidP="00F10D3F">
            <w:pPr>
              <w:jc w:val="left"/>
              <w:rPr>
                <w:sz w:val="22"/>
                <w:szCs w:val="22"/>
                <w:lang w:val="sr-Cyrl-RS"/>
              </w:rPr>
            </w:pPr>
          </w:p>
        </w:tc>
        <w:tc>
          <w:tcPr>
            <w:tcW w:w="1981" w:type="pct"/>
            <w:shd w:val="clear" w:color="auto" w:fill="auto"/>
            <w:vAlign w:val="center"/>
          </w:tcPr>
          <w:p w14:paraId="5E757C0B" w14:textId="77777777" w:rsidR="00D86A7B" w:rsidRPr="00CF77C1" w:rsidRDefault="00D86A7B" w:rsidP="00F10D3F">
            <w:pPr>
              <w:jc w:val="left"/>
              <w:rPr>
                <w:sz w:val="22"/>
                <w:szCs w:val="22"/>
                <w:lang w:val="sr-Cyrl-RS"/>
              </w:rPr>
            </w:pPr>
            <w:r w:rsidRPr="00CF77C1">
              <w:rPr>
                <w:sz w:val="22"/>
                <w:szCs w:val="22"/>
                <w:lang w:val="sr-Cyrl-RS"/>
              </w:rPr>
              <w:t>Предложени пројекат подразумева:</w:t>
            </w:r>
          </w:p>
          <w:p w14:paraId="5C249F77" w14:textId="77777777" w:rsidR="00D86A7B" w:rsidRPr="00CF77C1" w:rsidRDefault="00D86A7B" w:rsidP="00F10D3F">
            <w:pPr>
              <w:jc w:val="left"/>
              <w:rPr>
                <w:sz w:val="22"/>
                <w:szCs w:val="22"/>
                <w:lang w:val="sr-Cyrl-RS"/>
              </w:rPr>
            </w:pPr>
            <w:r w:rsidRPr="00CF77C1">
              <w:rPr>
                <w:sz w:val="22"/>
                <w:szCs w:val="22"/>
                <w:lang w:val="sr-Cyrl-RS"/>
              </w:rPr>
              <w:t>- замену дотрајалих котловских јединица које су користиле фосилна горива и прелазак на биомасу или природни гас;</w:t>
            </w:r>
          </w:p>
          <w:p w14:paraId="04068089" w14:textId="77777777" w:rsidR="00D86A7B" w:rsidRPr="00CF77C1" w:rsidRDefault="00D86A7B" w:rsidP="00F10D3F">
            <w:pPr>
              <w:jc w:val="left"/>
              <w:rPr>
                <w:sz w:val="22"/>
                <w:szCs w:val="22"/>
                <w:lang w:val="sr-Cyrl-RS"/>
              </w:rPr>
            </w:pPr>
            <w:r w:rsidRPr="00CF77C1">
              <w:rPr>
                <w:sz w:val="22"/>
                <w:szCs w:val="22"/>
                <w:lang w:val="sr-Cyrl-RS"/>
              </w:rPr>
              <w:t>- уградња нових котловских јединица које као основно гориво користе биомасу;</w:t>
            </w:r>
          </w:p>
          <w:p w14:paraId="087DB541" w14:textId="77777777" w:rsidR="00D86A7B" w:rsidRPr="00CF77C1" w:rsidRDefault="00D86A7B" w:rsidP="00F10D3F">
            <w:pPr>
              <w:jc w:val="left"/>
              <w:rPr>
                <w:sz w:val="22"/>
                <w:szCs w:val="22"/>
                <w:lang w:val="sr-Cyrl-RS"/>
              </w:rPr>
            </w:pPr>
            <w:r w:rsidRPr="00CF77C1">
              <w:rPr>
                <w:sz w:val="22"/>
                <w:szCs w:val="22"/>
                <w:lang w:val="sr-Cyrl-RS"/>
              </w:rPr>
              <w:t>- изградња CHP постројења која као основно гориво користе биомасу;</w:t>
            </w:r>
          </w:p>
          <w:p w14:paraId="599F3BE7" w14:textId="0B848AF1" w:rsidR="00D86A7B" w:rsidRPr="00CF77C1" w:rsidRDefault="00D86A7B" w:rsidP="00F10D3F">
            <w:pPr>
              <w:jc w:val="left"/>
              <w:rPr>
                <w:sz w:val="22"/>
                <w:szCs w:val="22"/>
                <w:lang w:val="sr-Cyrl-RS"/>
              </w:rPr>
            </w:pPr>
            <w:r w:rsidRPr="00CF77C1">
              <w:rPr>
                <w:sz w:val="22"/>
                <w:szCs w:val="22"/>
                <w:lang w:val="sr-Cyrl-RS"/>
              </w:rPr>
              <w:t>- имплементација технологија за коришћење геотермалне енергије</w:t>
            </w:r>
            <w:r w:rsidR="000069AB">
              <w:rPr>
                <w:sz w:val="22"/>
                <w:szCs w:val="22"/>
                <w:lang w:val="sr-Cyrl-RS"/>
              </w:rPr>
              <w:t>;</w:t>
            </w:r>
          </w:p>
          <w:p w14:paraId="4CC9FD16" w14:textId="74EDF197" w:rsidR="00D86A7B" w:rsidRPr="00CF77C1" w:rsidRDefault="00D86A7B" w:rsidP="00F10D3F">
            <w:pPr>
              <w:rPr>
                <w:sz w:val="22"/>
                <w:szCs w:val="22"/>
                <w:lang w:val="sr-Cyrl-RS"/>
              </w:rPr>
            </w:pPr>
            <w:r w:rsidRPr="00CF77C1">
              <w:rPr>
                <w:sz w:val="22"/>
                <w:szCs w:val="22"/>
                <w:lang w:val="sr-Cyrl-RS"/>
              </w:rPr>
              <w:t>- искоришћење „отпадне топлоте</w:t>
            </w:r>
            <w:r w:rsidR="00AD5740" w:rsidRPr="00CF77C1">
              <w:rPr>
                <w:sz w:val="22"/>
                <w:szCs w:val="22"/>
                <w:lang w:val="sr-Cyrl-RS"/>
              </w:rPr>
              <w:t>”</w:t>
            </w:r>
            <w:r w:rsidRPr="00CF77C1">
              <w:rPr>
                <w:sz w:val="22"/>
                <w:szCs w:val="22"/>
                <w:lang w:val="sr-Cyrl-RS"/>
              </w:rPr>
              <w:t xml:space="preserve"> димног гаса уградњом економајзера на димном тракту</w:t>
            </w:r>
          </w:p>
          <w:p w14:paraId="7BFF0B9B" w14:textId="77777777" w:rsidR="00D86A7B" w:rsidRPr="00CF77C1" w:rsidRDefault="00D86A7B" w:rsidP="00F10D3F">
            <w:pPr>
              <w:spacing w:before="0" w:after="0"/>
              <w:jc w:val="left"/>
              <w:rPr>
                <w:sz w:val="22"/>
                <w:szCs w:val="22"/>
                <w:lang w:val="sr-Cyrl-RS"/>
              </w:rPr>
            </w:pPr>
            <w:r w:rsidRPr="00CF77C1">
              <w:rPr>
                <w:sz w:val="22"/>
                <w:szCs w:val="22"/>
                <w:lang w:val="sr-Cyrl-RS"/>
              </w:rPr>
              <w:t>Пројекат омогућава:</w:t>
            </w:r>
          </w:p>
          <w:p w14:paraId="026D389E" w14:textId="77777777" w:rsidR="00D86A7B" w:rsidRPr="00CF77C1" w:rsidRDefault="00D86A7B" w:rsidP="00F10D3F">
            <w:pPr>
              <w:spacing w:before="0" w:after="0"/>
              <w:jc w:val="left"/>
              <w:rPr>
                <w:sz w:val="22"/>
                <w:szCs w:val="22"/>
                <w:lang w:val="sr-Cyrl-RS"/>
              </w:rPr>
            </w:pPr>
            <w:r w:rsidRPr="00CF77C1">
              <w:rPr>
                <w:sz w:val="22"/>
                <w:szCs w:val="22"/>
                <w:lang w:val="sr-Cyrl-RS"/>
              </w:rPr>
              <w:t>- повећање удела производње топлотне енергије из обновљивих извора енергије, односно умањење употребе фосилних горива;</w:t>
            </w:r>
          </w:p>
          <w:p w14:paraId="3321A9E4" w14:textId="21968742" w:rsidR="00D86A7B" w:rsidRPr="00CF77C1" w:rsidRDefault="00D86A7B" w:rsidP="00F10D3F">
            <w:pPr>
              <w:spacing w:before="0" w:after="0"/>
              <w:jc w:val="left"/>
              <w:rPr>
                <w:sz w:val="22"/>
                <w:szCs w:val="22"/>
                <w:lang w:val="sr-Cyrl-RS"/>
              </w:rPr>
            </w:pPr>
            <w:r w:rsidRPr="00CF77C1">
              <w:rPr>
                <w:sz w:val="22"/>
                <w:szCs w:val="22"/>
                <w:lang w:val="sr-Cyrl-RS"/>
              </w:rPr>
              <w:t xml:space="preserve">- смањење потрошње увозних енергената и увозне зависности (уштеда у примарној енергији која је еквивалентна &gt; 8.000,00 </w:t>
            </w:r>
            <w:r w:rsidR="00D27CE2" w:rsidRPr="00CF77C1">
              <w:rPr>
                <w:sz w:val="22"/>
                <w:szCs w:val="22"/>
                <w:lang w:val="sr-Cyrl-RS"/>
              </w:rPr>
              <w:t>тен</w:t>
            </w:r>
            <w:r w:rsidRPr="00CF77C1">
              <w:rPr>
                <w:sz w:val="22"/>
                <w:szCs w:val="22"/>
                <w:lang w:val="sr-Cyrl-RS"/>
              </w:rPr>
              <w:t>);</w:t>
            </w:r>
          </w:p>
          <w:p w14:paraId="2D7F54EA" w14:textId="77777777" w:rsidR="00D86A7B" w:rsidRPr="00CF77C1" w:rsidRDefault="00D86A7B" w:rsidP="00F10D3F">
            <w:pPr>
              <w:spacing w:before="0" w:after="0"/>
              <w:jc w:val="left"/>
              <w:rPr>
                <w:sz w:val="22"/>
                <w:szCs w:val="22"/>
                <w:lang w:val="sr-Cyrl-RS"/>
              </w:rPr>
            </w:pPr>
            <w:r w:rsidRPr="00CF77C1">
              <w:rPr>
                <w:sz w:val="22"/>
                <w:szCs w:val="22"/>
                <w:lang w:val="sr-Cyrl-RS"/>
              </w:rPr>
              <w:t>- смањење штетних емисија и унапређење заштите животне средине (умањење емисије CO</w:t>
            </w:r>
            <w:r w:rsidRPr="00CF77C1">
              <w:rPr>
                <w:sz w:val="22"/>
                <w:szCs w:val="22"/>
                <w:vertAlign w:val="subscript"/>
                <w:lang w:val="sr-Cyrl-RS"/>
              </w:rPr>
              <w:t>2</w:t>
            </w:r>
            <w:r w:rsidRPr="00CF77C1">
              <w:rPr>
                <w:sz w:val="22"/>
                <w:szCs w:val="22"/>
                <w:lang w:val="sr-Cyrl-RS"/>
              </w:rPr>
              <w:t xml:space="preserve"> за &gt; 25.000 t/год.;</w:t>
            </w:r>
          </w:p>
          <w:p w14:paraId="08E9719F" w14:textId="77777777" w:rsidR="00D86A7B" w:rsidRPr="00CF77C1" w:rsidRDefault="00D86A7B" w:rsidP="00F10D3F">
            <w:pPr>
              <w:spacing w:before="0" w:after="0"/>
              <w:jc w:val="left"/>
              <w:rPr>
                <w:sz w:val="22"/>
                <w:szCs w:val="22"/>
                <w:lang w:val="sr-Cyrl-RS"/>
              </w:rPr>
            </w:pPr>
            <w:r w:rsidRPr="00CF77C1">
              <w:rPr>
                <w:sz w:val="22"/>
                <w:szCs w:val="22"/>
                <w:lang w:val="sr-Cyrl-RS"/>
              </w:rPr>
              <w:t>- повећана је поузданост рада система занављањем производних погона;</w:t>
            </w:r>
          </w:p>
          <w:p w14:paraId="7EB8A7B7" w14:textId="77777777" w:rsidR="00D86A7B" w:rsidRPr="00CF77C1" w:rsidRDefault="00D86A7B" w:rsidP="00F10D3F">
            <w:pPr>
              <w:spacing w:before="0" w:after="0"/>
              <w:jc w:val="left"/>
              <w:rPr>
                <w:sz w:val="22"/>
                <w:szCs w:val="22"/>
                <w:lang w:val="sr-Cyrl-RS"/>
              </w:rPr>
            </w:pPr>
            <w:r w:rsidRPr="00CF77C1">
              <w:rPr>
                <w:sz w:val="22"/>
                <w:szCs w:val="22"/>
                <w:lang w:val="sr-Cyrl-RS"/>
              </w:rPr>
              <w:t>- повећање квалитета испоручене топлотне енергије;</w:t>
            </w:r>
          </w:p>
          <w:p w14:paraId="0D071836" w14:textId="77777777" w:rsidR="00D86A7B" w:rsidRPr="00CF77C1" w:rsidRDefault="00D86A7B" w:rsidP="00F10D3F">
            <w:pPr>
              <w:spacing w:before="0" w:after="0"/>
              <w:jc w:val="left"/>
              <w:rPr>
                <w:sz w:val="22"/>
                <w:szCs w:val="22"/>
                <w:lang w:val="sr-Cyrl-RS"/>
              </w:rPr>
            </w:pPr>
            <w:r w:rsidRPr="00CF77C1">
              <w:rPr>
                <w:sz w:val="22"/>
                <w:szCs w:val="22"/>
                <w:lang w:val="sr-Cyrl-RS"/>
              </w:rPr>
              <w:t>- могућност прикључења нових крајњих купаца на СДГ;</w:t>
            </w:r>
          </w:p>
          <w:p w14:paraId="6438857D" w14:textId="4CB23E9F" w:rsidR="00D86A7B" w:rsidRPr="00CF77C1" w:rsidRDefault="00D86A7B" w:rsidP="00F10D3F">
            <w:pPr>
              <w:rPr>
                <w:sz w:val="22"/>
                <w:szCs w:val="22"/>
                <w:lang w:val="sr-Cyrl-RS"/>
              </w:rPr>
            </w:pPr>
            <w:r w:rsidRPr="00CF77C1">
              <w:rPr>
                <w:sz w:val="22"/>
                <w:szCs w:val="22"/>
                <w:lang w:val="sr-Cyrl-RS"/>
              </w:rPr>
              <w:t>- могућност гашења локалних котларница - највећих загађивача</w:t>
            </w:r>
            <w:r w:rsidR="004A3B5F">
              <w:rPr>
                <w:sz w:val="22"/>
                <w:szCs w:val="22"/>
                <w:lang w:val="sr-Cyrl-RS"/>
              </w:rPr>
              <w:t>.</w:t>
            </w:r>
          </w:p>
        </w:tc>
        <w:tc>
          <w:tcPr>
            <w:tcW w:w="1426" w:type="pct"/>
            <w:shd w:val="clear" w:color="auto" w:fill="auto"/>
            <w:vAlign w:val="center"/>
          </w:tcPr>
          <w:p w14:paraId="6765FD40" w14:textId="08B195A2" w:rsidR="00D86A7B" w:rsidRPr="00CF77C1" w:rsidRDefault="00D86A7B" w:rsidP="00F10D3F">
            <w:pPr>
              <w:jc w:val="left"/>
              <w:rPr>
                <w:sz w:val="22"/>
                <w:szCs w:val="22"/>
                <w:lang w:val="sr-Cyrl-RS"/>
              </w:rPr>
            </w:pPr>
            <w:r w:rsidRPr="00CF77C1">
              <w:rPr>
                <w:sz w:val="22"/>
                <w:szCs w:val="22"/>
                <w:lang w:val="sr-Cyrl-RS"/>
              </w:rPr>
              <w:t xml:space="preserve">Годишње смањење потрошње енергената: &gt;8.000,00 </w:t>
            </w:r>
            <w:r w:rsidR="00D27CE2" w:rsidRPr="00CF77C1">
              <w:rPr>
                <w:sz w:val="22"/>
                <w:szCs w:val="22"/>
                <w:lang w:val="sr-Cyrl-RS"/>
              </w:rPr>
              <w:t>тен</w:t>
            </w:r>
            <w:r w:rsidRPr="00CF77C1">
              <w:rPr>
                <w:sz w:val="22"/>
                <w:szCs w:val="22"/>
                <w:lang w:val="sr-Cyrl-RS"/>
              </w:rPr>
              <w:t xml:space="preserve"> (1,32% у односу на укупно утрошену примарну на годишњем нивоу енергију за производњу топлотне енергије у СДГ);</w:t>
            </w:r>
          </w:p>
          <w:p w14:paraId="4EB16F38" w14:textId="733345EC" w:rsidR="00D86A7B" w:rsidRPr="00CF77C1" w:rsidRDefault="00D86A7B" w:rsidP="00F10D3F">
            <w:pPr>
              <w:jc w:val="left"/>
              <w:rPr>
                <w:sz w:val="22"/>
                <w:szCs w:val="22"/>
                <w:lang w:val="sr-Cyrl-RS"/>
              </w:rPr>
            </w:pPr>
            <w:r w:rsidRPr="00CF77C1">
              <w:rPr>
                <w:sz w:val="22"/>
                <w:szCs w:val="22"/>
                <w:lang w:val="sr-Cyrl-RS"/>
              </w:rPr>
              <w:t xml:space="preserve">Новчане уштеде: &gt; 3.300.000,00 </w:t>
            </w:r>
            <w:r w:rsidR="003F7187" w:rsidRPr="00CF77C1">
              <w:rPr>
                <w:sz w:val="22"/>
                <w:szCs w:val="22"/>
                <w:lang w:val="sr-Cyrl-RS"/>
              </w:rPr>
              <w:t>€</w:t>
            </w:r>
          </w:p>
          <w:p w14:paraId="08049190" w14:textId="77777777" w:rsidR="00D86A7B" w:rsidRPr="00CF77C1" w:rsidRDefault="00D86A7B" w:rsidP="00F10D3F">
            <w:pPr>
              <w:jc w:val="left"/>
              <w:rPr>
                <w:sz w:val="22"/>
                <w:szCs w:val="22"/>
                <w:lang w:val="sr-Cyrl-RS"/>
              </w:rPr>
            </w:pPr>
            <w:r w:rsidRPr="00CF77C1">
              <w:rPr>
                <w:sz w:val="22"/>
                <w:szCs w:val="22"/>
                <w:lang w:val="sr-Cyrl-RS"/>
              </w:rPr>
              <w:t>Смањење емисије CO</w:t>
            </w:r>
            <w:r w:rsidRPr="00CF77C1">
              <w:rPr>
                <w:sz w:val="22"/>
                <w:szCs w:val="22"/>
                <w:vertAlign w:val="subscript"/>
                <w:lang w:val="sr-Cyrl-RS"/>
              </w:rPr>
              <w:t>2</w:t>
            </w:r>
            <w:r w:rsidRPr="00CF77C1">
              <w:rPr>
                <w:sz w:val="22"/>
                <w:szCs w:val="22"/>
                <w:lang w:val="sr-Cyrl-RS"/>
              </w:rPr>
              <w:t>: &gt;25.000 tCO</w:t>
            </w:r>
            <w:r w:rsidRPr="00CF77C1">
              <w:rPr>
                <w:sz w:val="22"/>
                <w:szCs w:val="22"/>
                <w:vertAlign w:val="subscript"/>
                <w:lang w:val="sr-Cyrl-RS"/>
              </w:rPr>
              <w:t>2</w:t>
            </w:r>
          </w:p>
          <w:p w14:paraId="3250E91A" w14:textId="77777777" w:rsidR="00D86A7B" w:rsidRPr="00CF77C1" w:rsidRDefault="00D86A7B" w:rsidP="00F10D3F">
            <w:pPr>
              <w:jc w:val="left"/>
              <w:rPr>
                <w:sz w:val="22"/>
                <w:szCs w:val="22"/>
                <w:lang w:val="sr-Cyrl-RS"/>
              </w:rPr>
            </w:pPr>
            <w:r w:rsidRPr="00CF77C1">
              <w:rPr>
                <w:sz w:val="22"/>
                <w:szCs w:val="22"/>
                <w:lang w:val="sr-Cyrl-RS"/>
              </w:rPr>
              <w:t>Број купаца (постојећи и нови) на који ће се односити ефекти пројеката: &gt;105.000</w:t>
            </w:r>
          </w:p>
          <w:p w14:paraId="650B4F3A" w14:textId="77777777" w:rsidR="00D86A7B" w:rsidRPr="00CF77C1" w:rsidRDefault="00D86A7B" w:rsidP="00F10D3F">
            <w:pPr>
              <w:jc w:val="left"/>
              <w:rPr>
                <w:sz w:val="22"/>
                <w:szCs w:val="22"/>
                <w:lang w:val="sr-Cyrl-RS"/>
              </w:rPr>
            </w:pPr>
            <w:r w:rsidRPr="00CF77C1">
              <w:rPr>
                <w:sz w:val="22"/>
                <w:szCs w:val="22"/>
                <w:lang w:val="sr-Cyrl-RS"/>
              </w:rPr>
              <w:t>Потребно је израдити детаљне студије извдљивости ради детаљне квантификације ефеката уштеда у енергентима и ефеката умањења емисија штетних компоненти у атмосферу.</w:t>
            </w:r>
          </w:p>
          <w:p w14:paraId="7DEB5A87" w14:textId="77777777" w:rsidR="00D86A7B" w:rsidRPr="00CF77C1" w:rsidRDefault="00D86A7B" w:rsidP="00F10D3F">
            <w:pPr>
              <w:jc w:val="center"/>
              <w:rPr>
                <w:sz w:val="22"/>
                <w:szCs w:val="22"/>
                <w:lang w:val="sr-Cyrl-RS"/>
              </w:rPr>
            </w:pPr>
          </w:p>
        </w:tc>
      </w:tr>
      <w:tr w:rsidR="00D86A7B" w:rsidRPr="00CF77C1" w14:paraId="2982BC5B" w14:textId="77777777" w:rsidTr="00F10D3F">
        <w:trPr>
          <w:cantSplit/>
        </w:trPr>
        <w:tc>
          <w:tcPr>
            <w:tcW w:w="793" w:type="pct"/>
            <w:shd w:val="clear" w:color="auto" w:fill="auto"/>
            <w:vAlign w:val="center"/>
          </w:tcPr>
          <w:p w14:paraId="2B26300D" w14:textId="77777777" w:rsidR="00D86A7B" w:rsidRPr="00CF77C1" w:rsidRDefault="00D86A7B" w:rsidP="00F10D3F">
            <w:pPr>
              <w:jc w:val="left"/>
              <w:rPr>
                <w:sz w:val="22"/>
                <w:szCs w:val="22"/>
                <w:lang w:val="sr-Cyrl-RS"/>
              </w:rPr>
            </w:pPr>
            <w:r w:rsidRPr="00CF77C1">
              <w:rPr>
                <w:sz w:val="22"/>
                <w:szCs w:val="22"/>
                <w:lang w:val="sr-Cyrl-RS"/>
              </w:rPr>
              <w:t>Рехабилитација мреже даљинског грејања уз замену дотрајалих деоница дистрибутивног топловода, даљи развој мреже ради прикључивања нових крајњих купаца топлотне енергије.</w:t>
            </w:r>
          </w:p>
          <w:p w14:paraId="730E269B" w14:textId="77777777" w:rsidR="00D86A7B" w:rsidRPr="00CF77C1" w:rsidRDefault="00D86A7B" w:rsidP="00F10D3F">
            <w:pPr>
              <w:jc w:val="left"/>
              <w:rPr>
                <w:sz w:val="22"/>
                <w:szCs w:val="22"/>
                <w:lang w:val="sr-Cyrl-RS"/>
              </w:rPr>
            </w:pPr>
            <w:r w:rsidRPr="00CF77C1">
              <w:rPr>
                <w:sz w:val="22"/>
                <w:szCs w:val="22"/>
                <w:lang w:val="sr-Cyrl-RS"/>
              </w:rPr>
              <w:t xml:space="preserve">Пројекти обухватају 16 топлана </w:t>
            </w:r>
          </w:p>
        </w:tc>
        <w:tc>
          <w:tcPr>
            <w:tcW w:w="800" w:type="pct"/>
            <w:shd w:val="clear" w:color="auto" w:fill="auto"/>
            <w:vAlign w:val="center"/>
          </w:tcPr>
          <w:p w14:paraId="00EBF7E2" w14:textId="11FFDF1E" w:rsidR="00D86A7B" w:rsidRPr="00CF77C1" w:rsidRDefault="00D86A7B" w:rsidP="00F10D3F">
            <w:pPr>
              <w:rPr>
                <w:sz w:val="22"/>
                <w:szCs w:val="22"/>
                <w:lang w:val="sr-Cyrl-RS"/>
              </w:rPr>
            </w:pPr>
            <w:r w:rsidRPr="00CF77C1">
              <w:rPr>
                <w:sz w:val="22"/>
                <w:szCs w:val="22"/>
                <w:lang w:val="sr-Cyrl-RS"/>
              </w:rPr>
              <w:t xml:space="preserve">50.000.000,00 </w:t>
            </w:r>
            <w:r w:rsidR="00984997" w:rsidRPr="00CF77C1">
              <w:rPr>
                <w:sz w:val="22"/>
                <w:szCs w:val="22"/>
                <w:lang w:val="sr-Cyrl-RS"/>
              </w:rPr>
              <w:t>€</w:t>
            </w:r>
          </w:p>
          <w:p w14:paraId="7791380B" w14:textId="77777777" w:rsidR="00D86A7B" w:rsidRPr="00CF77C1" w:rsidRDefault="00D86A7B" w:rsidP="00F10D3F">
            <w:pPr>
              <w:jc w:val="left"/>
              <w:rPr>
                <w:sz w:val="22"/>
                <w:szCs w:val="22"/>
                <w:lang w:val="sr-Cyrl-RS"/>
              </w:rPr>
            </w:pPr>
            <w:r w:rsidRPr="00CF77C1">
              <w:rPr>
                <w:sz w:val="22"/>
                <w:szCs w:val="22"/>
                <w:lang w:val="sr-Cyrl-RS"/>
              </w:rPr>
              <w:t>Извор средстава финансирања:</w:t>
            </w:r>
          </w:p>
          <w:p w14:paraId="191FFEE0" w14:textId="77777777" w:rsidR="00D86A7B" w:rsidRPr="00CF77C1" w:rsidRDefault="00D86A7B" w:rsidP="00F10D3F">
            <w:pPr>
              <w:jc w:val="left"/>
              <w:rPr>
                <w:sz w:val="22"/>
                <w:szCs w:val="22"/>
                <w:lang w:val="sr-Cyrl-RS"/>
              </w:rPr>
            </w:pPr>
            <w:r w:rsidRPr="00CF77C1">
              <w:rPr>
                <w:sz w:val="22"/>
                <w:szCs w:val="22"/>
                <w:lang w:val="sr-Cyrl-RS"/>
              </w:rPr>
              <w:t>- сопствена средства ЈКП,</w:t>
            </w:r>
          </w:p>
          <w:p w14:paraId="7B81A692" w14:textId="4F47B08D" w:rsidR="00D86A7B" w:rsidRPr="00CF77C1" w:rsidRDefault="00D86A7B" w:rsidP="00F10D3F">
            <w:pPr>
              <w:jc w:val="left"/>
              <w:rPr>
                <w:sz w:val="22"/>
                <w:szCs w:val="22"/>
                <w:lang w:val="sr-Cyrl-RS"/>
              </w:rPr>
            </w:pPr>
            <w:r w:rsidRPr="00CF77C1">
              <w:rPr>
                <w:sz w:val="22"/>
                <w:szCs w:val="22"/>
                <w:lang w:val="sr-Cyrl-RS"/>
              </w:rPr>
              <w:t>- неповратна средства министарства надлеж</w:t>
            </w:r>
            <w:r w:rsidR="009A670A" w:rsidRPr="00CF77C1">
              <w:rPr>
                <w:sz w:val="22"/>
                <w:szCs w:val="22"/>
                <w:lang w:val="sr-Cyrl-RS"/>
              </w:rPr>
              <w:t>ног за послове енергетике кроз Б</w:t>
            </w:r>
            <w:r w:rsidRPr="00CF77C1">
              <w:rPr>
                <w:sz w:val="22"/>
                <w:szCs w:val="22"/>
                <w:lang w:val="sr-Cyrl-RS"/>
              </w:rPr>
              <w:t>уџетски фонд за ЕЕ,</w:t>
            </w:r>
          </w:p>
          <w:p w14:paraId="37E02F04" w14:textId="77777777" w:rsidR="00D86A7B" w:rsidRPr="00CF77C1" w:rsidRDefault="00D86A7B" w:rsidP="00F10D3F">
            <w:pPr>
              <w:jc w:val="left"/>
              <w:rPr>
                <w:sz w:val="22"/>
                <w:szCs w:val="22"/>
                <w:lang w:val="sr-Cyrl-RS"/>
              </w:rPr>
            </w:pPr>
            <w:r w:rsidRPr="00CF77C1">
              <w:rPr>
                <w:sz w:val="22"/>
                <w:szCs w:val="22"/>
                <w:lang w:val="sr-Cyrl-RS"/>
              </w:rPr>
              <w:t>донације,</w:t>
            </w:r>
          </w:p>
          <w:p w14:paraId="2E788F96" w14:textId="77777777" w:rsidR="00D86A7B" w:rsidRPr="00CF77C1" w:rsidRDefault="00D86A7B" w:rsidP="00F10D3F">
            <w:pPr>
              <w:jc w:val="left"/>
              <w:rPr>
                <w:sz w:val="22"/>
                <w:szCs w:val="22"/>
                <w:lang w:val="sr-Cyrl-RS"/>
              </w:rPr>
            </w:pPr>
            <w:r w:rsidRPr="00CF77C1">
              <w:rPr>
                <w:sz w:val="22"/>
                <w:szCs w:val="22"/>
                <w:lang w:val="sr-Cyrl-RS"/>
              </w:rPr>
              <w:t>- кредитне линије,</w:t>
            </w:r>
          </w:p>
          <w:p w14:paraId="62292CE1" w14:textId="544A7C66" w:rsidR="00D86A7B" w:rsidRPr="00CF77C1" w:rsidRDefault="00D86A7B" w:rsidP="00F10D3F">
            <w:pPr>
              <w:jc w:val="left"/>
              <w:rPr>
                <w:sz w:val="22"/>
                <w:szCs w:val="22"/>
                <w:lang w:val="sr-Cyrl-RS"/>
              </w:rPr>
            </w:pPr>
            <w:r w:rsidRPr="00CF77C1">
              <w:rPr>
                <w:sz w:val="22"/>
                <w:szCs w:val="22"/>
                <w:lang w:val="sr-Cyrl-RS"/>
              </w:rPr>
              <w:t>- програми KfW, GIZ, IPA п</w:t>
            </w:r>
            <w:r w:rsidR="000D353C">
              <w:rPr>
                <w:sz w:val="22"/>
                <w:szCs w:val="22"/>
                <w:lang w:val="sr-Cyrl-RS"/>
              </w:rPr>
              <w:t>р</w:t>
            </w:r>
            <w:r w:rsidRPr="00CF77C1">
              <w:rPr>
                <w:sz w:val="22"/>
                <w:szCs w:val="22"/>
                <w:lang w:val="sr-Cyrl-RS"/>
              </w:rPr>
              <w:t>ојекти</w:t>
            </w:r>
            <w:r w:rsidR="000D353C">
              <w:rPr>
                <w:sz w:val="22"/>
                <w:szCs w:val="22"/>
                <w:lang w:val="sr-Cyrl-RS"/>
              </w:rPr>
              <w:t>.</w:t>
            </w:r>
          </w:p>
          <w:p w14:paraId="60ABA733" w14:textId="77777777" w:rsidR="00D86A7B" w:rsidRPr="00CF77C1" w:rsidRDefault="00D86A7B" w:rsidP="00F10D3F">
            <w:pPr>
              <w:jc w:val="center"/>
              <w:rPr>
                <w:sz w:val="22"/>
                <w:szCs w:val="22"/>
                <w:lang w:val="sr-Cyrl-RS"/>
              </w:rPr>
            </w:pPr>
          </w:p>
        </w:tc>
        <w:tc>
          <w:tcPr>
            <w:tcW w:w="1981" w:type="pct"/>
            <w:shd w:val="clear" w:color="auto" w:fill="auto"/>
            <w:vAlign w:val="center"/>
          </w:tcPr>
          <w:p w14:paraId="343A4C36" w14:textId="77777777" w:rsidR="00D86A7B" w:rsidRPr="00CF77C1" w:rsidRDefault="00D86A7B" w:rsidP="00F10D3F">
            <w:pPr>
              <w:jc w:val="left"/>
              <w:rPr>
                <w:sz w:val="22"/>
                <w:szCs w:val="22"/>
                <w:lang w:val="sr-Cyrl-RS"/>
              </w:rPr>
            </w:pPr>
            <w:r w:rsidRPr="00CF77C1">
              <w:rPr>
                <w:sz w:val="22"/>
                <w:szCs w:val="22"/>
                <w:lang w:val="sr-Cyrl-RS"/>
              </w:rPr>
              <w:t>Предложени пројекат подразумева:</w:t>
            </w:r>
          </w:p>
          <w:p w14:paraId="3B8A70AF" w14:textId="77777777" w:rsidR="00D86A7B" w:rsidRPr="00CF77C1" w:rsidRDefault="00D86A7B" w:rsidP="00F10D3F">
            <w:pPr>
              <w:jc w:val="left"/>
              <w:rPr>
                <w:sz w:val="22"/>
                <w:szCs w:val="22"/>
                <w:lang w:val="sr-Cyrl-RS"/>
              </w:rPr>
            </w:pPr>
            <w:r w:rsidRPr="00CF77C1">
              <w:rPr>
                <w:sz w:val="22"/>
                <w:szCs w:val="22"/>
                <w:lang w:val="sr-Cyrl-RS"/>
              </w:rPr>
              <w:t>- замену дотрајалих деоница дистрибутивне мреже</w:t>
            </w:r>
          </w:p>
          <w:p w14:paraId="4911C4D6" w14:textId="77777777" w:rsidR="00D86A7B" w:rsidRPr="00CF77C1" w:rsidRDefault="00D86A7B" w:rsidP="00F10D3F">
            <w:pPr>
              <w:jc w:val="left"/>
              <w:rPr>
                <w:sz w:val="22"/>
                <w:szCs w:val="22"/>
                <w:lang w:val="sr-Cyrl-RS"/>
              </w:rPr>
            </w:pPr>
            <w:r w:rsidRPr="00CF77C1">
              <w:rPr>
                <w:sz w:val="22"/>
                <w:szCs w:val="22"/>
                <w:lang w:val="sr-Cyrl-RS"/>
              </w:rPr>
              <w:t>- проширење дистрибутивне мреже ради прикључивања нових крајњих купаца на СДГ.</w:t>
            </w:r>
          </w:p>
          <w:p w14:paraId="49B928B9" w14:textId="77777777" w:rsidR="00D86A7B" w:rsidRPr="00CF77C1" w:rsidRDefault="00D86A7B" w:rsidP="00F10D3F">
            <w:pPr>
              <w:jc w:val="left"/>
              <w:rPr>
                <w:sz w:val="22"/>
                <w:szCs w:val="22"/>
                <w:lang w:val="sr-Cyrl-RS"/>
              </w:rPr>
            </w:pPr>
            <w:r w:rsidRPr="00CF77C1">
              <w:rPr>
                <w:sz w:val="22"/>
                <w:szCs w:val="22"/>
                <w:lang w:val="sr-Cyrl-RS"/>
              </w:rPr>
              <w:t>Пројекат омогућава:</w:t>
            </w:r>
          </w:p>
          <w:p w14:paraId="5F5C1905" w14:textId="77777777" w:rsidR="00D86A7B" w:rsidRPr="00CF77C1" w:rsidRDefault="00D86A7B" w:rsidP="00F10D3F">
            <w:pPr>
              <w:jc w:val="left"/>
              <w:rPr>
                <w:sz w:val="22"/>
                <w:szCs w:val="22"/>
                <w:lang w:val="sr-Cyrl-RS"/>
              </w:rPr>
            </w:pPr>
            <w:r w:rsidRPr="00CF77C1">
              <w:rPr>
                <w:sz w:val="22"/>
                <w:szCs w:val="22"/>
                <w:lang w:val="sr-Cyrl-RS"/>
              </w:rPr>
              <w:t>- замена старе технологије са новом - предизолованим топловодима;</w:t>
            </w:r>
          </w:p>
          <w:p w14:paraId="6B38D085" w14:textId="1D4901D7" w:rsidR="00D86A7B" w:rsidRPr="00CF77C1" w:rsidRDefault="00D86A7B" w:rsidP="00F10D3F">
            <w:pPr>
              <w:jc w:val="left"/>
              <w:rPr>
                <w:sz w:val="22"/>
                <w:szCs w:val="22"/>
                <w:lang w:val="sr-Cyrl-RS"/>
              </w:rPr>
            </w:pPr>
            <w:r w:rsidRPr="00CF77C1">
              <w:rPr>
                <w:sz w:val="22"/>
                <w:szCs w:val="22"/>
                <w:lang w:val="sr-Cyrl-RS"/>
              </w:rPr>
              <w:t xml:space="preserve">- смањење губитака </w:t>
            </w:r>
            <w:r w:rsidR="000B5EDC" w:rsidRPr="00CF77C1">
              <w:rPr>
                <w:sz w:val="22"/>
                <w:szCs w:val="22"/>
                <w:lang w:val="sr-Cyrl-RS"/>
              </w:rPr>
              <w:t>-</w:t>
            </w:r>
            <w:r w:rsidRPr="00CF77C1">
              <w:rPr>
                <w:sz w:val="22"/>
                <w:szCs w:val="22"/>
                <w:lang w:val="sr-Cyrl-RS"/>
              </w:rPr>
              <w:t xml:space="preserve"> кроз топлотну изолацију и услед цурења;</w:t>
            </w:r>
          </w:p>
          <w:p w14:paraId="7DA47A3F" w14:textId="77777777" w:rsidR="00D86A7B" w:rsidRPr="00CF77C1" w:rsidRDefault="00D86A7B" w:rsidP="00F10D3F">
            <w:pPr>
              <w:jc w:val="left"/>
              <w:rPr>
                <w:sz w:val="22"/>
                <w:szCs w:val="22"/>
                <w:lang w:val="sr-Cyrl-RS"/>
              </w:rPr>
            </w:pPr>
            <w:r w:rsidRPr="00CF77C1">
              <w:rPr>
                <w:sz w:val="22"/>
                <w:szCs w:val="22"/>
                <w:lang w:val="sr-Cyrl-RS"/>
              </w:rPr>
              <w:t>- смањење броја кварова на дистрибутивној мрежи и смањење потребе за хитним интервенцијама, додатним екипама и извођачима за санацију кварова и хаварија на топловодима;</w:t>
            </w:r>
          </w:p>
          <w:p w14:paraId="29F2AD83" w14:textId="77777777" w:rsidR="00D86A7B" w:rsidRPr="00CF77C1" w:rsidRDefault="00D86A7B" w:rsidP="00F10D3F">
            <w:pPr>
              <w:jc w:val="left"/>
              <w:rPr>
                <w:sz w:val="22"/>
                <w:szCs w:val="22"/>
                <w:lang w:val="sr-Cyrl-RS"/>
              </w:rPr>
            </w:pPr>
            <w:r w:rsidRPr="00CF77C1">
              <w:rPr>
                <w:sz w:val="22"/>
                <w:szCs w:val="22"/>
                <w:lang w:val="sr-Cyrl-RS"/>
              </w:rPr>
              <w:t>- повећање квалитета испоручене топлотне енергије крајњим купцима;</w:t>
            </w:r>
          </w:p>
          <w:p w14:paraId="5DF74059" w14:textId="52105223" w:rsidR="00D86A7B" w:rsidRPr="00CF77C1" w:rsidRDefault="00D86A7B" w:rsidP="00F10D3F">
            <w:pPr>
              <w:jc w:val="left"/>
              <w:rPr>
                <w:sz w:val="22"/>
                <w:szCs w:val="22"/>
                <w:lang w:val="sr-Cyrl-RS"/>
              </w:rPr>
            </w:pPr>
            <w:r w:rsidRPr="00CF77C1">
              <w:rPr>
                <w:sz w:val="22"/>
                <w:szCs w:val="22"/>
                <w:lang w:val="sr-Cyrl-RS"/>
              </w:rPr>
              <w:t>- смањење потребе за допуном система хемијс</w:t>
            </w:r>
            <w:r w:rsidR="000D353C">
              <w:rPr>
                <w:sz w:val="22"/>
                <w:szCs w:val="22"/>
                <w:lang w:val="sr-Cyrl-RS"/>
              </w:rPr>
              <w:t xml:space="preserve">ких </w:t>
            </w:r>
            <w:r w:rsidRPr="00CF77C1">
              <w:rPr>
                <w:sz w:val="22"/>
                <w:szCs w:val="22"/>
                <w:lang w:val="sr-Cyrl-RS"/>
              </w:rPr>
              <w:t>припремљеном водом чиме се додатно утиче на смањење трошкова;</w:t>
            </w:r>
          </w:p>
          <w:p w14:paraId="1C4B868D" w14:textId="34A920F1" w:rsidR="000D53CA" w:rsidRPr="00CF77C1" w:rsidRDefault="00D86A7B" w:rsidP="00F10D3F">
            <w:pPr>
              <w:jc w:val="left"/>
              <w:rPr>
                <w:sz w:val="22"/>
                <w:szCs w:val="22"/>
                <w:lang w:val="sr-Cyrl-RS"/>
              </w:rPr>
            </w:pPr>
            <w:r w:rsidRPr="00CF77C1">
              <w:rPr>
                <w:sz w:val="22"/>
                <w:szCs w:val="22"/>
                <w:lang w:val="sr-Cyrl-RS"/>
              </w:rPr>
              <w:t>- мањи број прекида испоруке/снабдевања топлотном енергијом; смањен број рекламација и жалби и броја бонификација због прекида</w:t>
            </w:r>
            <w:r w:rsidR="000D353C">
              <w:rPr>
                <w:sz w:val="22"/>
                <w:szCs w:val="22"/>
                <w:lang w:val="sr-Cyrl-RS"/>
              </w:rPr>
              <w:t xml:space="preserve"> снабдевања топлотном енергијом.</w:t>
            </w:r>
          </w:p>
          <w:p w14:paraId="68B6328B" w14:textId="36560005" w:rsidR="00D86A7B" w:rsidRPr="00CF77C1" w:rsidRDefault="00D86A7B" w:rsidP="00F10D3F">
            <w:pPr>
              <w:jc w:val="center"/>
              <w:rPr>
                <w:sz w:val="22"/>
                <w:szCs w:val="22"/>
                <w:lang w:val="sr-Cyrl-RS"/>
              </w:rPr>
            </w:pPr>
          </w:p>
        </w:tc>
        <w:tc>
          <w:tcPr>
            <w:tcW w:w="1426" w:type="pct"/>
            <w:shd w:val="clear" w:color="auto" w:fill="auto"/>
            <w:vAlign w:val="center"/>
          </w:tcPr>
          <w:p w14:paraId="30BDDB7C" w14:textId="0D809DC9" w:rsidR="00D86A7B" w:rsidRPr="00CF77C1" w:rsidRDefault="00D86A7B" w:rsidP="00F10D3F">
            <w:pPr>
              <w:jc w:val="left"/>
              <w:rPr>
                <w:sz w:val="22"/>
                <w:szCs w:val="22"/>
                <w:lang w:val="sr-Cyrl-RS"/>
              </w:rPr>
            </w:pPr>
            <w:r w:rsidRPr="00CF77C1">
              <w:rPr>
                <w:sz w:val="22"/>
                <w:szCs w:val="22"/>
                <w:lang w:val="sr-Cyrl-RS"/>
              </w:rPr>
              <w:t xml:space="preserve">Годишње смањење потрошње енергената: &gt;6.000,00 </w:t>
            </w:r>
            <w:r w:rsidR="00D27CE2" w:rsidRPr="00CF77C1">
              <w:rPr>
                <w:sz w:val="22"/>
                <w:szCs w:val="22"/>
                <w:lang w:val="sr-Cyrl-RS"/>
              </w:rPr>
              <w:t>тен</w:t>
            </w:r>
            <w:r w:rsidRPr="00CF77C1">
              <w:rPr>
                <w:sz w:val="22"/>
                <w:szCs w:val="22"/>
                <w:lang w:val="sr-Cyrl-RS"/>
              </w:rPr>
              <w:t xml:space="preserve"> (</w:t>
            </w:r>
            <w:r w:rsidRPr="00CF77C1">
              <w:rPr>
                <w:sz w:val="22"/>
                <w:szCs w:val="22"/>
                <w:lang w:val="sr-Cyrl-RS"/>
              </w:rPr>
              <w:sym w:font="Symbol" w:char="F0BB"/>
            </w:r>
            <w:r w:rsidRPr="00CF77C1">
              <w:rPr>
                <w:sz w:val="22"/>
                <w:szCs w:val="22"/>
                <w:lang w:val="sr-Cyrl-RS"/>
              </w:rPr>
              <w:t>1% у односу на укупно утрошену примарну енергију на годишњем нивоу за производњу топлотне енергије у СДГ)</w:t>
            </w:r>
          </w:p>
          <w:p w14:paraId="7E99E77B" w14:textId="4BEF589E" w:rsidR="00D86A7B" w:rsidRPr="00CF77C1" w:rsidRDefault="00D86A7B" w:rsidP="00F10D3F">
            <w:pPr>
              <w:jc w:val="left"/>
              <w:rPr>
                <w:sz w:val="22"/>
                <w:szCs w:val="22"/>
                <w:lang w:val="sr-Cyrl-RS"/>
              </w:rPr>
            </w:pPr>
            <w:r w:rsidRPr="00CF77C1">
              <w:rPr>
                <w:sz w:val="22"/>
                <w:szCs w:val="22"/>
                <w:lang w:val="sr-Cyrl-RS"/>
              </w:rPr>
              <w:t xml:space="preserve">Новчане уштеде: &gt;3.700.000,00 </w:t>
            </w:r>
            <w:r w:rsidR="000D353C" w:rsidRPr="00CF77C1">
              <w:rPr>
                <w:sz w:val="22"/>
                <w:szCs w:val="22"/>
                <w:lang w:val="sr-Cyrl-RS"/>
              </w:rPr>
              <w:t>€</w:t>
            </w:r>
          </w:p>
          <w:p w14:paraId="715245CD" w14:textId="77777777" w:rsidR="00D86A7B" w:rsidRPr="00CF77C1" w:rsidRDefault="00D86A7B" w:rsidP="00F10D3F">
            <w:pPr>
              <w:jc w:val="left"/>
              <w:rPr>
                <w:sz w:val="22"/>
                <w:szCs w:val="22"/>
                <w:lang w:val="sr-Cyrl-RS"/>
              </w:rPr>
            </w:pPr>
            <w:r w:rsidRPr="00CF77C1">
              <w:rPr>
                <w:sz w:val="22"/>
                <w:szCs w:val="22"/>
                <w:lang w:val="sr-Cyrl-RS"/>
              </w:rPr>
              <w:t>Број купаца (постојећи и нови) на који ће се односити ефекти пројеката: &gt;477.000</w:t>
            </w:r>
          </w:p>
          <w:p w14:paraId="7C4CCDDE" w14:textId="382779D8" w:rsidR="00D86A7B" w:rsidRPr="00CF77C1" w:rsidRDefault="00D86A7B" w:rsidP="00F10D3F">
            <w:pPr>
              <w:jc w:val="left"/>
              <w:rPr>
                <w:sz w:val="22"/>
                <w:szCs w:val="22"/>
                <w:lang w:val="sr-Cyrl-RS"/>
              </w:rPr>
            </w:pPr>
            <w:r w:rsidRPr="00CF77C1">
              <w:rPr>
                <w:sz w:val="22"/>
                <w:szCs w:val="22"/>
                <w:lang w:val="sr-Cyrl-RS"/>
              </w:rPr>
              <w:t>Потребно је израдити детаљне студије изв</w:t>
            </w:r>
            <w:r w:rsidR="000D353C">
              <w:rPr>
                <w:sz w:val="22"/>
                <w:szCs w:val="22"/>
                <w:lang w:val="sr-Cyrl-RS"/>
              </w:rPr>
              <w:t>о</w:t>
            </w:r>
            <w:r w:rsidRPr="00CF77C1">
              <w:rPr>
                <w:sz w:val="22"/>
                <w:szCs w:val="22"/>
                <w:lang w:val="sr-Cyrl-RS"/>
              </w:rPr>
              <w:t>дљивости ради детаљне квантификације ефеката уштеда у енергентима и ефеката умањења емисија штетних компоненти у атмосферу.</w:t>
            </w:r>
          </w:p>
        </w:tc>
      </w:tr>
      <w:tr w:rsidR="00D86A7B" w:rsidRPr="00CF77C1" w14:paraId="2A037B72" w14:textId="77777777" w:rsidTr="00F10D3F">
        <w:trPr>
          <w:cantSplit/>
        </w:trPr>
        <w:tc>
          <w:tcPr>
            <w:tcW w:w="793" w:type="pct"/>
            <w:shd w:val="clear" w:color="auto" w:fill="auto"/>
            <w:vAlign w:val="center"/>
          </w:tcPr>
          <w:p w14:paraId="1780A888" w14:textId="77777777" w:rsidR="00D86A7B" w:rsidRPr="00CF77C1" w:rsidRDefault="00D86A7B" w:rsidP="00F10D3F">
            <w:pPr>
              <w:jc w:val="left"/>
              <w:rPr>
                <w:sz w:val="22"/>
                <w:szCs w:val="22"/>
                <w:lang w:val="sr-Cyrl-RS"/>
              </w:rPr>
            </w:pPr>
            <w:r w:rsidRPr="00CF77C1">
              <w:rPr>
                <w:sz w:val="22"/>
                <w:szCs w:val="22"/>
                <w:lang w:val="sr-Cyrl-RS"/>
              </w:rPr>
              <w:t>Осавремењавање мерно-регулационе опреме у топлотно-предајним станицама, даљински систем надзора и управљања конзумом, уградња нових компактних подстаница.</w:t>
            </w:r>
          </w:p>
          <w:p w14:paraId="3DCE2919" w14:textId="77777777" w:rsidR="00D86A7B" w:rsidRPr="00CF77C1" w:rsidRDefault="00D86A7B" w:rsidP="00F10D3F">
            <w:pPr>
              <w:jc w:val="left"/>
              <w:rPr>
                <w:sz w:val="22"/>
                <w:szCs w:val="22"/>
                <w:lang w:val="sr-Cyrl-RS"/>
              </w:rPr>
            </w:pPr>
            <w:r w:rsidRPr="00CF77C1">
              <w:rPr>
                <w:sz w:val="22"/>
                <w:szCs w:val="22"/>
                <w:lang w:val="sr-Cyrl-RS"/>
              </w:rPr>
              <w:t>Пројекти обухватају 12 топлана</w:t>
            </w:r>
          </w:p>
        </w:tc>
        <w:tc>
          <w:tcPr>
            <w:tcW w:w="800" w:type="pct"/>
            <w:shd w:val="clear" w:color="auto" w:fill="auto"/>
            <w:vAlign w:val="center"/>
          </w:tcPr>
          <w:p w14:paraId="290B66B2" w14:textId="67EDB9F1" w:rsidR="00D86A7B" w:rsidRPr="00CF77C1" w:rsidRDefault="00D86A7B" w:rsidP="00F10D3F">
            <w:pPr>
              <w:jc w:val="center"/>
              <w:rPr>
                <w:sz w:val="22"/>
                <w:szCs w:val="22"/>
                <w:lang w:val="sr-Cyrl-RS"/>
              </w:rPr>
            </w:pPr>
            <w:r w:rsidRPr="00CF77C1">
              <w:rPr>
                <w:sz w:val="22"/>
                <w:szCs w:val="22"/>
                <w:lang w:val="sr-Cyrl-RS"/>
              </w:rPr>
              <w:t xml:space="preserve">14.096.800,00 </w:t>
            </w:r>
            <w:r w:rsidR="00984997" w:rsidRPr="00CF77C1">
              <w:rPr>
                <w:sz w:val="22"/>
                <w:szCs w:val="22"/>
                <w:lang w:val="sr-Cyrl-RS"/>
              </w:rPr>
              <w:t>€</w:t>
            </w:r>
          </w:p>
          <w:p w14:paraId="356F8080" w14:textId="77777777" w:rsidR="00D86A7B" w:rsidRPr="00CF77C1" w:rsidRDefault="00D86A7B" w:rsidP="00F10D3F">
            <w:pPr>
              <w:jc w:val="left"/>
              <w:rPr>
                <w:sz w:val="22"/>
                <w:szCs w:val="22"/>
                <w:lang w:val="sr-Cyrl-RS"/>
              </w:rPr>
            </w:pPr>
            <w:r w:rsidRPr="00CF77C1">
              <w:rPr>
                <w:sz w:val="22"/>
                <w:szCs w:val="22"/>
                <w:lang w:val="sr-Cyrl-RS"/>
              </w:rPr>
              <w:t>Извор средстава:</w:t>
            </w:r>
          </w:p>
          <w:p w14:paraId="11A16D11" w14:textId="77777777" w:rsidR="00D86A7B" w:rsidRPr="00CF77C1" w:rsidRDefault="00D86A7B" w:rsidP="00F10D3F">
            <w:pPr>
              <w:jc w:val="left"/>
              <w:rPr>
                <w:sz w:val="22"/>
                <w:szCs w:val="22"/>
                <w:lang w:val="sr-Cyrl-RS"/>
              </w:rPr>
            </w:pPr>
            <w:r w:rsidRPr="00CF77C1">
              <w:rPr>
                <w:sz w:val="22"/>
                <w:szCs w:val="22"/>
                <w:lang w:val="sr-Cyrl-RS"/>
              </w:rPr>
              <w:t>- сопствена средства ЈКП,</w:t>
            </w:r>
          </w:p>
          <w:p w14:paraId="78E1F259" w14:textId="14929DA9" w:rsidR="00D86A7B" w:rsidRPr="00CF77C1" w:rsidRDefault="00D86A7B" w:rsidP="00F10D3F">
            <w:pPr>
              <w:jc w:val="left"/>
              <w:rPr>
                <w:sz w:val="22"/>
                <w:szCs w:val="22"/>
                <w:lang w:val="sr-Cyrl-RS"/>
              </w:rPr>
            </w:pPr>
            <w:r w:rsidRPr="00CF77C1">
              <w:rPr>
                <w:sz w:val="22"/>
                <w:szCs w:val="22"/>
                <w:lang w:val="sr-Cyrl-RS"/>
              </w:rPr>
              <w:t>- неповратна средства министарства надлеж</w:t>
            </w:r>
            <w:r w:rsidR="009A670A" w:rsidRPr="00CF77C1">
              <w:rPr>
                <w:sz w:val="22"/>
                <w:szCs w:val="22"/>
                <w:lang w:val="sr-Cyrl-RS"/>
              </w:rPr>
              <w:t>ног за послове енергетике кроз Б</w:t>
            </w:r>
            <w:r w:rsidRPr="00CF77C1">
              <w:rPr>
                <w:sz w:val="22"/>
                <w:szCs w:val="22"/>
                <w:lang w:val="sr-Cyrl-RS"/>
              </w:rPr>
              <w:t>уџетски фонд за ЕЕ,</w:t>
            </w:r>
          </w:p>
          <w:p w14:paraId="0F1B43FC" w14:textId="77777777" w:rsidR="00D86A7B" w:rsidRPr="00CF77C1" w:rsidRDefault="00D86A7B" w:rsidP="00F10D3F">
            <w:pPr>
              <w:jc w:val="left"/>
              <w:rPr>
                <w:sz w:val="22"/>
                <w:szCs w:val="22"/>
                <w:lang w:val="sr-Cyrl-RS"/>
              </w:rPr>
            </w:pPr>
            <w:r w:rsidRPr="00CF77C1">
              <w:rPr>
                <w:sz w:val="22"/>
                <w:szCs w:val="22"/>
                <w:lang w:val="sr-Cyrl-RS"/>
              </w:rPr>
              <w:t>донације,</w:t>
            </w:r>
          </w:p>
          <w:p w14:paraId="240BD392" w14:textId="77777777" w:rsidR="00D86A7B" w:rsidRPr="00CF77C1" w:rsidRDefault="00D86A7B" w:rsidP="00F10D3F">
            <w:pPr>
              <w:jc w:val="left"/>
              <w:rPr>
                <w:sz w:val="22"/>
                <w:szCs w:val="22"/>
                <w:lang w:val="sr-Cyrl-RS"/>
              </w:rPr>
            </w:pPr>
            <w:r w:rsidRPr="00CF77C1">
              <w:rPr>
                <w:sz w:val="22"/>
                <w:szCs w:val="22"/>
                <w:lang w:val="sr-Cyrl-RS"/>
              </w:rPr>
              <w:t>- кредитне линије,</w:t>
            </w:r>
          </w:p>
          <w:p w14:paraId="74C04447" w14:textId="3596710A" w:rsidR="00D86A7B" w:rsidRPr="00CF77C1" w:rsidRDefault="00D86A7B" w:rsidP="00F10D3F">
            <w:pPr>
              <w:jc w:val="left"/>
              <w:rPr>
                <w:sz w:val="22"/>
                <w:szCs w:val="22"/>
                <w:lang w:val="sr-Cyrl-RS"/>
              </w:rPr>
            </w:pPr>
            <w:r w:rsidRPr="00CF77C1">
              <w:rPr>
                <w:sz w:val="22"/>
                <w:szCs w:val="22"/>
                <w:lang w:val="sr-Cyrl-RS"/>
              </w:rPr>
              <w:t>- програми KfW, GIZ, IPA појекти</w:t>
            </w:r>
            <w:r w:rsidR="004D6043">
              <w:rPr>
                <w:sz w:val="22"/>
                <w:szCs w:val="22"/>
                <w:lang w:val="sr-Cyrl-RS"/>
              </w:rPr>
              <w:t>.</w:t>
            </w:r>
          </w:p>
          <w:p w14:paraId="0F08597F" w14:textId="77777777" w:rsidR="00D86A7B" w:rsidRPr="00CF77C1" w:rsidRDefault="00D86A7B" w:rsidP="00F10D3F">
            <w:pPr>
              <w:jc w:val="center"/>
              <w:rPr>
                <w:sz w:val="22"/>
                <w:szCs w:val="22"/>
                <w:lang w:val="sr-Cyrl-RS"/>
              </w:rPr>
            </w:pPr>
          </w:p>
        </w:tc>
        <w:tc>
          <w:tcPr>
            <w:tcW w:w="1981" w:type="pct"/>
            <w:shd w:val="clear" w:color="auto" w:fill="auto"/>
            <w:vAlign w:val="center"/>
          </w:tcPr>
          <w:p w14:paraId="4E5E20CC" w14:textId="77777777" w:rsidR="00D86A7B" w:rsidRPr="00CF77C1" w:rsidRDefault="00D86A7B" w:rsidP="00F10D3F">
            <w:pPr>
              <w:jc w:val="left"/>
              <w:rPr>
                <w:sz w:val="22"/>
                <w:szCs w:val="22"/>
                <w:lang w:val="sr-Cyrl-RS"/>
              </w:rPr>
            </w:pPr>
            <w:r w:rsidRPr="00CF77C1">
              <w:rPr>
                <w:sz w:val="22"/>
                <w:szCs w:val="22"/>
                <w:lang w:val="sr-Cyrl-RS"/>
              </w:rPr>
              <w:t>Предложени пројекат подразумева:</w:t>
            </w:r>
          </w:p>
          <w:p w14:paraId="0C1D0CC7" w14:textId="77777777" w:rsidR="00D86A7B" w:rsidRPr="00CF77C1" w:rsidRDefault="00D86A7B" w:rsidP="00F10D3F">
            <w:pPr>
              <w:jc w:val="left"/>
              <w:rPr>
                <w:sz w:val="22"/>
                <w:szCs w:val="22"/>
                <w:lang w:val="sr-Cyrl-RS"/>
              </w:rPr>
            </w:pPr>
            <w:r w:rsidRPr="00CF77C1">
              <w:rPr>
                <w:sz w:val="22"/>
                <w:szCs w:val="22"/>
                <w:lang w:val="sr-Cyrl-RS"/>
              </w:rPr>
              <w:t>- уградњу нових компактних подстаница;</w:t>
            </w:r>
          </w:p>
          <w:p w14:paraId="517FD987" w14:textId="77777777" w:rsidR="00D86A7B" w:rsidRPr="00CF77C1" w:rsidRDefault="00D86A7B" w:rsidP="00F10D3F">
            <w:pPr>
              <w:jc w:val="left"/>
              <w:rPr>
                <w:sz w:val="22"/>
                <w:szCs w:val="22"/>
                <w:lang w:val="sr-Cyrl-RS"/>
              </w:rPr>
            </w:pPr>
            <w:r w:rsidRPr="00CF77C1">
              <w:rPr>
                <w:sz w:val="22"/>
                <w:szCs w:val="22"/>
                <w:lang w:val="sr-Cyrl-RS"/>
              </w:rPr>
              <w:t>- уградња калориметара у кућним подстаницама;</w:t>
            </w:r>
          </w:p>
          <w:p w14:paraId="30C8E277" w14:textId="77777777" w:rsidR="00D86A7B" w:rsidRPr="00CF77C1" w:rsidRDefault="00D86A7B" w:rsidP="00F10D3F">
            <w:pPr>
              <w:jc w:val="left"/>
              <w:rPr>
                <w:sz w:val="22"/>
                <w:szCs w:val="22"/>
                <w:lang w:val="sr-Cyrl-RS"/>
              </w:rPr>
            </w:pPr>
            <w:r w:rsidRPr="00CF77C1">
              <w:rPr>
                <w:sz w:val="22"/>
                <w:szCs w:val="22"/>
                <w:lang w:val="sr-Cyrl-RS"/>
              </w:rPr>
              <w:t>- аутоматизација и увођење система даљинског надзора и оптимизација радом топлотно-предајних подстаница.</w:t>
            </w:r>
          </w:p>
          <w:p w14:paraId="25A4C194" w14:textId="77777777" w:rsidR="00D86A7B" w:rsidRPr="00CF77C1" w:rsidRDefault="00D86A7B" w:rsidP="00F10D3F">
            <w:pPr>
              <w:jc w:val="left"/>
              <w:rPr>
                <w:sz w:val="22"/>
                <w:szCs w:val="22"/>
                <w:lang w:val="sr-Cyrl-RS"/>
              </w:rPr>
            </w:pPr>
          </w:p>
          <w:p w14:paraId="3CA31625" w14:textId="77777777" w:rsidR="00D86A7B" w:rsidRPr="00CF77C1" w:rsidRDefault="00D86A7B" w:rsidP="00F10D3F">
            <w:pPr>
              <w:jc w:val="left"/>
              <w:rPr>
                <w:sz w:val="22"/>
                <w:szCs w:val="22"/>
                <w:lang w:val="sr-Cyrl-RS"/>
              </w:rPr>
            </w:pPr>
            <w:r w:rsidRPr="00CF77C1">
              <w:rPr>
                <w:sz w:val="22"/>
                <w:szCs w:val="22"/>
                <w:lang w:val="sr-Cyrl-RS"/>
              </w:rPr>
              <w:t>Пројекат омогућава:</w:t>
            </w:r>
          </w:p>
          <w:p w14:paraId="579558F0" w14:textId="77777777" w:rsidR="00D86A7B" w:rsidRPr="00CF77C1" w:rsidRDefault="00D86A7B" w:rsidP="00F10D3F">
            <w:pPr>
              <w:jc w:val="left"/>
              <w:rPr>
                <w:sz w:val="22"/>
                <w:szCs w:val="22"/>
                <w:lang w:val="sr-Cyrl-RS"/>
              </w:rPr>
            </w:pPr>
            <w:r w:rsidRPr="00CF77C1">
              <w:rPr>
                <w:sz w:val="22"/>
                <w:szCs w:val="22"/>
                <w:lang w:val="sr-Cyrl-RS"/>
              </w:rPr>
              <w:t>- квалитетнија испорука топлотне енергије крајњим купцима;</w:t>
            </w:r>
          </w:p>
          <w:p w14:paraId="1781E4AE" w14:textId="77777777" w:rsidR="00D86A7B" w:rsidRPr="00CF77C1" w:rsidRDefault="00D86A7B" w:rsidP="00F10D3F">
            <w:pPr>
              <w:jc w:val="left"/>
              <w:rPr>
                <w:sz w:val="22"/>
                <w:szCs w:val="22"/>
                <w:lang w:val="sr-Cyrl-RS"/>
              </w:rPr>
            </w:pPr>
            <w:r w:rsidRPr="00CF77C1">
              <w:rPr>
                <w:sz w:val="22"/>
                <w:szCs w:val="22"/>
                <w:lang w:val="sr-Cyrl-RS"/>
              </w:rPr>
              <w:t>- остваривање услова за наплату према утрошку топлотне енергије;</w:t>
            </w:r>
          </w:p>
          <w:p w14:paraId="6D2E937E" w14:textId="77777777" w:rsidR="00D86A7B" w:rsidRPr="00CF77C1" w:rsidRDefault="00D86A7B" w:rsidP="00F10D3F">
            <w:pPr>
              <w:jc w:val="left"/>
              <w:rPr>
                <w:sz w:val="22"/>
                <w:szCs w:val="22"/>
                <w:lang w:val="sr-Cyrl-RS"/>
              </w:rPr>
            </w:pPr>
            <w:r w:rsidRPr="00CF77C1">
              <w:rPr>
                <w:sz w:val="22"/>
                <w:szCs w:val="22"/>
                <w:lang w:val="sr-Cyrl-RS"/>
              </w:rPr>
              <w:t>- детаљан увид у обрачун трошкова за испоручену топлотну енергију;</w:t>
            </w:r>
          </w:p>
          <w:p w14:paraId="2EDD3007" w14:textId="77777777" w:rsidR="00D86A7B" w:rsidRPr="00CF77C1" w:rsidRDefault="00D86A7B" w:rsidP="00F10D3F">
            <w:pPr>
              <w:jc w:val="left"/>
              <w:rPr>
                <w:sz w:val="22"/>
                <w:szCs w:val="22"/>
                <w:lang w:val="sr-Cyrl-RS"/>
              </w:rPr>
            </w:pPr>
            <w:r w:rsidRPr="00CF77C1">
              <w:rPr>
                <w:sz w:val="22"/>
                <w:szCs w:val="22"/>
                <w:lang w:val="sr-Cyrl-RS"/>
              </w:rPr>
              <w:t>- оптимизација рада система.</w:t>
            </w:r>
          </w:p>
          <w:p w14:paraId="76883BB4" w14:textId="77777777" w:rsidR="00D86A7B" w:rsidRPr="00CF77C1" w:rsidRDefault="00D86A7B" w:rsidP="00F10D3F">
            <w:pPr>
              <w:jc w:val="left"/>
              <w:rPr>
                <w:sz w:val="22"/>
                <w:szCs w:val="22"/>
                <w:lang w:val="sr-Cyrl-RS"/>
              </w:rPr>
            </w:pPr>
          </w:p>
        </w:tc>
        <w:tc>
          <w:tcPr>
            <w:tcW w:w="1426" w:type="pct"/>
            <w:shd w:val="clear" w:color="auto" w:fill="auto"/>
            <w:vAlign w:val="center"/>
          </w:tcPr>
          <w:p w14:paraId="63676D50" w14:textId="086D69E7" w:rsidR="00D86A7B" w:rsidRPr="00CF77C1" w:rsidRDefault="00D86A7B" w:rsidP="00F10D3F">
            <w:pPr>
              <w:jc w:val="left"/>
              <w:rPr>
                <w:sz w:val="22"/>
                <w:szCs w:val="22"/>
                <w:lang w:val="sr-Cyrl-RS"/>
              </w:rPr>
            </w:pPr>
            <w:r w:rsidRPr="00CF77C1">
              <w:rPr>
                <w:sz w:val="22"/>
                <w:szCs w:val="22"/>
                <w:lang w:val="sr-Cyrl-RS"/>
              </w:rPr>
              <w:t xml:space="preserve">Годишње смањење потрошње енергената: &gt;940,00 </w:t>
            </w:r>
            <w:r w:rsidR="00D27CE2" w:rsidRPr="00CF77C1">
              <w:rPr>
                <w:sz w:val="22"/>
                <w:szCs w:val="22"/>
                <w:lang w:val="sr-Cyrl-RS"/>
              </w:rPr>
              <w:t>тен</w:t>
            </w:r>
            <w:r w:rsidRPr="00CF77C1">
              <w:rPr>
                <w:sz w:val="22"/>
                <w:szCs w:val="22"/>
                <w:lang w:val="sr-Cyrl-RS"/>
              </w:rPr>
              <w:t xml:space="preserve"> (</w:t>
            </w:r>
            <w:r w:rsidRPr="00CF77C1">
              <w:rPr>
                <w:sz w:val="22"/>
                <w:szCs w:val="22"/>
                <w:lang w:val="sr-Cyrl-RS"/>
              </w:rPr>
              <w:sym w:font="Symbol" w:char="F0BB"/>
            </w:r>
            <w:r w:rsidRPr="00CF77C1">
              <w:rPr>
                <w:sz w:val="22"/>
                <w:szCs w:val="22"/>
                <w:lang w:val="sr-Cyrl-RS"/>
              </w:rPr>
              <w:t>0,2% у односу на укупно утрошену примарну енергију на годишњем нивоу за производњу топлотне енергије у СДГ)</w:t>
            </w:r>
          </w:p>
          <w:p w14:paraId="11D978E5" w14:textId="03E903B4" w:rsidR="00D86A7B" w:rsidRPr="00CF77C1" w:rsidRDefault="00D86A7B" w:rsidP="00F10D3F">
            <w:pPr>
              <w:jc w:val="left"/>
              <w:rPr>
                <w:sz w:val="22"/>
                <w:szCs w:val="22"/>
                <w:lang w:val="sr-Cyrl-RS"/>
              </w:rPr>
            </w:pPr>
            <w:r w:rsidRPr="00CF77C1">
              <w:rPr>
                <w:sz w:val="22"/>
                <w:szCs w:val="22"/>
                <w:lang w:val="sr-Cyrl-RS"/>
              </w:rPr>
              <w:t xml:space="preserve">Новчане уштеде: &gt;390.000,00 </w:t>
            </w:r>
            <w:r w:rsidR="004D6043" w:rsidRPr="00CF77C1">
              <w:rPr>
                <w:sz w:val="22"/>
                <w:szCs w:val="22"/>
                <w:lang w:val="sr-Cyrl-RS"/>
              </w:rPr>
              <w:t>€</w:t>
            </w:r>
          </w:p>
          <w:p w14:paraId="5EFFB312" w14:textId="77777777" w:rsidR="00D86A7B" w:rsidRPr="00CF77C1" w:rsidRDefault="00D86A7B" w:rsidP="00F10D3F">
            <w:pPr>
              <w:jc w:val="left"/>
              <w:rPr>
                <w:sz w:val="22"/>
                <w:szCs w:val="22"/>
                <w:lang w:val="sr-Cyrl-RS"/>
              </w:rPr>
            </w:pPr>
            <w:r w:rsidRPr="00CF77C1">
              <w:rPr>
                <w:sz w:val="22"/>
                <w:szCs w:val="22"/>
                <w:lang w:val="sr-Cyrl-RS"/>
              </w:rPr>
              <w:t>Број купаца (постојећи и нови) на који ће се односити ефекти пројеката: &gt;225.000</w:t>
            </w:r>
          </w:p>
          <w:p w14:paraId="12859721" w14:textId="1D3FB8A1" w:rsidR="00D86A7B" w:rsidRPr="00CF77C1" w:rsidRDefault="00D86A7B" w:rsidP="00F10D3F">
            <w:pPr>
              <w:jc w:val="left"/>
              <w:rPr>
                <w:sz w:val="22"/>
                <w:szCs w:val="22"/>
                <w:lang w:val="sr-Cyrl-RS"/>
              </w:rPr>
            </w:pPr>
            <w:r w:rsidRPr="00CF77C1">
              <w:rPr>
                <w:sz w:val="22"/>
                <w:szCs w:val="22"/>
                <w:lang w:val="sr-Cyrl-RS"/>
              </w:rPr>
              <w:t>Потребно је израдити детаљне студије изв</w:t>
            </w:r>
            <w:r w:rsidR="004D6043">
              <w:rPr>
                <w:sz w:val="22"/>
                <w:szCs w:val="22"/>
                <w:lang w:val="sr-Cyrl-RS"/>
              </w:rPr>
              <w:t>о</w:t>
            </w:r>
            <w:r w:rsidRPr="00CF77C1">
              <w:rPr>
                <w:sz w:val="22"/>
                <w:szCs w:val="22"/>
                <w:lang w:val="sr-Cyrl-RS"/>
              </w:rPr>
              <w:t>дљивости ради детаљне квантификације ефеката уштеда у енергентима и ефеката умањења емисија штетних компоненти у атмосферу.</w:t>
            </w:r>
          </w:p>
        </w:tc>
      </w:tr>
      <w:tr w:rsidR="00D86A7B" w:rsidRPr="00CF77C1" w14:paraId="465F681E" w14:textId="77777777" w:rsidTr="00F10D3F">
        <w:trPr>
          <w:cantSplit/>
        </w:trPr>
        <w:tc>
          <w:tcPr>
            <w:tcW w:w="793" w:type="pct"/>
            <w:shd w:val="clear" w:color="auto" w:fill="auto"/>
            <w:vAlign w:val="center"/>
          </w:tcPr>
          <w:p w14:paraId="62A38F91" w14:textId="0DC03C06" w:rsidR="00D86A7B" w:rsidRPr="00CF77C1" w:rsidRDefault="00D86A7B" w:rsidP="00F10D3F">
            <w:pPr>
              <w:jc w:val="left"/>
              <w:rPr>
                <w:sz w:val="22"/>
                <w:szCs w:val="22"/>
                <w:lang w:val="sr-Cyrl-RS"/>
              </w:rPr>
            </w:pPr>
            <w:r w:rsidRPr="00CF77C1">
              <w:rPr>
                <w:sz w:val="22"/>
                <w:szCs w:val="22"/>
                <w:lang w:val="sr-Cyrl-RS"/>
              </w:rPr>
              <w:t>Рехабилитација система даљинског грејања у</w:t>
            </w:r>
            <w:r w:rsidR="00EC16A1" w:rsidRPr="00CF77C1">
              <w:rPr>
                <w:sz w:val="22"/>
                <w:szCs w:val="22"/>
                <w:lang w:val="sr-Cyrl-RS"/>
              </w:rPr>
              <w:t xml:space="preserve"> Републици</w:t>
            </w:r>
            <w:r w:rsidRPr="00CF77C1">
              <w:rPr>
                <w:sz w:val="22"/>
                <w:szCs w:val="22"/>
                <w:lang w:val="sr-Cyrl-RS"/>
              </w:rPr>
              <w:t xml:space="preserve"> Србији - Фаза V</w:t>
            </w:r>
          </w:p>
        </w:tc>
        <w:tc>
          <w:tcPr>
            <w:tcW w:w="800" w:type="pct"/>
            <w:shd w:val="clear" w:color="auto" w:fill="auto"/>
            <w:vAlign w:val="center"/>
          </w:tcPr>
          <w:p w14:paraId="37C78EA2" w14:textId="66799F94" w:rsidR="00D86A7B" w:rsidRPr="00CF77C1" w:rsidRDefault="00D86A7B" w:rsidP="00F10D3F">
            <w:pPr>
              <w:jc w:val="center"/>
              <w:rPr>
                <w:sz w:val="22"/>
                <w:szCs w:val="22"/>
                <w:lang w:val="sr-Cyrl-RS"/>
              </w:rPr>
            </w:pPr>
            <w:r w:rsidRPr="00CF77C1">
              <w:rPr>
                <w:sz w:val="22"/>
                <w:szCs w:val="22"/>
                <w:lang w:val="sr-Cyrl-RS"/>
              </w:rPr>
              <w:t xml:space="preserve">30.000.000,00 </w:t>
            </w:r>
            <w:r w:rsidR="00984997" w:rsidRPr="00CF77C1">
              <w:rPr>
                <w:sz w:val="22"/>
                <w:szCs w:val="22"/>
                <w:lang w:val="sr-Cyrl-RS"/>
              </w:rPr>
              <w:t>€</w:t>
            </w:r>
            <w:r w:rsidRPr="00CF77C1">
              <w:rPr>
                <w:sz w:val="22"/>
                <w:szCs w:val="22"/>
                <w:lang w:val="sr-Cyrl-RS"/>
              </w:rPr>
              <w:t xml:space="preserve"> из кредита</w:t>
            </w:r>
          </w:p>
          <w:p w14:paraId="7DB7B856" w14:textId="0F1DFC10" w:rsidR="00D86A7B" w:rsidRPr="00CF77C1" w:rsidRDefault="00D86A7B" w:rsidP="00984997">
            <w:pPr>
              <w:jc w:val="center"/>
              <w:rPr>
                <w:sz w:val="22"/>
                <w:szCs w:val="22"/>
                <w:lang w:val="sr-Cyrl-RS"/>
              </w:rPr>
            </w:pPr>
            <w:r w:rsidRPr="00CF77C1">
              <w:rPr>
                <w:sz w:val="22"/>
                <w:szCs w:val="22"/>
                <w:lang w:val="sr-Cyrl-RS"/>
              </w:rPr>
              <w:t xml:space="preserve">2.000.000,00 </w:t>
            </w:r>
            <w:r w:rsidR="00984997" w:rsidRPr="00CF77C1">
              <w:rPr>
                <w:sz w:val="22"/>
                <w:szCs w:val="22"/>
                <w:lang w:val="sr-Cyrl-RS"/>
              </w:rPr>
              <w:t>€</w:t>
            </w:r>
            <w:r w:rsidRPr="00CF77C1">
              <w:rPr>
                <w:sz w:val="22"/>
                <w:szCs w:val="22"/>
                <w:lang w:val="sr-Cyrl-RS"/>
              </w:rPr>
              <w:t xml:space="preserve"> донација</w:t>
            </w:r>
          </w:p>
        </w:tc>
        <w:tc>
          <w:tcPr>
            <w:tcW w:w="1981" w:type="pct"/>
            <w:shd w:val="clear" w:color="auto" w:fill="auto"/>
            <w:vAlign w:val="center"/>
          </w:tcPr>
          <w:p w14:paraId="0C27B322" w14:textId="7211B0D1" w:rsidR="00D86A7B" w:rsidRPr="00CF77C1" w:rsidRDefault="00D86A7B" w:rsidP="00F10D3F">
            <w:pPr>
              <w:jc w:val="left"/>
              <w:rPr>
                <w:sz w:val="22"/>
                <w:szCs w:val="22"/>
                <w:lang w:val="sr-Cyrl-RS"/>
              </w:rPr>
            </w:pPr>
            <w:r w:rsidRPr="00CF77C1">
              <w:rPr>
                <w:sz w:val="22"/>
                <w:szCs w:val="22"/>
                <w:lang w:val="sr-Cyrl-RS"/>
              </w:rPr>
              <w:t xml:space="preserve">До 10 Топлана </w:t>
            </w:r>
            <w:r w:rsidR="00EC16A1" w:rsidRPr="00CF77C1">
              <w:rPr>
                <w:sz w:val="22"/>
                <w:szCs w:val="22"/>
                <w:lang w:val="sr-Cyrl-RS"/>
              </w:rPr>
              <w:t xml:space="preserve">Републике </w:t>
            </w:r>
            <w:r w:rsidRPr="00CF77C1">
              <w:rPr>
                <w:sz w:val="22"/>
                <w:szCs w:val="22"/>
                <w:lang w:val="sr-Cyrl-RS"/>
              </w:rPr>
              <w:t>Србије.</w:t>
            </w:r>
          </w:p>
          <w:p w14:paraId="6A0FC470" w14:textId="77777777" w:rsidR="00D86A7B" w:rsidRPr="00CF77C1" w:rsidRDefault="00D86A7B" w:rsidP="00F10D3F">
            <w:pPr>
              <w:jc w:val="center"/>
              <w:rPr>
                <w:sz w:val="22"/>
                <w:szCs w:val="22"/>
                <w:lang w:val="sr-Cyrl-RS"/>
              </w:rPr>
            </w:pPr>
            <w:r w:rsidRPr="00CF77C1">
              <w:rPr>
                <w:sz w:val="22"/>
                <w:szCs w:val="22"/>
                <w:lang w:val="sr-Cyrl-RS"/>
              </w:rPr>
              <w:t>У оквиру Програма спроводе се следеће техничке мере:</w:t>
            </w:r>
          </w:p>
          <w:p w14:paraId="79EFF984" w14:textId="77777777" w:rsidR="00D86A7B" w:rsidRPr="00CF77C1" w:rsidRDefault="00D86A7B" w:rsidP="003E39B4">
            <w:pPr>
              <w:numPr>
                <w:ilvl w:val="0"/>
                <w:numId w:val="70"/>
              </w:numPr>
              <w:spacing w:before="0" w:after="0"/>
              <w:rPr>
                <w:sz w:val="22"/>
                <w:szCs w:val="22"/>
                <w:lang w:val="sr-Cyrl-RS"/>
              </w:rPr>
            </w:pPr>
            <w:r w:rsidRPr="00CF77C1">
              <w:rPr>
                <w:sz w:val="22"/>
                <w:szCs w:val="22"/>
                <w:lang w:val="sr-Cyrl-RS" w:eastAsia="de-DE"/>
              </w:rPr>
              <w:t xml:space="preserve">реконструкција постојећих и изградња нових производних капацитета </w:t>
            </w:r>
            <w:r w:rsidRPr="00CF77C1">
              <w:rPr>
                <w:sz w:val="22"/>
                <w:szCs w:val="22"/>
                <w:lang w:val="sr-Cyrl-RS"/>
              </w:rPr>
              <w:t xml:space="preserve">рачунајући и изградњу </w:t>
            </w:r>
            <w:r w:rsidRPr="00CF77C1">
              <w:rPr>
                <w:rFonts w:eastAsia="Calibri"/>
                <w:sz w:val="22"/>
                <w:szCs w:val="22"/>
                <w:lang w:val="sr-Cyrl-RS"/>
              </w:rPr>
              <w:t>постројења</w:t>
            </w:r>
            <w:r w:rsidRPr="00CF77C1">
              <w:rPr>
                <w:sz w:val="22"/>
                <w:szCs w:val="22"/>
                <w:lang w:val="sr-Cyrl-RS"/>
              </w:rPr>
              <w:t xml:space="preserve"> за к</w:t>
            </w:r>
            <w:r w:rsidRPr="00CF77C1">
              <w:rPr>
                <w:rFonts w:eastAsia="Calibri"/>
                <w:sz w:val="22"/>
                <w:szCs w:val="22"/>
                <w:lang w:val="sr-Cyrl-RS"/>
              </w:rPr>
              <w:t>омбиновану производњу топлотне и електричне енергије (CHP)</w:t>
            </w:r>
            <w:r w:rsidRPr="00CF77C1">
              <w:rPr>
                <w:sz w:val="22"/>
                <w:szCs w:val="22"/>
                <w:lang w:val="sr-Cyrl-RS"/>
              </w:rPr>
              <w:t>;</w:t>
            </w:r>
          </w:p>
          <w:p w14:paraId="06442E53" w14:textId="77777777" w:rsidR="00D86A7B" w:rsidRPr="00CF77C1" w:rsidRDefault="00D86A7B" w:rsidP="003E39B4">
            <w:pPr>
              <w:numPr>
                <w:ilvl w:val="0"/>
                <w:numId w:val="70"/>
              </w:numPr>
              <w:spacing w:before="0" w:after="0"/>
              <w:ind w:right="-6"/>
              <w:rPr>
                <w:sz w:val="22"/>
                <w:szCs w:val="22"/>
                <w:lang w:val="sr-Cyrl-RS" w:eastAsia="de-DE"/>
              </w:rPr>
            </w:pPr>
            <w:r w:rsidRPr="00CF77C1">
              <w:rPr>
                <w:sz w:val="22"/>
                <w:szCs w:val="22"/>
                <w:lang w:val="sr-Cyrl-RS" w:eastAsia="de-DE"/>
              </w:rPr>
              <w:t>замена дотрајалих деоница и/или проширење дистрибутивне мреже;</w:t>
            </w:r>
          </w:p>
          <w:p w14:paraId="00B1D2E4" w14:textId="77777777" w:rsidR="00D86A7B" w:rsidRPr="00CF77C1" w:rsidRDefault="00D86A7B" w:rsidP="003E39B4">
            <w:pPr>
              <w:numPr>
                <w:ilvl w:val="0"/>
                <w:numId w:val="70"/>
              </w:numPr>
              <w:spacing w:before="0" w:after="0"/>
              <w:ind w:right="-6"/>
              <w:rPr>
                <w:sz w:val="22"/>
                <w:szCs w:val="22"/>
                <w:lang w:val="sr-Cyrl-RS" w:eastAsia="de-DE"/>
              </w:rPr>
            </w:pPr>
            <w:r w:rsidRPr="00CF77C1">
              <w:rPr>
                <w:sz w:val="22"/>
                <w:szCs w:val="22"/>
                <w:lang w:val="sr-Cyrl-RS" w:eastAsia="de-DE"/>
              </w:rPr>
              <w:t>реконструкција постојећих или уградњу нових подстаница;</w:t>
            </w:r>
          </w:p>
          <w:p w14:paraId="40F412CD" w14:textId="309AC0B8" w:rsidR="00D86A7B" w:rsidRPr="00CF77C1" w:rsidRDefault="00D86A7B" w:rsidP="003E39B4">
            <w:pPr>
              <w:numPr>
                <w:ilvl w:val="0"/>
                <w:numId w:val="70"/>
              </w:numPr>
              <w:spacing w:before="0" w:after="0"/>
              <w:ind w:right="-6"/>
              <w:rPr>
                <w:sz w:val="22"/>
                <w:szCs w:val="22"/>
                <w:lang w:val="sr-Cyrl-RS" w:eastAsia="de-DE"/>
              </w:rPr>
            </w:pPr>
            <w:r w:rsidRPr="00CF77C1">
              <w:rPr>
                <w:sz w:val="22"/>
                <w:szCs w:val="22"/>
                <w:lang w:val="sr-Cyrl-RS" w:eastAsia="de-DE"/>
              </w:rPr>
              <w:t>реконструкција постојећих или уградњу савремених SCADA система</w:t>
            </w:r>
            <w:r w:rsidR="004D6043">
              <w:rPr>
                <w:sz w:val="22"/>
                <w:szCs w:val="22"/>
                <w:lang w:val="sr-Cyrl-RS" w:eastAsia="de-DE"/>
              </w:rPr>
              <w:t>.</w:t>
            </w:r>
          </w:p>
          <w:p w14:paraId="6E820F1F" w14:textId="77777777" w:rsidR="00D86A7B" w:rsidRPr="00CF77C1" w:rsidRDefault="00D86A7B" w:rsidP="00F10D3F">
            <w:pPr>
              <w:jc w:val="center"/>
              <w:rPr>
                <w:sz w:val="22"/>
                <w:szCs w:val="22"/>
                <w:lang w:val="sr-Cyrl-RS"/>
              </w:rPr>
            </w:pPr>
          </w:p>
        </w:tc>
        <w:tc>
          <w:tcPr>
            <w:tcW w:w="1426" w:type="pct"/>
            <w:shd w:val="clear" w:color="auto" w:fill="auto"/>
            <w:vAlign w:val="center"/>
          </w:tcPr>
          <w:p w14:paraId="0E8B1CF7" w14:textId="77777777" w:rsidR="00D86A7B" w:rsidRPr="00CF77C1" w:rsidRDefault="00D86A7B" w:rsidP="00F10D3F">
            <w:pPr>
              <w:jc w:val="left"/>
              <w:rPr>
                <w:sz w:val="22"/>
                <w:szCs w:val="22"/>
                <w:lang w:val="sr-Cyrl-RS"/>
              </w:rPr>
            </w:pPr>
            <w:r w:rsidRPr="00CF77C1">
              <w:rPr>
                <w:sz w:val="22"/>
                <w:szCs w:val="22"/>
                <w:lang w:val="sr-Cyrl-RS"/>
              </w:rPr>
              <w:t>Реализацијом програма биће омогућено:</w:t>
            </w:r>
          </w:p>
          <w:p w14:paraId="09E2D739" w14:textId="77777777" w:rsidR="00D86A7B" w:rsidRPr="00CF77C1" w:rsidRDefault="00D86A7B" w:rsidP="00F10D3F">
            <w:pPr>
              <w:jc w:val="left"/>
              <w:rPr>
                <w:sz w:val="22"/>
                <w:szCs w:val="22"/>
                <w:lang w:val="sr-Cyrl-RS"/>
              </w:rPr>
            </w:pPr>
            <w:r w:rsidRPr="00CF77C1">
              <w:rPr>
                <w:sz w:val="22"/>
                <w:szCs w:val="22"/>
                <w:lang w:val="sr-Cyrl-RS"/>
              </w:rPr>
              <w:t>- квалитетнија испорука топлотне енергије крајњим купцима;</w:t>
            </w:r>
          </w:p>
          <w:p w14:paraId="5E674E9E" w14:textId="77777777" w:rsidR="00D86A7B" w:rsidRPr="00CF77C1" w:rsidRDefault="00D86A7B" w:rsidP="00F10D3F">
            <w:pPr>
              <w:jc w:val="left"/>
              <w:rPr>
                <w:sz w:val="22"/>
                <w:szCs w:val="22"/>
                <w:lang w:val="sr-Cyrl-RS"/>
              </w:rPr>
            </w:pPr>
            <w:r w:rsidRPr="00CF77C1">
              <w:rPr>
                <w:sz w:val="22"/>
                <w:szCs w:val="22"/>
                <w:lang w:val="sr-Cyrl-RS"/>
              </w:rPr>
              <w:t>- детаљан увид у обрачун трошкова за испоручену топлотну енергију;</w:t>
            </w:r>
          </w:p>
          <w:p w14:paraId="3C3FE3FB" w14:textId="77777777" w:rsidR="00D86A7B" w:rsidRPr="00CF77C1" w:rsidRDefault="00D86A7B" w:rsidP="00F10D3F">
            <w:pPr>
              <w:jc w:val="left"/>
              <w:rPr>
                <w:sz w:val="22"/>
                <w:szCs w:val="22"/>
                <w:lang w:val="sr-Cyrl-RS"/>
              </w:rPr>
            </w:pPr>
            <w:r w:rsidRPr="00CF77C1">
              <w:rPr>
                <w:sz w:val="22"/>
                <w:szCs w:val="22"/>
                <w:lang w:val="sr-Cyrl-RS"/>
              </w:rPr>
              <w:t>- унапређење ефикасности производних капацитета;</w:t>
            </w:r>
          </w:p>
          <w:p w14:paraId="7A19F330" w14:textId="77777777" w:rsidR="00D86A7B" w:rsidRPr="00CF77C1" w:rsidRDefault="00D86A7B" w:rsidP="00F10D3F">
            <w:pPr>
              <w:jc w:val="left"/>
              <w:rPr>
                <w:sz w:val="22"/>
                <w:szCs w:val="22"/>
                <w:lang w:val="sr-Cyrl-RS"/>
              </w:rPr>
            </w:pPr>
            <w:r w:rsidRPr="00CF77C1">
              <w:rPr>
                <w:sz w:val="22"/>
                <w:szCs w:val="22"/>
                <w:lang w:val="sr-Cyrl-RS"/>
              </w:rPr>
              <w:t>- прикључивање нових купаца на СДГ.</w:t>
            </w:r>
          </w:p>
          <w:p w14:paraId="509384ED" w14:textId="77777777" w:rsidR="00D86A7B" w:rsidRPr="00CF77C1" w:rsidRDefault="00D86A7B" w:rsidP="00F10D3F">
            <w:pPr>
              <w:jc w:val="left"/>
              <w:rPr>
                <w:sz w:val="22"/>
                <w:szCs w:val="22"/>
                <w:lang w:val="sr-Cyrl-RS"/>
              </w:rPr>
            </w:pPr>
          </w:p>
        </w:tc>
      </w:tr>
      <w:tr w:rsidR="00D86A7B" w:rsidRPr="00CF77C1" w14:paraId="23BA7625" w14:textId="77777777" w:rsidTr="00F10D3F">
        <w:trPr>
          <w:cantSplit/>
        </w:trPr>
        <w:tc>
          <w:tcPr>
            <w:tcW w:w="793" w:type="pct"/>
            <w:shd w:val="clear" w:color="auto" w:fill="auto"/>
            <w:vAlign w:val="center"/>
          </w:tcPr>
          <w:p w14:paraId="552A0F94" w14:textId="06C9901C" w:rsidR="00D86A7B" w:rsidRPr="00CF77C1" w:rsidRDefault="00D86A7B" w:rsidP="00D25DC5">
            <w:pPr>
              <w:jc w:val="left"/>
              <w:rPr>
                <w:sz w:val="22"/>
                <w:szCs w:val="22"/>
                <w:lang w:val="sr-Cyrl-RS"/>
              </w:rPr>
            </w:pPr>
            <w:r w:rsidRPr="00CF77C1">
              <w:rPr>
                <w:sz w:val="22"/>
                <w:szCs w:val="22"/>
                <w:lang w:val="sr-Cyrl-RS"/>
              </w:rPr>
              <w:t>Подстицај коришћења обновљивих извора енергије: Развој тржишта биомасе у Србији (BMZ-ID 201197888)</w:t>
            </w:r>
          </w:p>
        </w:tc>
        <w:tc>
          <w:tcPr>
            <w:tcW w:w="800" w:type="pct"/>
            <w:shd w:val="clear" w:color="auto" w:fill="auto"/>
            <w:vAlign w:val="center"/>
          </w:tcPr>
          <w:p w14:paraId="49A481F3" w14:textId="3BE03094" w:rsidR="00D86A7B" w:rsidRPr="00CF77C1" w:rsidRDefault="00D86A7B" w:rsidP="00F10D3F">
            <w:pPr>
              <w:jc w:val="left"/>
              <w:rPr>
                <w:sz w:val="22"/>
                <w:szCs w:val="22"/>
                <w:lang w:val="sr-Cyrl-RS"/>
              </w:rPr>
            </w:pPr>
            <w:r w:rsidRPr="00CF77C1">
              <w:rPr>
                <w:sz w:val="22"/>
                <w:szCs w:val="22"/>
                <w:lang w:val="sr-Cyrl-RS"/>
              </w:rPr>
              <w:t>Обезбеђена средства у износу од 100.000.000</w:t>
            </w:r>
            <w:r w:rsidR="00984997" w:rsidRPr="00CF77C1">
              <w:rPr>
                <w:sz w:val="22"/>
                <w:szCs w:val="22"/>
                <w:lang w:val="sr-Cyrl-RS"/>
              </w:rPr>
              <w:t> €</w:t>
            </w:r>
            <w:r w:rsidRPr="00CF77C1">
              <w:rPr>
                <w:sz w:val="22"/>
                <w:szCs w:val="22"/>
                <w:lang w:val="sr-Cyrl-RS"/>
              </w:rPr>
              <w:t xml:space="preserve"> (уз донацију од</w:t>
            </w:r>
            <w:r w:rsidR="00984997" w:rsidRPr="00CF77C1">
              <w:rPr>
                <w:sz w:val="22"/>
                <w:szCs w:val="22"/>
                <w:lang w:val="sr-Cyrl-RS"/>
              </w:rPr>
              <w:t xml:space="preserve"> 7.000.000 €</w:t>
            </w:r>
            <w:r w:rsidRPr="00CF77C1">
              <w:rPr>
                <w:sz w:val="22"/>
                <w:szCs w:val="22"/>
                <w:lang w:val="sr-Cyrl-RS"/>
              </w:rPr>
              <w:t xml:space="preserve"> обезбеђено од стране Немачке и Швајцарске владе); Пројекат ће се реализовати у више фаза. Почетак реализације пројекта је 2017.</w:t>
            </w:r>
            <w:r w:rsidR="004D6043">
              <w:rPr>
                <w:sz w:val="22"/>
                <w:szCs w:val="22"/>
                <w:lang w:val="sr-Cyrl-RS"/>
              </w:rPr>
              <w:t xml:space="preserve"> </w:t>
            </w:r>
          </w:p>
          <w:p w14:paraId="471A114E" w14:textId="5928C74F" w:rsidR="00D86A7B" w:rsidRPr="00CF77C1" w:rsidRDefault="00D86A7B" w:rsidP="00F10D3F">
            <w:pPr>
              <w:jc w:val="left"/>
              <w:rPr>
                <w:sz w:val="22"/>
                <w:szCs w:val="22"/>
                <w:lang w:val="sr-Cyrl-RS"/>
              </w:rPr>
            </w:pPr>
            <w:r w:rsidRPr="00CF77C1">
              <w:rPr>
                <w:sz w:val="22"/>
                <w:szCs w:val="22"/>
                <w:lang w:val="sr-Cyrl-RS"/>
              </w:rPr>
              <w:t>Прва фаза</w:t>
            </w:r>
            <w:r w:rsidR="00984997" w:rsidRPr="00CF77C1">
              <w:rPr>
                <w:sz w:val="22"/>
                <w:szCs w:val="22"/>
                <w:lang w:val="sr-Cyrl-RS"/>
              </w:rPr>
              <w:t>: 20.000.000 €</w:t>
            </w:r>
          </w:p>
          <w:p w14:paraId="4E16C8DC" w14:textId="43F5536F" w:rsidR="00D86A7B" w:rsidRPr="00CF77C1" w:rsidRDefault="00D86A7B" w:rsidP="00F10D3F">
            <w:pPr>
              <w:jc w:val="left"/>
              <w:rPr>
                <w:sz w:val="22"/>
                <w:szCs w:val="22"/>
                <w:lang w:val="sr-Cyrl-RS"/>
              </w:rPr>
            </w:pPr>
            <w:r w:rsidRPr="00CF77C1">
              <w:rPr>
                <w:sz w:val="22"/>
                <w:szCs w:val="22"/>
                <w:lang w:val="sr-Cyrl-RS"/>
              </w:rPr>
              <w:t>Друга фаза</w:t>
            </w:r>
            <w:r w:rsidR="00984997" w:rsidRPr="00CF77C1">
              <w:rPr>
                <w:sz w:val="22"/>
                <w:szCs w:val="22"/>
                <w:lang w:val="sr-Cyrl-RS"/>
              </w:rPr>
              <w:t>: 80.000.000 €</w:t>
            </w:r>
          </w:p>
          <w:p w14:paraId="5B246C7F" w14:textId="77777777" w:rsidR="00D86A7B" w:rsidRPr="00CF77C1" w:rsidRDefault="00D86A7B" w:rsidP="00F10D3F">
            <w:pPr>
              <w:jc w:val="left"/>
              <w:rPr>
                <w:sz w:val="22"/>
                <w:szCs w:val="22"/>
                <w:lang w:val="sr-Cyrl-RS"/>
              </w:rPr>
            </w:pPr>
          </w:p>
        </w:tc>
        <w:tc>
          <w:tcPr>
            <w:tcW w:w="1981" w:type="pct"/>
            <w:shd w:val="clear" w:color="auto" w:fill="auto"/>
            <w:vAlign w:val="center"/>
          </w:tcPr>
          <w:p w14:paraId="1F633668" w14:textId="77777777" w:rsidR="00D86A7B" w:rsidRPr="00CF77C1" w:rsidRDefault="00D86A7B" w:rsidP="00F10D3F">
            <w:pPr>
              <w:rPr>
                <w:sz w:val="22"/>
                <w:szCs w:val="22"/>
                <w:lang w:val="sr-Cyrl-RS"/>
              </w:rPr>
            </w:pPr>
            <w:r w:rsidRPr="00CF77C1">
              <w:rPr>
                <w:sz w:val="22"/>
                <w:szCs w:val="22"/>
                <w:lang w:val="sr-Cyrl-RS"/>
              </w:rPr>
              <w:t>Програм ће се реализовати кроз више фаза, прва фаза ће се реализовати у периоду 2017-2021.</w:t>
            </w:r>
          </w:p>
          <w:p w14:paraId="3C2AE755" w14:textId="77777777" w:rsidR="00D86A7B" w:rsidRPr="00CF77C1" w:rsidRDefault="00D86A7B" w:rsidP="00F10D3F">
            <w:pPr>
              <w:rPr>
                <w:sz w:val="22"/>
                <w:szCs w:val="22"/>
                <w:lang w:val="sr-Cyrl-RS"/>
              </w:rPr>
            </w:pPr>
            <w:r w:rsidRPr="00CF77C1">
              <w:rPr>
                <w:sz w:val="22"/>
                <w:szCs w:val="22"/>
                <w:lang w:val="sr-Cyrl-RS"/>
              </w:rPr>
              <w:t>Главне инвестиције односе се на уградњу котлова на биомасу, топлотних пумпи, реконструкцију топловодне мреже, изградња складишта за биомасу и набавку остале опреме неопходне за снабдевање биомасом, системе надзора и контроле у котларницама, грађевинске радове.</w:t>
            </w:r>
          </w:p>
        </w:tc>
        <w:tc>
          <w:tcPr>
            <w:tcW w:w="1426" w:type="pct"/>
            <w:shd w:val="clear" w:color="auto" w:fill="auto"/>
            <w:vAlign w:val="center"/>
          </w:tcPr>
          <w:p w14:paraId="54F98085" w14:textId="3B2A9E89" w:rsidR="00D86A7B" w:rsidRPr="00CF77C1" w:rsidRDefault="00984997" w:rsidP="00F10D3F">
            <w:pPr>
              <w:jc w:val="left"/>
              <w:rPr>
                <w:sz w:val="22"/>
                <w:szCs w:val="22"/>
                <w:lang w:val="sr-Cyrl-RS"/>
              </w:rPr>
            </w:pPr>
            <w:r w:rsidRPr="00CF77C1">
              <w:rPr>
                <w:sz w:val="22"/>
                <w:szCs w:val="22"/>
                <w:lang w:val="sr-Cyrl-RS"/>
              </w:rPr>
              <w:t>Реализац</w:t>
            </w:r>
            <w:r w:rsidR="00D86A7B" w:rsidRPr="00CF77C1">
              <w:rPr>
                <w:sz w:val="22"/>
                <w:szCs w:val="22"/>
                <w:lang w:val="sr-Cyrl-RS"/>
              </w:rPr>
              <w:t>ијом Програма биће омогућено:</w:t>
            </w:r>
          </w:p>
          <w:p w14:paraId="02C44397" w14:textId="58341D90" w:rsidR="00D86A7B" w:rsidRPr="00CF77C1" w:rsidRDefault="00D86A7B" w:rsidP="00F10D3F">
            <w:pPr>
              <w:jc w:val="left"/>
              <w:rPr>
                <w:sz w:val="22"/>
                <w:szCs w:val="22"/>
                <w:lang w:val="sr-Cyrl-RS"/>
              </w:rPr>
            </w:pPr>
            <w:r w:rsidRPr="00CF77C1">
              <w:rPr>
                <w:sz w:val="22"/>
                <w:szCs w:val="22"/>
                <w:lang w:val="sr-Cyrl-RS"/>
              </w:rPr>
              <w:t>- унапређење заштите животне средине смањењем емисија CO</w:t>
            </w:r>
            <w:r w:rsidRPr="00CF77C1">
              <w:rPr>
                <w:sz w:val="22"/>
                <w:szCs w:val="22"/>
                <w:vertAlign w:val="subscript"/>
                <w:lang w:val="sr-Cyrl-RS"/>
              </w:rPr>
              <w:t>2</w:t>
            </w:r>
            <w:r w:rsidRPr="00CF77C1">
              <w:rPr>
                <w:sz w:val="22"/>
                <w:szCs w:val="22"/>
                <w:lang w:val="sr-Cyrl-RS"/>
              </w:rPr>
              <w:t xml:space="preserve"> и SO</w:t>
            </w:r>
            <w:r w:rsidRPr="00CF77C1">
              <w:rPr>
                <w:sz w:val="22"/>
                <w:szCs w:val="22"/>
                <w:vertAlign w:val="subscript"/>
                <w:lang w:val="sr-Cyrl-RS"/>
              </w:rPr>
              <w:t>2</w:t>
            </w:r>
            <w:r w:rsidR="004D6043">
              <w:rPr>
                <w:sz w:val="22"/>
                <w:szCs w:val="22"/>
                <w:lang w:val="sr-Cyrl-RS"/>
              </w:rPr>
              <w:t xml:space="preserve"> зa 70%;</w:t>
            </w:r>
          </w:p>
          <w:p w14:paraId="3E61A018" w14:textId="579A15AA" w:rsidR="00D86A7B" w:rsidRPr="00CF77C1" w:rsidRDefault="00D86A7B" w:rsidP="00F10D3F">
            <w:pPr>
              <w:jc w:val="left"/>
              <w:rPr>
                <w:sz w:val="22"/>
                <w:szCs w:val="22"/>
                <w:lang w:val="sr-Cyrl-RS"/>
              </w:rPr>
            </w:pPr>
            <w:r w:rsidRPr="00CF77C1">
              <w:rPr>
                <w:sz w:val="22"/>
                <w:szCs w:val="22"/>
                <w:lang w:val="sr-Cyrl-RS"/>
              </w:rPr>
              <w:t>- повећање ефикасности, (смањење губ</w:t>
            </w:r>
            <w:r w:rsidR="004D6043">
              <w:rPr>
                <w:sz w:val="22"/>
                <w:szCs w:val="22"/>
                <w:lang w:val="sr-Cyrl-RS"/>
              </w:rPr>
              <w:t>итака топлотне енергије за 25%);</w:t>
            </w:r>
          </w:p>
          <w:p w14:paraId="71D5BFA9" w14:textId="2668DD21" w:rsidR="000D53CA" w:rsidRPr="00CF77C1" w:rsidRDefault="00D86A7B" w:rsidP="00F10D3F">
            <w:pPr>
              <w:jc w:val="left"/>
              <w:rPr>
                <w:sz w:val="22"/>
                <w:szCs w:val="22"/>
                <w:lang w:val="sr-Cyrl-RS"/>
              </w:rPr>
            </w:pPr>
            <w:r w:rsidRPr="00CF77C1">
              <w:rPr>
                <w:sz w:val="22"/>
                <w:szCs w:val="22"/>
                <w:lang w:val="sr-Cyrl-RS"/>
              </w:rPr>
              <w:t xml:space="preserve">- унапређење одрживости и расположивости снабдевања (кроз веће коришћење обновљивих извора енергије, смањење броја прекида и унапређење јавних услуга </w:t>
            </w:r>
            <w:r w:rsidR="004D6043">
              <w:rPr>
                <w:sz w:val="22"/>
                <w:szCs w:val="22"/>
                <w:lang w:val="sr-Cyrl-RS"/>
              </w:rPr>
              <w:t>снабдевања топлотном енергијом);</w:t>
            </w:r>
          </w:p>
          <w:p w14:paraId="4C2ADF04" w14:textId="1523B796" w:rsidR="00D86A7B" w:rsidRPr="00CF77C1" w:rsidRDefault="00D86A7B" w:rsidP="00F10D3F">
            <w:pPr>
              <w:jc w:val="left"/>
              <w:rPr>
                <w:sz w:val="22"/>
                <w:szCs w:val="22"/>
                <w:lang w:val="sr-Cyrl-RS"/>
              </w:rPr>
            </w:pPr>
            <w:r w:rsidRPr="00CF77C1">
              <w:rPr>
                <w:sz w:val="22"/>
                <w:szCs w:val="22"/>
                <w:lang w:val="sr-Cyrl-RS"/>
              </w:rPr>
              <w:t>- позитиван утицај на лока</w:t>
            </w:r>
            <w:r w:rsidR="007F799F">
              <w:rPr>
                <w:sz w:val="22"/>
                <w:szCs w:val="22"/>
                <w:lang w:val="sr-Cyrl-RS"/>
              </w:rPr>
              <w:t>л</w:t>
            </w:r>
            <w:r w:rsidRPr="00CF77C1">
              <w:rPr>
                <w:sz w:val="22"/>
                <w:szCs w:val="22"/>
                <w:lang w:val="sr-Cyrl-RS"/>
              </w:rPr>
              <w:t>но окружење и стимулисање локалне привреде.</w:t>
            </w:r>
          </w:p>
        </w:tc>
      </w:tr>
    </w:tbl>
    <w:p w14:paraId="11074632" w14:textId="77777777" w:rsidR="00D86A7B" w:rsidRPr="00CF77C1" w:rsidRDefault="00D86A7B" w:rsidP="00D86A7B">
      <w:pPr>
        <w:rPr>
          <w:lang w:val="sr-Cyrl-RS"/>
        </w:rPr>
      </w:pPr>
    </w:p>
    <w:p w14:paraId="60900784" w14:textId="5190FF67" w:rsidR="0080044B" w:rsidRPr="00CF77C1" w:rsidRDefault="0080044B" w:rsidP="00E1023A">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30</w:t>
      </w:r>
      <w:r w:rsidR="0092145E" w:rsidRPr="00CF77C1">
        <w:rPr>
          <w:b w:val="0"/>
          <w:lang w:val="sr-Cyrl-RS"/>
        </w:rPr>
        <w:fldChar w:fldCharType="end"/>
      </w:r>
      <w:r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962"/>
        <w:gridCol w:w="5086"/>
      </w:tblGrid>
      <w:tr w:rsidR="00D86A7B" w:rsidRPr="00CF77C1" w14:paraId="05D4734C" w14:textId="77777777" w:rsidTr="00F10D3F">
        <w:trPr>
          <w:cantSplit/>
          <w:tblHeader/>
        </w:trPr>
        <w:tc>
          <w:tcPr>
            <w:tcW w:w="2802" w:type="dxa"/>
            <w:shd w:val="clear" w:color="auto" w:fill="auto"/>
            <w:vAlign w:val="center"/>
          </w:tcPr>
          <w:p w14:paraId="0DAAF2BA" w14:textId="77777777" w:rsidR="00D86A7B" w:rsidRPr="006C38BF" w:rsidRDefault="00D86A7B" w:rsidP="00F10D3F">
            <w:pPr>
              <w:keepNext/>
              <w:keepLines/>
              <w:jc w:val="center"/>
              <w:rPr>
                <w:sz w:val="22"/>
                <w:lang w:val="sr-Cyrl-RS"/>
              </w:rPr>
            </w:pPr>
            <w:r w:rsidRPr="006C38BF">
              <w:rPr>
                <w:sz w:val="22"/>
                <w:lang w:val="sr-Cyrl-RS"/>
              </w:rPr>
              <w:t>Пројекат</w:t>
            </w:r>
          </w:p>
        </w:tc>
        <w:tc>
          <w:tcPr>
            <w:tcW w:w="6962" w:type="dxa"/>
            <w:shd w:val="clear" w:color="auto" w:fill="auto"/>
            <w:vAlign w:val="center"/>
          </w:tcPr>
          <w:p w14:paraId="722E7E78" w14:textId="77777777" w:rsidR="00D86A7B" w:rsidRPr="006C38BF" w:rsidRDefault="00D86A7B" w:rsidP="00F10D3F">
            <w:pPr>
              <w:keepNext/>
              <w:keepLines/>
              <w:jc w:val="center"/>
              <w:rPr>
                <w:sz w:val="22"/>
                <w:lang w:val="sr-Cyrl-RS"/>
              </w:rPr>
            </w:pPr>
            <w:r w:rsidRPr="006C38BF">
              <w:rPr>
                <w:sz w:val="22"/>
                <w:lang w:val="sr-Cyrl-RS"/>
              </w:rPr>
              <w:t>Статус припреме пројекта</w:t>
            </w:r>
          </w:p>
        </w:tc>
        <w:tc>
          <w:tcPr>
            <w:tcW w:w="5086" w:type="dxa"/>
            <w:shd w:val="clear" w:color="auto" w:fill="auto"/>
            <w:vAlign w:val="center"/>
          </w:tcPr>
          <w:p w14:paraId="7CB6A492" w14:textId="77777777" w:rsidR="00D86A7B" w:rsidRPr="006C38BF" w:rsidRDefault="00D86A7B" w:rsidP="00F10D3F">
            <w:pPr>
              <w:keepNext/>
              <w:keepLines/>
              <w:jc w:val="center"/>
              <w:rPr>
                <w:sz w:val="22"/>
                <w:lang w:val="sr-Cyrl-RS"/>
              </w:rPr>
            </w:pPr>
            <w:r w:rsidRPr="006C38BF">
              <w:rPr>
                <w:sz w:val="22"/>
                <w:lang w:val="sr-Cyrl-RS"/>
              </w:rPr>
              <w:t>Недостајућа планска и техничка документација</w:t>
            </w:r>
          </w:p>
        </w:tc>
      </w:tr>
      <w:tr w:rsidR="00D86A7B" w:rsidRPr="00CF77C1" w14:paraId="66AF6541" w14:textId="77777777" w:rsidTr="00F10D3F">
        <w:trPr>
          <w:cantSplit/>
        </w:trPr>
        <w:tc>
          <w:tcPr>
            <w:tcW w:w="2802" w:type="dxa"/>
            <w:shd w:val="clear" w:color="auto" w:fill="auto"/>
            <w:vAlign w:val="center"/>
          </w:tcPr>
          <w:p w14:paraId="4257E0A2" w14:textId="0AF33833" w:rsidR="00D86A7B" w:rsidRPr="00CF77C1" w:rsidRDefault="00D86A7B" w:rsidP="00F10D3F">
            <w:pPr>
              <w:jc w:val="left"/>
              <w:rPr>
                <w:lang w:val="sr-Cyrl-RS"/>
              </w:rPr>
            </w:pPr>
            <w:r w:rsidRPr="00CF77C1">
              <w:rPr>
                <w:lang w:val="sr-Cyrl-RS"/>
              </w:rPr>
              <w:t>Снабдевање Београда топлотном енергијом ТЕ „Никола Тесла А</w:t>
            </w:r>
            <w:r w:rsidR="00AD5740" w:rsidRPr="00CF77C1">
              <w:rPr>
                <w:lang w:val="sr-Cyrl-RS"/>
              </w:rPr>
              <w:t>”</w:t>
            </w:r>
            <w:r w:rsidRPr="00CF77C1">
              <w:rPr>
                <w:lang w:val="sr-Cyrl-RS"/>
              </w:rPr>
              <w:t xml:space="preserve"> топлодалеководом капацитета од 600 MW топлотне енергије</w:t>
            </w:r>
          </w:p>
        </w:tc>
        <w:tc>
          <w:tcPr>
            <w:tcW w:w="6962" w:type="dxa"/>
            <w:shd w:val="clear" w:color="auto" w:fill="auto"/>
            <w:vAlign w:val="center"/>
          </w:tcPr>
          <w:p w14:paraId="40517F44" w14:textId="15E8CF09" w:rsidR="00D86A7B" w:rsidRPr="00CF77C1" w:rsidRDefault="00D86A7B" w:rsidP="00F10D3F">
            <w:pPr>
              <w:jc w:val="left"/>
              <w:rPr>
                <w:lang w:val="sr-Cyrl-RS"/>
              </w:rPr>
            </w:pPr>
            <w:r w:rsidRPr="00CF77C1">
              <w:rPr>
                <w:lang w:val="sr-Cyrl-RS"/>
              </w:rPr>
              <w:t xml:space="preserve">Предлог Студије оправданости и идејног пројекта је завршен у 2016. години и чека се усвајање предлога Плана детаљне регулације у првом кварталу 2017. године, како би се предала Ревизионој комисији </w:t>
            </w:r>
            <w:r w:rsidR="003D10AB" w:rsidRPr="00CF77C1">
              <w:rPr>
                <w:lang w:val="sr-Cyrl-RS"/>
              </w:rPr>
              <w:t xml:space="preserve">министарства надлежног за област грађевинарства </w:t>
            </w:r>
            <w:r w:rsidRPr="00CF77C1">
              <w:rPr>
                <w:lang w:val="sr-Cyrl-RS"/>
              </w:rPr>
              <w:t>на давање мишљења о пројекту</w:t>
            </w:r>
            <w:r w:rsidR="00EC326F" w:rsidRPr="00CF77C1">
              <w:rPr>
                <w:lang w:val="sr-Cyrl-RS"/>
              </w:rPr>
              <w:t>.</w:t>
            </w:r>
          </w:p>
          <w:p w14:paraId="118C3A6F" w14:textId="1F5B5208" w:rsidR="00D86A7B" w:rsidRPr="00CF77C1" w:rsidRDefault="00D86A7B" w:rsidP="00F10D3F">
            <w:pPr>
              <w:jc w:val="left"/>
              <w:rPr>
                <w:lang w:val="sr-Cyrl-RS"/>
              </w:rPr>
            </w:pPr>
            <w:r w:rsidRPr="00CF77C1">
              <w:rPr>
                <w:lang w:val="sr-Cyrl-RS"/>
              </w:rPr>
              <w:t>Студија оправданости и идејни пројекат снабдевања Београда топлотном енергијом из комбиноване производње електричне и топлотне енергије у постојећој ТЕ Никола Тесла А у Обреновцу коришћењем колубарског лигнита (Иновациони центар Машинског факултета, Универзитет у Београду), предлог урађен јул 2016. године, а по усвајању планског документа биће предат Ревизионој комисији</w:t>
            </w:r>
            <w:r w:rsidR="00EC326F" w:rsidRPr="00CF77C1">
              <w:rPr>
                <w:lang w:val="sr-Cyrl-RS"/>
              </w:rPr>
              <w:t>.</w:t>
            </w:r>
          </w:p>
          <w:p w14:paraId="53A8D1D6" w14:textId="0D66B482" w:rsidR="000D53CA" w:rsidRPr="00CF77C1" w:rsidRDefault="00D86A7B" w:rsidP="00F10D3F">
            <w:pPr>
              <w:jc w:val="left"/>
              <w:rPr>
                <w:lang w:val="sr-Cyrl-RS"/>
              </w:rPr>
            </w:pPr>
            <w:r w:rsidRPr="00CF77C1">
              <w:rPr>
                <w:lang w:val="sr-Cyrl-RS"/>
              </w:rPr>
              <w:t>ПДР за снабдевање града Београда топлотном енергијом из ТЕНТ А преко топловода - дал</w:t>
            </w:r>
            <w:r w:rsidR="00DF5BA0" w:rsidRPr="00CF77C1">
              <w:rPr>
                <w:lang w:val="sr-Cyrl-RS"/>
              </w:rPr>
              <w:t>ековода ТЕНТ А-ТО Нови Београд</w:t>
            </w:r>
            <w:r w:rsidRPr="00CF77C1">
              <w:rPr>
                <w:lang w:val="sr-Cyrl-RS"/>
              </w:rPr>
              <w:t>, предлог урађен и у току је спровођење процедуре усвајања пред Комисијом за планове града Београда, а затим и у Скупштини града</w:t>
            </w:r>
            <w:r w:rsidR="00EC326F" w:rsidRPr="00CF77C1">
              <w:rPr>
                <w:lang w:val="sr-Cyrl-RS"/>
              </w:rPr>
              <w:t>.</w:t>
            </w:r>
          </w:p>
          <w:p w14:paraId="63881334" w14:textId="3026982D" w:rsidR="00D86A7B" w:rsidRPr="00CF77C1" w:rsidRDefault="00D86A7B" w:rsidP="00F10D3F">
            <w:pPr>
              <w:jc w:val="left"/>
              <w:rPr>
                <w:lang w:val="sr-Cyrl-RS"/>
              </w:rPr>
            </w:pPr>
            <w:r w:rsidRPr="00CF77C1">
              <w:rPr>
                <w:lang w:val="sr-Cyrl-RS"/>
              </w:rPr>
              <w:t>По усвајању ПДР и позитивном мишљењу Ревизионе комисије, приступиће се изради пројектне документације за добијање локацијских услова, грађевинску дозволу и пријаву радова (извођење).</w:t>
            </w:r>
          </w:p>
          <w:p w14:paraId="76559A30" w14:textId="77777777" w:rsidR="00D86A7B" w:rsidRPr="00CF77C1" w:rsidRDefault="00D86A7B" w:rsidP="00F10D3F">
            <w:pPr>
              <w:jc w:val="left"/>
              <w:rPr>
                <w:lang w:val="sr-Cyrl-RS"/>
              </w:rPr>
            </w:pPr>
            <w:r w:rsidRPr="00CF77C1">
              <w:rPr>
                <w:lang w:val="sr-Cyrl-RS"/>
              </w:rPr>
              <w:t>За даљу потенцијалну реализацију пројекта неопходно је доношење потребних пословних одлука свих учесника на пројекту.</w:t>
            </w:r>
          </w:p>
          <w:p w14:paraId="4D091DA5" w14:textId="1AC4CE17" w:rsidR="00D86A7B" w:rsidRPr="00CF77C1" w:rsidRDefault="00D86A7B" w:rsidP="006C6D04">
            <w:pPr>
              <w:jc w:val="left"/>
              <w:rPr>
                <w:lang w:val="sr-Cyrl-RS"/>
              </w:rPr>
            </w:pPr>
            <w:r w:rsidRPr="00CF77C1">
              <w:rPr>
                <w:lang w:val="sr-Cyrl-RS"/>
              </w:rPr>
              <w:t>Потребно је да ЕПС припреми документацију за оптимизацију добијања топлотне енергије са локације ТЕНТ А и предузме активности за реконструкцију блокова А4-А6 на локацији ТЕНТ А.</w:t>
            </w:r>
          </w:p>
        </w:tc>
        <w:tc>
          <w:tcPr>
            <w:tcW w:w="5086" w:type="dxa"/>
            <w:shd w:val="clear" w:color="auto" w:fill="auto"/>
            <w:vAlign w:val="center"/>
          </w:tcPr>
          <w:p w14:paraId="71C326AB" w14:textId="2801D6A8" w:rsidR="00D86A7B" w:rsidRPr="00CF77C1" w:rsidRDefault="00D86A7B" w:rsidP="00583950">
            <w:pPr>
              <w:jc w:val="left"/>
              <w:rPr>
                <w:lang w:val="sr-Cyrl-RS"/>
              </w:rPr>
            </w:pPr>
            <w:r w:rsidRPr="00CF77C1">
              <w:rPr>
                <w:lang w:val="sr-Cyrl-RS"/>
              </w:rPr>
              <w:t xml:space="preserve">Урађено је само идејно решење. По добијању позитивног мишљења </w:t>
            </w:r>
            <w:r w:rsidR="00583950" w:rsidRPr="00CF77C1">
              <w:rPr>
                <w:lang w:val="sr-Cyrl-RS"/>
              </w:rPr>
              <w:t xml:space="preserve">Ревизионе </w:t>
            </w:r>
            <w:r w:rsidRPr="00CF77C1">
              <w:rPr>
                <w:lang w:val="sr-Cyrl-RS"/>
              </w:rPr>
              <w:t xml:space="preserve">комисије </w:t>
            </w:r>
            <w:r w:rsidR="003D10AB" w:rsidRPr="00CF77C1">
              <w:rPr>
                <w:lang w:val="sr-Cyrl-RS"/>
              </w:rPr>
              <w:t>министарства надлежног за област грађевинарства</w:t>
            </w:r>
            <w:r w:rsidRPr="00CF77C1">
              <w:rPr>
                <w:lang w:val="sr-Cyrl-RS"/>
              </w:rPr>
              <w:t xml:space="preserve"> приступиће се изради преостале техничке документације - за добијање грађевинске дозволе и за извођење</w:t>
            </w:r>
            <w:r w:rsidR="00EC326F" w:rsidRPr="00CF77C1">
              <w:rPr>
                <w:lang w:val="sr-Cyrl-RS"/>
              </w:rPr>
              <w:t>.</w:t>
            </w:r>
          </w:p>
        </w:tc>
      </w:tr>
      <w:tr w:rsidR="00D86A7B" w:rsidRPr="00CF77C1" w14:paraId="1C4D91E2" w14:textId="77777777" w:rsidTr="00F10D3F">
        <w:trPr>
          <w:cantSplit/>
        </w:trPr>
        <w:tc>
          <w:tcPr>
            <w:tcW w:w="2802" w:type="dxa"/>
            <w:shd w:val="clear" w:color="auto" w:fill="auto"/>
            <w:vAlign w:val="center"/>
          </w:tcPr>
          <w:p w14:paraId="71CC679F" w14:textId="30488639" w:rsidR="00D86A7B" w:rsidRPr="00CF77C1" w:rsidRDefault="00D86A7B" w:rsidP="00F10D3F">
            <w:pPr>
              <w:jc w:val="left"/>
              <w:rPr>
                <w:lang w:val="sr-Cyrl-RS"/>
              </w:rPr>
            </w:pPr>
            <w:r w:rsidRPr="00CF77C1">
              <w:rPr>
                <w:lang w:val="sr-Cyrl-RS"/>
              </w:rPr>
              <w:t>Изградња но</w:t>
            </w:r>
            <w:r w:rsidR="00DF6871">
              <w:rPr>
                <w:lang w:val="sr-Cyrl-RS"/>
              </w:rPr>
              <w:t>вих топлотних извора, гашење до</w:t>
            </w:r>
            <w:r w:rsidRPr="00CF77C1">
              <w:rPr>
                <w:lang w:val="sr-Cyrl-RS"/>
              </w:rPr>
              <w:t>трајалих и неусловних котларница, конверзија горива, прелазак на коришћење ОИЕ, уградња екстерних економајзера на димни тракт ради искоришћења отпадне топлоте димног гаса, унапређење система за аутоматску контролу топлотних извора, CHP постројење.</w:t>
            </w:r>
          </w:p>
          <w:p w14:paraId="49B02603" w14:textId="31DCAE4E" w:rsidR="00D86A7B" w:rsidRPr="00CF77C1" w:rsidRDefault="00D86A7B" w:rsidP="00F10D3F">
            <w:pPr>
              <w:jc w:val="left"/>
              <w:rPr>
                <w:lang w:val="sr-Cyrl-RS"/>
              </w:rPr>
            </w:pPr>
            <w:r w:rsidRPr="00CF77C1">
              <w:rPr>
                <w:lang w:val="sr-Cyrl-RS"/>
              </w:rPr>
              <w:t>Пројекти обухватају 28 топлана у 28 градова и општина</w:t>
            </w:r>
            <w:r w:rsidR="00EC16A1" w:rsidRPr="00CF77C1">
              <w:rPr>
                <w:lang w:val="sr-Cyrl-RS"/>
              </w:rPr>
              <w:t xml:space="preserve"> Републике</w:t>
            </w:r>
            <w:r w:rsidRPr="00CF77C1">
              <w:rPr>
                <w:lang w:val="sr-Cyrl-RS"/>
              </w:rPr>
              <w:t xml:space="preserve"> Србије.</w:t>
            </w:r>
          </w:p>
        </w:tc>
        <w:tc>
          <w:tcPr>
            <w:tcW w:w="6962" w:type="dxa"/>
            <w:shd w:val="clear" w:color="auto" w:fill="auto"/>
            <w:vAlign w:val="center"/>
          </w:tcPr>
          <w:p w14:paraId="05AF269F" w14:textId="77777777" w:rsidR="00D86A7B" w:rsidRPr="00CF77C1" w:rsidRDefault="00D86A7B" w:rsidP="00F10D3F">
            <w:pPr>
              <w:jc w:val="left"/>
              <w:rPr>
                <w:lang w:val="sr-Cyrl-RS"/>
              </w:rPr>
            </w:pPr>
            <w:r w:rsidRPr="00CF77C1">
              <w:rPr>
                <w:lang w:val="sr-Cyrl-RS"/>
              </w:rPr>
              <w:t>Већи број пројеката је још увек у развојној фази, односно реализоване су студије оправданости.</w:t>
            </w:r>
          </w:p>
          <w:p w14:paraId="2B6959F6" w14:textId="77777777" w:rsidR="00D86A7B" w:rsidRPr="00CF77C1" w:rsidRDefault="00D86A7B" w:rsidP="00F10D3F">
            <w:pPr>
              <w:jc w:val="left"/>
              <w:rPr>
                <w:lang w:val="sr-Cyrl-RS"/>
              </w:rPr>
            </w:pPr>
            <w:r w:rsidRPr="00CF77C1">
              <w:rPr>
                <w:lang w:val="sr-Cyrl-RS"/>
              </w:rPr>
              <w:t>Само мањи број пројеката има припремљену пројектно-техничку документацију у облику да је могуће поднети захтев за добијање грађевинске дозволе.</w:t>
            </w:r>
          </w:p>
        </w:tc>
        <w:tc>
          <w:tcPr>
            <w:tcW w:w="5086" w:type="dxa"/>
            <w:shd w:val="clear" w:color="auto" w:fill="auto"/>
            <w:vAlign w:val="center"/>
          </w:tcPr>
          <w:p w14:paraId="03ACEEB0" w14:textId="77777777" w:rsidR="00D86A7B" w:rsidRPr="00CF77C1" w:rsidRDefault="00D86A7B" w:rsidP="00F10D3F">
            <w:pPr>
              <w:jc w:val="left"/>
              <w:rPr>
                <w:lang w:val="sr-Cyrl-RS"/>
              </w:rPr>
            </w:pPr>
            <w:r w:rsidRPr="00CF77C1">
              <w:rPr>
                <w:lang w:val="sr-Cyrl-RS"/>
              </w:rPr>
              <w:t>Просторно-планска, техничка за добијање грађевинске дозволе и студија утицаја на животну средину.</w:t>
            </w:r>
          </w:p>
        </w:tc>
      </w:tr>
      <w:tr w:rsidR="00D86A7B" w:rsidRPr="00CF77C1" w14:paraId="473D8C91" w14:textId="77777777" w:rsidTr="00F10D3F">
        <w:trPr>
          <w:cantSplit/>
        </w:trPr>
        <w:tc>
          <w:tcPr>
            <w:tcW w:w="2802" w:type="dxa"/>
            <w:shd w:val="clear" w:color="auto" w:fill="auto"/>
            <w:vAlign w:val="center"/>
          </w:tcPr>
          <w:p w14:paraId="66E24A90" w14:textId="77777777" w:rsidR="00D86A7B" w:rsidRPr="00CF77C1" w:rsidRDefault="00D86A7B" w:rsidP="00F10D3F">
            <w:pPr>
              <w:jc w:val="left"/>
              <w:rPr>
                <w:lang w:val="sr-Cyrl-RS"/>
              </w:rPr>
            </w:pPr>
            <w:r w:rsidRPr="00CF77C1">
              <w:rPr>
                <w:lang w:val="sr-Cyrl-RS"/>
              </w:rPr>
              <w:t>Рехабилитација мреже даљинског грејања уз замену дотрајалих деоница дистрибутивног топловода, даљи развој мреже ради прикључивања нових крајњих купаца топлотне енергије.</w:t>
            </w:r>
          </w:p>
          <w:p w14:paraId="125370C0" w14:textId="77777777" w:rsidR="00D86A7B" w:rsidRPr="00CF77C1" w:rsidRDefault="00D86A7B" w:rsidP="00F10D3F">
            <w:pPr>
              <w:jc w:val="left"/>
              <w:rPr>
                <w:lang w:val="sr-Cyrl-RS"/>
              </w:rPr>
            </w:pPr>
            <w:r w:rsidRPr="00CF77C1">
              <w:rPr>
                <w:lang w:val="sr-Cyrl-RS"/>
              </w:rPr>
              <w:t>Пројекти обухватају 16 топлана</w:t>
            </w:r>
          </w:p>
        </w:tc>
        <w:tc>
          <w:tcPr>
            <w:tcW w:w="6962" w:type="dxa"/>
            <w:shd w:val="clear" w:color="auto" w:fill="auto"/>
            <w:vAlign w:val="center"/>
          </w:tcPr>
          <w:p w14:paraId="26192196" w14:textId="77777777" w:rsidR="00D86A7B" w:rsidRPr="00CF77C1" w:rsidRDefault="00D86A7B" w:rsidP="00F10D3F">
            <w:pPr>
              <w:jc w:val="left"/>
              <w:rPr>
                <w:lang w:val="sr-Cyrl-RS"/>
              </w:rPr>
            </w:pPr>
            <w:r w:rsidRPr="00CF77C1">
              <w:rPr>
                <w:lang w:val="sr-Cyrl-RS"/>
              </w:rPr>
              <w:t>Пројекти ревитализације дистрибутивног система се спроводе плански, на годишњем нивоу, па се у складу са тиме обезбеђује и планско-техничка документација.</w:t>
            </w:r>
          </w:p>
        </w:tc>
        <w:tc>
          <w:tcPr>
            <w:tcW w:w="5086" w:type="dxa"/>
            <w:shd w:val="clear" w:color="auto" w:fill="auto"/>
            <w:vAlign w:val="center"/>
          </w:tcPr>
          <w:p w14:paraId="2D2A34EF" w14:textId="77777777" w:rsidR="00D86A7B" w:rsidRPr="00CF77C1" w:rsidRDefault="00D86A7B" w:rsidP="00F10D3F">
            <w:pPr>
              <w:jc w:val="left"/>
              <w:rPr>
                <w:lang w:val="sr-Cyrl-RS"/>
              </w:rPr>
            </w:pPr>
            <w:r w:rsidRPr="00CF77C1">
              <w:rPr>
                <w:lang w:val="sr-Cyrl-RS"/>
              </w:rPr>
              <w:t>Просторно-планска, техничка за добијање грађевинске дозволе и студија утицаја на животну средину.</w:t>
            </w:r>
          </w:p>
        </w:tc>
      </w:tr>
      <w:tr w:rsidR="00D86A7B" w:rsidRPr="00CF77C1" w14:paraId="44CD12AC" w14:textId="77777777" w:rsidTr="00F10D3F">
        <w:trPr>
          <w:cantSplit/>
        </w:trPr>
        <w:tc>
          <w:tcPr>
            <w:tcW w:w="2802" w:type="dxa"/>
            <w:shd w:val="clear" w:color="auto" w:fill="auto"/>
            <w:vAlign w:val="center"/>
          </w:tcPr>
          <w:p w14:paraId="1F46650E" w14:textId="092355A1" w:rsidR="00D86A7B" w:rsidRPr="00CF77C1" w:rsidRDefault="00D86A7B" w:rsidP="00F10D3F">
            <w:pPr>
              <w:jc w:val="left"/>
              <w:rPr>
                <w:lang w:val="sr-Cyrl-RS"/>
              </w:rPr>
            </w:pPr>
            <w:r w:rsidRPr="00CF77C1">
              <w:rPr>
                <w:lang w:val="sr-Cyrl-RS"/>
              </w:rPr>
              <w:t>Осавремењавање мерно-регулационе опреме у топлотно-предајним станицама, даљински систем надзора и управљања конзумом, угра</w:t>
            </w:r>
            <w:r w:rsidR="00DF6871">
              <w:rPr>
                <w:lang w:val="sr-Cyrl-RS"/>
              </w:rPr>
              <w:t>дња нових компактних подстаница</w:t>
            </w:r>
          </w:p>
          <w:p w14:paraId="6A9F7D69" w14:textId="2B98B6FD" w:rsidR="00D86A7B" w:rsidRPr="00CF77C1" w:rsidRDefault="00D86A7B" w:rsidP="00F10D3F">
            <w:pPr>
              <w:jc w:val="left"/>
              <w:rPr>
                <w:lang w:val="sr-Cyrl-RS"/>
              </w:rPr>
            </w:pPr>
            <w:r w:rsidRPr="00CF77C1">
              <w:rPr>
                <w:lang w:val="sr-Cyrl-RS"/>
              </w:rPr>
              <w:t>Пројекти обухватају 12 топлана</w:t>
            </w:r>
            <w:r w:rsidR="00DF6871">
              <w:rPr>
                <w:lang w:val="sr-Cyrl-RS"/>
              </w:rPr>
              <w:t>.</w:t>
            </w:r>
          </w:p>
        </w:tc>
        <w:tc>
          <w:tcPr>
            <w:tcW w:w="6962" w:type="dxa"/>
            <w:shd w:val="clear" w:color="auto" w:fill="auto"/>
            <w:vAlign w:val="center"/>
          </w:tcPr>
          <w:p w14:paraId="039B0F3F" w14:textId="77777777" w:rsidR="00D86A7B" w:rsidRPr="00CF77C1" w:rsidRDefault="00D86A7B" w:rsidP="00F10D3F">
            <w:pPr>
              <w:jc w:val="left"/>
              <w:rPr>
                <w:lang w:val="sr-Cyrl-RS"/>
              </w:rPr>
            </w:pPr>
            <w:r w:rsidRPr="00CF77C1">
              <w:rPr>
                <w:lang w:val="sr-Cyrl-RS"/>
              </w:rPr>
              <w:t>Већи број пројеката је још увек у развојној фази, односно реализоване су студије оправданости.</w:t>
            </w:r>
          </w:p>
          <w:p w14:paraId="6EA49F27" w14:textId="77777777" w:rsidR="00D86A7B" w:rsidRPr="00CF77C1" w:rsidRDefault="00D86A7B" w:rsidP="00F10D3F">
            <w:pPr>
              <w:jc w:val="left"/>
              <w:rPr>
                <w:lang w:val="sr-Cyrl-RS"/>
              </w:rPr>
            </w:pPr>
            <w:r w:rsidRPr="00CF77C1">
              <w:rPr>
                <w:lang w:val="sr-Cyrl-RS"/>
              </w:rPr>
              <w:t>Само мањи број пројеката има припремљену пројектно-техничку документацију у облику да је могуће поднети захтев за добијање грађевинске дозволе.</w:t>
            </w:r>
          </w:p>
        </w:tc>
        <w:tc>
          <w:tcPr>
            <w:tcW w:w="5086" w:type="dxa"/>
            <w:shd w:val="clear" w:color="auto" w:fill="auto"/>
            <w:vAlign w:val="center"/>
          </w:tcPr>
          <w:p w14:paraId="3C7A8F02" w14:textId="77777777" w:rsidR="00D86A7B" w:rsidRPr="00CF77C1" w:rsidRDefault="00D86A7B" w:rsidP="00F10D3F">
            <w:pPr>
              <w:jc w:val="left"/>
              <w:rPr>
                <w:lang w:val="sr-Cyrl-RS"/>
              </w:rPr>
            </w:pPr>
            <w:r w:rsidRPr="00CF77C1">
              <w:rPr>
                <w:lang w:val="sr-Cyrl-RS"/>
              </w:rPr>
              <w:t>Просторно-планска, техничка за добијање грађевинске дозволе и студија утицаја на животну средину.</w:t>
            </w:r>
          </w:p>
        </w:tc>
      </w:tr>
      <w:tr w:rsidR="00D86A7B" w:rsidRPr="00CF77C1" w14:paraId="01E21F22" w14:textId="77777777" w:rsidTr="00F10D3F">
        <w:trPr>
          <w:cantSplit/>
        </w:trPr>
        <w:tc>
          <w:tcPr>
            <w:tcW w:w="2802" w:type="dxa"/>
            <w:shd w:val="clear" w:color="auto" w:fill="auto"/>
            <w:vAlign w:val="center"/>
          </w:tcPr>
          <w:p w14:paraId="0A522D40" w14:textId="1CB0D5EA" w:rsidR="00D86A7B" w:rsidRPr="00CF77C1" w:rsidRDefault="00D86A7B" w:rsidP="00F10D3F">
            <w:pPr>
              <w:jc w:val="left"/>
              <w:rPr>
                <w:lang w:val="sr-Cyrl-RS"/>
              </w:rPr>
            </w:pPr>
            <w:r w:rsidRPr="00CF77C1">
              <w:rPr>
                <w:lang w:val="sr-Cyrl-RS"/>
              </w:rPr>
              <w:t xml:space="preserve">Рехабилитација система даљинског грејања у </w:t>
            </w:r>
            <w:r w:rsidR="00EC16A1" w:rsidRPr="00CF77C1">
              <w:rPr>
                <w:lang w:val="sr-Cyrl-RS"/>
              </w:rPr>
              <w:t xml:space="preserve">Републици </w:t>
            </w:r>
            <w:r w:rsidRPr="00CF77C1">
              <w:rPr>
                <w:lang w:val="sr-Cyrl-RS"/>
              </w:rPr>
              <w:t>Србији - Фаза V</w:t>
            </w:r>
            <w:r w:rsidR="00DF6871">
              <w:rPr>
                <w:lang w:val="sr-Cyrl-RS"/>
              </w:rPr>
              <w:t>.</w:t>
            </w:r>
          </w:p>
        </w:tc>
        <w:tc>
          <w:tcPr>
            <w:tcW w:w="6962" w:type="dxa"/>
            <w:shd w:val="clear" w:color="auto" w:fill="auto"/>
            <w:vAlign w:val="center"/>
          </w:tcPr>
          <w:p w14:paraId="0D9E9EC9" w14:textId="5448A889" w:rsidR="00D86A7B" w:rsidRPr="00CF77C1" w:rsidRDefault="00D86A7B" w:rsidP="00F10D3F">
            <w:pPr>
              <w:jc w:val="left"/>
              <w:rPr>
                <w:lang w:val="sr-Cyrl-RS"/>
              </w:rPr>
            </w:pPr>
            <w:r w:rsidRPr="00CF77C1">
              <w:rPr>
                <w:lang w:val="sr-Cyrl-RS"/>
              </w:rPr>
              <w:t>Пројекат је у почетној фаз</w:t>
            </w:r>
            <w:r w:rsidR="00A70A84">
              <w:rPr>
                <w:lang w:val="sr-Cyrl-RS"/>
              </w:rPr>
              <w:t>и и очекује се кандидовање до десет</w:t>
            </w:r>
            <w:r w:rsidRPr="00CF77C1">
              <w:rPr>
                <w:lang w:val="sr-Cyrl-RS"/>
              </w:rPr>
              <w:t xml:space="preserve"> топлана у Републици Србији за учешће у програму</w:t>
            </w:r>
            <w:r w:rsidR="00DF6871">
              <w:rPr>
                <w:lang w:val="sr-Cyrl-RS"/>
              </w:rPr>
              <w:t>.</w:t>
            </w:r>
          </w:p>
        </w:tc>
        <w:tc>
          <w:tcPr>
            <w:tcW w:w="5086" w:type="dxa"/>
            <w:shd w:val="clear" w:color="auto" w:fill="auto"/>
            <w:vAlign w:val="center"/>
          </w:tcPr>
          <w:p w14:paraId="193E30C8" w14:textId="77777777" w:rsidR="00D86A7B" w:rsidRPr="00CF77C1" w:rsidRDefault="00D86A7B" w:rsidP="00F10D3F">
            <w:pPr>
              <w:jc w:val="left"/>
              <w:rPr>
                <w:lang w:val="sr-Cyrl-RS"/>
              </w:rPr>
            </w:pPr>
            <w:r w:rsidRPr="00CF77C1">
              <w:rPr>
                <w:lang w:val="sr-Cyrl-RS"/>
              </w:rPr>
              <w:t>Просторно-планска, техничка за добијање грађевинске дозволе и студија утицаја на животну средину.</w:t>
            </w:r>
          </w:p>
        </w:tc>
      </w:tr>
      <w:tr w:rsidR="00D86A7B" w:rsidRPr="00CF77C1" w14:paraId="75131382" w14:textId="77777777" w:rsidTr="00F10D3F">
        <w:trPr>
          <w:cantSplit/>
        </w:trPr>
        <w:tc>
          <w:tcPr>
            <w:tcW w:w="2802" w:type="dxa"/>
            <w:shd w:val="clear" w:color="auto" w:fill="auto"/>
            <w:vAlign w:val="center"/>
          </w:tcPr>
          <w:p w14:paraId="5AD110D9" w14:textId="470B28DB" w:rsidR="00D86A7B" w:rsidRPr="00CF77C1" w:rsidRDefault="00D86A7B" w:rsidP="00F10D3F">
            <w:pPr>
              <w:jc w:val="left"/>
              <w:rPr>
                <w:lang w:val="sr-Cyrl-RS"/>
              </w:rPr>
            </w:pPr>
            <w:r w:rsidRPr="00CF77C1">
              <w:rPr>
                <w:lang w:val="sr-Cyrl-RS"/>
              </w:rPr>
              <w:t>Подстицај коришћења обновљивих извора енергије: Развој тржишта биомасе у Србији (BMZ-ID 201197888)</w:t>
            </w:r>
            <w:r w:rsidR="00DF6871">
              <w:rPr>
                <w:lang w:val="sr-Cyrl-RS"/>
              </w:rPr>
              <w:t>.</w:t>
            </w:r>
          </w:p>
        </w:tc>
        <w:tc>
          <w:tcPr>
            <w:tcW w:w="6962" w:type="dxa"/>
            <w:shd w:val="clear" w:color="auto" w:fill="auto"/>
            <w:vAlign w:val="center"/>
          </w:tcPr>
          <w:p w14:paraId="21804933" w14:textId="384BF026" w:rsidR="00D86A7B" w:rsidRPr="00CF77C1" w:rsidRDefault="00DF6871" w:rsidP="00F10D3F">
            <w:pPr>
              <w:jc w:val="left"/>
              <w:rPr>
                <w:lang w:val="sr-Cyrl-RS"/>
              </w:rPr>
            </w:pPr>
            <w:r>
              <w:rPr>
                <w:lang w:val="sr-Cyrl-RS"/>
              </w:rPr>
              <w:t>Пројекат је у почетној фази.</w:t>
            </w:r>
            <w:r w:rsidR="00D86A7B" w:rsidRPr="00CF77C1">
              <w:rPr>
                <w:lang w:val="sr-Cyrl-RS"/>
              </w:rPr>
              <w:t xml:space="preserve"> </w:t>
            </w:r>
          </w:p>
        </w:tc>
        <w:tc>
          <w:tcPr>
            <w:tcW w:w="5086" w:type="dxa"/>
            <w:shd w:val="clear" w:color="auto" w:fill="auto"/>
            <w:vAlign w:val="center"/>
          </w:tcPr>
          <w:p w14:paraId="5184F761" w14:textId="02767B98" w:rsidR="00D86A7B" w:rsidRPr="00CF77C1" w:rsidRDefault="00D86A7B" w:rsidP="00F10D3F">
            <w:pPr>
              <w:jc w:val="left"/>
              <w:rPr>
                <w:lang w:val="sr-Cyrl-RS"/>
              </w:rPr>
            </w:pPr>
            <w:r w:rsidRPr="00CF77C1">
              <w:rPr>
                <w:lang w:val="sr-Cyrl-RS"/>
              </w:rPr>
              <w:t>Просторно-планска, техничка за добијање грађевинске дозволе и студија утицаја на животну средину</w:t>
            </w:r>
            <w:r w:rsidR="00DF6871">
              <w:rPr>
                <w:lang w:val="sr-Cyrl-RS"/>
              </w:rPr>
              <w:t>.</w:t>
            </w:r>
          </w:p>
        </w:tc>
      </w:tr>
    </w:tbl>
    <w:p w14:paraId="77E0692B" w14:textId="77777777" w:rsidR="00D86A7B" w:rsidRPr="00CF77C1" w:rsidRDefault="00D86A7B" w:rsidP="00D86A7B">
      <w:pPr>
        <w:rPr>
          <w:lang w:val="sr-Cyrl-RS"/>
        </w:rPr>
      </w:pPr>
    </w:p>
    <w:p w14:paraId="1E60437D" w14:textId="3EF5A0CC" w:rsidR="0080044B" w:rsidRPr="00CF77C1" w:rsidRDefault="0080044B" w:rsidP="00E1023A">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31</w:t>
      </w:r>
      <w:r w:rsidR="0092145E" w:rsidRPr="00CF77C1">
        <w:rPr>
          <w:b w:val="0"/>
          <w:lang w:val="sr-Cyrl-RS"/>
        </w:rPr>
        <w:fldChar w:fldCharType="end"/>
      </w:r>
      <w:r w:rsidRPr="00CF77C1">
        <w:rPr>
          <w:b w:val="0"/>
          <w:lang w:val="sr-Cyrl-RS"/>
        </w:rPr>
        <w:t>: Динамика реализације активн</w:t>
      </w:r>
      <w:r w:rsidR="00A70A84">
        <w:rPr>
          <w:b w:val="0"/>
          <w:lang w:val="sr-Cyrl-RS"/>
        </w:rPr>
        <w:t>ости у периоду реализације ПОС</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0"/>
        <w:gridCol w:w="2835"/>
        <w:gridCol w:w="830"/>
        <w:gridCol w:w="830"/>
        <w:gridCol w:w="830"/>
        <w:gridCol w:w="831"/>
        <w:gridCol w:w="830"/>
        <w:gridCol w:w="830"/>
        <w:gridCol w:w="831"/>
      </w:tblGrid>
      <w:tr w:rsidR="00D86A7B" w:rsidRPr="00CF77C1" w14:paraId="2C002F38" w14:textId="77777777" w:rsidTr="00F10D3F">
        <w:trPr>
          <w:cantSplit/>
        </w:trPr>
        <w:tc>
          <w:tcPr>
            <w:tcW w:w="5920" w:type="dxa"/>
            <w:shd w:val="clear" w:color="auto" w:fill="auto"/>
            <w:vAlign w:val="center"/>
          </w:tcPr>
          <w:p w14:paraId="7C6871E7" w14:textId="66239B4D" w:rsidR="00D86A7B" w:rsidRPr="00CF77C1" w:rsidRDefault="00D86A7B" w:rsidP="00D86A7B">
            <w:pPr>
              <w:keepNext/>
              <w:keepLines/>
              <w:jc w:val="center"/>
              <w:rPr>
                <w:lang w:val="sr-Cyrl-RS"/>
              </w:rPr>
            </w:pPr>
            <w:r w:rsidRPr="00CF77C1">
              <w:rPr>
                <w:lang w:val="sr-Cyrl-RS"/>
              </w:rPr>
              <w:t>Пројекат: Снабдевање Београда топлотном енергијом из ТЕ „Никола Тесла А</w:t>
            </w:r>
            <w:r w:rsidR="00AD5740" w:rsidRPr="00CF77C1">
              <w:rPr>
                <w:lang w:val="sr-Cyrl-RS"/>
              </w:rPr>
              <w:t>”</w:t>
            </w:r>
            <w:r w:rsidRPr="00CF77C1">
              <w:rPr>
                <w:lang w:val="sr-Cyrl-RS"/>
              </w:rPr>
              <w:t xml:space="preserve"> топлодалеководом капацитета од 600 MW топлотне енергије</w:t>
            </w:r>
          </w:p>
        </w:tc>
        <w:tc>
          <w:tcPr>
            <w:tcW w:w="2835" w:type="dxa"/>
            <w:shd w:val="clear" w:color="auto" w:fill="auto"/>
            <w:vAlign w:val="center"/>
          </w:tcPr>
          <w:p w14:paraId="4DE6A50D" w14:textId="77777777" w:rsidR="00D86A7B" w:rsidRPr="00CF77C1" w:rsidRDefault="00D86A7B" w:rsidP="00D86A7B">
            <w:pPr>
              <w:keepNext/>
              <w:keepLines/>
              <w:jc w:val="center"/>
              <w:rPr>
                <w:lang w:val="sr-Cyrl-RS"/>
              </w:rPr>
            </w:pPr>
            <w:r w:rsidRPr="00CF77C1">
              <w:rPr>
                <w:lang w:val="sr-Cyrl-RS"/>
              </w:rPr>
              <w:t>Одговорна институција</w:t>
            </w:r>
          </w:p>
        </w:tc>
        <w:tc>
          <w:tcPr>
            <w:tcW w:w="830" w:type="dxa"/>
            <w:shd w:val="clear" w:color="auto" w:fill="auto"/>
            <w:vAlign w:val="center"/>
          </w:tcPr>
          <w:p w14:paraId="2456C090" w14:textId="77777777" w:rsidR="00D86A7B" w:rsidRPr="00CF77C1" w:rsidRDefault="00D86A7B" w:rsidP="00D86A7B">
            <w:pPr>
              <w:keepNext/>
              <w:keepLines/>
              <w:jc w:val="center"/>
              <w:rPr>
                <w:lang w:val="sr-Cyrl-RS"/>
              </w:rPr>
            </w:pPr>
            <w:r w:rsidRPr="00CF77C1">
              <w:rPr>
                <w:lang w:val="sr-Cyrl-RS"/>
              </w:rPr>
              <w:t>2017.</w:t>
            </w:r>
          </w:p>
        </w:tc>
        <w:tc>
          <w:tcPr>
            <w:tcW w:w="830" w:type="dxa"/>
            <w:shd w:val="clear" w:color="auto" w:fill="auto"/>
            <w:vAlign w:val="center"/>
          </w:tcPr>
          <w:p w14:paraId="2F2609D0" w14:textId="77777777" w:rsidR="00D86A7B" w:rsidRPr="00CF77C1" w:rsidRDefault="00D86A7B" w:rsidP="00D86A7B">
            <w:pPr>
              <w:keepNext/>
              <w:keepLines/>
              <w:jc w:val="center"/>
              <w:rPr>
                <w:lang w:val="sr-Cyrl-RS"/>
              </w:rPr>
            </w:pPr>
            <w:r w:rsidRPr="00CF77C1">
              <w:rPr>
                <w:lang w:val="sr-Cyrl-RS"/>
              </w:rPr>
              <w:t>2018.</w:t>
            </w:r>
          </w:p>
        </w:tc>
        <w:tc>
          <w:tcPr>
            <w:tcW w:w="830" w:type="dxa"/>
            <w:shd w:val="clear" w:color="auto" w:fill="auto"/>
            <w:vAlign w:val="center"/>
          </w:tcPr>
          <w:p w14:paraId="61533E90" w14:textId="77777777" w:rsidR="00D86A7B" w:rsidRPr="00CF77C1" w:rsidRDefault="00D86A7B" w:rsidP="00D86A7B">
            <w:pPr>
              <w:keepNext/>
              <w:keepLines/>
              <w:jc w:val="center"/>
              <w:rPr>
                <w:lang w:val="sr-Cyrl-RS"/>
              </w:rPr>
            </w:pPr>
            <w:r w:rsidRPr="00CF77C1">
              <w:rPr>
                <w:lang w:val="sr-Cyrl-RS"/>
              </w:rPr>
              <w:t>2019.</w:t>
            </w:r>
          </w:p>
        </w:tc>
        <w:tc>
          <w:tcPr>
            <w:tcW w:w="831" w:type="dxa"/>
            <w:shd w:val="clear" w:color="auto" w:fill="auto"/>
            <w:vAlign w:val="center"/>
          </w:tcPr>
          <w:p w14:paraId="5193F786" w14:textId="77777777" w:rsidR="00D86A7B" w:rsidRPr="00CF77C1" w:rsidRDefault="00D86A7B" w:rsidP="00D86A7B">
            <w:pPr>
              <w:keepNext/>
              <w:keepLines/>
              <w:jc w:val="center"/>
              <w:rPr>
                <w:lang w:val="sr-Cyrl-RS"/>
              </w:rPr>
            </w:pPr>
            <w:r w:rsidRPr="00CF77C1">
              <w:rPr>
                <w:lang w:val="sr-Cyrl-RS"/>
              </w:rPr>
              <w:t>2020.</w:t>
            </w:r>
          </w:p>
        </w:tc>
        <w:tc>
          <w:tcPr>
            <w:tcW w:w="830" w:type="dxa"/>
            <w:shd w:val="clear" w:color="auto" w:fill="auto"/>
            <w:vAlign w:val="center"/>
          </w:tcPr>
          <w:p w14:paraId="348BA805" w14:textId="77777777" w:rsidR="00D86A7B" w:rsidRPr="00CF77C1" w:rsidRDefault="00D86A7B" w:rsidP="00D86A7B">
            <w:pPr>
              <w:keepNext/>
              <w:keepLines/>
              <w:jc w:val="center"/>
              <w:rPr>
                <w:lang w:val="sr-Cyrl-RS"/>
              </w:rPr>
            </w:pPr>
            <w:r w:rsidRPr="00CF77C1">
              <w:rPr>
                <w:lang w:val="sr-Cyrl-RS"/>
              </w:rPr>
              <w:t>2021.</w:t>
            </w:r>
          </w:p>
        </w:tc>
        <w:tc>
          <w:tcPr>
            <w:tcW w:w="830" w:type="dxa"/>
            <w:shd w:val="clear" w:color="auto" w:fill="auto"/>
            <w:vAlign w:val="center"/>
          </w:tcPr>
          <w:p w14:paraId="6CB9A793" w14:textId="77777777" w:rsidR="00D86A7B" w:rsidRPr="00CF77C1" w:rsidRDefault="00D86A7B" w:rsidP="00D86A7B">
            <w:pPr>
              <w:keepNext/>
              <w:keepLines/>
              <w:jc w:val="center"/>
              <w:rPr>
                <w:lang w:val="sr-Cyrl-RS"/>
              </w:rPr>
            </w:pPr>
            <w:r w:rsidRPr="00CF77C1">
              <w:rPr>
                <w:lang w:val="sr-Cyrl-RS"/>
              </w:rPr>
              <w:t>2022.</w:t>
            </w:r>
          </w:p>
        </w:tc>
        <w:tc>
          <w:tcPr>
            <w:tcW w:w="831" w:type="dxa"/>
            <w:shd w:val="clear" w:color="auto" w:fill="auto"/>
            <w:vAlign w:val="center"/>
          </w:tcPr>
          <w:p w14:paraId="295E917D" w14:textId="77777777" w:rsidR="00D86A7B" w:rsidRPr="00CF77C1" w:rsidRDefault="00D86A7B" w:rsidP="00D86A7B">
            <w:pPr>
              <w:keepNext/>
              <w:keepLines/>
              <w:jc w:val="center"/>
              <w:rPr>
                <w:lang w:val="sr-Cyrl-RS"/>
              </w:rPr>
            </w:pPr>
            <w:r w:rsidRPr="00CF77C1">
              <w:rPr>
                <w:lang w:val="sr-Cyrl-RS"/>
              </w:rPr>
              <w:t>2023.</w:t>
            </w:r>
          </w:p>
        </w:tc>
      </w:tr>
      <w:tr w:rsidR="00D86A7B" w:rsidRPr="00CF77C1" w14:paraId="3DD6E22F" w14:textId="77777777" w:rsidTr="00F10D3F">
        <w:tc>
          <w:tcPr>
            <w:tcW w:w="5920" w:type="dxa"/>
            <w:shd w:val="clear" w:color="auto" w:fill="auto"/>
            <w:vAlign w:val="center"/>
          </w:tcPr>
          <w:p w14:paraId="1E2043C6" w14:textId="77777777" w:rsidR="00D86A7B" w:rsidRPr="00CF77C1" w:rsidRDefault="00D86A7B" w:rsidP="00D86A7B">
            <w:pPr>
              <w:keepNext/>
              <w:keepLines/>
              <w:jc w:val="left"/>
              <w:rPr>
                <w:lang w:val="sr-Cyrl-RS"/>
              </w:rPr>
            </w:pPr>
            <w:r w:rsidRPr="00CF77C1">
              <w:rPr>
                <w:lang w:val="sr-Cyrl-RS"/>
              </w:rPr>
              <w:t>Организациони и послови руковођења пројектом</w:t>
            </w:r>
          </w:p>
        </w:tc>
        <w:tc>
          <w:tcPr>
            <w:tcW w:w="2835" w:type="dxa"/>
            <w:vMerge w:val="restart"/>
            <w:shd w:val="clear" w:color="auto" w:fill="auto"/>
            <w:vAlign w:val="center"/>
          </w:tcPr>
          <w:p w14:paraId="56D4C0E5" w14:textId="77777777" w:rsidR="00D86A7B" w:rsidRPr="00CF77C1" w:rsidRDefault="00D86A7B" w:rsidP="00D86A7B">
            <w:pPr>
              <w:keepNext/>
              <w:keepLines/>
              <w:spacing w:before="20" w:after="20"/>
              <w:jc w:val="left"/>
              <w:rPr>
                <w:lang w:val="sr-Cyrl-RS" w:eastAsia="x-none"/>
              </w:rPr>
            </w:pPr>
            <w:r w:rsidRPr="00CF77C1">
              <w:rPr>
                <w:lang w:val="sr-Cyrl-RS"/>
              </w:rPr>
              <w:t>Одговорна институција</w:t>
            </w:r>
          </w:p>
          <w:p w14:paraId="3AF8F359" w14:textId="63B82486" w:rsidR="00D86A7B" w:rsidRPr="00CF77C1" w:rsidRDefault="00D86A7B" w:rsidP="006C6D04">
            <w:pPr>
              <w:keepNext/>
              <w:keepLines/>
              <w:spacing w:before="20" w:after="20"/>
              <w:jc w:val="left"/>
              <w:rPr>
                <w:lang w:val="sr-Cyrl-RS"/>
              </w:rPr>
            </w:pPr>
            <w:r w:rsidRPr="00CF77C1">
              <w:rPr>
                <w:lang w:val="sr-Cyrl-RS" w:eastAsia="x-none"/>
              </w:rPr>
              <w:t>ЈКП Београдске електране, ЕПС</w:t>
            </w:r>
          </w:p>
        </w:tc>
        <w:tc>
          <w:tcPr>
            <w:tcW w:w="830" w:type="dxa"/>
            <w:shd w:val="clear" w:color="auto" w:fill="auto"/>
            <w:vAlign w:val="center"/>
          </w:tcPr>
          <w:p w14:paraId="7B9C7538" w14:textId="77777777" w:rsidR="00D86A7B" w:rsidRPr="00CF77C1" w:rsidRDefault="00D86A7B" w:rsidP="00D86A7B">
            <w:pPr>
              <w:keepNext/>
              <w:keepLines/>
              <w:spacing w:before="20" w:after="20"/>
              <w:jc w:val="center"/>
              <w:rPr>
                <w:lang w:val="sr-Cyrl-RS"/>
              </w:rPr>
            </w:pPr>
            <w:r w:rsidRPr="00CF77C1">
              <w:rPr>
                <w:lang w:val="sr-Cyrl-RS"/>
              </w:rPr>
              <w:t>x</w:t>
            </w:r>
          </w:p>
        </w:tc>
        <w:tc>
          <w:tcPr>
            <w:tcW w:w="830" w:type="dxa"/>
            <w:shd w:val="clear" w:color="auto" w:fill="auto"/>
            <w:vAlign w:val="center"/>
          </w:tcPr>
          <w:p w14:paraId="3C49E805" w14:textId="77777777" w:rsidR="00D86A7B" w:rsidRPr="00CF77C1" w:rsidRDefault="00D86A7B" w:rsidP="00D86A7B">
            <w:pPr>
              <w:keepNext/>
              <w:keepLines/>
              <w:spacing w:before="20" w:after="20"/>
              <w:jc w:val="center"/>
              <w:rPr>
                <w:lang w:val="sr-Cyrl-RS"/>
              </w:rPr>
            </w:pPr>
          </w:p>
        </w:tc>
        <w:tc>
          <w:tcPr>
            <w:tcW w:w="830" w:type="dxa"/>
            <w:shd w:val="clear" w:color="auto" w:fill="auto"/>
            <w:vAlign w:val="center"/>
          </w:tcPr>
          <w:p w14:paraId="7A56D943" w14:textId="77777777" w:rsidR="00D86A7B" w:rsidRPr="00CF77C1" w:rsidRDefault="00D86A7B" w:rsidP="00D86A7B">
            <w:pPr>
              <w:keepNext/>
              <w:keepLines/>
              <w:spacing w:before="20" w:after="20"/>
              <w:jc w:val="center"/>
              <w:rPr>
                <w:lang w:val="sr-Cyrl-RS"/>
              </w:rPr>
            </w:pPr>
          </w:p>
        </w:tc>
        <w:tc>
          <w:tcPr>
            <w:tcW w:w="831" w:type="dxa"/>
            <w:shd w:val="clear" w:color="auto" w:fill="auto"/>
            <w:vAlign w:val="center"/>
          </w:tcPr>
          <w:p w14:paraId="70D9CA2F" w14:textId="77777777" w:rsidR="00D86A7B" w:rsidRPr="00CF77C1" w:rsidRDefault="00D86A7B" w:rsidP="00D86A7B">
            <w:pPr>
              <w:keepNext/>
              <w:keepLines/>
              <w:spacing w:before="20" w:after="20"/>
              <w:jc w:val="center"/>
              <w:rPr>
                <w:lang w:val="sr-Cyrl-RS"/>
              </w:rPr>
            </w:pPr>
          </w:p>
        </w:tc>
        <w:tc>
          <w:tcPr>
            <w:tcW w:w="830" w:type="dxa"/>
            <w:shd w:val="clear" w:color="auto" w:fill="auto"/>
            <w:vAlign w:val="center"/>
          </w:tcPr>
          <w:p w14:paraId="6E2E6E2C" w14:textId="77777777" w:rsidR="00D86A7B" w:rsidRPr="00CF77C1" w:rsidRDefault="00D86A7B" w:rsidP="00D86A7B">
            <w:pPr>
              <w:keepNext/>
              <w:keepLines/>
              <w:spacing w:before="20" w:after="20"/>
              <w:jc w:val="center"/>
              <w:rPr>
                <w:lang w:val="sr-Cyrl-RS"/>
              </w:rPr>
            </w:pPr>
          </w:p>
        </w:tc>
        <w:tc>
          <w:tcPr>
            <w:tcW w:w="830" w:type="dxa"/>
            <w:shd w:val="clear" w:color="auto" w:fill="auto"/>
            <w:vAlign w:val="center"/>
          </w:tcPr>
          <w:p w14:paraId="06458CFE" w14:textId="77777777" w:rsidR="00D86A7B" w:rsidRPr="00CF77C1" w:rsidRDefault="00D86A7B" w:rsidP="00D86A7B">
            <w:pPr>
              <w:keepNext/>
              <w:keepLines/>
              <w:spacing w:before="20" w:after="20"/>
              <w:jc w:val="center"/>
              <w:rPr>
                <w:lang w:val="sr-Cyrl-RS"/>
              </w:rPr>
            </w:pPr>
          </w:p>
        </w:tc>
        <w:tc>
          <w:tcPr>
            <w:tcW w:w="831" w:type="dxa"/>
            <w:shd w:val="clear" w:color="auto" w:fill="auto"/>
            <w:vAlign w:val="center"/>
          </w:tcPr>
          <w:p w14:paraId="353E9B41" w14:textId="77777777" w:rsidR="00D86A7B" w:rsidRPr="00CF77C1" w:rsidRDefault="00D86A7B" w:rsidP="00D86A7B">
            <w:pPr>
              <w:keepNext/>
              <w:keepLines/>
              <w:spacing w:before="20" w:after="20"/>
              <w:jc w:val="center"/>
              <w:rPr>
                <w:lang w:val="sr-Cyrl-RS"/>
              </w:rPr>
            </w:pPr>
          </w:p>
        </w:tc>
      </w:tr>
      <w:tr w:rsidR="00D86A7B" w:rsidRPr="00CF77C1" w14:paraId="317D4951" w14:textId="77777777" w:rsidTr="00F10D3F">
        <w:tc>
          <w:tcPr>
            <w:tcW w:w="5920" w:type="dxa"/>
            <w:shd w:val="clear" w:color="auto" w:fill="auto"/>
            <w:vAlign w:val="center"/>
          </w:tcPr>
          <w:p w14:paraId="77AFE92E" w14:textId="77777777" w:rsidR="00D86A7B" w:rsidRPr="00CF77C1" w:rsidRDefault="00D86A7B" w:rsidP="00D86A7B">
            <w:pPr>
              <w:keepNext/>
              <w:keepLines/>
              <w:jc w:val="left"/>
              <w:rPr>
                <w:lang w:val="sr-Cyrl-RS"/>
              </w:rPr>
            </w:pPr>
            <w:r w:rsidRPr="00CF77C1">
              <w:rPr>
                <w:lang w:val="sr-Cyrl-RS"/>
              </w:rPr>
              <w:t>Припрема просторно-планске документације</w:t>
            </w:r>
          </w:p>
        </w:tc>
        <w:tc>
          <w:tcPr>
            <w:tcW w:w="2835" w:type="dxa"/>
            <w:vMerge/>
            <w:shd w:val="clear" w:color="auto" w:fill="auto"/>
            <w:vAlign w:val="center"/>
          </w:tcPr>
          <w:p w14:paraId="32918E2F" w14:textId="77777777" w:rsidR="00D86A7B" w:rsidRPr="00CF77C1" w:rsidRDefault="00D86A7B" w:rsidP="00D86A7B">
            <w:pPr>
              <w:keepNext/>
              <w:keepLines/>
              <w:spacing w:before="20" w:after="20"/>
              <w:jc w:val="left"/>
              <w:rPr>
                <w:lang w:val="sr-Cyrl-RS"/>
              </w:rPr>
            </w:pPr>
          </w:p>
        </w:tc>
        <w:tc>
          <w:tcPr>
            <w:tcW w:w="830" w:type="dxa"/>
            <w:shd w:val="clear" w:color="auto" w:fill="auto"/>
            <w:vAlign w:val="center"/>
          </w:tcPr>
          <w:p w14:paraId="15088050" w14:textId="77777777" w:rsidR="00D86A7B" w:rsidRPr="00CF77C1" w:rsidRDefault="00D86A7B" w:rsidP="00D86A7B">
            <w:pPr>
              <w:keepNext/>
              <w:keepLines/>
              <w:spacing w:before="20" w:after="20"/>
              <w:jc w:val="center"/>
              <w:rPr>
                <w:lang w:val="sr-Cyrl-RS"/>
              </w:rPr>
            </w:pPr>
            <w:r w:rsidRPr="00CF77C1">
              <w:rPr>
                <w:lang w:val="sr-Cyrl-RS"/>
              </w:rPr>
              <w:t>x</w:t>
            </w:r>
          </w:p>
        </w:tc>
        <w:tc>
          <w:tcPr>
            <w:tcW w:w="830" w:type="dxa"/>
            <w:shd w:val="clear" w:color="auto" w:fill="auto"/>
            <w:vAlign w:val="center"/>
          </w:tcPr>
          <w:p w14:paraId="022F2B5F" w14:textId="77777777" w:rsidR="00D86A7B" w:rsidRPr="00CF77C1" w:rsidRDefault="00D86A7B" w:rsidP="00D86A7B">
            <w:pPr>
              <w:keepNext/>
              <w:keepLines/>
              <w:spacing w:before="20" w:after="20"/>
              <w:jc w:val="center"/>
              <w:rPr>
                <w:lang w:val="sr-Cyrl-RS"/>
              </w:rPr>
            </w:pPr>
          </w:p>
        </w:tc>
        <w:tc>
          <w:tcPr>
            <w:tcW w:w="830" w:type="dxa"/>
            <w:shd w:val="clear" w:color="auto" w:fill="auto"/>
            <w:vAlign w:val="center"/>
          </w:tcPr>
          <w:p w14:paraId="669F98BA" w14:textId="77777777" w:rsidR="00D86A7B" w:rsidRPr="00CF77C1" w:rsidRDefault="00D86A7B" w:rsidP="00D86A7B">
            <w:pPr>
              <w:keepNext/>
              <w:keepLines/>
              <w:spacing w:before="20" w:after="20"/>
              <w:jc w:val="center"/>
              <w:rPr>
                <w:lang w:val="sr-Cyrl-RS"/>
              </w:rPr>
            </w:pPr>
          </w:p>
        </w:tc>
        <w:tc>
          <w:tcPr>
            <w:tcW w:w="831" w:type="dxa"/>
            <w:shd w:val="clear" w:color="auto" w:fill="auto"/>
            <w:vAlign w:val="center"/>
          </w:tcPr>
          <w:p w14:paraId="13B300C6" w14:textId="77777777" w:rsidR="00D86A7B" w:rsidRPr="00CF77C1" w:rsidRDefault="00D86A7B" w:rsidP="00D86A7B">
            <w:pPr>
              <w:keepNext/>
              <w:keepLines/>
              <w:spacing w:before="20" w:after="20"/>
              <w:jc w:val="center"/>
              <w:rPr>
                <w:lang w:val="sr-Cyrl-RS"/>
              </w:rPr>
            </w:pPr>
          </w:p>
        </w:tc>
        <w:tc>
          <w:tcPr>
            <w:tcW w:w="830" w:type="dxa"/>
            <w:shd w:val="clear" w:color="auto" w:fill="auto"/>
            <w:vAlign w:val="center"/>
          </w:tcPr>
          <w:p w14:paraId="5531774E" w14:textId="77777777" w:rsidR="00D86A7B" w:rsidRPr="00CF77C1" w:rsidRDefault="00D86A7B" w:rsidP="00D86A7B">
            <w:pPr>
              <w:keepNext/>
              <w:keepLines/>
              <w:spacing w:before="20" w:after="20"/>
              <w:jc w:val="center"/>
              <w:rPr>
                <w:lang w:val="sr-Cyrl-RS"/>
              </w:rPr>
            </w:pPr>
          </w:p>
        </w:tc>
        <w:tc>
          <w:tcPr>
            <w:tcW w:w="830" w:type="dxa"/>
            <w:shd w:val="clear" w:color="auto" w:fill="auto"/>
            <w:vAlign w:val="center"/>
          </w:tcPr>
          <w:p w14:paraId="65BAE132" w14:textId="77777777" w:rsidR="00D86A7B" w:rsidRPr="00CF77C1" w:rsidRDefault="00D86A7B" w:rsidP="00D86A7B">
            <w:pPr>
              <w:keepNext/>
              <w:keepLines/>
              <w:spacing w:before="20" w:after="20"/>
              <w:jc w:val="center"/>
              <w:rPr>
                <w:lang w:val="sr-Cyrl-RS"/>
              </w:rPr>
            </w:pPr>
          </w:p>
        </w:tc>
        <w:tc>
          <w:tcPr>
            <w:tcW w:w="831" w:type="dxa"/>
            <w:shd w:val="clear" w:color="auto" w:fill="auto"/>
            <w:vAlign w:val="center"/>
          </w:tcPr>
          <w:p w14:paraId="4D5E30A7" w14:textId="77777777" w:rsidR="00D86A7B" w:rsidRPr="00CF77C1" w:rsidRDefault="00D86A7B" w:rsidP="00D86A7B">
            <w:pPr>
              <w:keepNext/>
              <w:keepLines/>
              <w:spacing w:before="20" w:after="20"/>
              <w:jc w:val="center"/>
              <w:rPr>
                <w:lang w:val="sr-Cyrl-RS"/>
              </w:rPr>
            </w:pPr>
          </w:p>
        </w:tc>
      </w:tr>
      <w:tr w:rsidR="00D86A7B" w:rsidRPr="00CF77C1" w14:paraId="736D4FB6" w14:textId="77777777" w:rsidTr="00F10D3F">
        <w:tc>
          <w:tcPr>
            <w:tcW w:w="5920" w:type="dxa"/>
            <w:shd w:val="clear" w:color="auto" w:fill="auto"/>
            <w:vAlign w:val="center"/>
          </w:tcPr>
          <w:p w14:paraId="2E726951" w14:textId="77777777" w:rsidR="00D86A7B" w:rsidRPr="00CF77C1" w:rsidRDefault="00D86A7B" w:rsidP="00D86A7B">
            <w:pPr>
              <w:keepNext/>
              <w:keepLines/>
              <w:jc w:val="left"/>
              <w:rPr>
                <w:lang w:val="sr-Cyrl-RS"/>
              </w:rPr>
            </w:pPr>
            <w:r w:rsidRPr="00CF77C1">
              <w:rPr>
                <w:lang w:val="sr-Cyrl-RS"/>
              </w:rPr>
              <w:t>Припрема техничке документације</w:t>
            </w:r>
          </w:p>
        </w:tc>
        <w:tc>
          <w:tcPr>
            <w:tcW w:w="2835" w:type="dxa"/>
            <w:vMerge/>
            <w:shd w:val="clear" w:color="auto" w:fill="auto"/>
          </w:tcPr>
          <w:p w14:paraId="763F0770" w14:textId="77777777" w:rsidR="00D86A7B" w:rsidRPr="00CF77C1" w:rsidRDefault="00D86A7B" w:rsidP="00D86A7B">
            <w:pPr>
              <w:keepNext/>
              <w:keepLines/>
              <w:spacing w:before="20" w:after="20"/>
              <w:rPr>
                <w:lang w:val="sr-Cyrl-RS"/>
              </w:rPr>
            </w:pPr>
          </w:p>
        </w:tc>
        <w:tc>
          <w:tcPr>
            <w:tcW w:w="830" w:type="dxa"/>
            <w:shd w:val="clear" w:color="auto" w:fill="auto"/>
            <w:vAlign w:val="center"/>
          </w:tcPr>
          <w:p w14:paraId="6B0D4AAC" w14:textId="77777777" w:rsidR="00D86A7B" w:rsidRPr="00CF77C1" w:rsidRDefault="00D86A7B" w:rsidP="00D86A7B">
            <w:pPr>
              <w:keepNext/>
              <w:keepLines/>
              <w:jc w:val="center"/>
              <w:rPr>
                <w:lang w:val="sr-Cyrl-RS"/>
              </w:rPr>
            </w:pPr>
            <w:r w:rsidRPr="00CF77C1">
              <w:rPr>
                <w:lang w:val="sr-Cyrl-RS"/>
              </w:rPr>
              <w:t>x</w:t>
            </w:r>
          </w:p>
        </w:tc>
        <w:tc>
          <w:tcPr>
            <w:tcW w:w="830" w:type="dxa"/>
            <w:shd w:val="clear" w:color="auto" w:fill="auto"/>
            <w:vAlign w:val="center"/>
          </w:tcPr>
          <w:p w14:paraId="77F69367" w14:textId="77777777" w:rsidR="00D86A7B" w:rsidRPr="00CF77C1" w:rsidRDefault="00D86A7B" w:rsidP="00D86A7B">
            <w:pPr>
              <w:keepNext/>
              <w:keepLines/>
              <w:jc w:val="center"/>
              <w:rPr>
                <w:lang w:val="sr-Cyrl-RS"/>
              </w:rPr>
            </w:pPr>
            <w:r w:rsidRPr="00CF77C1">
              <w:rPr>
                <w:lang w:val="sr-Cyrl-RS"/>
              </w:rPr>
              <w:t>x</w:t>
            </w:r>
          </w:p>
        </w:tc>
        <w:tc>
          <w:tcPr>
            <w:tcW w:w="830" w:type="dxa"/>
            <w:shd w:val="clear" w:color="auto" w:fill="auto"/>
            <w:vAlign w:val="center"/>
          </w:tcPr>
          <w:p w14:paraId="4981DE6A" w14:textId="77777777" w:rsidR="00D86A7B" w:rsidRPr="00CF77C1" w:rsidRDefault="00D86A7B" w:rsidP="00D86A7B">
            <w:pPr>
              <w:keepNext/>
              <w:keepLines/>
              <w:jc w:val="center"/>
              <w:rPr>
                <w:lang w:val="sr-Cyrl-RS"/>
              </w:rPr>
            </w:pPr>
          </w:p>
        </w:tc>
        <w:tc>
          <w:tcPr>
            <w:tcW w:w="831" w:type="dxa"/>
            <w:shd w:val="clear" w:color="auto" w:fill="auto"/>
            <w:vAlign w:val="center"/>
          </w:tcPr>
          <w:p w14:paraId="163E5610" w14:textId="77777777" w:rsidR="00D86A7B" w:rsidRPr="00CF77C1" w:rsidRDefault="00D86A7B" w:rsidP="00D86A7B">
            <w:pPr>
              <w:keepNext/>
              <w:keepLines/>
              <w:jc w:val="center"/>
              <w:rPr>
                <w:lang w:val="sr-Cyrl-RS"/>
              </w:rPr>
            </w:pPr>
          </w:p>
        </w:tc>
        <w:tc>
          <w:tcPr>
            <w:tcW w:w="830" w:type="dxa"/>
            <w:shd w:val="clear" w:color="auto" w:fill="auto"/>
            <w:vAlign w:val="center"/>
          </w:tcPr>
          <w:p w14:paraId="70785736" w14:textId="77777777" w:rsidR="00D86A7B" w:rsidRPr="00CF77C1" w:rsidRDefault="00D86A7B" w:rsidP="00D86A7B">
            <w:pPr>
              <w:keepNext/>
              <w:keepLines/>
              <w:jc w:val="center"/>
              <w:rPr>
                <w:lang w:val="sr-Cyrl-RS"/>
              </w:rPr>
            </w:pPr>
          </w:p>
        </w:tc>
        <w:tc>
          <w:tcPr>
            <w:tcW w:w="830" w:type="dxa"/>
            <w:shd w:val="clear" w:color="auto" w:fill="auto"/>
            <w:vAlign w:val="center"/>
          </w:tcPr>
          <w:p w14:paraId="53B6A3AF" w14:textId="77777777" w:rsidR="00D86A7B" w:rsidRPr="00CF77C1" w:rsidRDefault="00D86A7B" w:rsidP="00D86A7B">
            <w:pPr>
              <w:keepNext/>
              <w:keepLines/>
              <w:jc w:val="center"/>
              <w:rPr>
                <w:lang w:val="sr-Cyrl-RS"/>
              </w:rPr>
            </w:pPr>
          </w:p>
        </w:tc>
        <w:tc>
          <w:tcPr>
            <w:tcW w:w="831" w:type="dxa"/>
            <w:shd w:val="clear" w:color="auto" w:fill="auto"/>
            <w:vAlign w:val="center"/>
          </w:tcPr>
          <w:p w14:paraId="20B24E29" w14:textId="77777777" w:rsidR="00D86A7B" w:rsidRPr="00CF77C1" w:rsidRDefault="00D86A7B" w:rsidP="00D86A7B">
            <w:pPr>
              <w:keepNext/>
              <w:keepLines/>
              <w:spacing w:before="20" w:after="20"/>
              <w:jc w:val="center"/>
              <w:rPr>
                <w:lang w:val="sr-Cyrl-RS"/>
              </w:rPr>
            </w:pPr>
          </w:p>
        </w:tc>
      </w:tr>
      <w:tr w:rsidR="00D86A7B" w:rsidRPr="00CF77C1" w14:paraId="6202EE1D" w14:textId="77777777" w:rsidTr="00F10D3F">
        <w:tc>
          <w:tcPr>
            <w:tcW w:w="5920" w:type="dxa"/>
            <w:shd w:val="clear" w:color="auto" w:fill="auto"/>
            <w:vAlign w:val="center"/>
          </w:tcPr>
          <w:p w14:paraId="4397EAA2" w14:textId="77777777" w:rsidR="00D86A7B" w:rsidRPr="00CF77C1" w:rsidRDefault="00D86A7B" w:rsidP="00D86A7B">
            <w:pPr>
              <w:keepNext/>
              <w:keepLines/>
              <w:jc w:val="left"/>
              <w:rPr>
                <w:lang w:val="sr-Cyrl-RS"/>
              </w:rPr>
            </w:pPr>
            <w:r w:rsidRPr="00CF77C1">
              <w:rPr>
                <w:lang w:val="sr-Cyrl-RS"/>
              </w:rPr>
              <w:t>Дозволе</w:t>
            </w:r>
          </w:p>
        </w:tc>
        <w:tc>
          <w:tcPr>
            <w:tcW w:w="2835" w:type="dxa"/>
            <w:vMerge/>
            <w:shd w:val="clear" w:color="auto" w:fill="auto"/>
          </w:tcPr>
          <w:p w14:paraId="361129E2" w14:textId="77777777" w:rsidR="00D86A7B" w:rsidRPr="00CF77C1" w:rsidRDefault="00D86A7B" w:rsidP="00D86A7B">
            <w:pPr>
              <w:keepNext/>
              <w:keepLines/>
              <w:spacing w:before="20" w:after="20"/>
              <w:rPr>
                <w:lang w:val="sr-Cyrl-RS"/>
              </w:rPr>
            </w:pPr>
          </w:p>
        </w:tc>
        <w:tc>
          <w:tcPr>
            <w:tcW w:w="830" w:type="dxa"/>
            <w:shd w:val="clear" w:color="auto" w:fill="auto"/>
            <w:vAlign w:val="center"/>
          </w:tcPr>
          <w:p w14:paraId="4B80A58F" w14:textId="77777777" w:rsidR="00D86A7B" w:rsidRPr="00CF77C1" w:rsidRDefault="00D86A7B" w:rsidP="00D86A7B">
            <w:pPr>
              <w:keepNext/>
              <w:keepLines/>
              <w:jc w:val="center"/>
              <w:rPr>
                <w:lang w:val="sr-Cyrl-RS"/>
              </w:rPr>
            </w:pPr>
          </w:p>
        </w:tc>
        <w:tc>
          <w:tcPr>
            <w:tcW w:w="830" w:type="dxa"/>
            <w:shd w:val="clear" w:color="auto" w:fill="auto"/>
            <w:vAlign w:val="center"/>
          </w:tcPr>
          <w:p w14:paraId="215C2C5A" w14:textId="77777777" w:rsidR="00D86A7B" w:rsidRPr="00CF77C1" w:rsidRDefault="00D86A7B" w:rsidP="00D86A7B">
            <w:pPr>
              <w:keepNext/>
              <w:keepLines/>
              <w:jc w:val="center"/>
              <w:rPr>
                <w:lang w:val="sr-Cyrl-RS"/>
              </w:rPr>
            </w:pPr>
            <w:r w:rsidRPr="00CF77C1">
              <w:rPr>
                <w:lang w:val="sr-Cyrl-RS"/>
              </w:rPr>
              <w:t>x</w:t>
            </w:r>
          </w:p>
        </w:tc>
        <w:tc>
          <w:tcPr>
            <w:tcW w:w="830" w:type="dxa"/>
            <w:shd w:val="clear" w:color="auto" w:fill="auto"/>
            <w:vAlign w:val="center"/>
          </w:tcPr>
          <w:p w14:paraId="681E4485" w14:textId="77777777" w:rsidR="00D86A7B" w:rsidRPr="00CF77C1" w:rsidRDefault="00D86A7B" w:rsidP="00D86A7B">
            <w:pPr>
              <w:keepNext/>
              <w:keepLines/>
              <w:jc w:val="center"/>
              <w:rPr>
                <w:lang w:val="sr-Cyrl-RS"/>
              </w:rPr>
            </w:pPr>
          </w:p>
        </w:tc>
        <w:tc>
          <w:tcPr>
            <w:tcW w:w="831" w:type="dxa"/>
            <w:shd w:val="clear" w:color="auto" w:fill="auto"/>
            <w:vAlign w:val="center"/>
          </w:tcPr>
          <w:p w14:paraId="6C379B9F" w14:textId="77777777" w:rsidR="00D86A7B" w:rsidRPr="00CF77C1" w:rsidRDefault="00D86A7B" w:rsidP="00D86A7B">
            <w:pPr>
              <w:keepNext/>
              <w:keepLines/>
              <w:jc w:val="center"/>
              <w:rPr>
                <w:lang w:val="sr-Cyrl-RS"/>
              </w:rPr>
            </w:pPr>
          </w:p>
        </w:tc>
        <w:tc>
          <w:tcPr>
            <w:tcW w:w="830" w:type="dxa"/>
            <w:shd w:val="clear" w:color="auto" w:fill="auto"/>
            <w:vAlign w:val="center"/>
          </w:tcPr>
          <w:p w14:paraId="2C5A25E3" w14:textId="77777777" w:rsidR="00D86A7B" w:rsidRPr="00CF77C1" w:rsidRDefault="00D86A7B" w:rsidP="00D86A7B">
            <w:pPr>
              <w:keepNext/>
              <w:keepLines/>
              <w:jc w:val="center"/>
              <w:rPr>
                <w:lang w:val="sr-Cyrl-RS"/>
              </w:rPr>
            </w:pPr>
          </w:p>
        </w:tc>
        <w:tc>
          <w:tcPr>
            <w:tcW w:w="830" w:type="dxa"/>
            <w:shd w:val="clear" w:color="auto" w:fill="auto"/>
            <w:vAlign w:val="center"/>
          </w:tcPr>
          <w:p w14:paraId="196C4A83" w14:textId="77777777" w:rsidR="00D86A7B" w:rsidRPr="00CF77C1" w:rsidRDefault="00D86A7B" w:rsidP="00D86A7B">
            <w:pPr>
              <w:keepNext/>
              <w:keepLines/>
              <w:jc w:val="center"/>
              <w:rPr>
                <w:lang w:val="sr-Cyrl-RS"/>
              </w:rPr>
            </w:pPr>
          </w:p>
        </w:tc>
        <w:tc>
          <w:tcPr>
            <w:tcW w:w="831" w:type="dxa"/>
            <w:shd w:val="clear" w:color="auto" w:fill="auto"/>
            <w:vAlign w:val="center"/>
          </w:tcPr>
          <w:p w14:paraId="6A733D48" w14:textId="77777777" w:rsidR="00D86A7B" w:rsidRPr="00CF77C1" w:rsidRDefault="00D86A7B" w:rsidP="00D86A7B">
            <w:pPr>
              <w:keepNext/>
              <w:keepLines/>
              <w:spacing w:before="20" w:after="20"/>
              <w:jc w:val="center"/>
              <w:rPr>
                <w:lang w:val="sr-Cyrl-RS"/>
              </w:rPr>
            </w:pPr>
          </w:p>
        </w:tc>
      </w:tr>
      <w:tr w:rsidR="00D86A7B" w:rsidRPr="00CF77C1" w14:paraId="676F1924" w14:textId="77777777" w:rsidTr="00F10D3F">
        <w:tc>
          <w:tcPr>
            <w:tcW w:w="5920" w:type="dxa"/>
            <w:shd w:val="clear" w:color="auto" w:fill="auto"/>
            <w:vAlign w:val="center"/>
          </w:tcPr>
          <w:p w14:paraId="2575AB26" w14:textId="77777777" w:rsidR="00D86A7B" w:rsidRPr="00CF77C1" w:rsidRDefault="00D86A7B" w:rsidP="00D86A7B">
            <w:pPr>
              <w:keepNext/>
              <w:keepLines/>
              <w:jc w:val="left"/>
              <w:rPr>
                <w:lang w:val="sr-Cyrl-RS"/>
              </w:rPr>
            </w:pPr>
            <w:r w:rsidRPr="00CF77C1">
              <w:rPr>
                <w:lang w:val="sr-Cyrl-RS"/>
              </w:rPr>
              <w:t>Реализација градње</w:t>
            </w:r>
          </w:p>
        </w:tc>
        <w:tc>
          <w:tcPr>
            <w:tcW w:w="2835" w:type="dxa"/>
            <w:vMerge/>
            <w:shd w:val="clear" w:color="auto" w:fill="auto"/>
          </w:tcPr>
          <w:p w14:paraId="2E3397C3" w14:textId="77777777" w:rsidR="00D86A7B" w:rsidRPr="00CF77C1" w:rsidRDefault="00D86A7B" w:rsidP="00D86A7B">
            <w:pPr>
              <w:keepNext/>
              <w:keepLines/>
              <w:spacing w:before="20" w:after="20"/>
              <w:rPr>
                <w:lang w:val="sr-Cyrl-RS"/>
              </w:rPr>
            </w:pPr>
          </w:p>
        </w:tc>
        <w:tc>
          <w:tcPr>
            <w:tcW w:w="830" w:type="dxa"/>
            <w:shd w:val="clear" w:color="auto" w:fill="auto"/>
            <w:vAlign w:val="center"/>
          </w:tcPr>
          <w:p w14:paraId="0C51EE35" w14:textId="77777777" w:rsidR="00D86A7B" w:rsidRPr="00CF77C1" w:rsidRDefault="00D86A7B" w:rsidP="00D86A7B">
            <w:pPr>
              <w:keepNext/>
              <w:keepLines/>
              <w:spacing w:before="20" w:after="20"/>
              <w:jc w:val="center"/>
              <w:rPr>
                <w:lang w:val="sr-Cyrl-RS"/>
              </w:rPr>
            </w:pPr>
          </w:p>
        </w:tc>
        <w:tc>
          <w:tcPr>
            <w:tcW w:w="830" w:type="dxa"/>
            <w:shd w:val="clear" w:color="auto" w:fill="auto"/>
            <w:vAlign w:val="center"/>
          </w:tcPr>
          <w:p w14:paraId="3E2C1CFA" w14:textId="77777777" w:rsidR="00D86A7B" w:rsidRPr="00CF77C1" w:rsidRDefault="00D86A7B" w:rsidP="00D86A7B">
            <w:pPr>
              <w:keepNext/>
              <w:keepLines/>
              <w:jc w:val="center"/>
              <w:rPr>
                <w:lang w:val="sr-Cyrl-RS"/>
              </w:rPr>
            </w:pPr>
            <w:r w:rsidRPr="00CF77C1">
              <w:rPr>
                <w:lang w:val="sr-Cyrl-RS"/>
              </w:rPr>
              <w:t>x</w:t>
            </w:r>
          </w:p>
        </w:tc>
        <w:tc>
          <w:tcPr>
            <w:tcW w:w="830" w:type="dxa"/>
            <w:shd w:val="clear" w:color="auto" w:fill="auto"/>
            <w:vAlign w:val="center"/>
          </w:tcPr>
          <w:p w14:paraId="3D6085BA" w14:textId="77777777" w:rsidR="00D86A7B" w:rsidRPr="00CF77C1" w:rsidRDefault="00D86A7B" w:rsidP="00D86A7B">
            <w:pPr>
              <w:keepNext/>
              <w:keepLines/>
              <w:jc w:val="center"/>
              <w:rPr>
                <w:lang w:val="sr-Cyrl-RS"/>
              </w:rPr>
            </w:pPr>
            <w:r w:rsidRPr="00CF77C1">
              <w:rPr>
                <w:lang w:val="sr-Cyrl-RS"/>
              </w:rPr>
              <w:t>x</w:t>
            </w:r>
          </w:p>
        </w:tc>
        <w:tc>
          <w:tcPr>
            <w:tcW w:w="831" w:type="dxa"/>
            <w:shd w:val="clear" w:color="auto" w:fill="auto"/>
            <w:vAlign w:val="center"/>
          </w:tcPr>
          <w:p w14:paraId="3AF7016B" w14:textId="77777777" w:rsidR="00D86A7B" w:rsidRPr="00CF77C1" w:rsidRDefault="00D86A7B" w:rsidP="00D86A7B">
            <w:pPr>
              <w:keepNext/>
              <w:keepLines/>
              <w:jc w:val="center"/>
              <w:rPr>
                <w:lang w:val="sr-Cyrl-RS"/>
              </w:rPr>
            </w:pPr>
            <w:r w:rsidRPr="00CF77C1">
              <w:rPr>
                <w:lang w:val="sr-Cyrl-RS"/>
              </w:rPr>
              <w:t>x</w:t>
            </w:r>
          </w:p>
        </w:tc>
        <w:tc>
          <w:tcPr>
            <w:tcW w:w="830" w:type="dxa"/>
            <w:shd w:val="clear" w:color="auto" w:fill="auto"/>
            <w:vAlign w:val="center"/>
          </w:tcPr>
          <w:p w14:paraId="30FE3F56" w14:textId="77777777" w:rsidR="00D86A7B" w:rsidRPr="00CF77C1" w:rsidRDefault="00D86A7B" w:rsidP="00D86A7B">
            <w:pPr>
              <w:keepNext/>
              <w:keepLines/>
              <w:jc w:val="center"/>
              <w:rPr>
                <w:lang w:val="sr-Cyrl-RS"/>
              </w:rPr>
            </w:pPr>
          </w:p>
        </w:tc>
        <w:tc>
          <w:tcPr>
            <w:tcW w:w="830" w:type="dxa"/>
            <w:shd w:val="clear" w:color="auto" w:fill="auto"/>
            <w:vAlign w:val="center"/>
          </w:tcPr>
          <w:p w14:paraId="24D09B70" w14:textId="77777777" w:rsidR="00D86A7B" w:rsidRPr="00CF77C1" w:rsidRDefault="00D86A7B" w:rsidP="00D86A7B">
            <w:pPr>
              <w:keepNext/>
              <w:keepLines/>
              <w:jc w:val="center"/>
              <w:rPr>
                <w:lang w:val="sr-Cyrl-RS"/>
              </w:rPr>
            </w:pPr>
          </w:p>
        </w:tc>
        <w:tc>
          <w:tcPr>
            <w:tcW w:w="831" w:type="dxa"/>
            <w:shd w:val="clear" w:color="auto" w:fill="auto"/>
            <w:vAlign w:val="center"/>
          </w:tcPr>
          <w:p w14:paraId="71E7DF51" w14:textId="77777777" w:rsidR="00D86A7B" w:rsidRPr="00CF77C1" w:rsidRDefault="00D86A7B" w:rsidP="00D86A7B">
            <w:pPr>
              <w:keepNext/>
              <w:keepLines/>
              <w:jc w:val="center"/>
              <w:rPr>
                <w:lang w:val="sr-Cyrl-RS"/>
              </w:rPr>
            </w:pPr>
          </w:p>
        </w:tc>
      </w:tr>
      <w:tr w:rsidR="00D86A7B" w:rsidRPr="00CF77C1" w14:paraId="04781B66" w14:textId="77777777" w:rsidTr="00F10D3F">
        <w:tc>
          <w:tcPr>
            <w:tcW w:w="5920" w:type="dxa"/>
            <w:shd w:val="clear" w:color="auto" w:fill="auto"/>
            <w:vAlign w:val="center"/>
          </w:tcPr>
          <w:p w14:paraId="2C245784" w14:textId="77777777" w:rsidR="00D86A7B" w:rsidRPr="00CF77C1" w:rsidRDefault="00D86A7B" w:rsidP="00F10D3F">
            <w:pPr>
              <w:jc w:val="left"/>
              <w:rPr>
                <w:lang w:val="sr-Cyrl-RS"/>
              </w:rPr>
            </w:pPr>
            <w:r w:rsidRPr="00CF77C1">
              <w:rPr>
                <w:lang w:val="sr-Cyrl-RS"/>
              </w:rPr>
              <w:t>Улазак у погон</w:t>
            </w:r>
          </w:p>
        </w:tc>
        <w:tc>
          <w:tcPr>
            <w:tcW w:w="2835" w:type="dxa"/>
            <w:vMerge/>
            <w:shd w:val="clear" w:color="auto" w:fill="auto"/>
          </w:tcPr>
          <w:p w14:paraId="093E29D7" w14:textId="77777777" w:rsidR="00D86A7B" w:rsidRPr="00CF77C1" w:rsidRDefault="00D86A7B" w:rsidP="00F10D3F">
            <w:pPr>
              <w:spacing w:before="20" w:after="20"/>
              <w:rPr>
                <w:lang w:val="sr-Cyrl-RS"/>
              </w:rPr>
            </w:pPr>
          </w:p>
        </w:tc>
        <w:tc>
          <w:tcPr>
            <w:tcW w:w="830" w:type="dxa"/>
            <w:shd w:val="clear" w:color="auto" w:fill="auto"/>
            <w:vAlign w:val="center"/>
          </w:tcPr>
          <w:p w14:paraId="30D7CA23" w14:textId="77777777" w:rsidR="00D86A7B" w:rsidRPr="00CF77C1" w:rsidRDefault="00D86A7B" w:rsidP="00F10D3F">
            <w:pPr>
              <w:spacing w:before="20" w:after="20"/>
              <w:jc w:val="center"/>
              <w:rPr>
                <w:lang w:val="sr-Cyrl-RS"/>
              </w:rPr>
            </w:pPr>
          </w:p>
        </w:tc>
        <w:tc>
          <w:tcPr>
            <w:tcW w:w="830" w:type="dxa"/>
            <w:shd w:val="clear" w:color="auto" w:fill="auto"/>
            <w:vAlign w:val="center"/>
          </w:tcPr>
          <w:p w14:paraId="617280EC" w14:textId="77777777" w:rsidR="00D86A7B" w:rsidRPr="00CF77C1" w:rsidRDefault="00D86A7B" w:rsidP="00F10D3F">
            <w:pPr>
              <w:jc w:val="center"/>
              <w:rPr>
                <w:lang w:val="sr-Cyrl-RS"/>
              </w:rPr>
            </w:pPr>
          </w:p>
        </w:tc>
        <w:tc>
          <w:tcPr>
            <w:tcW w:w="830" w:type="dxa"/>
            <w:shd w:val="clear" w:color="auto" w:fill="auto"/>
            <w:vAlign w:val="center"/>
          </w:tcPr>
          <w:p w14:paraId="00C8C045" w14:textId="77777777" w:rsidR="00D86A7B" w:rsidRPr="00CF77C1" w:rsidRDefault="00D86A7B" w:rsidP="00F10D3F">
            <w:pPr>
              <w:jc w:val="center"/>
              <w:rPr>
                <w:lang w:val="sr-Cyrl-RS"/>
              </w:rPr>
            </w:pPr>
          </w:p>
        </w:tc>
        <w:tc>
          <w:tcPr>
            <w:tcW w:w="831" w:type="dxa"/>
            <w:shd w:val="clear" w:color="auto" w:fill="auto"/>
            <w:vAlign w:val="center"/>
          </w:tcPr>
          <w:p w14:paraId="3084C513" w14:textId="77777777" w:rsidR="00D86A7B" w:rsidRPr="00CF77C1" w:rsidRDefault="00D86A7B" w:rsidP="00F10D3F">
            <w:pPr>
              <w:jc w:val="center"/>
              <w:rPr>
                <w:lang w:val="sr-Cyrl-RS"/>
              </w:rPr>
            </w:pPr>
            <w:r w:rsidRPr="00CF77C1">
              <w:rPr>
                <w:lang w:val="sr-Cyrl-RS"/>
              </w:rPr>
              <w:t>x</w:t>
            </w:r>
          </w:p>
        </w:tc>
        <w:tc>
          <w:tcPr>
            <w:tcW w:w="830" w:type="dxa"/>
            <w:shd w:val="clear" w:color="auto" w:fill="auto"/>
            <w:vAlign w:val="center"/>
          </w:tcPr>
          <w:p w14:paraId="7089319B" w14:textId="77777777" w:rsidR="00D86A7B" w:rsidRPr="00CF77C1" w:rsidRDefault="00D86A7B" w:rsidP="00F10D3F">
            <w:pPr>
              <w:jc w:val="center"/>
              <w:rPr>
                <w:lang w:val="sr-Cyrl-RS"/>
              </w:rPr>
            </w:pPr>
          </w:p>
        </w:tc>
        <w:tc>
          <w:tcPr>
            <w:tcW w:w="830" w:type="dxa"/>
            <w:shd w:val="clear" w:color="auto" w:fill="auto"/>
            <w:vAlign w:val="center"/>
          </w:tcPr>
          <w:p w14:paraId="5A410C7E" w14:textId="77777777" w:rsidR="00D86A7B" w:rsidRPr="00CF77C1" w:rsidRDefault="00D86A7B" w:rsidP="00F10D3F">
            <w:pPr>
              <w:jc w:val="center"/>
              <w:rPr>
                <w:lang w:val="sr-Cyrl-RS"/>
              </w:rPr>
            </w:pPr>
          </w:p>
        </w:tc>
        <w:tc>
          <w:tcPr>
            <w:tcW w:w="831" w:type="dxa"/>
            <w:shd w:val="clear" w:color="auto" w:fill="auto"/>
            <w:vAlign w:val="center"/>
          </w:tcPr>
          <w:p w14:paraId="0C8925B4" w14:textId="77777777" w:rsidR="00D86A7B" w:rsidRPr="00CF77C1" w:rsidRDefault="00D86A7B" w:rsidP="00F10D3F">
            <w:pPr>
              <w:jc w:val="center"/>
              <w:rPr>
                <w:lang w:val="sr-Cyrl-RS"/>
              </w:rPr>
            </w:pPr>
          </w:p>
        </w:tc>
      </w:tr>
      <w:tr w:rsidR="00D86A7B" w:rsidRPr="00CF77C1" w14:paraId="39C7700C" w14:textId="77777777" w:rsidTr="00F10D3F">
        <w:trPr>
          <w:trHeight w:val="2664"/>
        </w:trPr>
        <w:tc>
          <w:tcPr>
            <w:tcW w:w="5920" w:type="dxa"/>
            <w:tcBorders>
              <w:top w:val="single" w:sz="4" w:space="0" w:color="auto"/>
              <w:left w:val="single" w:sz="4" w:space="0" w:color="auto"/>
              <w:right w:val="single" w:sz="4" w:space="0" w:color="auto"/>
            </w:tcBorders>
            <w:shd w:val="clear" w:color="auto" w:fill="auto"/>
            <w:vAlign w:val="center"/>
          </w:tcPr>
          <w:p w14:paraId="0EBFC397" w14:textId="6FC2EEF6" w:rsidR="00D86A7B" w:rsidRPr="00CF77C1" w:rsidRDefault="00D86A7B" w:rsidP="00F10D3F">
            <w:pPr>
              <w:keepNext/>
              <w:keepLines/>
              <w:jc w:val="left"/>
              <w:rPr>
                <w:lang w:val="sr-Cyrl-RS"/>
              </w:rPr>
            </w:pPr>
            <w:r w:rsidRPr="00CF77C1">
              <w:rPr>
                <w:lang w:val="sr-Cyrl-RS"/>
              </w:rPr>
              <w:t>Пројекат: Изградња но</w:t>
            </w:r>
            <w:r w:rsidR="008A4DFD">
              <w:rPr>
                <w:lang w:val="sr-Cyrl-RS"/>
              </w:rPr>
              <w:t>вих топлотних извора, гашење до</w:t>
            </w:r>
            <w:r w:rsidRPr="00CF77C1">
              <w:rPr>
                <w:lang w:val="sr-Cyrl-RS"/>
              </w:rPr>
              <w:t>трајалих и неусловних котларница, конверзија горива, прелазак на коришћење ОИЕ, уградња екстерних економајзера на димни тракт ради искоришћења отпадне топлоте димног гаса, унапређење система за аутоматску контролу топлотних извора, CHP постројење.</w:t>
            </w:r>
          </w:p>
          <w:p w14:paraId="6DBF3FC9" w14:textId="2C9F219F" w:rsidR="00D86A7B" w:rsidRPr="00CF77C1" w:rsidRDefault="00D86A7B" w:rsidP="00F10D3F">
            <w:pPr>
              <w:keepNext/>
              <w:keepLines/>
              <w:jc w:val="left"/>
              <w:rPr>
                <w:lang w:val="sr-Cyrl-RS"/>
              </w:rPr>
            </w:pPr>
            <w:r w:rsidRPr="00CF77C1">
              <w:rPr>
                <w:lang w:val="sr-Cyrl-RS"/>
              </w:rPr>
              <w:t xml:space="preserve">Пројекти обухватају 28 топлана у 28 градова и општина </w:t>
            </w:r>
            <w:r w:rsidR="00EC16A1" w:rsidRPr="00CF77C1">
              <w:rPr>
                <w:lang w:val="sr-Cyrl-RS"/>
              </w:rPr>
              <w:t xml:space="preserve">Републике </w:t>
            </w:r>
            <w:r w:rsidRPr="00CF77C1">
              <w:rPr>
                <w:lang w:val="sr-Cyrl-RS"/>
              </w:rPr>
              <w:t>Србије.</w:t>
            </w:r>
          </w:p>
        </w:tc>
        <w:tc>
          <w:tcPr>
            <w:tcW w:w="2835" w:type="dxa"/>
            <w:vMerge w:val="restart"/>
            <w:shd w:val="clear" w:color="auto" w:fill="auto"/>
            <w:vAlign w:val="center"/>
          </w:tcPr>
          <w:p w14:paraId="5CFEEA3E" w14:textId="77777777" w:rsidR="00D86A7B" w:rsidRPr="00CF77C1" w:rsidRDefault="00D86A7B" w:rsidP="00F10D3F">
            <w:pPr>
              <w:keepNext/>
              <w:keepLines/>
              <w:jc w:val="center"/>
              <w:rPr>
                <w:lang w:val="sr-Cyrl-RS"/>
              </w:rPr>
            </w:pPr>
            <w:r w:rsidRPr="00CF77C1">
              <w:rPr>
                <w:lang w:val="sr-Cyrl-RS"/>
              </w:rPr>
              <w:t>Одговорна институција</w:t>
            </w:r>
          </w:p>
          <w:p w14:paraId="3A6D3FD7" w14:textId="77777777" w:rsidR="00D86A7B" w:rsidRPr="00CF77C1" w:rsidRDefault="00D86A7B" w:rsidP="00F10D3F">
            <w:pPr>
              <w:keepNext/>
              <w:keepLines/>
              <w:jc w:val="center"/>
              <w:rPr>
                <w:lang w:val="sr-Cyrl-RS"/>
              </w:rPr>
            </w:pPr>
            <w:r w:rsidRPr="00CF77C1">
              <w:rPr>
                <w:lang w:val="sr-Cyrl-RS"/>
              </w:rPr>
              <w:t>Појединачне топлане у којима се спроводи пројекат</w:t>
            </w:r>
          </w:p>
        </w:tc>
        <w:tc>
          <w:tcPr>
            <w:tcW w:w="830" w:type="dxa"/>
            <w:tcBorders>
              <w:top w:val="single" w:sz="4" w:space="0" w:color="auto"/>
              <w:left w:val="single" w:sz="4" w:space="0" w:color="auto"/>
              <w:right w:val="single" w:sz="4" w:space="0" w:color="auto"/>
            </w:tcBorders>
            <w:shd w:val="clear" w:color="auto" w:fill="auto"/>
            <w:vAlign w:val="center"/>
          </w:tcPr>
          <w:p w14:paraId="0C36E37D" w14:textId="77777777" w:rsidR="00D86A7B" w:rsidRPr="00CF77C1" w:rsidRDefault="00D86A7B" w:rsidP="00F10D3F">
            <w:pPr>
              <w:keepNext/>
              <w:keepLines/>
              <w:spacing w:before="20" w:after="20"/>
              <w:jc w:val="left"/>
              <w:rPr>
                <w:lang w:val="sr-Cyrl-RS" w:eastAsia="x-none"/>
              </w:rPr>
            </w:pPr>
            <w:r w:rsidRPr="00CF77C1">
              <w:rPr>
                <w:lang w:val="sr-Cyrl-RS" w:eastAsia="x-none"/>
              </w:rPr>
              <w:t>2017.</w:t>
            </w:r>
          </w:p>
        </w:tc>
        <w:tc>
          <w:tcPr>
            <w:tcW w:w="830" w:type="dxa"/>
            <w:tcBorders>
              <w:top w:val="single" w:sz="4" w:space="0" w:color="auto"/>
              <w:left w:val="single" w:sz="4" w:space="0" w:color="auto"/>
              <w:right w:val="single" w:sz="4" w:space="0" w:color="auto"/>
            </w:tcBorders>
            <w:shd w:val="clear" w:color="auto" w:fill="auto"/>
            <w:vAlign w:val="center"/>
          </w:tcPr>
          <w:p w14:paraId="30C1F7B8" w14:textId="77777777" w:rsidR="00D86A7B" w:rsidRPr="00CF77C1" w:rsidRDefault="00D86A7B" w:rsidP="00F10D3F">
            <w:pPr>
              <w:keepNext/>
              <w:keepLines/>
              <w:spacing w:before="20" w:after="20"/>
              <w:jc w:val="center"/>
              <w:rPr>
                <w:lang w:val="sr-Cyrl-RS"/>
              </w:rPr>
            </w:pPr>
            <w:r w:rsidRPr="00CF77C1">
              <w:rPr>
                <w:lang w:val="sr-Cyrl-RS"/>
              </w:rPr>
              <w:t>2018.</w:t>
            </w:r>
          </w:p>
        </w:tc>
        <w:tc>
          <w:tcPr>
            <w:tcW w:w="830" w:type="dxa"/>
            <w:tcBorders>
              <w:top w:val="single" w:sz="4" w:space="0" w:color="auto"/>
              <w:left w:val="single" w:sz="4" w:space="0" w:color="auto"/>
              <w:right w:val="single" w:sz="4" w:space="0" w:color="auto"/>
            </w:tcBorders>
            <w:shd w:val="clear" w:color="auto" w:fill="auto"/>
            <w:vAlign w:val="center"/>
          </w:tcPr>
          <w:p w14:paraId="1C49285C" w14:textId="77777777" w:rsidR="00D86A7B" w:rsidRPr="00CF77C1" w:rsidRDefault="00D86A7B" w:rsidP="00F10D3F">
            <w:pPr>
              <w:keepNext/>
              <w:keepLines/>
              <w:spacing w:before="20" w:after="20"/>
              <w:jc w:val="center"/>
              <w:rPr>
                <w:lang w:val="sr-Cyrl-RS"/>
              </w:rPr>
            </w:pPr>
            <w:r w:rsidRPr="00CF77C1">
              <w:rPr>
                <w:lang w:val="sr-Cyrl-RS"/>
              </w:rPr>
              <w:t>2019.</w:t>
            </w:r>
          </w:p>
        </w:tc>
        <w:tc>
          <w:tcPr>
            <w:tcW w:w="831" w:type="dxa"/>
            <w:tcBorders>
              <w:top w:val="single" w:sz="4" w:space="0" w:color="auto"/>
              <w:left w:val="single" w:sz="4" w:space="0" w:color="auto"/>
              <w:right w:val="single" w:sz="4" w:space="0" w:color="auto"/>
            </w:tcBorders>
            <w:shd w:val="clear" w:color="auto" w:fill="auto"/>
            <w:vAlign w:val="center"/>
          </w:tcPr>
          <w:p w14:paraId="3D9E1515" w14:textId="77777777" w:rsidR="00D86A7B" w:rsidRPr="00CF77C1" w:rsidRDefault="00D86A7B" w:rsidP="00F10D3F">
            <w:pPr>
              <w:keepNext/>
              <w:keepLines/>
              <w:spacing w:before="20" w:after="20"/>
              <w:jc w:val="center"/>
              <w:rPr>
                <w:lang w:val="sr-Cyrl-RS"/>
              </w:rPr>
            </w:pPr>
            <w:r w:rsidRPr="00CF77C1">
              <w:rPr>
                <w:lang w:val="sr-Cyrl-RS"/>
              </w:rPr>
              <w:t>2020.</w:t>
            </w:r>
          </w:p>
        </w:tc>
        <w:tc>
          <w:tcPr>
            <w:tcW w:w="830" w:type="dxa"/>
            <w:tcBorders>
              <w:top w:val="single" w:sz="4" w:space="0" w:color="auto"/>
              <w:left w:val="single" w:sz="4" w:space="0" w:color="auto"/>
              <w:right w:val="single" w:sz="4" w:space="0" w:color="auto"/>
            </w:tcBorders>
            <w:shd w:val="clear" w:color="auto" w:fill="auto"/>
            <w:vAlign w:val="center"/>
          </w:tcPr>
          <w:p w14:paraId="749BA14A" w14:textId="77777777" w:rsidR="00D86A7B" w:rsidRPr="00CF77C1" w:rsidRDefault="00D86A7B" w:rsidP="00F10D3F">
            <w:pPr>
              <w:keepNext/>
              <w:keepLines/>
              <w:spacing w:before="20" w:after="20"/>
              <w:jc w:val="center"/>
              <w:rPr>
                <w:lang w:val="sr-Cyrl-RS"/>
              </w:rPr>
            </w:pPr>
            <w:r w:rsidRPr="00CF77C1">
              <w:rPr>
                <w:lang w:val="sr-Cyrl-RS"/>
              </w:rPr>
              <w:t>2021.</w:t>
            </w:r>
          </w:p>
        </w:tc>
        <w:tc>
          <w:tcPr>
            <w:tcW w:w="830" w:type="dxa"/>
            <w:tcBorders>
              <w:top w:val="single" w:sz="4" w:space="0" w:color="auto"/>
              <w:left w:val="single" w:sz="4" w:space="0" w:color="auto"/>
              <w:right w:val="single" w:sz="4" w:space="0" w:color="auto"/>
            </w:tcBorders>
            <w:shd w:val="clear" w:color="auto" w:fill="auto"/>
            <w:vAlign w:val="center"/>
          </w:tcPr>
          <w:p w14:paraId="11878BD9" w14:textId="77777777" w:rsidR="00D86A7B" w:rsidRPr="00CF77C1" w:rsidRDefault="00D86A7B" w:rsidP="00F10D3F">
            <w:pPr>
              <w:keepNext/>
              <w:keepLines/>
              <w:spacing w:before="20" w:after="20"/>
              <w:jc w:val="center"/>
              <w:rPr>
                <w:lang w:val="sr-Cyrl-RS"/>
              </w:rPr>
            </w:pPr>
            <w:r w:rsidRPr="00CF77C1">
              <w:rPr>
                <w:lang w:val="sr-Cyrl-RS"/>
              </w:rPr>
              <w:t>2022.</w:t>
            </w:r>
          </w:p>
        </w:tc>
        <w:tc>
          <w:tcPr>
            <w:tcW w:w="831" w:type="dxa"/>
            <w:tcBorders>
              <w:top w:val="single" w:sz="4" w:space="0" w:color="auto"/>
              <w:left w:val="single" w:sz="4" w:space="0" w:color="auto"/>
              <w:right w:val="single" w:sz="4" w:space="0" w:color="auto"/>
            </w:tcBorders>
            <w:shd w:val="clear" w:color="auto" w:fill="auto"/>
            <w:vAlign w:val="center"/>
          </w:tcPr>
          <w:p w14:paraId="180CAFF8" w14:textId="77777777" w:rsidR="00D86A7B" w:rsidRPr="00CF77C1" w:rsidRDefault="00D86A7B" w:rsidP="00F10D3F">
            <w:pPr>
              <w:keepNext/>
              <w:keepLines/>
              <w:spacing w:before="20" w:after="20"/>
              <w:jc w:val="center"/>
              <w:rPr>
                <w:lang w:val="sr-Cyrl-RS"/>
              </w:rPr>
            </w:pPr>
            <w:r w:rsidRPr="00CF77C1">
              <w:rPr>
                <w:lang w:val="sr-Cyrl-RS"/>
              </w:rPr>
              <w:t>2023.</w:t>
            </w:r>
          </w:p>
        </w:tc>
      </w:tr>
      <w:tr w:rsidR="00D86A7B" w:rsidRPr="00CF77C1" w14:paraId="082C3E16"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3322439E" w14:textId="77777777" w:rsidR="00D86A7B" w:rsidRPr="00CF77C1" w:rsidRDefault="00D86A7B" w:rsidP="00F10D3F">
            <w:pPr>
              <w:keepNext/>
              <w:keepLines/>
              <w:jc w:val="left"/>
              <w:rPr>
                <w:lang w:val="sr-Cyrl-RS"/>
              </w:rPr>
            </w:pPr>
            <w:r w:rsidRPr="00CF77C1">
              <w:rPr>
                <w:lang w:val="sr-Cyrl-RS"/>
              </w:rPr>
              <w:t>Организациони и послови руковођења пројектом</w:t>
            </w:r>
          </w:p>
        </w:tc>
        <w:tc>
          <w:tcPr>
            <w:tcW w:w="2835" w:type="dxa"/>
            <w:vMerge/>
            <w:shd w:val="clear" w:color="auto" w:fill="auto"/>
          </w:tcPr>
          <w:p w14:paraId="4488D446" w14:textId="73851AA2" w:rsidR="00D86A7B" w:rsidRPr="00CF77C1" w:rsidRDefault="00D86A7B" w:rsidP="00F10D3F">
            <w:pPr>
              <w:keepNext/>
              <w:keepLines/>
              <w:spacing w:before="20" w:after="20"/>
              <w:jc w:val="left"/>
              <w:rPr>
                <w:lang w:val="sr-Cyrl-RS"/>
              </w:rPr>
            </w:pPr>
            <w:r w:rsidRPr="00CF77C1">
              <w:rPr>
                <w:lang w:val="sr-Cyrl-RS" w:eastAsia="x-none"/>
              </w:rPr>
              <w:t xml:space="preserve">ЈКП Београдске електране, </w:t>
            </w:r>
            <w:r w:rsidR="006C6D04" w:rsidRPr="00CF77C1">
              <w:rPr>
                <w:lang w:val="sr-Cyrl-RS" w:eastAsia="x-none"/>
              </w:rPr>
              <w:t>ЕПС</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0444D08"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74C104F"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C1A8FD2"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20C656C"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09BBD12"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1B13767"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6A7386A" w14:textId="77777777" w:rsidR="00D86A7B" w:rsidRPr="00CF77C1" w:rsidRDefault="00D86A7B" w:rsidP="00F10D3F">
            <w:pPr>
              <w:keepNext/>
              <w:keepLines/>
              <w:spacing w:before="20" w:after="20"/>
              <w:jc w:val="center"/>
              <w:rPr>
                <w:lang w:val="sr-Cyrl-RS"/>
              </w:rPr>
            </w:pPr>
          </w:p>
        </w:tc>
      </w:tr>
      <w:tr w:rsidR="00D86A7B" w:rsidRPr="00CF77C1" w14:paraId="0C98C6C4"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245683F9" w14:textId="77777777" w:rsidR="00D86A7B" w:rsidRPr="00CF77C1" w:rsidRDefault="00D86A7B" w:rsidP="00F10D3F">
            <w:pPr>
              <w:keepNext/>
              <w:keepLines/>
              <w:jc w:val="left"/>
              <w:rPr>
                <w:lang w:val="sr-Cyrl-RS"/>
              </w:rPr>
            </w:pPr>
            <w:r w:rsidRPr="00CF77C1">
              <w:rPr>
                <w:lang w:val="sr-Cyrl-RS"/>
              </w:rPr>
              <w:t>Припрема просторно-планске документације</w:t>
            </w:r>
          </w:p>
        </w:tc>
        <w:tc>
          <w:tcPr>
            <w:tcW w:w="2835" w:type="dxa"/>
            <w:vMerge/>
            <w:shd w:val="clear" w:color="auto" w:fill="auto"/>
          </w:tcPr>
          <w:p w14:paraId="2611A0DB" w14:textId="77777777" w:rsidR="00D86A7B" w:rsidRPr="00CF77C1" w:rsidRDefault="00D86A7B" w:rsidP="00F10D3F">
            <w:pPr>
              <w:keepNext/>
              <w:keepLines/>
              <w:spacing w:before="20" w:after="20"/>
              <w:jc w:val="left"/>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D54AA48"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41552E4"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119BA49"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30C6AF9"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E708DE0"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EFFA5CA"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08800F0" w14:textId="77777777" w:rsidR="00D86A7B" w:rsidRPr="00CF77C1" w:rsidRDefault="00D86A7B" w:rsidP="00F10D3F">
            <w:pPr>
              <w:keepNext/>
              <w:keepLines/>
              <w:spacing w:before="20" w:after="20"/>
              <w:jc w:val="center"/>
              <w:rPr>
                <w:lang w:val="sr-Cyrl-RS"/>
              </w:rPr>
            </w:pPr>
          </w:p>
        </w:tc>
      </w:tr>
      <w:tr w:rsidR="00D86A7B" w:rsidRPr="00CF77C1" w14:paraId="386820DF"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5C0DFCEE" w14:textId="77777777" w:rsidR="00D86A7B" w:rsidRPr="00CF77C1" w:rsidRDefault="00D86A7B" w:rsidP="00F10D3F">
            <w:pPr>
              <w:keepNext/>
              <w:keepLines/>
              <w:jc w:val="left"/>
              <w:rPr>
                <w:lang w:val="sr-Cyrl-RS"/>
              </w:rPr>
            </w:pPr>
            <w:r w:rsidRPr="00CF77C1">
              <w:rPr>
                <w:lang w:val="sr-Cyrl-RS"/>
              </w:rPr>
              <w:t>Припрема техничке документације</w:t>
            </w:r>
          </w:p>
        </w:tc>
        <w:tc>
          <w:tcPr>
            <w:tcW w:w="2835" w:type="dxa"/>
            <w:vMerge/>
            <w:shd w:val="clear" w:color="auto" w:fill="auto"/>
          </w:tcPr>
          <w:p w14:paraId="1FAD2B5A" w14:textId="77777777" w:rsidR="00D86A7B" w:rsidRPr="00CF77C1" w:rsidRDefault="00D86A7B" w:rsidP="00F10D3F">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164DCF5"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57D84DD"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B5ECE4D"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F1D4CC4"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216F185"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53C2786"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FC51FF7" w14:textId="77777777" w:rsidR="00D86A7B" w:rsidRPr="00CF77C1" w:rsidRDefault="00D86A7B" w:rsidP="00F10D3F">
            <w:pPr>
              <w:keepNext/>
              <w:keepLines/>
              <w:spacing w:before="20" w:after="20"/>
              <w:jc w:val="center"/>
              <w:rPr>
                <w:lang w:val="sr-Cyrl-RS"/>
              </w:rPr>
            </w:pPr>
          </w:p>
        </w:tc>
      </w:tr>
      <w:tr w:rsidR="00D86A7B" w:rsidRPr="00CF77C1" w14:paraId="27C3809E"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0DC1D232" w14:textId="77777777" w:rsidR="00D86A7B" w:rsidRPr="00CF77C1" w:rsidRDefault="00D86A7B" w:rsidP="00F10D3F">
            <w:pPr>
              <w:keepNext/>
              <w:keepLines/>
              <w:jc w:val="left"/>
              <w:rPr>
                <w:lang w:val="sr-Cyrl-RS"/>
              </w:rPr>
            </w:pPr>
            <w:r w:rsidRPr="00CF77C1">
              <w:rPr>
                <w:lang w:val="sr-Cyrl-RS"/>
              </w:rPr>
              <w:t>Дозволе</w:t>
            </w:r>
          </w:p>
        </w:tc>
        <w:tc>
          <w:tcPr>
            <w:tcW w:w="2835" w:type="dxa"/>
            <w:vMerge/>
            <w:shd w:val="clear" w:color="auto" w:fill="auto"/>
          </w:tcPr>
          <w:p w14:paraId="5FA99111" w14:textId="77777777" w:rsidR="00D86A7B" w:rsidRPr="00CF77C1" w:rsidRDefault="00D86A7B" w:rsidP="00F10D3F">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72F2F44"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835015F"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4825FCB"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8A1D71E"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3C69B12"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5380770"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1821DF0" w14:textId="77777777" w:rsidR="00D86A7B" w:rsidRPr="00CF77C1" w:rsidRDefault="00D86A7B" w:rsidP="00F10D3F">
            <w:pPr>
              <w:keepNext/>
              <w:keepLines/>
              <w:spacing w:before="20" w:after="20"/>
              <w:jc w:val="center"/>
              <w:rPr>
                <w:lang w:val="sr-Cyrl-RS"/>
              </w:rPr>
            </w:pPr>
          </w:p>
        </w:tc>
      </w:tr>
      <w:tr w:rsidR="00D86A7B" w:rsidRPr="00CF77C1" w14:paraId="2E785AF9"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1229EDC4" w14:textId="77777777" w:rsidR="00D86A7B" w:rsidRPr="00CF77C1" w:rsidRDefault="00D86A7B" w:rsidP="00F10D3F">
            <w:pPr>
              <w:keepNext/>
              <w:keepLines/>
              <w:jc w:val="left"/>
              <w:rPr>
                <w:lang w:val="sr-Cyrl-RS"/>
              </w:rPr>
            </w:pPr>
            <w:r w:rsidRPr="00CF77C1">
              <w:rPr>
                <w:lang w:val="sr-Cyrl-RS"/>
              </w:rPr>
              <w:t>Реализација градње</w:t>
            </w:r>
          </w:p>
        </w:tc>
        <w:tc>
          <w:tcPr>
            <w:tcW w:w="2835" w:type="dxa"/>
            <w:vMerge/>
            <w:shd w:val="clear" w:color="auto" w:fill="auto"/>
          </w:tcPr>
          <w:p w14:paraId="6D932CCD" w14:textId="77777777" w:rsidR="00D86A7B" w:rsidRPr="00CF77C1" w:rsidRDefault="00D86A7B" w:rsidP="00F10D3F">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22AA1F1"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89382EC"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E1298E9"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A81022E"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23D68E5"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8EDC5ED"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4CED970" w14:textId="77777777" w:rsidR="00D86A7B" w:rsidRPr="00CF77C1" w:rsidRDefault="00D86A7B" w:rsidP="00F10D3F">
            <w:pPr>
              <w:keepNext/>
              <w:keepLines/>
              <w:spacing w:before="20" w:after="20"/>
              <w:jc w:val="center"/>
              <w:rPr>
                <w:lang w:val="sr-Cyrl-RS"/>
              </w:rPr>
            </w:pPr>
            <w:r w:rsidRPr="00CF77C1">
              <w:rPr>
                <w:lang w:val="sr-Cyrl-RS"/>
              </w:rPr>
              <w:t>x</w:t>
            </w:r>
          </w:p>
        </w:tc>
      </w:tr>
      <w:tr w:rsidR="00D86A7B" w:rsidRPr="00CF77C1" w14:paraId="299C9281"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5A46BD03" w14:textId="77777777" w:rsidR="00D86A7B" w:rsidRPr="00CF77C1" w:rsidRDefault="00D86A7B" w:rsidP="00F10D3F">
            <w:pPr>
              <w:jc w:val="left"/>
              <w:rPr>
                <w:lang w:val="sr-Cyrl-RS"/>
              </w:rPr>
            </w:pPr>
            <w:r w:rsidRPr="00CF77C1">
              <w:rPr>
                <w:lang w:val="sr-Cyrl-RS"/>
              </w:rPr>
              <w:t>Улазак у погон</w:t>
            </w:r>
          </w:p>
        </w:tc>
        <w:tc>
          <w:tcPr>
            <w:tcW w:w="2835" w:type="dxa"/>
            <w:vMerge/>
            <w:shd w:val="clear" w:color="auto" w:fill="auto"/>
          </w:tcPr>
          <w:p w14:paraId="66CE0746" w14:textId="77777777" w:rsidR="00D86A7B" w:rsidRPr="00CF77C1" w:rsidRDefault="00D86A7B" w:rsidP="00F10D3F">
            <w:pPr>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8F9EF3C" w14:textId="77777777" w:rsidR="00D86A7B" w:rsidRPr="00CF77C1" w:rsidRDefault="00D86A7B" w:rsidP="00F10D3F">
            <w:pPr>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75B8C5D" w14:textId="77777777" w:rsidR="00D86A7B" w:rsidRPr="00CF77C1" w:rsidRDefault="00D86A7B" w:rsidP="00F10D3F">
            <w:pPr>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E24B523" w14:textId="77777777" w:rsidR="00D86A7B" w:rsidRPr="00CF77C1" w:rsidRDefault="00D86A7B" w:rsidP="00F10D3F">
            <w:pPr>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145C22D" w14:textId="77777777" w:rsidR="00D86A7B" w:rsidRPr="00CF77C1" w:rsidRDefault="00D86A7B" w:rsidP="00F10D3F">
            <w:pPr>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C37169B" w14:textId="77777777" w:rsidR="00D86A7B" w:rsidRPr="00CF77C1" w:rsidRDefault="00D86A7B" w:rsidP="00F10D3F">
            <w:pPr>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86B257B" w14:textId="77777777" w:rsidR="00D86A7B" w:rsidRPr="00CF77C1" w:rsidRDefault="00D86A7B" w:rsidP="00F10D3F">
            <w:pPr>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189AC1C" w14:textId="77777777" w:rsidR="00D86A7B" w:rsidRPr="00CF77C1" w:rsidRDefault="00D86A7B" w:rsidP="00F10D3F">
            <w:pPr>
              <w:spacing w:before="20" w:after="20"/>
              <w:jc w:val="center"/>
              <w:rPr>
                <w:lang w:val="sr-Cyrl-RS"/>
              </w:rPr>
            </w:pPr>
            <w:r w:rsidRPr="00CF77C1">
              <w:rPr>
                <w:lang w:val="sr-Cyrl-RS"/>
              </w:rPr>
              <w:t>x</w:t>
            </w:r>
          </w:p>
        </w:tc>
      </w:tr>
      <w:tr w:rsidR="00D86A7B" w:rsidRPr="00CF77C1" w14:paraId="7B360DC5"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76AD1AA7" w14:textId="77777777" w:rsidR="00D86A7B" w:rsidRPr="00CF77C1" w:rsidRDefault="00D86A7B" w:rsidP="00F10D3F">
            <w:pPr>
              <w:keepNext/>
              <w:keepLines/>
              <w:jc w:val="left"/>
              <w:rPr>
                <w:lang w:val="sr-Cyrl-RS"/>
              </w:rPr>
            </w:pPr>
            <w:r w:rsidRPr="00CF77C1">
              <w:rPr>
                <w:lang w:val="sr-Cyrl-RS"/>
              </w:rPr>
              <w:t>Пројекат: Рехабилитација мреже даљинског грејања уз замену дотрајалих деоница дистрибутивног топловода, даљи развој мреже ради прикључивања нових крајњих купаца топлотне енергије.</w:t>
            </w:r>
          </w:p>
          <w:p w14:paraId="69E476EB" w14:textId="77777777" w:rsidR="00D86A7B" w:rsidRPr="00CF77C1" w:rsidRDefault="00D86A7B" w:rsidP="00F10D3F">
            <w:pPr>
              <w:keepNext/>
              <w:keepLines/>
              <w:jc w:val="left"/>
              <w:rPr>
                <w:lang w:val="sr-Cyrl-RS"/>
              </w:rPr>
            </w:pPr>
            <w:r w:rsidRPr="00CF77C1">
              <w:rPr>
                <w:lang w:val="sr-Cyrl-RS"/>
              </w:rPr>
              <w:t>Пројекти обухватају 16 топлана</w:t>
            </w:r>
          </w:p>
        </w:tc>
        <w:tc>
          <w:tcPr>
            <w:tcW w:w="2835" w:type="dxa"/>
            <w:vMerge w:val="restart"/>
            <w:shd w:val="clear" w:color="auto" w:fill="auto"/>
            <w:vAlign w:val="center"/>
          </w:tcPr>
          <w:p w14:paraId="7CB3181E" w14:textId="77777777" w:rsidR="00D86A7B" w:rsidRPr="00CF77C1" w:rsidRDefault="00D86A7B" w:rsidP="00F10D3F">
            <w:pPr>
              <w:keepNext/>
              <w:keepLines/>
              <w:jc w:val="center"/>
              <w:rPr>
                <w:lang w:val="sr-Cyrl-RS"/>
              </w:rPr>
            </w:pPr>
            <w:r w:rsidRPr="00CF77C1">
              <w:rPr>
                <w:lang w:val="sr-Cyrl-RS"/>
              </w:rPr>
              <w:t>Одговорна институција</w:t>
            </w:r>
          </w:p>
          <w:p w14:paraId="7DB135AC" w14:textId="77777777" w:rsidR="00D86A7B" w:rsidRPr="00CF77C1" w:rsidRDefault="00D86A7B" w:rsidP="00F10D3F">
            <w:pPr>
              <w:keepNext/>
              <w:keepLines/>
              <w:jc w:val="center"/>
              <w:rPr>
                <w:lang w:val="sr-Cyrl-RS"/>
              </w:rPr>
            </w:pPr>
            <w:r w:rsidRPr="00CF77C1">
              <w:rPr>
                <w:lang w:val="sr-Cyrl-RS"/>
              </w:rPr>
              <w:t>Појединачне топлане у којима се спроводи пројекат</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2651494" w14:textId="77777777" w:rsidR="00D86A7B" w:rsidRPr="00CF77C1" w:rsidRDefault="00D86A7B" w:rsidP="00F10D3F">
            <w:pPr>
              <w:keepNext/>
              <w:keepLines/>
              <w:jc w:val="center"/>
              <w:rPr>
                <w:lang w:val="sr-Cyrl-RS"/>
              </w:rPr>
            </w:pPr>
            <w:r w:rsidRPr="00CF77C1">
              <w:rPr>
                <w:lang w:val="sr-Cyrl-RS"/>
              </w:rPr>
              <w:t>2017.</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AD32671" w14:textId="77777777" w:rsidR="00D86A7B" w:rsidRPr="00CF77C1" w:rsidRDefault="00D86A7B" w:rsidP="00F10D3F">
            <w:pPr>
              <w:keepNext/>
              <w:keepLines/>
              <w:spacing w:before="20" w:after="20"/>
              <w:jc w:val="left"/>
              <w:rPr>
                <w:lang w:val="sr-Cyrl-RS" w:eastAsia="x-none"/>
              </w:rPr>
            </w:pPr>
            <w:r w:rsidRPr="00CF77C1">
              <w:rPr>
                <w:lang w:val="sr-Cyrl-RS" w:eastAsia="x-none"/>
              </w:rPr>
              <w:t>2018.</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1768B21" w14:textId="77777777" w:rsidR="00D86A7B" w:rsidRPr="00CF77C1" w:rsidRDefault="00D86A7B" w:rsidP="00F10D3F">
            <w:pPr>
              <w:keepNext/>
              <w:keepLines/>
              <w:spacing w:before="20" w:after="20"/>
              <w:jc w:val="center"/>
              <w:rPr>
                <w:lang w:val="sr-Cyrl-RS"/>
              </w:rPr>
            </w:pPr>
            <w:r w:rsidRPr="00CF77C1">
              <w:rPr>
                <w:lang w:val="sr-Cyrl-RS"/>
              </w:rPr>
              <w:t>2019.</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BC42ECE" w14:textId="77777777" w:rsidR="00D86A7B" w:rsidRPr="00CF77C1" w:rsidRDefault="00D86A7B" w:rsidP="00F10D3F">
            <w:pPr>
              <w:keepNext/>
              <w:keepLines/>
              <w:spacing w:before="20" w:after="20"/>
              <w:jc w:val="center"/>
              <w:rPr>
                <w:lang w:val="sr-Cyrl-RS"/>
              </w:rPr>
            </w:pPr>
            <w:r w:rsidRPr="00CF77C1">
              <w:rPr>
                <w:lang w:val="sr-Cyrl-RS"/>
              </w:rPr>
              <w:t>2020.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044690F" w14:textId="77777777" w:rsidR="00D86A7B" w:rsidRPr="00CF77C1" w:rsidRDefault="00D86A7B" w:rsidP="00F10D3F">
            <w:pPr>
              <w:keepNext/>
              <w:keepLines/>
              <w:spacing w:before="20" w:after="20"/>
              <w:jc w:val="center"/>
              <w:rPr>
                <w:lang w:val="sr-Cyrl-RS"/>
              </w:rPr>
            </w:pPr>
            <w:r w:rsidRPr="00CF77C1">
              <w:rPr>
                <w:lang w:val="sr-Cyrl-RS"/>
              </w:rPr>
              <w:t>2021.</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B7F1E38" w14:textId="77777777" w:rsidR="00D86A7B" w:rsidRPr="00CF77C1" w:rsidRDefault="00D86A7B" w:rsidP="00F10D3F">
            <w:pPr>
              <w:keepNext/>
              <w:keepLines/>
              <w:spacing w:before="20" w:after="20"/>
              <w:jc w:val="center"/>
              <w:rPr>
                <w:lang w:val="sr-Cyrl-RS"/>
              </w:rPr>
            </w:pPr>
            <w:r w:rsidRPr="00CF77C1">
              <w:rPr>
                <w:lang w:val="sr-Cyrl-RS"/>
              </w:rPr>
              <w:t>2022.</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6B725E8" w14:textId="77777777" w:rsidR="00D86A7B" w:rsidRPr="00CF77C1" w:rsidRDefault="00D86A7B" w:rsidP="00F10D3F">
            <w:pPr>
              <w:keepNext/>
              <w:keepLines/>
              <w:spacing w:before="20" w:after="20"/>
              <w:jc w:val="center"/>
              <w:rPr>
                <w:lang w:val="sr-Cyrl-RS"/>
              </w:rPr>
            </w:pPr>
            <w:r w:rsidRPr="00CF77C1">
              <w:rPr>
                <w:lang w:val="sr-Cyrl-RS"/>
              </w:rPr>
              <w:t>2023.</w:t>
            </w:r>
          </w:p>
        </w:tc>
      </w:tr>
      <w:tr w:rsidR="00D86A7B" w:rsidRPr="00CF77C1" w14:paraId="17F5A972"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63BB2C42" w14:textId="77777777" w:rsidR="00D86A7B" w:rsidRPr="00CF77C1" w:rsidRDefault="00D86A7B" w:rsidP="00F10D3F">
            <w:pPr>
              <w:keepNext/>
              <w:keepLines/>
              <w:jc w:val="left"/>
              <w:rPr>
                <w:lang w:val="sr-Cyrl-RS"/>
              </w:rPr>
            </w:pPr>
            <w:r w:rsidRPr="00CF77C1">
              <w:rPr>
                <w:lang w:val="sr-Cyrl-RS"/>
              </w:rPr>
              <w:t>Организациони и послови руковођења пројектом</w:t>
            </w:r>
          </w:p>
        </w:tc>
        <w:tc>
          <w:tcPr>
            <w:tcW w:w="2835" w:type="dxa"/>
            <w:vMerge/>
            <w:shd w:val="clear" w:color="auto" w:fill="auto"/>
          </w:tcPr>
          <w:p w14:paraId="1E9DDD2F" w14:textId="5B1C9F2F" w:rsidR="00D86A7B" w:rsidRPr="00CF77C1" w:rsidRDefault="00D86A7B" w:rsidP="00F10D3F">
            <w:pPr>
              <w:keepNext/>
              <w:keepLines/>
              <w:spacing w:before="20" w:after="20"/>
              <w:jc w:val="left"/>
              <w:rPr>
                <w:lang w:val="sr-Cyrl-RS"/>
              </w:rPr>
            </w:pPr>
            <w:r w:rsidRPr="00CF77C1">
              <w:rPr>
                <w:lang w:val="sr-Cyrl-RS" w:eastAsia="x-none"/>
              </w:rPr>
              <w:t xml:space="preserve">ЈКП Београдске електране, </w:t>
            </w:r>
            <w:r w:rsidR="006C6D04" w:rsidRPr="00CF77C1">
              <w:rPr>
                <w:lang w:val="sr-Cyrl-RS" w:eastAsia="x-none"/>
              </w:rPr>
              <w:t>ЕПС</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93B1B8F" w14:textId="77777777" w:rsidR="00D86A7B" w:rsidRPr="00CF77C1" w:rsidRDefault="00D86A7B" w:rsidP="00F10D3F">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B9CFB5D"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0640464"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8092F7F"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36FD355"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40B468F"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F9EBE41" w14:textId="77777777" w:rsidR="00D86A7B" w:rsidRPr="00CF77C1" w:rsidRDefault="00D86A7B" w:rsidP="00F10D3F">
            <w:pPr>
              <w:keepNext/>
              <w:keepLines/>
              <w:spacing w:before="20" w:after="20"/>
              <w:jc w:val="center"/>
              <w:rPr>
                <w:lang w:val="sr-Cyrl-RS"/>
              </w:rPr>
            </w:pPr>
          </w:p>
        </w:tc>
      </w:tr>
      <w:tr w:rsidR="00D86A7B" w:rsidRPr="00CF77C1" w14:paraId="0CD4B6AD"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4672281F" w14:textId="77777777" w:rsidR="00D86A7B" w:rsidRPr="00CF77C1" w:rsidRDefault="00D86A7B" w:rsidP="00F10D3F">
            <w:pPr>
              <w:keepNext/>
              <w:keepLines/>
              <w:jc w:val="left"/>
              <w:rPr>
                <w:lang w:val="sr-Cyrl-RS"/>
              </w:rPr>
            </w:pPr>
            <w:r w:rsidRPr="00CF77C1">
              <w:rPr>
                <w:lang w:val="sr-Cyrl-RS"/>
              </w:rPr>
              <w:t>Припрема просторно-планске документације</w:t>
            </w:r>
          </w:p>
        </w:tc>
        <w:tc>
          <w:tcPr>
            <w:tcW w:w="2835" w:type="dxa"/>
            <w:vMerge/>
            <w:shd w:val="clear" w:color="auto" w:fill="auto"/>
          </w:tcPr>
          <w:p w14:paraId="2479FF76" w14:textId="77777777" w:rsidR="00D86A7B" w:rsidRPr="00CF77C1" w:rsidRDefault="00D86A7B" w:rsidP="00F10D3F">
            <w:pPr>
              <w:keepNext/>
              <w:keepLines/>
              <w:spacing w:before="20" w:after="20"/>
              <w:jc w:val="left"/>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74A0F4E" w14:textId="77777777" w:rsidR="00D86A7B" w:rsidRPr="00CF77C1" w:rsidRDefault="00D86A7B" w:rsidP="00F10D3F">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F3A2170"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421BA81"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CFCA13C"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2C24161"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1530420"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8D209F4" w14:textId="77777777" w:rsidR="00D86A7B" w:rsidRPr="00CF77C1" w:rsidRDefault="00D86A7B" w:rsidP="00F10D3F">
            <w:pPr>
              <w:keepNext/>
              <w:keepLines/>
              <w:spacing w:before="20" w:after="20"/>
              <w:jc w:val="center"/>
              <w:rPr>
                <w:lang w:val="sr-Cyrl-RS"/>
              </w:rPr>
            </w:pPr>
          </w:p>
        </w:tc>
      </w:tr>
      <w:tr w:rsidR="00D86A7B" w:rsidRPr="00CF77C1" w14:paraId="53BA6606"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5770C6F0" w14:textId="77777777" w:rsidR="00D86A7B" w:rsidRPr="00CF77C1" w:rsidRDefault="00D86A7B" w:rsidP="00F10D3F">
            <w:pPr>
              <w:keepNext/>
              <w:keepLines/>
              <w:jc w:val="left"/>
              <w:rPr>
                <w:lang w:val="sr-Cyrl-RS"/>
              </w:rPr>
            </w:pPr>
            <w:r w:rsidRPr="00CF77C1">
              <w:rPr>
                <w:lang w:val="sr-Cyrl-RS"/>
              </w:rPr>
              <w:t>Припрема техничке документације</w:t>
            </w:r>
          </w:p>
        </w:tc>
        <w:tc>
          <w:tcPr>
            <w:tcW w:w="2835" w:type="dxa"/>
            <w:vMerge/>
            <w:shd w:val="clear" w:color="auto" w:fill="auto"/>
          </w:tcPr>
          <w:p w14:paraId="1C8CD8F4" w14:textId="77777777" w:rsidR="00D86A7B" w:rsidRPr="00CF77C1" w:rsidRDefault="00D86A7B" w:rsidP="00F10D3F">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26BD477" w14:textId="77777777" w:rsidR="00D86A7B" w:rsidRPr="00CF77C1" w:rsidRDefault="00D86A7B" w:rsidP="00F10D3F">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DC2D28A"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613D4E6"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1DB2A17"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FEA601E"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D76155E"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61EB960" w14:textId="77777777" w:rsidR="00D86A7B" w:rsidRPr="00CF77C1" w:rsidRDefault="00D86A7B" w:rsidP="00F10D3F">
            <w:pPr>
              <w:keepNext/>
              <w:keepLines/>
              <w:spacing w:before="20" w:after="20"/>
              <w:jc w:val="center"/>
              <w:rPr>
                <w:lang w:val="sr-Cyrl-RS"/>
              </w:rPr>
            </w:pPr>
          </w:p>
        </w:tc>
      </w:tr>
      <w:tr w:rsidR="00D86A7B" w:rsidRPr="00CF77C1" w14:paraId="6F694A3F"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30E8DF54" w14:textId="77777777" w:rsidR="00D86A7B" w:rsidRPr="00CF77C1" w:rsidRDefault="00D86A7B" w:rsidP="00F10D3F">
            <w:pPr>
              <w:keepNext/>
              <w:keepLines/>
              <w:jc w:val="left"/>
              <w:rPr>
                <w:lang w:val="sr-Cyrl-RS"/>
              </w:rPr>
            </w:pPr>
            <w:r w:rsidRPr="00CF77C1">
              <w:rPr>
                <w:lang w:val="sr-Cyrl-RS"/>
              </w:rPr>
              <w:t>Дозволе</w:t>
            </w:r>
          </w:p>
        </w:tc>
        <w:tc>
          <w:tcPr>
            <w:tcW w:w="2835" w:type="dxa"/>
            <w:vMerge/>
            <w:shd w:val="clear" w:color="auto" w:fill="auto"/>
          </w:tcPr>
          <w:p w14:paraId="70CC699C" w14:textId="77777777" w:rsidR="00D86A7B" w:rsidRPr="00CF77C1" w:rsidRDefault="00D86A7B" w:rsidP="00F10D3F">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CFC8C8A" w14:textId="77777777" w:rsidR="00D86A7B" w:rsidRPr="00CF77C1" w:rsidRDefault="00D86A7B" w:rsidP="00F10D3F">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FA8888A"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F8ADA17"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CDD9AE4"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C8C0475" w14:textId="77777777" w:rsidR="00D86A7B" w:rsidRPr="00CF77C1" w:rsidRDefault="00D86A7B" w:rsidP="00F10D3F">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293B7FF" w14:textId="77777777" w:rsidR="00D86A7B" w:rsidRPr="00CF77C1" w:rsidRDefault="00D86A7B" w:rsidP="00F10D3F">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8069405" w14:textId="77777777" w:rsidR="00D86A7B" w:rsidRPr="00CF77C1" w:rsidRDefault="00D86A7B" w:rsidP="00F10D3F">
            <w:pPr>
              <w:keepNext/>
              <w:keepLines/>
              <w:spacing w:before="20" w:after="20"/>
              <w:jc w:val="center"/>
              <w:rPr>
                <w:lang w:val="sr-Cyrl-RS"/>
              </w:rPr>
            </w:pPr>
          </w:p>
        </w:tc>
      </w:tr>
      <w:tr w:rsidR="00D86A7B" w:rsidRPr="00CF77C1" w14:paraId="39375627"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35524933" w14:textId="77777777" w:rsidR="00D86A7B" w:rsidRPr="00CF77C1" w:rsidRDefault="00D86A7B" w:rsidP="00F10D3F">
            <w:pPr>
              <w:keepNext/>
              <w:keepLines/>
              <w:jc w:val="left"/>
              <w:rPr>
                <w:lang w:val="sr-Cyrl-RS"/>
              </w:rPr>
            </w:pPr>
            <w:r w:rsidRPr="00CF77C1">
              <w:rPr>
                <w:lang w:val="sr-Cyrl-RS"/>
              </w:rPr>
              <w:t>Реализација градње</w:t>
            </w:r>
          </w:p>
        </w:tc>
        <w:tc>
          <w:tcPr>
            <w:tcW w:w="2835" w:type="dxa"/>
            <w:vMerge/>
            <w:shd w:val="clear" w:color="auto" w:fill="auto"/>
          </w:tcPr>
          <w:p w14:paraId="30CEFC2D" w14:textId="77777777" w:rsidR="00D86A7B" w:rsidRPr="00CF77C1" w:rsidRDefault="00D86A7B" w:rsidP="00F10D3F">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FAD0B3D" w14:textId="77777777" w:rsidR="00D86A7B" w:rsidRPr="00CF77C1" w:rsidRDefault="00D86A7B" w:rsidP="00F10D3F">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C94E22C" w14:textId="77777777" w:rsidR="00D86A7B" w:rsidRPr="00CF77C1" w:rsidRDefault="00D86A7B" w:rsidP="00F10D3F">
            <w:pPr>
              <w:keepNext/>
              <w:keepLines/>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6B5A8F8"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2201D05"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5060416" w14:textId="77777777" w:rsidR="00D86A7B" w:rsidRPr="00CF77C1" w:rsidRDefault="00D86A7B" w:rsidP="00F10D3F">
            <w:pPr>
              <w:keepNext/>
              <w:keepLines/>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2D78D78" w14:textId="77777777" w:rsidR="00D86A7B" w:rsidRPr="00CF77C1" w:rsidRDefault="00D86A7B" w:rsidP="00F10D3F">
            <w:pPr>
              <w:keepNext/>
              <w:keepLines/>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25B0764" w14:textId="77777777" w:rsidR="00D86A7B" w:rsidRPr="00CF77C1" w:rsidRDefault="00D86A7B" w:rsidP="00F10D3F">
            <w:pPr>
              <w:keepNext/>
              <w:keepLines/>
              <w:spacing w:before="20" w:after="20"/>
              <w:jc w:val="center"/>
              <w:rPr>
                <w:lang w:val="sr-Cyrl-RS"/>
              </w:rPr>
            </w:pPr>
            <w:r w:rsidRPr="00CF77C1">
              <w:rPr>
                <w:lang w:val="sr-Cyrl-RS"/>
              </w:rPr>
              <w:t>x</w:t>
            </w:r>
          </w:p>
        </w:tc>
      </w:tr>
      <w:tr w:rsidR="00D86A7B" w:rsidRPr="00CF77C1" w14:paraId="51A1E612"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1AF0F34E" w14:textId="77777777" w:rsidR="00D86A7B" w:rsidRPr="00CF77C1" w:rsidRDefault="00D86A7B" w:rsidP="00F10D3F">
            <w:pPr>
              <w:jc w:val="left"/>
              <w:rPr>
                <w:lang w:val="sr-Cyrl-RS"/>
              </w:rPr>
            </w:pPr>
            <w:r w:rsidRPr="00CF77C1">
              <w:rPr>
                <w:lang w:val="sr-Cyrl-RS"/>
              </w:rPr>
              <w:t>Улазак у погон</w:t>
            </w:r>
          </w:p>
        </w:tc>
        <w:tc>
          <w:tcPr>
            <w:tcW w:w="2835" w:type="dxa"/>
            <w:vMerge/>
            <w:shd w:val="clear" w:color="auto" w:fill="auto"/>
          </w:tcPr>
          <w:p w14:paraId="28B2C8B6" w14:textId="77777777" w:rsidR="00D86A7B" w:rsidRPr="00CF77C1" w:rsidRDefault="00D86A7B" w:rsidP="00F10D3F">
            <w:pPr>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DCAABA1" w14:textId="77777777" w:rsidR="00D86A7B" w:rsidRPr="00CF77C1" w:rsidRDefault="00D86A7B" w:rsidP="00F10D3F">
            <w:pPr>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3274490" w14:textId="77777777" w:rsidR="00D86A7B" w:rsidRPr="00CF77C1" w:rsidRDefault="00D86A7B" w:rsidP="00F10D3F">
            <w:pPr>
              <w:spacing w:before="20" w:after="20"/>
              <w:jc w:val="center"/>
              <w:rPr>
                <w:lang w:val="sr-Cyrl-RS" w:eastAsia="x-none"/>
              </w:rPr>
            </w:pPr>
            <w:r w:rsidRPr="00CF77C1">
              <w:rPr>
                <w:lang w:val="sr-Cyrl-RS" w:eastAsia="x-none"/>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47E1291" w14:textId="77777777" w:rsidR="00D86A7B" w:rsidRPr="00CF77C1" w:rsidRDefault="00D86A7B" w:rsidP="00F10D3F">
            <w:pPr>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39B1EBD" w14:textId="77777777" w:rsidR="00D86A7B" w:rsidRPr="00CF77C1" w:rsidRDefault="00D86A7B" w:rsidP="00F10D3F">
            <w:pPr>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0F71F3E" w14:textId="77777777" w:rsidR="00D86A7B" w:rsidRPr="00CF77C1" w:rsidRDefault="00D86A7B" w:rsidP="00F10D3F">
            <w:pPr>
              <w:spacing w:before="20" w:after="20"/>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3763430" w14:textId="77777777" w:rsidR="00D86A7B" w:rsidRPr="00CF77C1" w:rsidRDefault="00D86A7B" w:rsidP="00F10D3F">
            <w:pPr>
              <w:spacing w:before="20" w:after="20"/>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8BCE4CB" w14:textId="77777777" w:rsidR="00D86A7B" w:rsidRPr="00CF77C1" w:rsidRDefault="00D86A7B" w:rsidP="00F10D3F">
            <w:pPr>
              <w:spacing w:before="20" w:after="20"/>
              <w:jc w:val="center"/>
              <w:rPr>
                <w:lang w:val="sr-Cyrl-RS"/>
              </w:rPr>
            </w:pPr>
            <w:r w:rsidRPr="00CF77C1">
              <w:rPr>
                <w:lang w:val="sr-Cyrl-RS"/>
              </w:rPr>
              <w:t>x</w:t>
            </w:r>
          </w:p>
        </w:tc>
      </w:tr>
      <w:tr w:rsidR="00D86A7B" w:rsidRPr="00CF77C1" w14:paraId="4C1CC4A3"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4B042A13" w14:textId="77777777" w:rsidR="00D86A7B" w:rsidRPr="00CF77C1" w:rsidRDefault="00D86A7B" w:rsidP="00F10D3F">
            <w:pPr>
              <w:jc w:val="left"/>
              <w:rPr>
                <w:lang w:val="sr-Cyrl-RS"/>
              </w:rPr>
            </w:pPr>
            <w:r w:rsidRPr="00CF77C1">
              <w:rPr>
                <w:lang w:val="sr-Cyrl-RS"/>
              </w:rPr>
              <w:t>Пројекат: Осавремењавање мерно-регулационе опреме у топлотно-предајним станицама, даљински систем надзора и управљања конзумом, уградња нових компактних подстаница.</w:t>
            </w:r>
          </w:p>
          <w:p w14:paraId="79CF01DA" w14:textId="77777777" w:rsidR="00D86A7B" w:rsidRPr="00CF77C1" w:rsidRDefault="00D86A7B" w:rsidP="00F10D3F">
            <w:pPr>
              <w:jc w:val="left"/>
              <w:rPr>
                <w:lang w:val="sr-Cyrl-RS"/>
              </w:rPr>
            </w:pPr>
            <w:r w:rsidRPr="00CF77C1">
              <w:rPr>
                <w:lang w:val="sr-Cyrl-RS"/>
              </w:rPr>
              <w:t>Пројекти обухватају 12 топлана</w:t>
            </w:r>
          </w:p>
        </w:tc>
        <w:tc>
          <w:tcPr>
            <w:tcW w:w="2835" w:type="dxa"/>
            <w:vMerge w:val="restart"/>
            <w:shd w:val="clear" w:color="auto" w:fill="auto"/>
            <w:vAlign w:val="center"/>
          </w:tcPr>
          <w:p w14:paraId="1586F811" w14:textId="77777777" w:rsidR="00D86A7B" w:rsidRPr="00CF77C1" w:rsidRDefault="00D86A7B" w:rsidP="00F10D3F">
            <w:pPr>
              <w:jc w:val="center"/>
              <w:rPr>
                <w:lang w:val="sr-Cyrl-RS"/>
              </w:rPr>
            </w:pPr>
            <w:r w:rsidRPr="00CF77C1">
              <w:rPr>
                <w:lang w:val="sr-Cyrl-RS"/>
              </w:rPr>
              <w:t>Одговорна институција</w:t>
            </w:r>
          </w:p>
          <w:p w14:paraId="75E75EFE" w14:textId="77777777" w:rsidR="00D86A7B" w:rsidRPr="00CF77C1" w:rsidRDefault="00D86A7B" w:rsidP="00F10D3F">
            <w:pPr>
              <w:jc w:val="center"/>
              <w:rPr>
                <w:lang w:val="sr-Cyrl-RS"/>
              </w:rPr>
            </w:pPr>
            <w:r w:rsidRPr="00CF77C1">
              <w:rPr>
                <w:lang w:val="sr-Cyrl-RS"/>
              </w:rPr>
              <w:t>Појединачне топлане у којима се спроводи пројекат</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83426AA" w14:textId="77777777" w:rsidR="00D86A7B" w:rsidRPr="00CF77C1" w:rsidRDefault="00D86A7B" w:rsidP="00F10D3F">
            <w:pPr>
              <w:jc w:val="center"/>
              <w:rPr>
                <w:lang w:val="sr-Cyrl-RS"/>
              </w:rPr>
            </w:pPr>
            <w:r w:rsidRPr="00CF77C1">
              <w:rPr>
                <w:lang w:val="sr-Cyrl-RS"/>
              </w:rPr>
              <w:t>2017.</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3BC3348" w14:textId="77777777" w:rsidR="00D86A7B" w:rsidRPr="00CF77C1" w:rsidRDefault="00D86A7B" w:rsidP="00F10D3F">
            <w:pPr>
              <w:jc w:val="center"/>
              <w:rPr>
                <w:lang w:val="sr-Cyrl-RS"/>
              </w:rPr>
            </w:pPr>
            <w:r w:rsidRPr="00CF77C1">
              <w:rPr>
                <w:lang w:val="sr-Cyrl-RS"/>
              </w:rPr>
              <w:t>2018.</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6081DBC" w14:textId="77777777" w:rsidR="00D86A7B" w:rsidRPr="00CF77C1" w:rsidRDefault="00D86A7B" w:rsidP="00F10D3F">
            <w:pPr>
              <w:spacing w:before="20" w:after="20"/>
              <w:jc w:val="left"/>
              <w:rPr>
                <w:lang w:val="sr-Cyrl-RS" w:eastAsia="x-none"/>
              </w:rPr>
            </w:pPr>
            <w:r w:rsidRPr="00CF77C1">
              <w:rPr>
                <w:lang w:val="sr-Cyrl-RS" w:eastAsia="x-none"/>
              </w:rPr>
              <w:t>2019.</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0698132" w14:textId="77777777" w:rsidR="00D86A7B" w:rsidRPr="00CF77C1" w:rsidRDefault="00D86A7B" w:rsidP="00F10D3F">
            <w:pPr>
              <w:spacing w:before="20" w:after="20"/>
              <w:jc w:val="center"/>
              <w:rPr>
                <w:lang w:val="sr-Cyrl-RS"/>
              </w:rPr>
            </w:pPr>
            <w:r w:rsidRPr="00CF77C1">
              <w:rPr>
                <w:lang w:val="sr-Cyrl-RS"/>
              </w:rPr>
              <w:t>2020.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A8E5B72" w14:textId="77777777" w:rsidR="00D86A7B" w:rsidRPr="00CF77C1" w:rsidRDefault="00D86A7B" w:rsidP="00F10D3F">
            <w:pPr>
              <w:spacing w:before="20" w:after="20"/>
              <w:jc w:val="center"/>
              <w:rPr>
                <w:lang w:val="sr-Cyrl-RS"/>
              </w:rPr>
            </w:pPr>
            <w:r w:rsidRPr="00CF77C1">
              <w:rPr>
                <w:lang w:val="sr-Cyrl-RS"/>
              </w:rPr>
              <w:t>2021.</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256D6B0" w14:textId="77777777" w:rsidR="00D86A7B" w:rsidRPr="00CF77C1" w:rsidRDefault="00D86A7B" w:rsidP="00F10D3F">
            <w:pPr>
              <w:spacing w:before="20" w:after="20"/>
              <w:jc w:val="center"/>
              <w:rPr>
                <w:lang w:val="sr-Cyrl-RS"/>
              </w:rPr>
            </w:pPr>
            <w:r w:rsidRPr="00CF77C1">
              <w:rPr>
                <w:lang w:val="sr-Cyrl-RS"/>
              </w:rPr>
              <w:t>2022.</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8771992" w14:textId="77777777" w:rsidR="00D86A7B" w:rsidRPr="00CF77C1" w:rsidRDefault="00D86A7B" w:rsidP="00F10D3F">
            <w:pPr>
              <w:spacing w:before="20" w:after="20"/>
              <w:jc w:val="center"/>
              <w:rPr>
                <w:lang w:val="sr-Cyrl-RS"/>
              </w:rPr>
            </w:pPr>
            <w:r w:rsidRPr="00CF77C1">
              <w:rPr>
                <w:lang w:val="sr-Cyrl-RS"/>
              </w:rPr>
              <w:t>2023.</w:t>
            </w:r>
          </w:p>
        </w:tc>
      </w:tr>
      <w:tr w:rsidR="00D86A7B" w:rsidRPr="00CF77C1" w14:paraId="3D9B0A25"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06B08FD0" w14:textId="77777777" w:rsidR="00D86A7B" w:rsidRPr="00CF77C1" w:rsidRDefault="00D86A7B" w:rsidP="00F10D3F">
            <w:pPr>
              <w:jc w:val="left"/>
              <w:rPr>
                <w:lang w:val="sr-Cyrl-RS"/>
              </w:rPr>
            </w:pPr>
            <w:r w:rsidRPr="00CF77C1">
              <w:rPr>
                <w:lang w:val="sr-Cyrl-RS"/>
              </w:rPr>
              <w:t>Организациони и послови руковођења пројектом</w:t>
            </w:r>
          </w:p>
        </w:tc>
        <w:tc>
          <w:tcPr>
            <w:tcW w:w="2835" w:type="dxa"/>
            <w:vMerge/>
            <w:shd w:val="clear" w:color="auto" w:fill="auto"/>
          </w:tcPr>
          <w:p w14:paraId="3E89D5EF" w14:textId="31A4A79A" w:rsidR="00D86A7B" w:rsidRPr="00CF77C1" w:rsidRDefault="00D86A7B" w:rsidP="00F10D3F">
            <w:pPr>
              <w:spacing w:before="20" w:after="20"/>
              <w:jc w:val="left"/>
              <w:rPr>
                <w:lang w:val="sr-Cyrl-RS"/>
              </w:rPr>
            </w:pPr>
            <w:r w:rsidRPr="00CF77C1">
              <w:rPr>
                <w:lang w:val="sr-Cyrl-RS" w:eastAsia="x-none"/>
              </w:rPr>
              <w:t xml:space="preserve">ЈКП Београдске електране, </w:t>
            </w:r>
            <w:r w:rsidR="006C6D04" w:rsidRPr="00CF77C1">
              <w:rPr>
                <w:lang w:val="sr-Cyrl-RS" w:eastAsia="x-none"/>
              </w:rPr>
              <w:t>ЕПС</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8E11494"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DDF5B09"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CB47056" w14:textId="77777777" w:rsidR="00D86A7B" w:rsidRPr="00CF77C1" w:rsidRDefault="00D86A7B" w:rsidP="00D86A7B">
            <w:pPr>
              <w:keepNext/>
              <w:keepLines/>
              <w:spacing w:before="20" w:after="20"/>
              <w:jc w:val="left"/>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1468E0D"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AC45778"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95C9320"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F850844" w14:textId="77777777" w:rsidR="00D86A7B" w:rsidRPr="00CF77C1" w:rsidRDefault="00D86A7B" w:rsidP="00D86A7B">
            <w:pPr>
              <w:keepNext/>
              <w:keepLines/>
              <w:spacing w:before="20" w:after="20"/>
              <w:jc w:val="center"/>
              <w:rPr>
                <w:lang w:val="sr-Cyrl-RS"/>
              </w:rPr>
            </w:pPr>
          </w:p>
        </w:tc>
      </w:tr>
      <w:tr w:rsidR="00D86A7B" w:rsidRPr="00CF77C1" w14:paraId="4F824C24"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7FE1076D" w14:textId="77777777" w:rsidR="00D86A7B" w:rsidRPr="00CF77C1" w:rsidRDefault="00D86A7B" w:rsidP="00F10D3F">
            <w:pPr>
              <w:jc w:val="left"/>
              <w:rPr>
                <w:lang w:val="sr-Cyrl-RS"/>
              </w:rPr>
            </w:pPr>
            <w:r w:rsidRPr="00CF77C1">
              <w:rPr>
                <w:lang w:val="sr-Cyrl-RS"/>
              </w:rPr>
              <w:t>Припрема просторно-планске документације</w:t>
            </w:r>
          </w:p>
        </w:tc>
        <w:tc>
          <w:tcPr>
            <w:tcW w:w="2835" w:type="dxa"/>
            <w:vMerge/>
            <w:shd w:val="clear" w:color="auto" w:fill="auto"/>
          </w:tcPr>
          <w:p w14:paraId="76E6E691" w14:textId="77777777" w:rsidR="00D86A7B" w:rsidRPr="00CF77C1" w:rsidRDefault="00D86A7B" w:rsidP="00F10D3F">
            <w:pPr>
              <w:spacing w:before="20" w:after="20"/>
              <w:jc w:val="left"/>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3284031"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A33407E"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B3DC716" w14:textId="77777777" w:rsidR="00D86A7B" w:rsidRPr="00CF77C1" w:rsidRDefault="00D86A7B" w:rsidP="00D86A7B">
            <w:pPr>
              <w:keepNext/>
              <w:keepLines/>
              <w:spacing w:before="20" w:after="20"/>
              <w:jc w:val="left"/>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C0B825D"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0950EDE"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1680F67"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0239119" w14:textId="77777777" w:rsidR="00D86A7B" w:rsidRPr="00CF77C1" w:rsidRDefault="00D86A7B" w:rsidP="00D86A7B">
            <w:pPr>
              <w:keepNext/>
              <w:keepLines/>
              <w:spacing w:before="20" w:after="20"/>
              <w:jc w:val="center"/>
              <w:rPr>
                <w:lang w:val="sr-Cyrl-RS"/>
              </w:rPr>
            </w:pPr>
          </w:p>
        </w:tc>
      </w:tr>
      <w:tr w:rsidR="00D86A7B" w:rsidRPr="00CF77C1" w14:paraId="5CC52ADE"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54AFD5AC" w14:textId="77777777" w:rsidR="00D86A7B" w:rsidRPr="00CF77C1" w:rsidRDefault="00D86A7B" w:rsidP="00F10D3F">
            <w:pPr>
              <w:jc w:val="left"/>
              <w:rPr>
                <w:lang w:val="sr-Cyrl-RS"/>
              </w:rPr>
            </w:pPr>
            <w:r w:rsidRPr="00CF77C1">
              <w:rPr>
                <w:lang w:val="sr-Cyrl-RS"/>
              </w:rPr>
              <w:t>Припрема техничке документације</w:t>
            </w:r>
          </w:p>
        </w:tc>
        <w:tc>
          <w:tcPr>
            <w:tcW w:w="2835" w:type="dxa"/>
            <w:vMerge/>
            <w:shd w:val="clear" w:color="auto" w:fill="auto"/>
          </w:tcPr>
          <w:p w14:paraId="78A50418" w14:textId="77777777" w:rsidR="00D86A7B" w:rsidRPr="00CF77C1" w:rsidRDefault="00D86A7B" w:rsidP="00F10D3F">
            <w:pPr>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D9AFA09"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D772C12"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FE291AC" w14:textId="77777777" w:rsidR="00D86A7B" w:rsidRPr="00CF77C1" w:rsidRDefault="00D86A7B" w:rsidP="00D86A7B">
            <w:pPr>
              <w:keepNext/>
              <w:keepLines/>
              <w:spacing w:before="20" w:after="20"/>
              <w:jc w:val="left"/>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1FB32F4"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CDE6859"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B55F089"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AF965DA" w14:textId="77777777" w:rsidR="00D86A7B" w:rsidRPr="00CF77C1" w:rsidRDefault="00D86A7B" w:rsidP="00D86A7B">
            <w:pPr>
              <w:keepNext/>
              <w:keepLines/>
              <w:spacing w:before="20" w:after="20"/>
              <w:jc w:val="center"/>
              <w:rPr>
                <w:lang w:val="sr-Cyrl-RS"/>
              </w:rPr>
            </w:pPr>
          </w:p>
        </w:tc>
      </w:tr>
      <w:tr w:rsidR="00D86A7B" w:rsidRPr="00CF77C1" w14:paraId="5933592F"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130A7C37" w14:textId="77777777" w:rsidR="00D86A7B" w:rsidRPr="00CF77C1" w:rsidRDefault="00D86A7B" w:rsidP="00F10D3F">
            <w:pPr>
              <w:jc w:val="left"/>
              <w:rPr>
                <w:lang w:val="sr-Cyrl-RS"/>
              </w:rPr>
            </w:pPr>
            <w:r w:rsidRPr="00CF77C1">
              <w:rPr>
                <w:lang w:val="sr-Cyrl-RS"/>
              </w:rPr>
              <w:t>Дозволе</w:t>
            </w:r>
          </w:p>
        </w:tc>
        <w:tc>
          <w:tcPr>
            <w:tcW w:w="2835" w:type="dxa"/>
            <w:vMerge/>
            <w:shd w:val="clear" w:color="auto" w:fill="auto"/>
          </w:tcPr>
          <w:p w14:paraId="144BFD3C" w14:textId="77777777" w:rsidR="00D86A7B" w:rsidRPr="00CF77C1" w:rsidRDefault="00D86A7B" w:rsidP="00F10D3F">
            <w:pPr>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23EA390"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815B110"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336A646" w14:textId="77777777" w:rsidR="00D86A7B" w:rsidRPr="00CF77C1" w:rsidRDefault="00D86A7B" w:rsidP="00D86A7B">
            <w:pPr>
              <w:keepNext/>
              <w:keepLines/>
              <w:spacing w:before="20" w:after="20"/>
              <w:jc w:val="left"/>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295C830"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72D9D8D"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C01E1F8"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F46C653" w14:textId="77777777" w:rsidR="00D86A7B" w:rsidRPr="00CF77C1" w:rsidRDefault="00D86A7B" w:rsidP="00D86A7B">
            <w:pPr>
              <w:keepNext/>
              <w:keepLines/>
              <w:spacing w:before="20" w:after="20"/>
              <w:jc w:val="center"/>
              <w:rPr>
                <w:lang w:val="sr-Cyrl-RS"/>
              </w:rPr>
            </w:pPr>
          </w:p>
        </w:tc>
      </w:tr>
      <w:tr w:rsidR="00D86A7B" w:rsidRPr="00CF77C1" w14:paraId="05C6A690"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21F143CE" w14:textId="77777777" w:rsidR="00D86A7B" w:rsidRPr="00CF77C1" w:rsidRDefault="00D86A7B" w:rsidP="00F10D3F">
            <w:pPr>
              <w:jc w:val="left"/>
              <w:rPr>
                <w:lang w:val="sr-Cyrl-RS"/>
              </w:rPr>
            </w:pPr>
            <w:r w:rsidRPr="00CF77C1">
              <w:rPr>
                <w:lang w:val="sr-Cyrl-RS"/>
              </w:rPr>
              <w:t>Реализација градње</w:t>
            </w:r>
          </w:p>
        </w:tc>
        <w:tc>
          <w:tcPr>
            <w:tcW w:w="2835" w:type="dxa"/>
            <w:vMerge/>
            <w:shd w:val="clear" w:color="auto" w:fill="auto"/>
          </w:tcPr>
          <w:p w14:paraId="3FC3069C" w14:textId="77777777" w:rsidR="00D86A7B" w:rsidRPr="00CF77C1" w:rsidRDefault="00D86A7B" w:rsidP="00F10D3F">
            <w:pPr>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7E1612B"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C5987EF"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1C0C971" w14:textId="77777777" w:rsidR="00D86A7B" w:rsidRPr="00CF77C1" w:rsidRDefault="00D86A7B" w:rsidP="00D86A7B">
            <w:pPr>
              <w:keepNext/>
              <w:keepLines/>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BFCEA4B"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0B4E4A4"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6B40D31"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46AF1AF" w14:textId="77777777" w:rsidR="00D86A7B" w:rsidRPr="00CF77C1" w:rsidRDefault="00D86A7B" w:rsidP="00D86A7B">
            <w:pPr>
              <w:keepNext/>
              <w:keepLines/>
              <w:spacing w:before="20" w:after="20"/>
              <w:jc w:val="center"/>
              <w:rPr>
                <w:lang w:val="sr-Cyrl-RS"/>
              </w:rPr>
            </w:pPr>
          </w:p>
        </w:tc>
      </w:tr>
      <w:tr w:rsidR="00D86A7B" w:rsidRPr="00CF77C1" w14:paraId="58C236D1"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30F08994" w14:textId="77777777" w:rsidR="00D86A7B" w:rsidRPr="00CF77C1" w:rsidRDefault="00D86A7B" w:rsidP="00F10D3F">
            <w:pPr>
              <w:jc w:val="left"/>
              <w:rPr>
                <w:lang w:val="sr-Cyrl-RS"/>
              </w:rPr>
            </w:pPr>
            <w:r w:rsidRPr="00CF77C1">
              <w:rPr>
                <w:lang w:val="sr-Cyrl-RS"/>
              </w:rPr>
              <w:t>Улазак у погон</w:t>
            </w:r>
          </w:p>
        </w:tc>
        <w:tc>
          <w:tcPr>
            <w:tcW w:w="2835" w:type="dxa"/>
            <w:vMerge/>
            <w:shd w:val="clear" w:color="auto" w:fill="auto"/>
          </w:tcPr>
          <w:p w14:paraId="16DAAD23" w14:textId="77777777" w:rsidR="00D86A7B" w:rsidRPr="00CF77C1" w:rsidRDefault="00D86A7B" w:rsidP="00F10D3F">
            <w:pPr>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E30DE4C"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3CCE77F"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6D9BD77" w14:textId="77777777" w:rsidR="00D86A7B" w:rsidRPr="00CF77C1" w:rsidRDefault="00D86A7B" w:rsidP="00D86A7B">
            <w:pPr>
              <w:keepNext/>
              <w:keepLines/>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A465F43"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8C16FCB"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FEAB283"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9CF176B" w14:textId="77777777" w:rsidR="00D86A7B" w:rsidRPr="00CF77C1" w:rsidRDefault="00D86A7B" w:rsidP="00D86A7B">
            <w:pPr>
              <w:keepNext/>
              <w:keepLines/>
              <w:spacing w:before="20" w:after="20"/>
              <w:jc w:val="center"/>
              <w:rPr>
                <w:lang w:val="sr-Cyrl-RS"/>
              </w:rPr>
            </w:pPr>
          </w:p>
        </w:tc>
      </w:tr>
      <w:tr w:rsidR="00D86A7B" w:rsidRPr="00CF77C1" w14:paraId="37FF2D5B"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2DBDCCB0" w14:textId="7F3986C2" w:rsidR="00D86A7B" w:rsidRPr="00CF77C1" w:rsidRDefault="00D86A7B" w:rsidP="00D86A7B">
            <w:pPr>
              <w:keepNext/>
              <w:keepLines/>
              <w:jc w:val="left"/>
              <w:rPr>
                <w:lang w:val="sr-Cyrl-RS"/>
              </w:rPr>
            </w:pPr>
            <w:r w:rsidRPr="00CF77C1">
              <w:rPr>
                <w:lang w:val="sr-Cyrl-RS"/>
              </w:rPr>
              <w:t xml:space="preserve">Рехабилитација система даљинског грејања у </w:t>
            </w:r>
            <w:r w:rsidR="00EC16A1" w:rsidRPr="00CF77C1">
              <w:rPr>
                <w:lang w:val="sr-Cyrl-RS"/>
              </w:rPr>
              <w:t xml:space="preserve">Републици </w:t>
            </w:r>
            <w:r w:rsidRPr="00CF77C1">
              <w:rPr>
                <w:lang w:val="sr-Cyrl-RS"/>
              </w:rPr>
              <w:t>Србији - Фаза V - Пројекат ће обухватити 10 топлана</w:t>
            </w:r>
          </w:p>
        </w:tc>
        <w:tc>
          <w:tcPr>
            <w:tcW w:w="2835" w:type="dxa"/>
            <w:vMerge w:val="restart"/>
            <w:shd w:val="clear" w:color="auto" w:fill="auto"/>
            <w:vAlign w:val="center"/>
          </w:tcPr>
          <w:p w14:paraId="656250D4" w14:textId="77777777" w:rsidR="00D86A7B" w:rsidRPr="00CF77C1" w:rsidRDefault="00D86A7B" w:rsidP="00D86A7B">
            <w:pPr>
              <w:keepNext/>
              <w:keepLines/>
              <w:jc w:val="center"/>
              <w:rPr>
                <w:lang w:val="sr-Cyrl-RS"/>
              </w:rPr>
            </w:pPr>
            <w:r w:rsidRPr="00CF77C1">
              <w:rPr>
                <w:lang w:val="sr-Cyrl-RS"/>
              </w:rPr>
              <w:t>Одговорна институција</w:t>
            </w:r>
          </w:p>
          <w:p w14:paraId="07C3CD81" w14:textId="77777777" w:rsidR="00D86A7B" w:rsidRPr="00CF77C1" w:rsidRDefault="00D86A7B" w:rsidP="00D86A7B">
            <w:pPr>
              <w:keepNext/>
              <w:keepLines/>
              <w:jc w:val="center"/>
              <w:rPr>
                <w:lang w:val="sr-Cyrl-RS"/>
              </w:rPr>
            </w:pPr>
            <w:r w:rsidRPr="00CF77C1">
              <w:rPr>
                <w:lang w:val="sr-Cyrl-RS"/>
              </w:rPr>
              <w:t>Појединачне топлане у којима се спроводи пројекат</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DAF8455" w14:textId="77777777" w:rsidR="00D86A7B" w:rsidRPr="00CF77C1" w:rsidRDefault="00D86A7B" w:rsidP="00D86A7B">
            <w:pPr>
              <w:keepNext/>
              <w:keepLines/>
              <w:jc w:val="center"/>
              <w:rPr>
                <w:lang w:val="sr-Cyrl-RS"/>
              </w:rPr>
            </w:pPr>
            <w:r w:rsidRPr="00CF77C1">
              <w:rPr>
                <w:lang w:val="sr-Cyrl-RS"/>
              </w:rPr>
              <w:t>2017.</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174B31B" w14:textId="77777777" w:rsidR="00D86A7B" w:rsidRPr="00CF77C1" w:rsidRDefault="00D86A7B" w:rsidP="00D86A7B">
            <w:pPr>
              <w:keepNext/>
              <w:keepLines/>
              <w:jc w:val="center"/>
              <w:rPr>
                <w:lang w:val="sr-Cyrl-RS"/>
              </w:rPr>
            </w:pPr>
            <w:r w:rsidRPr="00CF77C1">
              <w:rPr>
                <w:lang w:val="sr-Cyrl-RS"/>
              </w:rPr>
              <w:t>2018.</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507E0F6" w14:textId="77777777" w:rsidR="00D86A7B" w:rsidRPr="00CF77C1" w:rsidRDefault="00D86A7B" w:rsidP="00D86A7B">
            <w:pPr>
              <w:keepNext/>
              <w:keepLines/>
              <w:spacing w:before="20" w:after="20"/>
              <w:jc w:val="left"/>
              <w:rPr>
                <w:lang w:val="sr-Cyrl-RS" w:eastAsia="x-none"/>
              </w:rPr>
            </w:pPr>
            <w:r w:rsidRPr="00CF77C1">
              <w:rPr>
                <w:lang w:val="sr-Cyrl-RS" w:eastAsia="x-none"/>
              </w:rPr>
              <w:t>2019.</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A4E0227" w14:textId="77777777" w:rsidR="00D86A7B" w:rsidRPr="00CF77C1" w:rsidRDefault="00D86A7B" w:rsidP="00D86A7B">
            <w:pPr>
              <w:keepNext/>
              <w:keepLines/>
              <w:spacing w:before="20" w:after="20"/>
              <w:jc w:val="center"/>
              <w:rPr>
                <w:lang w:val="sr-Cyrl-RS"/>
              </w:rPr>
            </w:pPr>
            <w:r w:rsidRPr="00CF77C1">
              <w:rPr>
                <w:lang w:val="sr-Cyrl-RS"/>
              </w:rPr>
              <w:t>2020.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DB56244" w14:textId="77777777" w:rsidR="00D86A7B" w:rsidRPr="00CF77C1" w:rsidRDefault="00D86A7B" w:rsidP="00D86A7B">
            <w:pPr>
              <w:keepNext/>
              <w:keepLines/>
              <w:spacing w:before="20" w:after="20"/>
              <w:jc w:val="center"/>
              <w:rPr>
                <w:lang w:val="sr-Cyrl-RS"/>
              </w:rPr>
            </w:pPr>
            <w:r w:rsidRPr="00CF77C1">
              <w:rPr>
                <w:lang w:val="sr-Cyrl-RS"/>
              </w:rPr>
              <w:t>2021.</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287AB35" w14:textId="77777777" w:rsidR="00D86A7B" w:rsidRPr="00CF77C1" w:rsidRDefault="00D86A7B" w:rsidP="00D86A7B">
            <w:pPr>
              <w:keepNext/>
              <w:keepLines/>
              <w:spacing w:before="20" w:after="20"/>
              <w:jc w:val="center"/>
              <w:rPr>
                <w:lang w:val="sr-Cyrl-RS"/>
              </w:rPr>
            </w:pPr>
            <w:r w:rsidRPr="00CF77C1">
              <w:rPr>
                <w:lang w:val="sr-Cyrl-RS"/>
              </w:rPr>
              <w:t>2022.</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9C00EA8" w14:textId="77777777" w:rsidR="00D86A7B" w:rsidRPr="00CF77C1" w:rsidRDefault="00D86A7B" w:rsidP="00D86A7B">
            <w:pPr>
              <w:keepNext/>
              <w:keepLines/>
              <w:spacing w:before="20" w:after="20"/>
              <w:jc w:val="center"/>
              <w:rPr>
                <w:lang w:val="sr-Cyrl-RS"/>
              </w:rPr>
            </w:pPr>
            <w:r w:rsidRPr="00CF77C1">
              <w:rPr>
                <w:lang w:val="sr-Cyrl-RS"/>
              </w:rPr>
              <w:t>2023.</w:t>
            </w:r>
          </w:p>
        </w:tc>
      </w:tr>
      <w:tr w:rsidR="00D86A7B" w:rsidRPr="00CF77C1" w14:paraId="3A364CA7"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537BCC3B" w14:textId="77777777" w:rsidR="00D86A7B" w:rsidRPr="00CF77C1" w:rsidRDefault="00D86A7B" w:rsidP="00D86A7B">
            <w:pPr>
              <w:keepNext/>
              <w:keepLines/>
              <w:jc w:val="left"/>
              <w:rPr>
                <w:lang w:val="sr-Cyrl-RS"/>
              </w:rPr>
            </w:pPr>
            <w:r w:rsidRPr="00CF77C1">
              <w:rPr>
                <w:lang w:val="sr-Cyrl-RS"/>
              </w:rPr>
              <w:t>Организациони и послови руковођења пројектом</w:t>
            </w:r>
          </w:p>
        </w:tc>
        <w:tc>
          <w:tcPr>
            <w:tcW w:w="2835" w:type="dxa"/>
            <w:vMerge/>
            <w:shd w:val="clear" w:color="auto" w:fill="auto"/>
          </w:tcPr>
          <w:p w14:paraId="4F56DAE9" w14:textId="6EA1EC92" w:rsidR="00D86A7B" w:rsidRPr="00CF77C1" w:rsidRDefault="00D86A7B" w:rsidP="00D86A7B">
            <w:pPr>
              <w:keepNext/>
              <w:keepLines/>
              <w:spacing w:before="20" w:after="20"/>
              <w:jc w:val="left"/>
              <w:rPr>
                <w:lang w:val="sr-Cyrl-RS"/>
              </w:rPr>
            </w:pPr>
            <w:r w:rsidRPr="00CF77C1">
              <w:rPr>
                <w:lang w:val="sr-Cyrl-RS" w:eastAsia="x-none"/>
              </w:rPr>
              <w:t xml:space="preserve">ЈКП Београдске електране, </w:t>
            </w:r>
            <w:r w:rsidR="006C6D04" w:rsidRPr="00CF77C1">
              <w:rPr>
                <w:lang w:val="sr-Cyrl-RS" w:eastAsia="x-none"/>
              </w:rPr>
              <w:t>ЕПС</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218F090"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1D1AEF0"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430F2E0" w14:textId="77777777" w:rsidR="00D86A7B" w:rsidRPr="00CF77C1" w:rsidRDefault="00D86A7B" w:rsidP="00D86A7B">
            <w:pPr>
              <w:keepNext/>
              <w:keepLines/>
              <w:spacing w:before="20" w:after="20"/>
              <w:jc w:val="left"/>
              <w:rPr>
                <w:lang w:val="sr-Cyrl-RS" w:eastAsia="x-none"/>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4E22C00"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3BEF7C8"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0349031"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B8C8E27" w14:textId="77777777" w:rsidR="00D86A7B" w:rsidRPr="00CF77C1" w:rsidRDefault="00D86A7B" w:rsidP="00D86A7B">
            <w:pPr>
              <w:keepNext/>
              <w:keepLines/>
              <w:spacing w:before="20" w:after="20"/>
              <w:jc w:val="center"/>
              <w:rPr>
                <w:lang w:val="sr-Cyrl-RS"/>
              </w:rPr>
            </w:pPr>
          </w:p>
        </w:tc>
      </w:tr>
      <w:tr w:rsidR="00D86A7B" w:rsidRPr="00CF77C1" w14:paraId="70E04809"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50277E61" w14:textId="77777777" w:rsidR="00D86A7B" w:rsidRPr="00CF77C1" w:rsidRDefault="00D86A7B" w:rsidP="00D86A7B">
            <w:pPr>
              <w:keepNext/>
              <w:keepLines/>
              <w:jc w:val="left"/>
              <w:rPr>
                <w:lang w:val="sr-Cyrl-RS"/>
              </w:rPr>
            </w:pPr>
            <w:r w:rsidRPr="00CF77C1">
              <w:rPr>
                <w:lang w:val="sr-Cyrl-RS"/>
              </w:rPr>
              <w:t>Припрема просторно-планске документације</w:t>
            </w:r>
          </w:p>
        </w:tc>
        <w:tc>
          <w:tcPr>
            <w:tcW w:w="2835" w:type="dxa"/>
            <w:vMerge/>
            <w:shd w:val="clear" w:color="auto" w:fill="auto"/>
          </w:tcPr>
          <w:p w14:paraId="162835AB" w14:textId="77777777" w:rsidR="00D86A7B" w:rsidRPr="00CF77C1" w:rsidRDefault="00D86A7B" w:rsidP="00D86A7B">
            <w:pPr>
              <w:keepNext/>
              <w:keepLines/>
              <w:spacing w:before="20" w:after="20"/>
              <w:jc w:val="left"/>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F9FA037"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9D20F35"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A9E4B0F" w14:textId="77777777" w:rsidR="00D86A7B" w:rsidRPr="00CF77C1" w:rsidRDefault="00D86A7B" w:rsidP="00D86A7B">
            <w:pPr>
              <w:keepNext/>
              <w:keepLines/>
              <w:spacing w:before="20" w:after="20"/>
              <w:jc w:val="left"/>
              <w:rPr>
                <w:lang w:val="sr-Cyrl-RS" w:eastAsia="x-none"/>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5B23A04"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16894CD"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4216527"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0323322" w14:textId="77777777" w:rsidR="00D86A7B" w:rsidRPr="00CF77C1" w:rsidRDefault="00D86A7B" w:rsidP="00D86A7B">
            <w:pPr>
              <w:keepNext/>
              <w:keepLines/>
              <w:spacing w:before="20" w:after="20"/>
              <w:jc w:val="center"/>
              <w:rPr>
                <w:lang w:val="sr-Cyrl-RS"/>
              </w:rPr>
            </w:pPr>
          </w:p>
        </w:tc>
      </w:tr>
      <w:tr w:rsidR="00D86A7B" w:rsidRPr="00CF77C1" w14:paraId="6B25BAF5"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6738734F" w14:textId="77777777" w:rsidR="00D86A7B" w:rsidRPr="00CF77C1" w:rsidRDefault="00D86A7B" w:rsidP="00D86A7B">
            <w:pPr>
              <w:keepNext/>
              <w:keepLines/>
              <w:jc w:val="left"/>
              <w:rPr>
                <w:lang w:val="sr-Cyrl-RS"/>
              </w:rPr>
            </w:pPr>
            <w:r w:rsidRPr="00CF77C1">
              <w:rPr>
                <w:lang w:val="sr-Cyrl-RS"/>
              </w:rPr>
              <w:t>Припрема техничке документације</w:t>
            </w:r>
          </w:p>
        </w:tc>
        <w:tc>
          <w:tcPr>
            <w:tcW w:w="2835" w:type="dxa"/>
            <w:vMerge/>
            <w:shd w:val="clear" w:color="auto" w:fill="auto"/>
          </w:tcPr>
          <w:p w14:paraId="7BAC8938" w14:textId="77777777" w:rsidR="00D86A7B" w:rsidRPr="00CF77C1" w:rsidRDefault="00D86A7B" w:rsidP="00D86A7B">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5191C49"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F5EE892"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70D10E5" w14:textId="77777777" w:rsidR="00D86A7B" w:rsidRPr="00CF77C1" w:rsidRDefault="00D86A7B" w:rsidP="00D86A7B">
            <w:pPr>
              <w:keepNext/>
              <w:keepLines/>
              <w:spacing w:before="20" w:after="20"/>
              <w:jc w:val="left"/>
              <w:rPr>
                <w:lang w:val="sr-Cyrl-RS" w:eastAsia="x-none"/>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B4DCB3B"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27A4617"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7DFA7E9"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A398164" w14:textId="77777777" w:rsidR="00D86A7B" w:rsidRPr="00CF77C1" w:rsidRDefault="00D86A7B" w:rsidP="00D86A7B">
            <w:pPr>
              <w:keepNext/>
              <w:keepLines/>
              <w:spacing w:before="20" w:after="20"/>
              <w:jc w:val="center"/>
              <w:rPr>
                <w:lang w:val="sr-Cyrl-RS"/>
              </w:rPr>
            </w:pPr>
          </w:p>
        </w:tc>
      </w:tr>
      <w:tr w:rsidR="00D86A7B" w:rsidRPr="00CF77C1" w14:paraId="54498CB5"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21823CD8" w14:textId="77777777" w:rsidR="00D86A7B" w:rsidRPr="00CF77C1" w:rsidRDefault="00D86A7B" w:rsidP="00D86A7B">
            <w:pPr>
              <w:keepNext/>
              <w:keepLines/>
              <w:jc w:val="left"/>
              <w:rPr>
                <w:lang w:val="sr-Cyrl-RS"/>
              </w:rPr>
            </w:pPr>
            <w:r w:rsidRPr="00CF77C1">
              <w:rPr>
                <w:lang w:val="sr-Cyrl-RS"/>
              </w:rPr>
              <w:t>Дозволе</w:t>
            </w:r>
          </w:p>
        </w:tc>
        <w:tc>
          <w:tcPr>
            <w:tcW w:w="2835" w:type="dxa"/>
            <w:vMerge/>
            <w:shd w:val="clear" w:color="auto" w:fill="auto"/>
          </w:tcPr>
          <w:p w14:paraId="1C64FD6B" w14:textId="77777777" w:rsidR="00D86A7B" w:rsidRPr="00CF77C1" w:rsidRDefault="00D86A7B" w:rsidP="00D86A7B">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95AA844"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5F633F6" w14:textId="77777777"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134367D" w14:textId="77777777" w:rsidR="00D86A7B" w:rsidRPr="00CF77C1" w:rsidRDefault="00D86A7B" w:rsidP="00D86A7B">
            <w:pPr>
              <w:keepNext/>
              <w:keepLines/>
              <w:spacing w:before="20" w:after="20"/>
              <w:jc w:val="left"/>
              <w:rPr>
                <w:lang w:val="sr-Cyrl-RS" w:eastAsia="x-none"/>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B1B363F"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4DFCEAC0"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AC695BF"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F6BC3F6" w14:textId="77777777" w:rsidR="00D86A7B" w:rsidRPr="00CF77C1" w:rsidRDefault="00D86A7B" w:rsidP="00D86A7B">
            <w:pPr>
              <w:keepNext/>
              <w:keepLines/>
              <w:spacing w:before="20" w:after="20"/>
              <w:jc w:val="center"/>
              <w:rPr>
                <w:lang w:val="sr-Cyrl-RS"/>
              </w:rPr>
            </w:pPr>
          </w:p>
        </w:tc>
      </w:tr>
      <w:tr w:rsidR="00D86A7B" w:rsidRPr="00CF77C1" w14:paraId="033FF99B"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24A7DB84" w14:textId="77777777" w:rsidR="00D86A7B" w:rsidRPr="00CF77C1" w:rsidRDefault="00D86A7B" w:rsidP="00D86A7B">
            <w:pPr>
              <w:keepNext/>
              <w:keepLines/>
              <w:jc w:val="left"/>
              <w:rPr>
                <w:lang w:val="sr-Cyrl-RS"/>
              </w:rPr>
            </w:pPr>
            <w:r w:rsidRPr="00CF77C1">
              <w:rPr>
                <w:lang w:val="sr-Cyrl-RS"/>
              </w:rPr>
              <w:t>Реализација градње</w:t>
            </w:r>
          </w:p>
        </w:tc>
        <w:tc>
          <w:tcPr>
            <w:tcW w:w="2835" w:type="dxa"/>
            <w:vMerge/>
            <w:shd w:val="clear" w:color="auto" w:fill="auto"/>
          </w:tcPr>
          <w:p w14:paraId="569D0FAC" w14:textId="77777777" w:rsidR="00D86A7B" w:rsidRPr="00CF77C1" w:rsidRDefault="00D86A7B" w:rsidP="00D86A7B">
            <w:pPr>
              <w:keepNext/>
              <w:keepLines/>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26F2694"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D27E796" w14:textId="77777777" w:rsidR="00D86A7B" w:rsidRPr="00CF77C1" w:rsidRDefault="00D86A7B" w:rsidP="00D86A7B">
            <w:pPr>
              <w:keepNext/>
              <w:keepLines/>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EEC4DF1" w14:textId="77777777" w:rsidR="00D86A7B" w:rsidRPr="00CF77C1" w:rsidRDefault="00D86A7B" w:rsidP="00D86A7B">
            <w:pPr>
              <w:keepNext/>
              <w:keepLines/>
              <w:spacing w:before="20" w:after="20"/>
              <w:jc w:val="left"/>
              <w:rPr>
                <w:lang w:val="sr-Cyrl-RS" w:eastAsia="x-none"/>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A76F855"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121B04B" w14:textId="77777777" w:rsidR="00D86A7B" w:rsidRPr="00CF77C1" w:rsidRDefault="00D86A7B" w:rsidP="00D86A7B">
            <w:pPr>
              <w:keepNext/>
              <w:keepLines/>
              <w:spacing w:before="20" w:after="20"/>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474F7CC" w14:textId="77777777" w:rsidR="00D86A7B" w:rsidRPr="00CF77C1" w:rsidRDefault="00D86A7B" w:rsidP="00D86A7B">
            <w:pPr>
              <w:keepNext/>
              <w:keepLines/>
              <w:spacing w:before="20" w:after="20"/>
              <w:jc w:val="center"/>
              <w:rPr>
                <w:lang w:val="sr-Cyrl-RS"/>
              </w:rPr>
            </w:pP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653430C" w14:textId="77777777" w:rsidR="00D86A7B" w:rsidRPr="00CF77C1" w:rsidRDefault="00D86A7B" w:rsidP="00D86A7B">
            <w:pPr>
              <w:keepNext/>
              <w:keepLines/>
              <w:spacing w:before="20" w:after="20"/>
              <w:jc w:val="center"/>
              <w:rPr>
                <w:lang w:val="sr-Cyrl-RS"/>
              </w:rPr>
            </w:pPr>
          </w:p>
        </w:tc>
      </w:tr>
      <w:tr w:rsidR="00D86A7B" w:rsidRPr="00CF77C1" w14:paraId="64AD53DA" w14:textId="77777777" w:rsidTr="00F10D3F">
        <w:tc>
          <w:tcPr>
            <w:tcW w:w="5920" w:type="dxa"/>
            <w:tcBorders>
              <w:top w:val="single" w:sz="4" w:space="0" w:color="auto"/>
              <w:left w:val="single" w:sz="4" w:space="0" w:color="auto"/>
              <w:bottom w:val="single" w:sz="4" w:space="0" w:color="auto"/>
              <w:right w:val="single" w:sz="4" w:space="0" w:color="auto"/>
            </w:tcBorders>
            <w:shd w:val="clear" w:color="auto" w:fill="auto"/>
            <w:vAlign w:val="center"/>
          </w:tcPr>
          <w:p w14:paraId="48576568" w14:textId="77777777" w:rsidR="00D86A7B" w:rsidRPr="00CF77C1" w:rsidRDefault="00D86A7B" w:rsidP="00F10D3F">
            <w:pPr>
              <w:jc w:val="left"/>
              <w:rPr>
                <w:lang w:val="sr-Cyrl-RS"/>
              </w:rPr>
            </w:pPr>
            <w:r w:rsidRPr="00CF77C1">
              <w:rPr>
                <w:lang w:val="sr-Cyrl-RS"/>
              </w:rPr>
              <w:t>Улазак у погон</w:t>
            </w:r>
          </w:p>
        </w:tc>
        <w:tc>
          <w:tcPr>
            <w:tcW w:w="2835" w:type="dxa"/>
            <w:vMerge/>
            <w:shd w:val="clear" w:color="auto" w:fill="auto"/>
          </w:tcPr>
          <w:p w14:paraId="5BDA262A" w14:textId="77777777" w:rsidR="00D86A7B" w:rsidRPr="00CF77C1" w:rsidRDefault="00D86A7B" w:rsidP="00F10D3F">
            <w:pPr>
              <w:spacing w:before="20" w:after="20"/>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AF712DD" w14:textId="77777777" w:rsidR="00D86A7B" w:rsidRPr="00CF77C1" w:rsidRDefault="00D86A7B" w:rsidP="00F10D3F">
            <w:pPr>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39BA0EB" w14:textId="77777777" w:rsidR="00D86A7B" w:rsidRPr="00CF77C1" w:rsidRDefault="00D86A7B" w:rsidP="00F10D3F">
            <w:pPr>
              <w:jc w:val="center"/>
              <w:rPr>
                <w:lang w:val="sr-Cyrl-RS"/>
              </w:rPr>
            </w:pP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4794226" w14:textId="4B46620E" w:rsidR="00D86A7B" w:rsidRPr="00CF77C1" w:rsidRDefault="00D86A7B" w:rsidP="00D86A7B">
            <w:pPr>
              <w:keepNext/>
              <w:keepLines/>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AEB5911" w14:textId="07E4706C"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01C48991" w14:textId="27945DE9" w:rsidR="00D86A7B" w:rsidRPr="00CF77C1" w:rsidRDefault="00D86A7B" w:rsidP="00D86A7B">
            <w:pPr>
              <w:keepNext/>
              <w:keepLines/>
              <w:jc w:val="center"/>
              <w:rPr>
                <w:lang w:val="sr-Cyrl-RS"/>
              </w:rPr>
            </w:pPr>
            <w:r w:rsidRPr="00CF77C1">
              <w:rPr>
                <w:lang w:val="sr-Cyrl-RS"/>
              </w:rPr>
              <w:t>x</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6BDE2F7A" w14:textId="105EAF3E" w:rsidR="00D86A7B" w:rsidRPr="00CF77C1" w:rsidRDefault="00D86A7B" w:rsidP="00D86A7B">
            <w:pPr>
              <w:keepNext/>
              <w:keepLines/>
              <w:jc w:val="center"/>
              <w:rPr>
                <w:lang w:val="sr-Cyrl-RS"/>
              </w:rPr>
            </w:pPr>
            <w:r w:rsidRPr="00CF77C1">
              <w:rPr>
                <w:lang w:val="sr-Cyrl-RS"/>
              </w:rPr>
              <w:t>x</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5D0572E" w14:textId="07965DB2" w:rsidR="00D86A7B" w:rsidRPr="00CF77C1" w:rsidRDefault="00D86A7B" w:rsidP="00D86A7B">
            <w:pPr>
              <w:keepNext/>
              <w:keepLines/>
              <w:jc w:val="center"/>
              <w:rPr>
                <w:lang w:val="sr-Cyrl-RS"/>
              </w:rPr>
            </w:pPr>
            <w:r w:rsidRPr="00CF77C1">
              <w:rPr>
                <w:lang w:val="sr-Cyrl-RS"/>
              </w:rPr>
              <w:t>x</w:t>
            </w:r>
          </w:p>
        </w:tc>
      </w:tr>
    </w:tbl>
    <w:p w14:paraId="667CCAF3" w14:textId="77777777" w:rsidR="0080044B" w:rsidRPr="00CF77C1" w:rsidRDefault="0080044B" w:rsidP="0080044B">
      <w:pPr>
        <w:rPr>
          <w:lang w:val="sr-Cyrl-RS"/>
        </w:rPr>
      </w:pPr>
    </w:p>
    <w:p w14:paraId="5C82B181" w14:textId="77777777" w:rsidR="0080044B" w:rsidRPr="00CF77C1" w:rsidRDefault="0080044B" w:rsidP="0080044B">
      <w:pPr>
        <w:rPr>
          <w:lang w:val="sr-Cyrl-RS"/>
        </w:rPr>
      </w:pPr>
    </w:p>
    <w:p w14:paraId="1CE08AEA" w14:textId="77777777" w:rsidR="0080044B" w:rsidRPr="00CF77C1" w:rsidRDefault="0080044B" w:rsidP="0080044B">
      <w:pPr>
        <w:rPr>
          <w:lang w:val="sr-Cyrl-RS"/>
        </w:rPr>
        <w:sectPr w:rsidR="0080044B" w:rsidRPr="00CF77C1" w:rsidSect="00017454">
          <w:headerReference w:type="default" r:id="rId50"/>
          <w:footerReference w:type="even" r:id="rId51"/>
          <w:footerReference w:type="default" r:id="rId52"/>
          <w:pgSz w:w="16839" w:h="11907" w:orient="landscape" w:code="9"/>
          <w:pgMar w:top="1418" w:right="1134" w:bottom="1134" w:left="1134" w:header="1004" w:footer="720" w:gutter="0"/>
          <w:cols w:space="720"/>
          <w:docGrid w:linePitch="360"/>
        </w:sectPr>
      </w:pPr>
    </w:p>
    <w:p w14:paraId="6D3DFFCF" w14:textId="2EF1184A" w:rsidR="0080044B" w:rsidRPr="00CF77C1" w:rsidRDefault="0080044B" w:rsidP="00A82859">
      <w:pPr>
        <w:ind w:firstLine="720"/>
        <w:rPr>
          <w:lang w:val="sr-Cyrl-RS"/>
        </w:rPr>
      </w:pPr>
      <w:r w:rsidRPr="00CF77C1">
        <w:rPr>
          <w:lang w:val="sr-Cyrl-RS"/>
        </w:rPr>
        <w:t xml:space="preserve">Сви приказани пројекти у </w:t>
      </w:r>
      <w:r w:rsidR="0092145E" w:rsidRPr="00CF77C1">
        <w:rPr>
          <w:lang w:val="sr-Cyrl-RS"/>
        </w:rPr>
        <w:fldChar w:fldCharType="begin"/>
      </w:r>
      <w:r w:rsidR="009E4135" w:rsidRPr="00CF77C1">
        <w:rPr>
          <w:lang w:val="sr-Cyrl-RS"/>
        </w:rPr>
        <w:instrText xml:space="preserve"> REF _Ref475640464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29</w:t>
      </w:r>
      <w:r w:rsidR="0092145E" w:rsidRPr="00CF77C1">
        <w:rPr>
          <w:lang w:val="sr-Cyrl-RS"/>
        </w:rPr>
        <w:fldChar w:fldCharType="end"/>
      </w:r>
      <w:r w:rsidRPr="00CF77C1">
        <w:rPr>
          <w:lang w:val="sr-Cyrl-RS"/>
        </w:rPr>
        <w:t xml:space="preserve"> </w:t>
      </w:r>
      <w:r w:rsidR="00D86A7B" w:rsidRPr="00CF77C1">
        <w:rPr>
          <w:lang w:val="sr-Cyrl-RS"/>
        </w:rPr>
        <w:t xml:space="preserve">у својој основи имају унапређење енергетске ефикасности која је квантификована кроз износ уштеда енергената. Све топлане су обвезници система енергетског менаџмента (СЕМ) који је устројен одредбама Закона о ефикасном коришћењу енергије. У том контексту, сваки обвезник СЕМ у обавези је да на годишњем нивоу оствари унапређење енергетске ефикасности од најмање 1%, односно у периоду од </w:t>
      </w:r>
      <w:r w:rsidR="000C15D5">
        <w:rPr>
          <w:lang w:val="sr-Cyrl-RS"/>
        </w:rPr>
        <w:t xml:space="preserve">пет </w:t>
      </w:r>
      <w:r w:rsidR="00D86A7B" w:rsidRPr="00CF77C1">
        <w:rPr>
          <w:lang w:val="sr-Cyrl-RS"/>
        </w:rPr>
        <w:t xml:space="preserve">година најмање 5% уштеда. Систем енергетског менаџмента као једна од значајних мера имаће утицај на унапређење енергетске ефикасности. У контексту могућих ефеката имплементације СЕМ, очекивани ефекти у области топлотне енергије су најмање 1% од годишње потрошње примарне енергије (Напомена: Ниво ефикасности енергетских субјеката који се баве производњом, дистрибуцијом и снабдевањем топлотном енергијом није исти. У том смислу, треба водити рачуна о остваривости задатог циља - уштеде 1% примарне енергије на годишњем нивоу. У том контексту, треба прећи на праћење нивоа ефикасности преко индикатора - специфичне потрошње енергије). На нивоу свих топлана, уштеда од 1% примарне енергије износи 6000 </w:t>
      </w:r>
      <w:r w:rsidR="00D27CE2" w:rsidRPr="00CF77C1">
        <w:rPr>
          <w:lang w:val="sr-Cyrl-RS"/>
        </w:rPr>
        <w:t>тен</w:t>
      </w:r>
      <w:r w:rsidR="00D86A7B" w:rsidRPr="00CF77C1">
        <w:rPr>
          <w:lang w:val="sr-Cyrl-RS"/>
        </w:rPr>
        <w:t>.</w:t>
      </w:r>
    </w:p>
    <w:p w14:paraId="7E8B8901" w14:textId="32A88E3C" w:rsidR="0080044B" w:rsidRPr="00CF77C1" w:rsidRDefault="00141BA0" w:rsidP="00141BA0">
      <w:pPr>
        <w:pStyle w:val="Heading3"/>
        <w:numPr>
          <w:ilvl w:val="0"/>
          <w:numId w:val="0"/>
        </w:numPr>
        <w:ind w:left="720"/>
        <w:rPr>
          <w:b w:val="0"/>
          <w:lang w:val="sr-Cyrl-RS"/>
        </w:rPr>
      </w:pPr>
      <w:bookmarkStart w:id="68" w:name="_Toc484260293"/>
      <w:r w:rsidRPr="00CF77C1">
        <w:rPr>
          <w:b w:val="0"/>
          <w:lang w:val="sr-Cyrl-RS"/>
        </w:rPr>
        <w:t xml:space="preserve">3.2.4. </w:t>
      </w:r>
      <w:r w:rsidR="00D86A7B" w:rsidRPr="00CF77C1">
        <w:rPr>
          <w:b w:val="0"/>
          <w:lang w:val="sr-Cyrl-RS"/>
        </w:rPr>
        <w:t>Подобласт заштите животне средине у области топлотне енергије</w:t>
      </w:r>
      <w:bookmarkEnd w:id="68"/>
    </w:p>
    <w:p w14:paraId="1DD9E261" w14:textId="77777777" w:rsidR="00AF7173" w:rsidRPr="00CF77C1" w:rsidRDefault="00AF7173" w:rsidP="00A82859">
      <w:pPr>
        <w:ind w:firstLine="720"/>
        <w:rPr>
          <w:lang w:val="sr-Cyrl-RS"/>
        </w:rPr>
      </w:pPr>
      <w:bookmarkStart w:id="69" w:name="_Toc463001119"/>
      <w:bookmarkEnd w:id="45"/>
      <w:r w:rsidRPr="00CF77C1">
        <w:rPr>
          <w:lang w:val="sr-Cyrl-RS"/>
        </w:rPr>
        <w:t>Тренутна законска регулатива чијим се одредбама регулише рад система даљинског грејања у области заштите и очувања животне средине су:</w:t>
      </w:r>
    </w:p>
    <w:p w14:paraId="4ACE64E0" w14:textId="626D6962" w:rsidR="00AF7173" w:rsidRPr="00CF77C1" w:rsidRDefault="00A1249F" w:rsidP="003E39B4">
      <w:pPr>
        <w:pStyle w:val="ListParagraph"/>
        <w:numPr>
          <w:ilvl w:val="0"/>
          <w:numId w:val="71"/>
        </w:numPr>
        <w:spacing w:before="60" w:after="60"/>
        <w:ind w:left="0" w:firstLine="720"/>
        <w:contextualSpacing w:val="0"/>
        <w:rPr>
          <w:lang w:val="sr-Cyrl-RS"/>
        </w:rPr>
      </w:pPr>
      <w:r>
        <w:rPr>
          <w:lang w:val="sr-Cyrl-RS"/>
        </w:rPr>
        <w:t>Закон о заштити животне средине</w:t>
      </w:r>
      <w:r w:rsidR="00AF7173" w:rsidRPr="00CF77C1">
        <w:rPr>
          <w:lang w:val="sr-Cyrl-RS"/>
        </w:rPr>
        <w:t>,</w:t>
      </w:r>
    </w:p>
    <w:p w14:paraId="6B00C3B5" w14:textId="4168A95A"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заштити земљишта,</w:t>
      </w:r>
    </w:p>
    <w:p w14:paraId="1760EAE5" w14:textId="1A20688C"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водама,</w:t>
      </w:r>
    </w:p>
    <w:p w14:paraId="7C201BA5" w14:textId="3222DAB1"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заштити од буке у животној средини,</w:t>
      </w:r>
    </w:p>
    <w:p w14:paraId="76D17B94" w14:textId="140E216F"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заштити од нејонизујућих зрачења,</w:t>
      </w:r>
    </w:p>
    <w:p w14:paraId="5D7ED9AB" w14:textId="5DF5B569" w:rsidR="00AF7173" w:rsidRPr="00CF77C1" w:rsidRDefault="00677F18" w:rsidP="003E39B4">
      <w:pPr>
        <w:pStyle w:val="ListParagraph"/>
        <w:numPr>
          <w:ilvl w:val="0"/>
          <w:numId w:val="71"/>
        </w:numPr>
        <w:tabs>
          <w:tab w:val="left" w:pos="90"/>
        </w:tabs>
        <w:spacing w:before="60" w:after="60"/>
        <w:ind w:left="0" w:firstLine="720"/>
        <w:contextualSpacing w:val="0"/>
        <w:rPr>
          <w:lang w:val="sr-Cyrl-RS"/>
        </w:rPr>
      </w:pPr>
      <w:r w:rsidRPr="00CF77C1">
        <w:rPr>
          <w:lang w:val="sr-Cyrl-RS"/>
        </w:rPr>
        <w:t>Закон о управљању отпадом</w:t>
      </w:r>
      <w:r w:rsidR="00AF7173" w:rsidRPr="00CF77C1">
        <w:rPr>
          <w:lang w:val="sr-Cyrl-RS"/>
        </w:rPr>
        <w:t>,</w:t>
      </w:r>
    </w:p>
    <w:p w14:paraId="66716D87" w14:textId="7029693C"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заштити ваздуха,</w:t>
      </w:r>
    </w:p>
    <w:p w14:paraId="2883D047" w14:textId="07490965"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стратешкој процени утицаја на животну средину,</w:t>
      </w:r>
    </w:p>
    <w:p w14:paraId="63D9ED69" w14:textId="28C2AF18"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про</w:t>
      </w:r>
      <w:r w:rsidR="00677F18" w:rsidRPr="00CF77C1">
        <w:rPr>
          <w:lang w:val="sr-Cyrl-RS"/>
        </w:rPr>
        <w:t>цени утицаја на животну средину</w:t>
      </w:r>
      <w:r w:rsidRPr="00CF77C1">
        <w:rPr>
          <w:lang w:val="sr-Cyrl-RS"/>
        </w:rPr>
        <w:t>,</w:t>
      </w:r>
    </w:p>
    <w:p w14:paraId="1E74F790" w14:textId="01430FBD" w:rsidR="0059134E"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интегрисаном спречавању и контроли загађивања животне сре</w:t>
      </w:r>
      <w:r w:rsidR="005961BA">
        <w:rPr>
          <w:lang w:val="sr-Cyrl-RS"/>
        </w:rPr>
        <w:t>дине,</w:t>
      </w:r>
      <w:r w:rsidRPr="00CF77C1">
        <w:rPr>
          <w:lang w:val="sr-Cyrl-RS"/>
        </w:rPr>
        <w:t xml:space="preserve"> </w:t>
      </w:r>
    </w:p>
    <w:p w14:paraId="3A75C922" w14:textId="084A09D6"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изменама и допунама Закона о интегрисаном спречавању и контроли загађивања животне средине,</w:t>
      </w:r>
    </w:p>
    <w:p w14:paraId="53B1FE15" w14:textId="41E75642" w:rsidR="00AF7173" w:rsidRPr="00CF77C1" w:rsidRDefault="00677F18" w:rsidP="003E39B4">
      <w:pPr>
        <w:pStyle w:val="ListParagraph"/>
        <w:numPr>
          <w:ilvl w:val="0"/>
          <w:numId w:val="71"/>
        </w:numPr>
        <w:spacing w:before="60" w:after="60"/>
        <w:ind w:left="0" w:firstLine="720"/>
        <w:contextualSpacing w:val="0"/>
        <w:rPr>
          <w:lang w:val="sr-Cyrl-RS"/>
        </w:rPr>
      </w:pPr>
      <w:r w:rsidRPr="00CF77C1">
        <w:rPr>
          <w:lang w:val="sr-Cyrl-RS"/>
        </w:rPr>
        <w:t>Закон о хемикалијама</w:t>
      </w:r>
      <w:r w:rsidR="005961BA">
        <w:rPr>
          <w:lang w:val="sr-Cyrl-RS"/>
        </w:rPr>
        <w:t xml:space="preserve"> и</w:t>
      </w:r>
    </w:p>
    <w:p w14:paraId="6E6D5892" w14:textId="71134150"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Закон о заштити природе.</w:t>
      </w:r>
    </w:p>
    <w:p w14:paraId="73EBDD49" w14:textId="32BE341E" w:rsidR="00AF7173" w:rsidRPr="009B4C42" w:rsidRDefault="00AF7173" w:rsidP="009B4C42">
      <w:pPr>
        <w:ind w:firstLine="720"/>
        <w:rPr>
          <w:lang w:val="sr-Cyrl-RS"/>
        </w:rPr>
      </w:pPr>
      <w:r w:rsidRPr="009B4C42">
        <w:rPr>
          <w:lang w:val="sr-Cyrl-RS"/>
        </w:rPr>
        <w:t xml:space="preserve">Поред наведеног, законску основу чине пратеће уредбе и правилници и прихваћени међународни уговори и споразуми. </w:t>
      </w:r>
      <w:r w:rsidRPr="009B4C42">
        <w:rPr>
          <w:bCs/>
          <w:lang w:val="sr-Cyrl-RS"/>
        </w:rPr>
        <w:t>Посебан значај за област ограничења емисија у ваздух имају:</w:t>
      </w:r>
    </w:p>
    <w:p w14:paraId="60C14512" w14:textId="2CB07310" w:rsidR="00F70DB7"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Уредба о граничним вредностима емисија загађујућих материја у ваздух</w:t>
      </w:r>
      <w:r w:rsidR="009B4C42">
        <w:rPr>
          <w:lang w:val="sr-Cyrl-RS"/>
        </w:rPr>
        <w:t>у</w:t>
      </w:r>
      <w:r w:rsidRPr="00CF77C1">
        <w:rPr>
          <w:lang w:val="sr-Cyrl-RS"/>
        </w:rPr>
        <w:t xml:space="preserve"> из постројења за сагоревање и</w:t>
      </w:r>
    </w:p>
    <w:p w14:paraId="07841A99" w14:textId="66F13DDE" w:rsidR="00AF7173" w:rsidRPr="00CF77C1" w:rsidRDefault="00AF7173" w:rsidP="003E39B4">
      <w:pPr>
        <w:pStyle w:val="ListParagraph"/>
        <w:numPr>
          <w:ilvl w:val="0"/>
          <w:numId w:val="71"/>
        </w:numPr>
        <w:spacing w:before="60" w:after="60"/>
        <w:ind w:left="0" w:firstLine="720"/>
        <w:contextualSpacing w:val="0"/>
        <w:rPr>
          <w:lang w:val="sr-Cyrl-RS"/>
        </w:rPr>
      </w:pPr>
      <w:r w:rsidRPr="00CF77C1">
        <w:rPr>
          <w:lang w:val="sr-Cyrl-RS"/>
        </w:rPr>
        <w:t>Уредба о мерењима емисија загађујућих материја у ваздух из стационарних извора загађивања</w:t>
      </w:r>
      <w:r w:rsidR="00B40BB1">
        <w:rPr>
          <w:lang w:val="sr-Cyrl-RS"/>
        </w:rPr>
        <w:t xml:space="preserve"> („Службени гласник РС”, број</w:t>
      </w:r>
      <w:r w:rsidR="00A1249F">
        <w:rPr>
          <w:lang w:val="sr-Cyrl-RS"/>
        </w:rPr>
        <w:t xml:space="preserve"> 5/</w:t>
      </w:r>
      <w:r w:rsidR="00AA4F63" w:rsidRPr="00CF77C1">
        <w:rPr>
          <w:lang w:val="sr-Cyrl-RS"/>
        </w:rPr>
        <w:t>16)</w:t>
      </w:r>
      <w:r w:rsidRPr="00CF77C1">
        <w:rPr>
          <w:lang w:val="sr-Cyrl-RS"/>
        </w:rPr>
        <w:t>.</w:t>
      </w:r>
    </w:p>
    <w:p w14:paraId="71FD1E85" w14:textId="4D465699" w:rsidR="00AF7173" w:rsidRPr="00CF77C1" w:rsidRDefault="00AF7173" w:rsidP="0049024D">
      <w:pPr>
        <w:ind w:firstLine="720"/>
        <w:rPr>
          <w:lang w:val="sr-Cyrl-RS"/>
        </w:rPr>
      </w:pPr>
      <w:r w:rsidRPr="00CF77C1">
        <w:rPr>
          <w:lang w:val="sr-Cyrl-RS"/>
        </w:rPr>
        <w:t xml:space="preserve">Законом о интегрисаном спречавању и контроли загађивања животне средине и Законом о изменама и допунама </w:t>
      </w:r>
      <w:r w:rsidR="00727517" w:rsidRPr="00CF77C1">
        <w:rPr>
          <w:lang w:val="sr-Cyrl-RS"/>
        </w:rPr>
        <w:t xml:space="preserve">Закона </w:t>
      </w:r>
      <w:r w:rsidRPr="00CF77C1">
        <w:rPr>
          <w:lang w:val="sr-Cyrl-RS"/>
        </w:rPr>
        <w:t xml:space="preserve">о интегрисаном спречавању и контроли загађивања животне средине утврђени су услови и поступци за издавање интегрисаних дозвола за постројења и активности који могу имати негативне утицаје на здравље људи, животну средину и материјална добра, и уређене су врсте активности и постројења, надзор и друга питања од значаја за спречавање и контролу загађивања животне средине. Интегрисано спречавање и контрола загађења односи се на нова, али и постојећа постројења са високим потенцијалом загађења, у складу са дефиницијама из Уредбе о врстама активности и постројења за које се издаје интегрисана дозвола </w:t>
      </w:r>
      <w:r w:rsidR="0088654E">
        <w:rPr>
          <w:lang w:val="sr-Cyrl-RS"/>
        </w:rPr>
        <w:t>(„Службени гласник РС”, број</w:t>
      </w:r>
      <w:r w:rsidR="00A1249F">
        <w:rPr>
          <w:lang w:val="sr-Cyrl-RS"/>
        </w:rPr>
        <w:t xml:space="preserve"> 84/</w:t>
      </w:r>
      <w:r w:rsidR="00AA4F63" w:rsidRPr="00CF77C1">
        <w:rPr>
          <w:lang w:val="sr-Cyrl-RS"/>
        </w:rPr>
        <w:t>05)</w:t>
      </w:r>
      <w:r w:rsidRPr="00CF77C1">
        <w:rPr>
          <w:lang w:val="sr-Cyrl-RS"/>
        </w:rPr>
        <w:t xml:space="preserve">. Прелиминарна листа постројења која су у обавези да прибаве интегрисану дозволу обухвата постојећа постројења на која се односи Уредба </w:t>
      </w:r>
      <w:r w:rsidR="0049024D" w:rsidRPr="00CF77C1">
        <w:rPr>
          <w:lang w:val="sr-Cyrl-RS"/>
        </w:rPr>
        <w:t xml:space="preserve">о врстама активности и постројења за које се издаје интегрисана дозвола, </w:t>
      </w:r>
      <w:r w:rsidRPr="00CF77C1">
        <w:rPr>
          <w:lang w:val="sr-Cyrl-RS"/>
        </w:rPr>
        <w:t xml:space="preserve">у </w:t>
      </w:r>
      <w:r w:rsidR="00185B50" w:rsidRPr="00CF77C1">
        <w:rPr>
          <w:lang w:val="sr-Cyrl-RS"/>
        </w:rPr>
        <w:t xml:space="preserve">Републици </w:t>
      </w:r>
      <w:r w:rsidRPr="00CF77C1">
        <w:rPr>
          <w:lang w:val="sr-Cyrl-RS"/>
        </w:rPr>
        <w:t xml:space="preserve">Србији и овај списак се редовно ажурира од стране радне групе у оквиру </w:t>
      </w:r>
      <w:r w:rsidR="0059134E" w:rsidRPr="00CF77C1">
        <w:rPr>
          <w:lang w:val="sr-Cyrl-RS"/>
        </w:rPr>
        <w:t xml:space="preserve">министарства </w:t>
      </w:r>
      <w:r w:rsidRPr="00CF77C1">
        <w:rPr>
          <w:lang w:val="sr-Cyrl-RS"/>
        </w:rPr>
        <w:t>надлежног за послове заштите животне средине. Према овој листи 20 топлана (ТО Нови Беогр</w:t>
      </w:r>
      <w:r w:rsidR="008208D1" w:rsidRPr="00CF77C1">
        <w:rPr>
          <w:lang w:val="sr-Cyrl-RS"/>
        </w:rPr>
        <w:t>ад, ТО Земун, ТО Дунав, ТО Вождо</w:t>
      </w:r>
      <w:r w:rsidRPr="00CF77C1">
        <w:rPr>
          <w:lang w:val="sr-Cyrl-RS"/>
        </w:rPr>
        <w:t>вац, ТО Коњарник, ТО Миријево, ТО Церак, ТО Баново Брдо, ТО Миљаковац, ТО Медаковић, ТО Суботица, „Енергетика</w:t>
      </w:r>
      <w:r w:rsidR="0059134E">
        <w:rPr>
          <w:lang w:val="sr-Cyrl-RS"/>
        </w:rPr>
        <w:t>”</w:t>
      </w:r>
      <w:r w:rsidRPr="00CF77C1">
        <w:rPr>
          <w:lang w:val="sr-Cyrl-RS"/>
        </w:rPr>
        <w:t xml:space="preserve"> д.о.о. Крагујевац, ЈКП „Топлана</w:t>
      </w:r>
      <w:r w:rsidR="0059134E">
        <w:rPr>
          <w:lang w:val="sr-Cyrl-RS"/>
        </w:rPr>
        <w:t>”</w:t>
      </w:r>
      <w:r w:rsidRPr="00CF77C1">
        <w:rPr>
          <w:lang w:val="sr-Cyrl-RS"/>
        </w:rPr>
        <w:t xml:space="preserve"> Бор, ЈКП „Градска топлана</w:t>
      </w:r>
      <w:r w:rsidR="0059134E">
        <w:rPr>
          <w:lang w:val="sr-Cyrl-RS"/>
        </w:rPr>
        <w:t>”</w:t>
      </w:r>
      <w:r w:rsidRPr="00CF77C1">
        <w:rPr>
          <w:lang w:val="sr-Cyrl-RS"/>
        </w:rPr>
        <w:t xml:space="preserve"> Крушевац, ЈКП „Енергетика</w:t>
      </w:r>
      <w:r w:rsidR="0059134E">
        <w:rPr>
          <w:lang w:val="sr-Cyrl-RS"/>
        </w:rPr>
        <w:t>”</w:t>
      </w:r>
      <w:r w:rsidRPr="00CF77C1">
        <w:rPr>
          <w:lang w:val="sr-Cyrl-RS"/>
        </w:rPr>
        <w:t xml:space="preserve"> Трстеник, ЈП „Градска топлана</w:t>
      </w:r>
      <w:r w:rsidR="0059134E">
        <w:rPr>
          <w:lang w:val="sr-Cyrl-RS"/>
        </w:rPr>
        <w:t>”</w:t>
      </w:r>
      <w:r w:rsidRPr="00CF77C1">
        <w:rPr>
          <w:lang w:val="sr-Cyrl-RS"/>
        </w:rPr>
        <w:t xml:space="preserve"> Ниш - Топлана Криви Вир, ЈП „Градска топлана</w:t>
      </w:r>
      <w:r w:rsidR="0059134E">
        <w:rPr>
          <w:lang w:val="sr-Cyrl-RS"/>
        </w:rPr>
        <w:t>”</w:t>
      </w:r>
      <w:r w:rsidRPr="00CF77C1">
        <w:rPr>
          <w:lang w:val="sr-Cyrl-RS"/>
        </w:rPr>
        <w:t xml:space="preserve"> Ниш </w:t>
      </w:r>
      <w:r w:rsidR="000B5EDC" w:rsidRPr="00CF77C1">
        <w:rPr>
          <w:lang w:val="sr-Cyrl-RS"/>
        </w:rPr>
        <w:t>-</w:t>
      </w:r>
      <w:r w:rsidRPr="00CF77C1">
        <w:rPr>
          <w:lang w:val="sr-Cyrl-RS"/>
        </w:rPr>
        <w:t xml:space="preserve"> Топлана Југ, ЈКП „Новосадска топлана</w:t>
      </w:r>
      <w:r w:rsidR="0059134E">
        <w:rPr>
          <w:lang w:val="sr-Cyrl-RS"/>
        </w:rPr>
        <w:t>”</w:t>
      </w:r>
      <w:r w:rsidRPr="00CF77C1">
        <w:rPr>
          <w:lang w:val="sr-Cyrl-RS"/>
        </w:rPr>
        <w:t xml:space="preserve"> - ТО Запад, ЈКП „Новосадска топлана</w:t>
      </w:r>
      <w:r w:rsidR="0059134E">
        <w:rPr>
          <w:lang w:val="sr-Cyrl-RS"/>
        </w:rPr>
        <w:t>”</w:t>
      </w:r>
      <w:r w:rsidRPr="00CF77C1">
        <w:rPr>
          <w:lang w:val="sr-Cyrl-RS"/>
        </w:rPr>
        <w:t xml:space="preserve"> - ТО Југ, ЈКП „Новосадска топлана</w:t>
      </w:r>
      <w:r w:rsidR="0059134E">
        <w:rPr>
          <w:lang w:val="sr-Cyrl-RS"/>
        </w:rPr>
        <w:t>”</w:t>
      </w:r>
      <w:r w:rsidRPr="00CF77C1">
        <w:rPr>
          <w:lang w:val="sr-Cyrl-RS"/>
        </w:rPr>
        <w:t xml:space="preserve"> - ТО Исток) су у обавези да прибаве интегрисану дозволу. Јединице локалне самоуправе су надлежне за издавање интегрисане дозволе за спречавање загађивања.</w:t>
      </w:r>
    </w:p>
    <w:p w14:paraId="1688C456" w14:textId="28117359" w:rsidR="00AF7173" w:rsidRPr="00CF77C1" w:rsidRDefault="00AF7173" w:rsidP="00A82859">
      <w:pPr>
        <w:ind w:firstLine="720"/>
        <w:rPr>
          <w:lang w:val="sr-Cyrl-RS"/>
        </w:rPr>
      </w:pPr>
      <w:r w:rsidRPr="00CF77C1">
        <w:rPr>
          <w:lang w:val="sr-Cyrl-RS"/>
        </w:rPr>
        <w:t>Под одредбе Уредбе о граничним вредностима емисија загађујућих материја у ваздух из постројења за сагоревање</w:t>
      </w:r>
      <w:r w:rsidR="00AA4F63" w:rsidRPr="00CF77C1">
        <w:rPr>
          <w:lang w:val="sr-Cyrl-RS"/>
        </w:rPr>
        <w:t xml:space="preserve"> </w:t>
      </w:r>
      <w:r w:rsidRPr="00CF77C1">
        <w:rPr>
          <w:lang w:val="sr-Cyrl-RS"/>
        </w:rPr>
        <w:t>према критеријуму величине постројења за сагоревање потпада рад свих топлана у систему даљинског грејања. Према критеријуму величине постројења за сагоревање дефинишу се граничне вредности емисија загађујућих материја у ваздух. Сагласно члану 4</w:t>
      </w:r>
      <w:r w:rsidR="002A36AE" w:rsidRPr="00CF77C1">
        <w:rPr>
          <w:lang w:val="sr-Cyrl-RS"/>
        </w:rPr>
        <w:t>.</w:t>
      </w:r>
      <w:r w:rsidRPr="00CF77C1">
        <w:rPr>
          <w:lang w:val="sr-Cyrl-RS"/>
        </w:rPr>
        <w:t xml:space="preserve"> Уредбе</w:t>
      </w:r>
      <w:r w:rsidR="0049024D" w:rsidRPr="00CF77C1">
        <w:rPr>
          <w:lang w:val="sr-Cyrl-RS"/>
        </w:rPr>
        <w:t xml:space="preserve"> о граничним вредностима емисија загађујућих материја у ваздух из постројења за сагоревање према критеријуму величине постројења за сагоревање</w:t>
      </w:r>
      <w:r w:rsidR="00DE4E75" w:rsidRPr="00CF77C1">
        <w:rPr>
          <w:lang w:val="sr-Cyrl-RS"/>
        </w:rPr>
        <w:t xml:space="preserve"> </w:t>
      </w:r>
      <w:r w:rsidRPr="00CF77C1">
        <w:rPr>
          <w:lang w:val="sr-Cyrl-RS"/>
        </w:rPr>
        <w:t>велика постројења за сагоревање су постројења чија је инсталисана топлотна снага једнака 50 MWth или већа, независно од врсте горива која се корист</w:t>
      </w:r>
      <w:r w:rsidR="00F70DB7" w:rsidRPr="00CF77C1">
        <w:rPr>
          <w:lang w:val="sr-Cyrl-RS"/>
        </w:rPr>
        <w:t>е (чврста, течна или гасовита).</w:t>
      </w:r>
    </w:p>
    <w:p w14:paraId="17E0E000" w14:textId="3ED049FE" w:rsidR="00AF7173" w:rsidRPr="00CF77C1" w:rsidRDefault="00AF7173" w:rsidP="0049024D">
      <w:pPr>
        <w:ind w:firstLine="720"/>
        <w:rPr>
          <w:lang w:val="sr-Cyrl-RS"/>
        </w:rPr>
      </w:pPr>
      <w:r w:rsidRPr="00CF77C1">
        <w:rPr>
          <w:lang w:val="sr-Cyrl-RS"/>
        </w:rPr>
        <w:t xml:space="preserve">У топланама се налази укупно 40 постројења за сагоревање чија је топлотна снага већа од 50 MWth (укупна топлотна снага &gt; 3200 MWth) која имају обавезу да ускладе емисије загађујућих материја у ваздух сагласно дефинисаним вредностима емисија из Прилога 1 </w:t>
      </w:r>
      <w:r w:rsidR="0049024D" w:rsidRPr="00CF77C1">
        <w:rPr>
          <w:lang w:val="sr-Cyrl-RS"/>
        </w:rPr>
        <w:t>Уредбе о граничним вредностима емисија загађујућих материја у ваздух из постројења за сагоревање.</w:t>
      </w:r>
    </w:p>
    <w:p w14:paraId="28FE21CA" w14:textId="3403CC08" w:rsidR="00AF7173" w:rsidRPr="00CF77C1" w:rsidRDefault="00AF7173" w:rsidP="00A82859">
      <w:pPr>
        <w:ind w:firstLine="720"/>
        <w:rPr>
          <w:lang w:val="sr-Cyrl-RS"/>
        </w:rPr>
      </w:pPr>
      <w:r w:rsidRPr="00CF77C1">
        <w:rPr>
          <w:lang w:val="sr-Cyrl-RS"/>
        </w:rPr>
        <w:t>Средња постројења за сагоревање су постројења за сагоревање у којима се коришћењем чврстог горива производи топлотна енергија и чија је инсталисана топлотна снага једнака или већа од 1 МWth и мања од 50 МWth, односно, коришћењем течног горива производи топлотна енергија за загревање домаћинстава и чија је инсталисана топлотна снага једнака или већа од 5 МWth и мања од 50 МWth, као и коришћењем гасовитог горива производи топлотна енергија за загревање домаћинстава и чија је инсталисана топлотна снага једнака или већа од 10 МWth и мања од 50 МWth.</w:t>
      </w:r>
    </w:p>
    <w:p w14:paraId="03409AF4" w14:textId="3025E37B" w:rsidR="000D53CA" w:rsidRPr="00CF77C1" w:rsidRDefault="00AF7173" w:rsidP="0049024D">
      <w:pPr>
        <w:ind w:firstLine="720"/>
        <w:rPr>
          <w:lang w:val="sr-Cyrl-RS"/>
        </w:rPr>
      </w:pPr>
      <w:r w:rsidRPr="00CF77C1">
        <w:rPr>
          <w:lang w:val="sr-Cyrl-RS"/>
        </w:rPr>
        <w:t xml:space="preserve">У топланама је оквирно евидентирано 145 средњих постројења за сагоревање (укупна топлотна снага &gt; 1900 MWth) која имају обавезу да ускладе емисије загађујућих материја у ваздух сагласно дефинисаним вредностима емисија из Прилога 2 </w:t>
      </w:r>
      <w:r w:rsidR="00F70DB7" w:rsidRPr="00CF77C1">
        <w:rPr>
          <w:lang w:val="sr-Cyrl-RS"/>
        </w:rPr>
        <w:t>Уредбе</w:t>
      </w:r>
      <w:r w:rsidR="0049024D" w:rsidRPr="00CF77C1">
        <w:rPr>
          <w:lang w:val="sr-Cyrl-RS"/>
        </w:rPr>
        <w:t xml:space="preserve"> о граничним вредностима емисија загађујућих материја у ваздух из постројења за сагоревање.</w:t>
      </w:r>
    </w:p>
    <w:p w14:paraId="0CDDCB9B" w14:textId="6C3A7E70" w:rsidR="006C11C7" w:rsidRPr="00CF77C1" w:rsidRDefault="006C11C7" w:rsidP="00A82859">
      <w:pPr>
        <w:ind w:firstLine="720"/>
        <w:rPr>
          <w:lang w:val="sr-Cyrl-RS"/>
        </w:rPr>
      </w:pPr>
      <w:r w:rsidRPr="00CF77C1">
        <w:rPr>
          <w:lang w:val="sr-Cyrl-RS"/>
        </w:rPr>
        <w:t>Будући да у области топлотне енергије у структури потрошње енергената доминира природни гас, у овом сектору подстицај треба дати коришћењу природног гаса и ОИЕ који у значајној мери имају утицај на смањење емисије штетних гасова у атмосферу.</w:t>
      </w:r>
    </w:p>
    <w:p w14:paraId="7F586D84" w14:textId="0D5294F8" w:rsidR="0052492B" w:rsidRPr="00CF77C1" w:rsidRDefault="0052492B" w:rsidP="00A82859">
      <w:pPr>
        <w:ind w:firstLine="720"/>
        <w:rPr>
          <w:lang w:val="sr-Cyrl-RS"/>
        </w:rPr>
      </w:pPr>
      <w:r w:rsidRPr="00CF77C1">
        <w:rPr>
          <w:lang w:val="sr-Cyrl-RS"/>
        </w:rPr>
        <w:t xml:space="preserve">Процењени збирни допринос анализираних пројеката у области топлотне енергије у погледу смањења годишње емисија гасова са ефектом стаклене баште, изузимајући изградњу </w:t>
      </w:r>
      <w:r w:rsidR="00D27CE2" w:rsidRPr="00CF77C1">
        <w:rPr>
          <w:lang w:val="sr-Cyrl-RS"/>
        </w:rPr>
        <w:t xml:space="preserve">или </w:t>
      </w:r>
      <w:r w:rsidRPr="00CF77C1">
        <w:rPr>
          <w:lang w:val="sr-Cyrl-RS"/>
        </w:rPr>
        <w:t xml:space="preserve">прелазак котларница на биомасу који су разматрани у поглављу које се односи на област обновљивих извора енергије, износи </w:t>
      </w:r>
      <w:r w:rsidR="003E69A1" w:rsidRPr="00CF77C1">
        <w:rPr>
          <w:lang w:val="sr-Cyrl-RS"/>
        </w:rPr>
        <w:t>328</w:t>
      </w:r>
      <w:r w:rsidRPr="00CF77C1">
        <w:rPr>
          <w:lang w:val="sr-Cyrl-RS"/>
        </w:rPr>
        <w:t xml:space="preserve"> Gg CO2eq, што чини око </w:t>
      </w:r>
      <w:r w:rsidR="003E69A1" w:rsidRPr="00CF77C1">
        <w:rPr>
          <w:lang w:val="sr-Cyrl-RS"/>
        </w:rPr>
        <w:t>4</w:t>
      </w:r>
      <w:r w:rsidRPr="00CF77C1">
        <w:rPr>
          <w:lang w:val="sr-Cyrl-RS"/>
        </w:rPr>
        <w:t>% намераваног национално одређеног доприноса за 2030. годину.</w:t>
      </w:r>
    </w:p>
    <w:p w14:paraId="7BA25CFC" w14:textId="2554CAAA" w:rsidR="002E3868" w:rsidRPr="00CF77C1" w:rsidRDefault="00141BA0" w:rsidP="00141BA0">
      <w:pPr>
        <w:pStyle w:val="Heading2"/>
        <w:numPr>
          <w:ilvl w:val="0"/>
          <w:numId w:val="0"/>
        </w:numPr>
        <w:ind w:left="720"/>
        <w:rPr>
          <w:rFonts w:ascii="Times New Roman" w:hAnsi="Times New Roman"/>
          <w:b w:val="0"/>
          <w:lang w:val="sr-Cyrl-RS"/>
        </w:rPr>
      </w:pPr>
      <w:bookmarkStart w:id="70" w:name="_Toc484260294"/>
      <w:r w:rsidRPr="00CF77C1">
        <w:rPr>
          <w:rFonts w:ascii="Times New Roman" w:hAnsi="Times New Roman"/>
          <w:b w:val="0"/>
          <w:lang w:val="sr-Cyrl-RS"/>
        </w:rPr>
        <w:t xml:space="preserve">3.3. </w:t>
      </w:r>
      <w:r w:rsidR="002E3868" w:rsidRPr="00CF77C1">
        <w:rPr>
          <w:rFonts w:ascii="Times New Roman" w:hAnsi="Times New Roman"/>
          <w:b w:val="0"/>
          <w:lang w:val="sr-Cyrl-RS"/>
        </w:rPr>
        <w:t>Област обновљивих извора енергије</w:t>
      </w:r>
      <w:bookmarkEnd w:id="69"/>
      <w:bookmarkEnd w:id="70"/>
    </w:p>
    <w:p w14:paraId="3B7253AE" w14:textId="4A0D341C" w:rsidR="00294AC7" w:rsidRPr="00CF77C1" w:rsidRDefault="00294AC7" w:rsidP="00A82859">
      <w:pPr>
        <w:ind w:firstLine="720"/>
        <w:rPr>
          <w:lang w:val="sr-Cyrl-RS"/>
        </w:rPr>
      </w:pPr>
      <w:bookmarkStart w:id="71" w:name="_Ref470908610"/>
      <w:r w:rsidRPr="00CF77C1">
        <w:rPr>
          <w:lang w:val="sr-Cyrl-RS"/>
        </w:rPr>
        <w:t xml:space="preserve">Стратешки циљеви Републике Србије у области обновљивих извора енергије дефинисани су Стратегијом </w:t>
      </w:r>
      <w:r w:rsidR="00B9618D" w:rsidRPr="00CF77C1">
        <w:rPr>
          <w:lang w:val="sr-Cyrl-RS"/>
        </w:rPr>
        <w:t>енергетике</w:t>
      </w:r>
      <w:r w:rsidRPr="00CF77C1">
        <w:rPr>
          <w:lang w:val="sr-Cyrl-RS"/>
        </w:rPr>
        <w:t>. За сваки циљ дефинисани су параметри на основу којих се прати његова реализација.</w:t>
      </w:r>
    </w:p>
    <w:p w14:paraId="2C010B82" w14:textId="0110A177" w:rsidR="00294AC7" w:rsidRPr="00CF77C1" w:rsidRDefault="00294AC7" w:rsidP="00A82859">
      <w:pPr>
        <w:ind w:firstLine="720"/>
        <w:rPr>
          <w:lang w:val="sr-Cyrl-RS"/>
        </w:rPr>
      </w:pPr>
      <w:r w:rsidRPr="00CF77C1">
        <w:rPr>
          <w:lang w:val="sr-Cyrl-RS"/>
        </w:rPr>
        <w:t>Повећање производње енергије из ОИЕ важно је због сма</w:t>
      </w:r>
      <w:r w:rsidR="00221656" w:rsidRPr="00CF77C1">
        <w:rPr>
          <w:lang w:val="sr-Cyrl-RS"/>
        </w:rPr>
        <w:t>њења увозне зависности, подизања нивоа</w:t>
      </w:r>
      <w:r w:rsidRPr="00CF77C1">
        <w:rPr>
          <w:lang w:val="sr-Cyrl-RS"/>
        </w:rPr>
        <w:t xml:space="preserve"> енергетске безбедности и заштите животне средине.</w:t>
      </w:r>
    </w:p>
    <w:p w14:paraId="3F235723" w14:textId="77777777" w:rsidR="00294AC7" w:rsidRPr="00CF77C1" w:rsidRDefault="00294AC7" w:rsidP="00A82859">
      <w:pPr>
        <w:ind w:firstLine="720"/>
        <w:rPr>
          <w:lang w:val="sr-Cyrl-RS"/>
        </w:rPr>
      </w:pPr>
      <w:r w:rsidRPr="00CF77C1">
        <w:rPr>
          <w:lang w:val="sr-Cyrl-RS"/>
        </w:rPr>
        <w:t>Националним акционим планом за коришћење ОИЕ планирано је да до 2020. године Република Србија достигне учешће од 27% ОИЕ у укупној бруто финалној потрошњи енергије Републике Србије и удео од најмање 10% ОИЕ у бруто финалној потрошњи енергије Републике Србије у саобраћају. Сходно томе формирана је табела мерљивих циљева.</w:t>
      </w:r>
    </w:p>
    <w:p w14:paraId="47E21F98" w14:textId="6A3E99FA" w:rsidR="0075721A" w:rsidRPr="00CF77C1" w:rsidRDefault="00D61BC9" w:rsidP="00A82859">
      <w:pPr>
        <w:pStyle w:val="Caption"/>
        <w:ind w:firstLine="720"/>
        <w:rPr>
          <w:b w:val="0"/>
          <w:lang w:val="sr-Cyrl-RS"/>
        </w:rPr>
      </w:pPr>
      <w:r w:rsidRPr="00CF77C1">
        <w:rPr>
          <w:b w:val="0"/>
          <w:lang w:val="sr-Cyrl-RS"/>
        </w:rPr>
        <w:t>таб.</w:t>
      </w:r>
      <w:r w:rsidR="0075721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32</w:t>
      </w:r>
      <w:r w:rsidR="0092145E" w:rsidRPr="00CF77C1">
        <w:rPr>
          <w:b w:val="0"/>
          <w:lang w:val="sr-Cyrl-RS"/>
        </w:rPr>
        <w:fldChar w:fldCharType="end"/>
      </w:r>
      <w:bookmarkEnd w:id="71"/>
      <w:r w:rsidR="0075721A" w:rsidRPr="00CF77C1">
        <w:rPr>
          <w:b w:val="0"/>
          <w:lang w:val="sr-Cyrl-RS"/>
        </w:rPr>
        <w:t xml:space="preserve">: Индикатори </w:t>
      </w:r>
      <w:r w:rsidR="00EC7E28" w:rsidRPr="00CF77C1">
        <w:rPr>
          <w:b w:val="0"/>
          <w:lang w:val="sr-Cyrl-RS"/>
        </w:rPr>
        <w:t>у вези са обновљивим изворима</w:t>
      </w:r>
      <w:r w:rsidR="0075721A" w:rsidRPr="00CF77C1">
        <w:rPr>
          <w:b w:val="0"/>
          <w:lang w:val="sr-Cyrl-RS"/>
        </w:rPr>
        <w:t xml:space="preserve"> енергије</w:t>
      </w:r>
    </w:p>
    <w:tbl>
      <w:tblPr>
        <w:tblStyle w:val="TableGrid"/>
        <w:tblW w:w="9511" w:type="dxa"/>
        <w:tblLook w:val="04A0" w:firstRow="1" w:lastRow="0" w:firstColumn="1" w:lastColumn="0" w:noHBand="0" w:noVBand="1"/>
      </w:tblPr>
      <w:tblGrid>
        <w:gridCol w:w="7763"/>
        <w:gridCol w:w="1748"/>
      </w:tblGrid>
      <w:tr w:rsidR="0075721A" w:rsidRPr="00CF77C1" w14:paraId="3939FD8D" w14:textId="77777777" w:rsidTr="00D643CB">
        <w:tc>
          <w:tcPr>
            <w:tcW w:w="7763" w:type="dxa"/>
            <w:vAlign w:val="center"/>
          </w:tcPr>
          <w:p w14:paraId="48E2F750" w14:textId="77777777" w:rsidR="0075721A" w:rsidRPr="00CF77C1" w:rsidRDefault="0075721A" w:rsidP="0080044B">
            <w:pPr>
              <w:jc w:val="center"/>
              <w:rPr>
                <w:lang w:val="sr-Cyrl-RS"/>
              </w:rPr>
            </w:pPr>
            <w:r w:rsidRPr="00CF77C1">
              <w:rPr>
                <w:lang w:val="sr-Cyrl-RS"/>
              </w:rPr>
              <w:t>Мерљиви циљ</w:t>
            </w:r>
          </w:p>
        </w:tc>
        <w:tc>
          <w:tcPr>
            <w:tcW w:w="1748" w:type="dxa"/>
            <w:vAlign w:val="center"/>
          </w:tcPr>
          <w:p w14:paraId="4636A3E2" w14:textId="77777777" w:rsidR="0075721A" w:rsidRPr="00CF77C1" w:rsidRDefault="0075721A" w:rsidP="0080044B">
            <w:pPr>
              <w:jc w:val="center"/>
              <w:rPr>
                <w:lang w:val="sr-Cyrl-RS"/>
              </w:rPr>
            </w:pPr>
            <w:r w:rsidRPr="00CF77C1">
              <w:rPr>
                <w:lang w:val="sr-Cyrl-RS"/>
              </w:rPr>
              <w:t>2020.</w:t>
            </w:r>
          </w:p>
        </w:tc>
      </w:tr>
      <w:tr w:rsidR="00294AC7" w:rsidRPr="00CF77C1" w14:paraId="76BF45D8" w14:textId="77777777" w:rsidTr="00D643CB">
        <w:tc>
          <w:tcPr>
            <w:tcW w:w="7763" w:type="dxa"/>
            <w:vAlign w:val="center"/>
          </w:tcPr>
          <w:p w14:paraId="00C0EC02" w14:textId="6D81D44B" w:rsidR="00294AC7" w:rsidRPr="00CF77C1" w:rsidRDefault="00294AC7" w:rsidP="0080044B">
            <w:pPr>
              <w:jc w:val="left"/>
              <w:rPr>
                <w:lang w:val="sr-Cyrl-RS"/>
              </w:rPr>
            </w:pPr>
            <w:r w:rsidRPr="00CF77C1">
              <w:rPr>
                <w:lang w:val="sr-Cyrl-RS"/>
              </w:rPr>
              <w:t>Учешће ОИЕ</w:t>
            </w:r>
            <w:r w:rsidRPr="00CF77C1" w:rsidDel="00E413E2">
              <w:rPr>
                <w:lang w:val="sr-Cyrl-RS"/>
              </w:rPr>
              <w:t xml:space="preserve"> </w:t>
            </w:r>
            <w:r w:rsidRPr="00CF77C1">
              <w:rPr>
                <w:lang w:val="sr-Cyrl-RS"/>
              </w:rPr>
              <w:t>у укупној бруто финалној потрошњи енергије Републике Србије (%)</w:t>
            </w:r>
          </w:p>
        </w:tc>
        <w:tc>
          <w:tcPr>
            <w:tcW w:w="1748" w:type="dxa"/>
            <w:vAlign w:val="center"/>
          </w:tcPr>
          <w:p w14:paraId="042ABDC8" w14:textId="0C50EBD2" w:rsidR="00294AC7" w:rsidRPr="00CF77C1" w:rsidRDefault="00294AC7" w:rsidP="0080044B">
            <w:pPr>
              <w:jc w:val="center"/>
              <w:rPr>
                <w:lang w:val="sr-Cyrl-RS"/>
              </w:rPr>
            </w:pPr>
            <w:r w:rsidRPr="00CF77C1">
              <w:rPr>
                <w:lang w:val="sr-Cyrl-RS"/>
              </w:rPr>
              <w:t>27</w:t>
            </w:r>
          </w:p>
        </w:tc>
      </w:tr>
      <w:tr w:rsidR="00294AC7" w:rsidRPr="00CF77C1" w14:paraId="5CF78975" w14:textId="77777777" w:rsidTr="00D643CB">
        <w:tc>
          <w:tcPr>
            <w:tcW w:w="7763" w:type="dxa"/>
            <w:vAlign w:val="center"/>
          </w:tcPr>
          <w:p w14:paraId="22E770E8" w14:textId="4806A2B6" w:rsidR="00294AC7" w:rsidRPr="00CF77C1" w:rsidRDefault="00294AC7" w:rsidP="0080044B">
            <w:pPr>
              <w:jc w:val="left"/>
              <w:rPr>
                <w:lang w:val="sr-Cyrl-RS"/>
              </w:rPr>
            </w:pPr>
            <w:r w:rsidRPr="00CF77C1">
              <w:rPr>
                <w:lang w:val="sr-Cyrl-RS"/>
              </w:rPr>
              <w:t>Учешће ОИЕ</w:t>
            </w:r>
            <w:r w:rsidRPr="00CF77C1" w:rsidDel="00E413E2">
              <w:rPr>
                <w:lang w:val="sr-Cyrl-RS"/>
              </w:rPr>
              <w:t xml:space="preserve"> </w:t>
            </w:r>
            <w:r w:rsidRPr="00CF77C1">
              <w:rPr>
                <w:lang w:val="sr-Cyrl-RS"/>
              </w:rPr>
              <w:t>у бруто финалној потрошњи енергије Републике Србије у саобраћају (%)</w:t>
            </w:r>
          </w:p>
        </w:tc>
        <w:tc>
          <w:tcPr>
            <w:tcW w:w="1748" w:type="dxa"/>
            <w:vAlign w:val="center"/>
          </w:tcPr>
          <w:p w14:paraId="23E32B0E" w14:textId="3BA73AC6" w:rsidR="00294AC7" w:rsidRPr="00CF77C1" w:rsidRDefault="00294AC7" w:rsidP="0080044B">
            <w:pPr>
              <w:jc w:val="center"/>
              <w:rPr>
                <w:lang w:val="sr-Cyrl-RS"/>
              </w:rPr>
            </w:pPr>
            <w:r w:rsidRPr="00CF77C1">
              <w:rPr>
                <w:lang w:val="sr-Cyrl-RS"/>
              </w:rPr>
              <w:t>10</w:t>
            </w:r>
          </w:p>
        </w:tc>
      </w:tr>
      <w:tr w:rsidR="00294AC7" w:rsidRPr="00CF77C1" w14:paraId="7EABD650" w14:textId="77777777" w:rsidTr="00D643CB">
        <w:tc>
          <w:tcPr>
            <w:tcW w:w="7763" w:type="dxa"/>
            <w:vAlign w:val="center"/>
          </w:tcPr>
          <w:p w14:paraId="1F613163" w14:textId="5C6207C3" w:rsidR="00294AC7" w:rsidRPr="00CF77C1" w:rsidRDefault="00294AC7" w:rsidP="0080044B">
            <w:pPr>
              <w:jc w:val="left"/>
              <w:rPr>
                <w:lang w:val="sr-Cyrl-RS"/>
              </w:rPr>
            </w:pPr>
            <w:r w:rsidRPr="00CF77C1">
              <w:rPr>
                <w:lang w:val="sr-Cyrl-RS"/>
              </w:rPr>
              <w:t>Укупно пројектовано нето смањење емисије гасова са ефектом стаклене баште коришћењем ОИЕ</w:t>
            </w:r>
            <w:r w:rsidRPr="00CF77C1" w:rsidDel="00E413E2">
              <w:rPr>
                <w:lang w:val="sr-Cyrl-RS"/>
              </w:rPr>
              <w:t xml:space="preserve"> </w:t>
            </w:r>
            <w:r w:rsidRPr="00CF77C1">
              <w:rPr>
                <w:lang w:val="sr-Cyrl-RS"/>
              </w:rPr>
              <w:t>(t СО</w:t>
            </w:r>
            <w:r w:rsidRPr="00CF77C1">
              <w:rPr>
                <w:vertAlign w:val="subscript"/>
                <w:lang w:val="sr-Cyrl-RS"/>
              </w:rPr>
              <w:t>2</w:t>
            </w:r>
            <w:r w:rsidRPr="00CF77C1">
              <w:rPr>
                <w:szCs w:val="24"/>
                <w:lang w:val="sr-Cyrl-RS"/>
              </w:rPr>
              <w:t>eq</w:t>
            </w:r>
            <w:r w:rsidRPr="00CF77C1">
              <w:rPr>
                <w:lang w:val="sr-Cyrl-RS"/>
              </w:rPr>
              <w:t>)</w:t>
            </w:r>
          </w:p>
        </w:tc>
        <w:tc>
          <w:tcPr>
            <w:tcW w:w="1748" w:type="dxa"/>
            <w:vAlign w:val="center"/>
          </w:tcPr>
          <w:p w14:paraId="6EB05B4F" w14:textId="3906BA60" w:rsidR="00294AC7" w:rsidRPr="00CF77C1" w:rsidRDefault="009B4D43" w:rsidP="009B4D43">
            <w:pPr>
              <w:jc w:val="center"/>
              <w:rPr>
                <w:color w:val="000000"/>
                <w:szCs w:val="24"/>
                <w:lang w:val="sr-Cyrl-RS"/>
              </w:rPr>
            </w:pPr>
            <w:r w:rsidRPr="00CF77C1">
              <w:rPr>
                <w:color w:val="000000"/>
                <w:lang w:val="sr-Cyrl-RS"/>
              </w:rPr>
              <w:t>19.333.265</w:t>
            </w:r>
          </w:p>
        </w:tc>
      </w:tr>
      <w:tr w:rsidR="00294AC7" w:rsidRPr="00CF77C1" w14:paraId="2CD250B3" w14:textId="77777777" w:rsidTr="00D643CB">
        <w:tc>
          <w:tcPr>
            <w:tcW w:w="7763" w:type="dxa"/>
            <w:vAlign w:val="center"/>
          </w:tcPr>
          <w:p w14:paraId="2149BB91" w14:textId="6BAC4DCE" w:rsidR="00294AC7" w:rsidRPr="00CF77C1" w:rsidRDefault="00294AC7" w:rsidP="0080044B">
            <w:pPr>
              <w:jc w:val="left"/>
              <w:rPr>
                <w:lang w:val="sr-Cyrl-RS"/>
              </w:rPr>
            </w:pPr>
            <w:r w:rsidRPr="00CF77C1">
              <w:rPr>
                <w:lang w:val="sr-Cyrl-RS"/>
              </w:rPr>
              <w:t>Пројектовано нето смањење емисије гасова са ефектом стаклене баште коришћењем ОИЕ у саобраћају (t СО</w:t>
            </w:r>
            <w:r w:rsidRPr="00CF77C1">
              <w:rPr>
                <w:vertAlign w:val="subscript"/>
                <w:lang w:val="sr-Cyrl-RS"/>
              </w:rPr>
              <w:t>2</w:t>
            </w:r>
            <w:r w:rsidRPr="00CF77C1">
              <w:rPr>
                <w:szCs w:val="24"/>
                <w:lang w:val="sr-Cyrl-RS"/>
              </w:rPr>
              <w:t>eq</w:t>
            </w:r>
            <w:r w:rsidRPr="00CF77C1">
              <w:rPr>
                <w:lang w:val="sr-Cyrl-RS"/>
              </w:rPr>
              <w:t>)</w:t>
            </w:r>
          </w:p>
        </w:tc>
        <w:tc>
          <w:tcPr>
            <w:tcW w:w="1748" w:type="dxa"/>
            <w:vAlign w:val="center"/>
          </w:tcPr>
          <w:p w14:paraId="24AD70EF" w14:textId="45BBD000" w:rsidR="00294AC7" w:rsidRPr="00CF77C1" w:rsidRDefault="009B4D43" w:rsidP="009B4D43">
            <w:pPr>
              <w:jc w:val="center"/>
              <w:rPr>
                <w:color w:val="000000"/>
                <w:szCs w:val="24"/>
                <w:lang w:val="sr-Cyrl-RS"/>
              </w:rPr>
            </w:pPr>
            <w:r w:rsidRPr="00CF77C1">
              <w:rPr>
                <w:color w:val="000000"/>
                <w:lang w:val="sr-Cyrl-RS"/>
              </w:rPr>
              <w:t>726.684</w:t>
            </w:r>
          </w:p>
        </w:tc>
      </w:tr>
    </w:tbl>
    <w:p w14:paraId="380CBB43" w14:textId="46B57A80" w:rsidR="00294AC7" w:rsidRPr="00CF77C1" w:rsidRDefault="00294AC7" w:rsidP="00A82859">
      <w:pPr>
        <w:ind w:firstLine="720"/>
        <w:rPr>
          <w:lang w:val="sr-Cyrl-RS"/>
        </w:rPr>
      </w:pPr>
      <w:r w:rsidRPr="00CF77C1">
        <w:rPr>
          <w:lang w:val="sr-Cyrl-RS"/>
        </w:rPr>
        <w:t>Методологија прорачуна учешћа ОИЕ дефинисана је у складу са Директивом 2009/28/ЕЗ, која је пренета у Закон о енергетици</w:t>
      </w:r>
      <w:r w:rsidR="00B9618D" w:rsidRPr="00CF77C1">
        <w:rPr>
          <w:lang w:val="sr-Cyrl-RS"/>
        </w:rPr>
        <w:t xml:space="preserve">. </w:t>
      </w:r>
      <w:r w:rsidR="009B4D43" w:rsidRPr="00CF77C1">
        <w:rPr>
          <w:lang w:val="sr-Cyrl-RS"/>
        </w:rPr>
        <w:t xml:space="preserve">Начин прорачуна пројектованог нето смањења емисије гасова са ефектом стаклене баште коришћењем ОИЕ прорачунат је користећи методологију објашњену у напомени испод </w:t>
      </w:r>
      <w:r w:rsidR="009B4D43" w:rsidRPr="00CF77C1">
        <w:rPr>
          <w:lang w:val="sr-Cyrl-RS"/>
        </w:rPr>
        <w:fldChar w:fldCharType="begin"/>
      </w:r>
      <w:r w:rsidR="009B4D43" w:rsidRPr="00CF77C1">
        <w:rPr>
          <w:lang w:val="sr-Cyrl-RS"/>
        </w:rPr>
        <w:instrText xml:space="preserve"> REF _Ref474861782 \h </w:instrText>
      </w:r>
      <w:r w:rsidR="0077363A" w:rsidRPr="00CF77C1">
        <w:rPr>
          <w:lang w:val="sr-Cyrl-RS"/>
        </w:rPr>
        <w:instrText xml:space="preserve"> \* MERGEFORMAT </w:instrText>
      </w:r>
      <w:r w:rsidR="009B4D43" w:rsidRPr="00CF77C1">
        <w:rPr>
          <w:lang w:val="sr-Cyrl-RS"/>
        </w:rPr>
      </w:r>
      <w:r w:rsidR="009B4D43" w:rsidRPr="00CF77C1">
        <w:rPr>
          <w:lang w:val="sr-Cyrl-RS"/>
        </w:rPr>
        <w:fldChar w:fldCharType="separate"/>
      </w:r>
      <w:r w:rsidR="002D5918" w:rsidRPr="002D5918">
        <w:rPr>
          <w:lang w:val="sr-Cyrl-RS"/>
        </w:rPr>
        <w:t>таб. 33</w:t>
      </w:r>
      <w:r w:rsidR="009B4D43" w:rsidRPr="00CF77C1">
        <w:rPr>
          <w:lang w:val="sr-Cyrl-RS"/>
        </w:rPr>
        <w:fldChar w:fldCharType="end"/>
      </w:r>
      <w:r w:rsidR="009B4D43" w:rsidRPr="00CF77C1">
        <w:rPr>
          <w:lang w:val="sr-Cyrl-RS"/>
        </w:rPr>
        <w:t>.</w:t>
      </w:r>
    </w:p>
    <w:p w14:paraId="5B78C2FE" w14:textId="01B43972" w:rsidR="00294AC7" w:rsidRPr="00CF77C1" w:rsidRDefault="00294AC7" w:rsidP="00A82859">
      <w:pPr>
        <w:ind w:firstLine="720"/>
        <w:rPr>
          <w:lang w:val="sr-Cyrl-RS"/>
        </w:rPr>
      </w:pPr>
      <w:r w:rsidRPr="00CF77C1">
        <w:rPr>
          <w:lang w:val="sr-Cyrl-RS"/>
        </w:rPr>
        <w:t xml:space="preserve">Задовољење циљева у области обновљивих извора енергије узроковано је, између осталог, и потребом да се смањи емисија гасова са ефектом стаклене баште. Циљеви везани за повећање учешћа обновљивих извора и смањење емисије гасова са ефектом стаклене баште су у директној </w:t>
      </w:r>
      <w:r w:rsidR="00E7054C" w:rsidRPr="00CF77C1">
        <w:rPr>
          <w:lang w:val="sr-Cyrl-RS"/>
        </w:rPr>
        <w:t>вези</w:t>
      </w:r>
      <w:r w:rsidRPr="00CF77C1">
        <w:rPr>
          <w:lang w:val="sr-Cyrl-RS"/>
        </w:rPr>
        <w:t xml:space="preserve"> и он</w:t>
      </w:r>
      <w:r w:rsidR="006C729D">
        <w:rPr>
          <w:lang w:val="sr-Cyrl-RS"/>
        </w:rPr>
        <w:t>и су за период реализације ПОС</w:t>
      </w:r>
      <w:r w:rsidRPr="00CF77C1">
        <w:rPr>
          <w:lang w:val="sr-Cyrl-RS"/>
        </w:rPr>
        <w:t xml:space="preserve"> приказани у </w:t>
      </w:r>
      <w:r w:rsidRPr="00CF77C1">
        <w:rPr>
          <w:lang w:val="sr-Cyrl-RS"/>
        </w:rPr>
        <w:fldChar w:fldCharType="begin"/>
      </w:r>
      <w:r w:rsidRPr="00CF77C1">
        <w:rPr>
          <w:lang w:val="sr-Cyrl-RS"/>
        </w:rPr>
        <w:instrText xml:space="preserve"> REF _Ref474861782 \h </w:instrText>
      </w:r>
      <w:r w:rsidR="002158C6" w:rsidRPr="00CF77C1">
        <w:rPr>
          <w:lang w:val="sr-Cyrl-RS"/>
        </w:rPr>
        <w:instrText xml:space="preserve"> \* MERGEFORMAT </w:instrText>
      </w:r>
      <w:r w:rsidRPr="00CF77C1">
        <w:rPr>
          <w:lang w:val="sr-Cyrl-RS"/>
        </w:rPr>
      </w:r>
      <w:r w:rsidRPr="00CF77C1">
        <w:rPr>
          <w:lang w:val="sr-Cyrl-RS"/>
        </w:rPr>
        <w:fldChar w:fldCharType="separate"/>
      </w:r>
      <w:r w:rsidR="002D5918" w:rsidRPr="002D5918">
        <w:rPr>
          <w:lang w:val="sr-Cyrl-RS"/>
        </w:rPr>
        <w:t>таб. 33</w:t>
      </w:r>
      <w:r w:rsidRPr="00CF77C1">
        <w:rPr>
          <w:lang w:val="sr-Cyrl-RS"/>
        </w:rPr>
        <w:fldChar w:fldCharType="end"/>
      </w:r>
      <w:r w:rsidRPr="00CF77C1">
        <w:rPr>
          <w:lang w:val="sr-Cyrl-RS"/>
        </w:rPr>
        <w:t>.</w:t>
      </w:r>
    </w:p>
    <w:p w14:paraId="42DD7951" w14:textId="339A1653" w:rsidR="00294AC7" w:rsidRPr="00CF77C1" w:rsidRDefault="009B4D43" w:rsidP="00A82859">
      <w:pPr>
        <w:ind w:firstLine="720"/>
        <w:rPr>
          <w:lang w:val="sr-Cyrl-RS"/>
        </w:rPr>
      </w:pPr>
      <w:r w:rsidRPr="00CF77C1">
        <w:rPr>
          <w:lang w:val="sr-Cyrl-RS"/>
        </w:rPr>
        <w:t>Укупна емисија гасова са ефектом стаклене баште у 1990. години (без понора), износила је 83.519,50 Gg CO2eq, а намеравани национално одређени допринос смањења износи 9,8% од те вредности, што износи 8.184,911 Gg CO2eq. Кроз пројектовано нето смањење емисије гасова са ефектом стаклене баште коришћењем обновљивих извора енергије (</w:t>
      </w:r>
      <w:r w:rsidR="00F61B8B" w:rsidRPr="00CF77C1">
        <w:rPr>
          <w:lang w:val="sr-Cyrl-RS"/>
        </w:rPr>
        <w:t>19.333,265</w:t>
      </w:r>
      <w:r w:rsidRPr="00CF77C1">
        <w:rPr>
          <w:lang w:val="sr-Cyrl-RS"/>
        </w:rPr>
        <w:t xml:space="preserve"> Gg CO2eq у односу на почетних </w:t>
      </w:r>
      <w:r w:rsidR="00F61B8B" w:rsidRPr="00CF77C1">
        <w:rPr>
          <w:lang w:val="sr-Cyrl-RS"/>
        </w:rPr>
        <w:t>14</w:t>
      </w:r>
      <w:r w:rsidRPr="00CF77C1">
        <w:rPr>
          <w:lang w:val="sr-Cyrl-RS"/>
        </w:rPr>
        <w:t>.</w:t>
      </w:r>
      <w:r w:rsidR="00F61B8B" w:rsidRPr="00CF77C1">
        <w:rPr>
          <w:lang w:val="sr-Cyrl-RS"/>
        </w:rPr>
        <w:t>833</w:t>
      </w:r>
      <w:r w:rsidRPr="00CF77C1">
        <w:rPr>
          <w:lang w:val="sr-Cyrl-RS"/>
        </w:rPr>
        <w:t>,</w:t>
      </w:r>
      <w:r w:rsidR="00F61B8B" w:rsidRPr="00CF77C1">
        <w:rPr>
          <w:lang w:val="sr-Cyrl-RS"/>
        </w:rPr>
        <w:t>472</w:t>
      </w:r>
      <w:r w:rsidRPr="00CF77C1">
        <w:rPr>
          <w:lang w:val="sr-Cyrl-RS"/>
        </w:rPr>
        <w:t xml:space="preserve"> Gg CO2eq у 2009. години, што је прорачунато користећи методологију објашњену у напомени испод </w:t>
      </w:r>
      <w:r w:rsidRPr="00CF77C1">
        <w:rPr>
          <w:lang w:val="sr-Cyrl-RS"/>
        </w:rPr>
        <w:fldChar w:fldCharType="begin"/>
      </w:r>
      <w:r w:rsidRPr="00CF77C1">
        <w:rPr>
          <w:lang w:val="sr-Cyrl-RS"/>
        </w:rPr>
        <w:instrText xml:space="preserve"> REF _Ref474861782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2D5918">
        <w:rPr>
          <w:lang w:val="sr-Cyrl-RS"/>
        </w:rPr>
        <w:t>таб. 33</w:t>
      </w:r>
      <w:r w:rsidRPr="00CF77C1">
        <w:rPr>
          <w:lang w:val="sr-Cyrl-RS"/>
        </w:rPr>
        <w:fldChar w:fldCharType="end"/>
      </w:r>
      <w:r w:rsidRPr="00CF77C1">
        <w:rPr>
          <w:lang w:val="sr-Cyrl-RS"/>
        </w:rPr>
        <w:t xml:space="preserve">) требало би да се до 2020. године постигне додатно смањење емисије гасова са ефектом стаклене баште за </w:t>
      </w:r>
      <w:r w:rsidR="00F61B8B" w:rsidRPr="00CF77C1">
        <w:rPr>
          <w:lang w:val="sr-Cyrl-RS"/>
        </w:rPr>
        <w:t>4</w:t>
      </w:r>
      <w:r w:rsidRPr="00CF77C1">
        <w:rPr>
          <w:lang w:val="sr-Cyrl-RS"/>
        </w:rPr>
        <w:t>.</w:t>
      </w:r>
      <w:r w:rsidR="00F61B8B" w:rsidRPr="00CF77C1">
        <w:rPr>
          <w:lang w:val="sr-Cyrl-RS"/>
        </w:rPr>
        <w:t>499</w:t>
      </w:r>
      <w:r w:rsidRPr="00CF77C1">
        <w:rPr>
          <w:lang w:val="sr-Cyrl-RS"/>
        </w:rPr>
        <w:t>,</w:t>
      </w:r>
      <w:r w:rsidR="00F61B8B" w:rsidRPr="00CF77C1">
        <w:rPr>
          <w:lang w:val="sr-Cyrl-RS"/>
        </w:rPr>
        <w:t>793</w:t>
      </w:r>
      <w:r w:rsidRPr="00CF77C1">
        <w:rPr>
          <w:lang w:val="sr-Cyrl-RS"/>
        </w:rPr>
        <w:t xml:space="preserve"> Gg CO2eq. То чини око </w:t>
      </w:r>
      <w:r w:rsidR="00F61B8B" w:rsidRPr="00CF77C1">
        <w:rPr>
          <w:lang w:val="sr-Cyrl-RS"/>
        </w:rPr>
        <w:t>55</w:t>
      </w:r>
      <w:r w:rsidRPr="00CF77C1">
        <w:rPr>
          <w:lang w:val="sr-Cyrl-RS"/>
        </w:rPr>
        <w:t xml:space="preserve">% намераваног национално одређеног доприноса за 2030. годину. </w:t>
      </w:r>
      <w:r w:rsidR="00294AC7" w:rsidRPr="00CF77C1">
        <w:rPr>
          <w:lang w:val="sr-Cyrl-RS"/>
        </w:rPr>
        <w:t xml:space="preserve">Даљом реализацијом пројеката у области обновљивих извора енергије у периоду 2021-2030. година, </w:t>
      </w:r>
      <w:r w:rsidR="00F10D3F" w:rsidRPr="00CF77C1">
        <w:rPr>
          <w:lang w:val="sr-Cyrl-RS"/>
        </w:rPr>
        <w:t xml:space="preserve">додатно ће се повећати </w:t>
      </w:r>
      <w:r w:rsidR="00294AC7" w:rsidRPr="00CF77C1">
        <w:rPr>
          <w:lang w:val="sr-Cyrl-RS"/>
        </w:rPr>
        <w:t xml:space="preserve">допринос обновљивих извора енергије смањењу емисије гасова са ефектом стаклене баште. Коначно учешће </w:t>
      </w:r>
      <w:r w:rsidR="00331048" w:rsidRPr="00CF77C1">
        <w:rPr>
          <w:lang w:val="sr-Cyrl-RS"/>
        </w:rPr>
        <w:t>ОЕИ у бруто финално</w:t>
      </w:r>
      <w:r w:rsidR="00F10D3F" w:rsidRPr="00CF77C1">
        <w:rPr>
          <w:lang w:val="sr-Cyrl-RS"/>
        </w:rPr>
        <w:t xml:space="preserve">ј потрошњи и пројектовано смањење емисије гасова са ефектом стаклене баште </w:t>
      </w:r>
      <w:r w:rsidR="00294AC7" w:rsidRPr="00CF77C1">
        <w:rPr>
          <w:lang w:val="sr-Cyrl-RS"/>
        </w:rPr>
        <w:t>ће бити могуће проценити тек након доношења нових акционих планова у овом сектору.</w:t>
      </w:r>
    </w:p>
    <w:p w14:paraId="033AD56A" w14:textId="77777777" w:rsidR="001B30E9" w:rsidRPr="00CF77C1" w:rsidRDefault="001B30E9" w:rsidP="00A82859">
      <w:pPr>
        <w:ind w:firstLine="720"/>
        <w:rPr>
          <w:lang w:val="sr-Cyrl-RS"/>
        </w:rPr>
      </w:pPr>
    </w:p>
    <w:p w14:paraId="031A0836" w14:textId="77777777" w:rsidR="001B30E9" w:rsidRPr="00CF77C1" w:rsidRDefault="001B30E9" w:rsidP="0080044B">
      <w:pPr>
        <w:rPr>
          <w:lang w:val="sr-Cyrl-RS"/>
        </w:rPr>
        <w:sectPr w:rsidR="001B30E9" w:rsidRPr="00CF77C1" w:rsidSect="00A82859">
          <w:headerReference w:type="default" r:id="rId53"/>
          <w:footerReference w:type="default" r:id="rId54"/>
          <w:pgSz w:w="11907" w:h="16839" w:code="9"/>
          <w:pgMar w:top="1134" w:right="1377" w:bottom="1134" w:left="1260" w:header="720" w:footer="720" w:gutter="0"/>
          <w:cols w:space="720"/>
          <w:docGrid w:linePitch="360"/>
        </w:sectPr>
      </w:pPr>
    </w:p>
    <w:p w14:paraId="18B9B97F" w14:textId="09E335B1" w:rsidR="001B30E9" w:rsidRPr="00CF77C1" w:rsidRDefault="001B30E9" w:rsidP="00A82859">
      <w:pPr>
        <w:pStyle w:val="Caption"/>
        <w:ind w:firstLine="720"/>
        <w:rPr>
          <w:b w:val="0"/>
          <w:lang w:val="sr-Cyrl-RS"/>
        </w:rPr>
      </w:pPr>
      <w:bookmarkStart w:id="72" w:name="_Ref474861782"/>
      <w:r w:rsidRPr="00CF77C1">
        <w:rPr>
          <w:b w:val="0"/>
          <w:lang w:val="sr-Cyrl-RS"/>
        </w:rPr>
        <w:t>таб.</w:t>
      </w:r>
      <w:r w:rsidR="00F915E2" w:rsidRPr="00CF77C1">
        <w:rPr>
          <w:b w:val="0"/>
          <w:lang w:val="sr-Cyrl-RS"/>
        </w:rPr>
        <w:t>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33</w:t>
      </w:r>
      <w:r w:rsidR="0092145E" w:rsidRPr="00CF77C1">
        <w:rPr>
          <w:b w:val="0"/>
          <w:lang w:val="sr-Cyrl-RS"/>
        </w:rPr>
        <w:fldChar w:fldCharType="end"/>
      </w:r>
      <w:bookmarkEnd w:id="72"/>
      <w:r w:rsidRPr="00CF77C1">
        <w:rPr>
          <w:b w:val="0"/>
          <w:lang w:val="sr-Cyrl-RS"/>
        </w:rPr>
        <w:t xml:space="preserve">: Преглед циљева производње енергије из обновљивих извора по секторима и циљева </w:t>
      </w:r>
      <w:r w:rsidR="00C85E36" w:rsidRPr="00CF77C1">
        <w:rPr>
          <w:b w:val="0"/>
          <w:lang w:val="sr-Cyrl-RS"/>
        </w:rPr>
        <w:t>смањења емисије</w:t>
      </w:r>
      <w:r w:rsidRPr="00CF77C1">
        <w:rPr>
          <w:b w:val="0"/>
          <w:lang w:val="sr-Cyrl-RS"/>
        </w:rPr>
        <w:t xml:space="preserve"> гасова са ефектом стаклене баште као последица производње енергије из обновљивих изво</w:t>
      </w:r>
      <w:r w:rsidR="006C729D">
        <w:rPr>
          <w:b w:val="0"/>
          <w:lang w:val="sr-Cyrl-RS"/>
        </w:rPr>
        <w:t>ра по годинама реализације ПОС</w:t>
      </w:r>
    </w:p>
    <w:tbl>
      <w:tblPr>
        <w:tblStyle w:val="TableGrid"/>
        <w:tblW w:w="0" w:type="auto"/>
        <w:tblLook w:val="04A0" w:firstRow="1" w:lastRow="0" w:firstColumn="1" w:lastColumn="0" w:noHBand="0" w:noVBand="1"/>
      </w:tblPr>
      <w:tblGrid>
        <w:gridCol w:w="5637"/>
        <w:gridCol w:w="1307"/>
        <w:gridCol w:w="1307"/>
        <w:gridCol w:w="1307"/>
        <w:gridCol w:w="1307"/>
        <w:gridCol w:w="1307"/>
        <w:gridCol w:w="1307"/>
        <w:gridCol w:w="1308"/>
      </w:tblGrid>
      <w:tr w:rsidR="001B30E9" w:rsidRPr="00CF77C1" w14:paraId="299401CB" w14:textId="77777777" w:rsidTr="00C56BE7">
        <w:tc>
          <w:tcPr>
            <w:tcW w:w="5637" w:type="dxa"/>
            <w:vAlign w:val="center"/>
          </w:tcPr>
          <w:p w14:paraId="280DF159" w14:textId="77777777" w:rsidR="001B30E9" w:rsidRPr="00CF77C1" w:rsidRDefault="001B30E9" w:rsidP="0080044B">
            <w:pPr>
              <w:jc w:val="center"/>
              <w:rPr>
                <w:sz w:val="22"/>
                <w:szCs w:val="22"/>
                <w:lang w:val="sr-Cyrl-RS"/>
              </w:rPr>
            </w:pPr>
          </w:p>
        </w:tc>
        <w:tc>
          <w:tcPr>
            <w:tcW w:w="1307" w:type="dxa"/>
            <w:vAlign w:val="center"/>
          </w:tcPr>
          <w:p w14:paraId="39F0BD6F" w14:textId="6EEED453" w:rsidR="001B30E9" w:rsidRPr="00CF77C1" w:rsidRDefault="001B30E9" w:rsidP="0080044B">
            <w:pPr>
              <w:jc w:val="center"/>
              <w:rPr>
                <w:sz w:val="22"/>
                <w:szCs w:val="22"/>
                <w:lang w:val="sr-Cyrl-RS"/>
              </w:rPr>
            </w:pPr>
            <w:r w:rsidRPr="00CF77C1">
              <w:rPr>
                <w:sz w:val="22"/>
                <w:szCs w:val="22"/>
                <w:lang w:val="sr-Cyrl-RS"/>
              </w:rPr>
              <w:t>2017</w:t>
            </w:r>
            <w:r w:rsidR="00F10D3F" w:rsidRPr="00CF77C1">
              <w:rPr>
                <w:sz w:val="22"/>
                <w:szCs w:val="22"/>
                <w:lang w:val="sr-Cyrl-RS"/>
              </w:rPr>
              <w:t>.</w:t>
            </w:r>
          </w:p>
        </w:tc>
        <w:tc>
          <w:tcPr>
            <w:tcW w:w="1307" w:type="dxa"/>
            <w:vAlign w:val="center"/>
          </w:tcPr>
          <w:p w14:paraId="63A02234" w14:textId="5B546644" w:rsidR="001B30E9" w:rsidRPr="00CF77C1" w:rsidRDefault="001B30E9" w:rsidP="0080044B">
            <w:pPr>
              <w:jc w:val="center"/>
              <w:rPr>
                <w:sz w:val="22"/>
                <w:szCs w:val="22"/>
                <w:lang w:val="sr-Cyrl-RS"/>
              </w:rPr>
            </w:pPr>
            <w:r w:rsidRPr="00CF77C1">
              <w:rPr>
                <w:sz w:val="22"/>
                <w:szCs w:val="22"/>
                <w:lang w:val="sr-Cyrl-RS"/>
              </w:rPr>
              <w:t>2018</w:t>
            </w:r>
            <w:r w:rsidR="00F10D3F" w:rsidRPr="00CF77C1">
              <w:rPr>
                <w:sz w:val="22"/>
                <w:szCs w:val="22"/>
                <w:lang w:val="sr-Cyrl-RS"/>
              </w:rPr>
              <w:t>.</w:t>
            </w:r>
          </w:p>
        </w:tc>
        <w:tc>
          <w:tcPr>
            <w:tcW w:w="1307" w:type="dxa"/>
            <w:vAlign w:val="center"/>
          </w:tcPr>
          <w:p w14:paraId="114D0301" w14:textId="4FE4311E" w:rsidR="001B30E9" w:rsidRPr="00CF77C1" w:rsidRDefault="001B30E9" w:rsidP="0080044B">
            <w:pPr>
              <w:jc w:val="center"/>
              <w:rPr>
                <w:sz w:val="22"/>
                <w:szCs w:val="22"/>
                <w:lang w:val="sr-Cyrl-RS"/>
              </w:rPr>
            </w:pPr>
            <w:r w:rsidRPr="00CF77C1">
              <w:rPr>
                <w:sz w:val="22"/>
                <w:szCs w:val="22"/>
                <w:lang w:val="sr-Cyrl-RS"/>
              </w:rPr>
              <w:t>2019</w:t>
            </w:r>
            <w:r w:rsidR="00F10D3F" w:rsidRPr="00CF77C1">
              <w:rPr>
                <w:sz w:val="22"/>
                <w:szCs w:val="22"/>
                <w:lang w:val="sr-Cyrl-RS"/>
              </w:rPr>
              <w:t>.</w:t>
            </w:r>
          </w:p>
        </w:tc>
        <w:tc>
          <w:tcPr>
            <w:tcW w:w="1307" w:type="dxa"/>
            <w:vAlign w:val="center"/>
          </w:tcPr>
          <w:p w14:paraId="5278F63C" w14:textId="003D33C1" w:rsidR="001B30E9" w:rsidRPr="00CF77C1" w:rsidRDefault="001B30E9" w:rsidP="0080044B">
            <w:pPr>
              <w:jc w:val="center"/>
              <w:rPr>
                <w:sz w:val="22"/>
                <w:szCs w:val="22"/>
                <w:lang w:val="sr-Cyrl-RS"/>
              </w:rPr>
            </w:pPr>
            <w:r w:rsidRPr="00CF77C1">
              <w:rPr>
                <w:sz w:val="22"/>
                <w:szCs w:val="22"/>
                <w:lang w:val="sr-Cyrl-RS"/>
              </w:rPr>
              <w:t>2020</w:t>
            </w:r>
            <w:r w:rsidR="00F10D3F" w:rsidRPr="00CF77C1">
              <w:rPr>
                <w:sz w:val="22"/>
                <w:szCs w:val="22"/>
                <w:lang w:val="sr-Cyrl-RS"/>
              </w:rPr>
              <w:t>.</w:t>
            </w:r>
          </w:p>
        </w:tc>
        <w:tc>
          <w:tcPr>
            <w:tcW w:w="1307" w:type="dxa"/>
            <w:vAlign w:val="center"/>
          </w:tcPr>
          <w:p w14:paraId="058B3078" w14:textId="46F71D26" w:rsidR="001B30E9" w:rsidRPr="00CF77C1" w:rsidRDefault="001B30E9" w:rsidP="0080044B">
            <w:pPr>
              <w:jc w:val="center"/>
              <w:rPr>
                <w:sz w:val="22"/>
                <w:szCs w:val="22"/>
                <w:lang w:val="sr-Cyrl-RS"/>
              </w:rPr>
            </w:pPr>
            <w:r w:rsidRPr="00CF77C1">
              <w:rPr>
                <w:sz w:val="22"/>
                <w:szCs w:val="22"/>
                <w:lang w:val="sr-Cyrl-RS"/>
              </w:rPr>
              <w:t>2021</w:t>
            </w:r>
            <w:r w:rsidR="00F10D3F" w:rsidRPr="00CF77C1">
              <w:rPr>
                <w:sz w:val="22"/>
                <w:szCs w:val="22"/>
                <w:lang w:val="sr-Cyrl-RS"/>
              </w:rPr>
              <w:t>.</w:t>
            </w:r>
          </w:p>
        </w:tc>
        <w:tc>
          <w:tcPr>
            <w:tcW w:w="1307" w:type="dxa"/>
            <w:vAlign w:val="center"/>
          </w:tcPr>
          <w:p w14:paraId="47CF28CF" w14:textId="112610D4" w:rsidR="001B30E9" w:rsidRPr="00CF77C1" w:rsidRDefault="001B30E9" w:rsidP="0080044B">
            <w:pPr>
              <w:jc w:val="center"/>
              <w:rPr>
                <w:sz w:val="22"/>
                <w:szCs w:val="22"/>
                <w:lang w:val="sr-Cyrl-RS"/>
              </w:rPr>
            </w:pPr>
            <w:r w:rsidRPr="00CF77C1">
              <w:rPr>
                <w:sz w:val="22"/>
                <w:szCs w:val="22"/>
                <w:lang w:val="sr-Cyrl-RS"/>
              </w:rPr>
              <w:t>2022</w:t>
            </w:r>
            <w:r w:rsidR="00F10D3F" w:rsidRPr="00CF77C1">
              <w:rPr>
                <w:sz w:val="22"/>
                <w:szCs w:val="22"/>
                <w:lang w:val="sr-Cyrl-RS"/>
              </w:rPr>
              <w:t>.</w:t>
            </w:r>
          </w:p>
        </w:tc>
        <w:tc>
          <w:tcPr>
            <w:tcW w:w="1308" w:type="dxa"/>
            <w:vAlign w:val="center"/>
          </w:tcPr>
          <w:p w14:paraId="715D7665" w14:textId="7C604497" w:rsidR="001B30E9" w:rsidRPr="00CF77C1" w:rsidRDefault="001B30E9" w:rsidP="0080044B">
            <w:pPr>
              <w:jc w:val="center"/>
              <w:rPr>
                <w:sz w:val="22"/>
                <w:szCs w:val="22"/>
                <w:lang w:val="sr-Cyrl-RS"/>
              </w:rPr>
            </w:pPr>
            <w:r w:rsidRPr="00CF77C1">
              <w:rPr>
                <w:sz w:val="22"/>
                <w:szCs w:val="22"/>
                <w:lang w:val="sr-Cyrl-RS"/>
              </w:rPr>
              <w:t>2023</w:t>
            </w:r>
            <w:r w:rsidR="00F10D3F" w:rsidRPr="00CF77C1">
              <w:rPr>
                <w:sz w:val="22"/>
                <w:szCs w:val="22"/>
                <w:lang w:val="sr-Cyrl-RS"/>
              </w:rPr>
              <w:t>.</w:t>
            </w:r>
          </w:p>
        </w:tc>
      </w:tr>
      <w:tr w:rsidR="00F87662" w:rsidRPr="00CF77C1" w14:paraId="587E47F0" w14:textId="77777777" w:rsidTr="00A3013F">
        <w:tc>
          <w:tcPr>
            <w:tcW w:w="5637" w:type="dxa"/>
            <w:vAlign w:val="center"/>
          </w:tcPr>
          <w:p w14:paraId="2E15A163" w14:textId="48D1FA90" w:rsidR="00F87662" w:rsidRPr="00CF77C1" w:rsidRDefault="00F87662" w:rsidP="0080044B">
            <w:pPr>
              <w:jc w:val="left"/>
              <w:rPr>
                <w:sz w:val="22"/>
                <w:szCs w:val="22"/>
                <w:lang w:val="sr-Cyrl-RS"/>
              </w:rPr>
            </w:pPr>
            <w:r w:rsidRPr="00CF77C1">
              <w:rPr>
                <w:sz w:val="22"/>
                <w:szCs w:val="22"/>
                <w:lang w:val="sr-Cyrl-RS"/>
              </w:rPr>
              <w:t>Очекивана БФПЕ из ОИЕ у сектору грејања и хлађења (хиљада тен)</w:t>
            </w:r>
          </w:p>
        </w:tc>
        <w:tc>
          <w:tcPr>
            <w:tcW w:w="1307" w:type="dxa"/>
            <w:vAlign w:val="center"/>
          </w:tcPr>
          <w:p w14:paraId="0EDD283D" w14:textId="77777777" w:rsidR="00F87662" w:rsidRPr="00CF77C1" w:rsidRDefault="00F87662" w:rsidP="0080044B">
            <w:pPr>
              <w:jc w:val="right"/>
              <w:rPr>
                <w:sz w:val="22"/>
                <w:szCs w:val="22"/>
                <w:lang w:val="sr-Cyrl-RS"/>
              </w:rPr>
            </w:pPr>
            <w:r w:rsidRPr="00CF77C1">
              <w:rPr>
                <w:sz w:val="22"/>
                <w:szCs w:val="22"/>
                <w:lang w:val="sr-Cyrl-RS"/>
              </w:rPr>
              <w:t>1.127</w:t>
            </w:r>
          </w:p>
        </w:tc>
        <w:tc>
          <w:tcPr>
            <w:tcW w:w="1307" w:type="dxa"/>
            <w:vAlign w:val="center"/>
          </w:tcPr>
          <w:p w14:paraId="555D5465" w14:textId="77777777" w:rsidR="00F87662" w:rsidRPr="00CF77C1" w:rsidRDefault="00F87662" w:rsidP="0080044B">
            <w:pPr>
              <w:jc w:val="right"/>
              <w:rPr>
                <w:sz w:val="22"/>
                <w:szCs w:val="22"/>
                <w:lang w:val="sr-Cyrl-RS"/>
              </w:rPr>
            </w:pPr>
            <w:r w:rsidRPr="00CF77C1">
              <w:rPr>
                <w:sz w:val="22"/>
                <w:szCs w:val="22"/>
                <w:lang w:val="sr-Cyrl-RS"/>
              </w:rPr>
              <w:t>1.143</w:t>
            </w:r>
          </w:p>
        </w:tc>
        <w:tc>
          <w:tcPr>
            <w:tcW w:w="1307" w:type="dxa"/>
            <w:vAlign w:val="center"/>
          </w:tcPr>
          <w:p w14:paraId="787B9548" w14:textId="77777777" w:rsidR="00F87662" w:rsidRPr="00CF77C1" w:rsidRDefault="00F87662" w:rsidP="0080044B">
            <w:pPr>
              <w:jc w:val="right"/>
              <w:rPr>
                <w:sz w:val="22"/>
                <w:szCs w:val="22"/>
                <w:lang w:val="sr-Cyrl-RS"/>
              </w:rPr>
            </w:pPr>
            <w:r w:rsidRPr="00CF77C1">
              <w:rPr>
                <w:sz w:val="22"/>
                <w:szCs w:val="22"/>
                <w:lang w:val="sr-Cyrl-RS"/>
              </w:rPr>
              <w:t>1.152</w:t>
            </w:r>
          </w:p>
        </w:tc>
        <w:tc>
          <w:tcPr>
            <w:tcW w:w="1307" w:type="dxa"/>
            <w:vAlign w:val="center"/>
          </w:tcPr>
          <w:p w14:paraId="381AEF41" w14:textId="6B326961" w:rsidR="00F87662" w:rsidRPr="00CF77C1" w:rsidRDefault="00F87662" w:rsidP="0080044B">
            <w:pPr>
              <w:jc w:val="right"/>
              <w:rPr>
                <w:sz w:val="22"/>
                <w:szCs w:val="22"/>
                <w:lang w:val="sr-Cyrl-RS"/>
              </w:rPr>
            </w:pPr>
            <w:r w:rsidRPr="00CF77C1">
              <w:rPr>
                <w:sz w:val="22"/>
                <w:szCs w:val="22"/>
                <w:lang w:val="sr-Cyrl-RS"/>
              </w:rPr>
              <w:t>1.167</w:t>
            </w:r>
          </w:p>
        </w:tc>
        <w:tc>
          <w:tcPr>
            <w:tcW w:w="1307" w:type="dxa"/>
            <w:vAlign w:val="center"/>
          </w:tcPr>
          <w:p w14:paraId="7C597371" w14:textId="41C7CB3B" w:rsidR="00F87662" w:rsidRPr="00CF77C1" w:rsidRDefault="00F87662" w:rsidP="0080044B">
            <w:pPr>
              <w:jc w:val="right"/>
              <w:rPr>
                <w:sz w:val="22"/>
                <w:szCs w:val="22"/>
                <w:lang w:val="sr-Cyrl-RS"/>
              </w:rPr>
            </w:pPr>
            <w:r w:rsidRPr="00CF77C1">
              <w:rPr>
                <w:sz w:val="22"/>
                <w:szCs w:val="22"/>
                <w:lang w:val="sr-Cyrl-RS"/>
              </w:rPr>
              <w:t xml:space="preserve"> 1.175 </w:t>
            </w:r>
          </w:p>
        </w:tc>
        <w:tc>
          <w:tcPr>
            <w:tcW w:w="1307" w:type="dxa"/>
            <w:vAlign w:val="center"/>
          </w:tcPr>
          <w:p w14:paraId="0EAEA64C" w14:textId="46CDD5A9" w:rsidR="00F87662" w:rsidRPr="00CF77C1" w:rsidRDefault="00F87662" w:rsidP="0080044B">
            <w:pPr>
              <w:jc w:val="right"/>
              <w:rPr>
                <w:sz w:val="22"/>
                <w:szCs w:val="22"/>
                <w:lang w:val="sr-Cyrl-RS"/>
              </w:rPr>
            </w:pPr>
            <w:r w:rsidRPr="00CF77C1">
              <w:rPr>
                <w:sz w:val="22"/>
                <w:szCs w:val="22"/>
                <w:lang w:val="sr-Cyrl-RS"/>
              </w:rPr>
              <w:t xml:space="preserve"> 1.181</w:t>
            </w:r>
          </w:p>
        </w:tc>
        <w:tc>
          <w:tcPr>
            <w:tcW w:w="1308" w:type="dxa"/>
            <w:vAlign w:val="center"/>
          </w:tcPr>
          <w:p w14:paraId="5D2E68FB" w14:textId="1C56FBC6" w:rsidR="00F87662" w:rsidRPr="00CF77C1" w:rsidRDefault="00F87662" w:rsidP="0080044B">
            <w:pPr>
              <w:jc w:val="right"/>
              <w:rPr>
                <w:sz w:val="22"/>
                <w:szCs w:val="22"/>
                <w:lang w:val="sr-Cyrl-RS"/>
              </w:rPr>
            </w:pPr>
            <w:r w:rsidRPr="00CF77C1">
              <w:rPr>
                <w:sz w:val="22"/>
                <w:szCs w:val="22"/>
                <w:lang w:val="sr-Cyrl-RS"/>
              </w:rPr>
              <w:t xml:space="preserve"> 1.188</w:t>
            </w:r>
          </w:p>
        </w:tc>
      </w:tr>
      <w:tr w:rsidR="00F87662" w:rsidRPr="00CF77C1" w14:paraId="2323D175" w14:textId="77777777" w:rsidTr="00A3013F">
        <w:tc>
          <w:tcPr>
            <w:tcW w:w="5637" w:type="dxa"/>
            <w:vAlign w:val="center"/>
          </w:tcPr>
          <w:p w14:paraId="7F9AAB75" w14:textId="48C5A775" w:rsidR="00F87662" w:rsidRPr="00CF77C1" w:rsidRDefault="00F87662" w:rsidP="0080044B">
            <w:pPr>
              <w:jc w:val="left"/>
              <w:rPr>
                <w:sz w:val="22"/>
                <w:szCs w:val="22"/>
                <w:lang w:val="sr-Cyrl-RS"/>
              </w:rPr>
            </w:pPr>
            <w:r w:rsidRPr="00CF77C1">
              <w:rPr>
                <w:sz w:val="22"/>
                <w:szCs w:val="22"/>
                <w:lang w:val="sr-Cyrl-RS"/>
              </w:rPr>
              <w:t>Очекивана БФПЕ из ОИЕ у сектору производње електричне енергије (хиљада тен)</w:t>
            </w:r>
          </w:p>
        </w:tc>
        <w:tc>
          <w:tcPr>
            <w:tcW w:w="1307" w:type="dxa"/>
            <w:vAlign w:val="center"/>
          </w:tcPr>
          <w:p w14:paraId="6BB0AF92" w14:textId="77777777" w:rsidR="00F87662" w:rsidRPr="00CF77C1" w:rsidRDefault="00F87662" w:rsidP="0080044B">
            <w:pPr>
              <w:jc w:val="right"/>
              <w:rPr>
                <w:sz w:val="22"/>
                <w:szCs w:val="22"/>
                <w:lang w:val="sr-Cyrl-RS"/>
              </w:rPr>
            </w:pPr>
            <w:r w:rsidRPr="00CF77C1">
              <w:rPr>
                <w:sz w:val="22"/>
                <w:szCs w:val="22"/>
                <w:lang w:val="sr-Cyrl-RS"/>
              </w:rPr>
              <w:t>1.031</w:t>
            </w:r>
          </w:p>
        </w:tc>
        <w:tc>
          <w:tcPr>
            <w:tcW w:w="1307" w:type="dxa"/>
            <w:vAlign w:val="center"/>
          </w:tcPr>
          <w:p w14:paraId="744C6ED8" w14:textId="77777777" w:rsidR="00F87662" w:rsidRPr="00CF77C1" w:rsidRDefault="00F87662" w:rsidP="0080044B">
            <w:pPr>
              <w:jc w:val="right"/>
              <w:rPr>
                <w:sz w:val="22"/>
                <w:szCs w:val="22"/>
                <w:lang w:val="sr-Cyrl-RS"/>
              </w:rPr>
            </w:pPr>
            <w:r w:rsidRPr="00CF77C1">
              <w:rPr>
                <w:sz w:val="22"/>
                <w:szCs w:val="22"/>
                <w:lang w:val="sr-Cyrl-RS"/>
              </w:rPr>
              <w:t>1.059</w:t>
            </w:r>
          </w:p>
        </w:tc>
        <w:tc>
          <w:tcPr>
            <w:tcW w:w="1307" w:type="dxa"/>
            <w:vAlign w:val="center"/>
          </w:tcPr>
          <w:p w14:paraId="33454995" w14:textId="77777777" w:rsidR="00F87662" w:rsidRPr="00CF77C1" w:rsidRDefault="00F87662" w:rsidP="0080044B">
            <w:pPr>
              <w:jc w:val="right"/>
              <w:rPr>
                <w:sz w:val="22"/>
                <w:szCs w:val="22"/>
                <w:lang w:val="sr-Cyrl-RS"/>
              </w:rPr>
            </w:pPr>
            <w:r w:rsidRPr="00CF77C1">
              <w:rPr>
                <w:sz w:val="22"/>
                <w:szCs w:val="22"/>
                <w:lang w:val="sr-Cyrl-RS"/>
              </w:rPr>
              <w:t>1.108</w:t>
            </w:r>
          </w:p>
        </w:tc>
        <w:tc>
          <w:tcPr>
            <w:tcW w:w="1307" w:type="dxa"/>
            <w:vAlign w:val="center"/>
          </w:tcPr>
          <w:p w14:paraId="0424AF60" w14:textId="7FD061FA" w:rsidR="00F87662" w:rsidRPr="00CF77C1" w:rsidRDefault="00F87662" w:rsidP="0080044B">
            <w:pPr>
              <w:jc w:val="right"/>
              <w:rPr>
                <w:sz w:val="22"/>
                <w:szCs w:val="22"/>
                <w:lang w:val="sr-Cyrl-RS"/>
              </w:rPr>
            </w:pPr>
            <w:r w:rsidRPr="00CF77C1">
              <w:rPr>
                <w:sz w:val="22"/>
                <w:szCs w:val="22"/>
                <w:lang w:val="sr-Cyrl-RS"/>
              </w:rPr>
              <w:t>1.151</w:t>
            </w:r>
          </w:p>
        </w:tc>
        <w:tc>
          <w:tcPr>
            <w:tcW w:w="1307" w:type="dxa"/>
            <w:vAlign w:val="center"/>
          </w:tcPr>
          <w:p w14:paraId="0E68ABFA" w14:textId="09D34C8A" w:rsidR="00F87662" w:rsidRPr="00CF77C1" w:rsidRDefault="00F87662" w:rsidP="0080044B">
            <w:pPr>
              <w:jc w:val="right"/>
              <w:rPr>
                <w:sz w:val="22"/>
                <w:szCs w:val="22"/>
                <w:lang w:val="sr-Cyrl-RS"/>
              </w:rPr>
            </w:pPr>
            <w:r w:rsidRPr="00CF77C1">
              <w:rPr>
                <w:sz w:val="22"/>
                <w:szCs w:val="22"/>
                <w:lang w:val="sr-Cyrl-RS"/>
              </w:rPr>
              <w:t>1.171</w:t>
            </w:r>
          </w:p>
        </w:tc>
        <w:tc>
          <w:tcPr>
            <w:tcW w:w="1307" w:type="dxa"/>
            <w:vAlign w:val="center"/>
          </w:tcPr>
          <w:p w14:paraId="609A4ED7" w14:textId="53CCE56E" w:rsidR="00F87662" w:rsidRPr="00CF77C1" w:rsidRDefault="00F87662" w:rsidP="0080044B">
            <w:pPr>
              <w:jc w:val="right"/>
              <w:rPr>
                <w:sz w:val="22"/>
                <w:szCs w:val="22"/>
                <w:lang w:val="sr-Cyrl-RS"/>
              </w:rPr>
            </w:pPr>
            <w:r w:rsidRPr="00CF77C1">
              <w:rPr>
                <w:sz w:val="22"/>
                <w:szCs w:val="22"/>
                <w:lang w:val="sr-Cyrl-RS"/>
              </w:rPr>
              <w:t>1.190</w:t>
            </w:r>
          </w:p>
        </w:tc>
        <w:tc>
          <w:tcPr>
            <w:tcW w:w="1308" w:type="dxa"/>
            <w:vAlign w:val="center"/>
          </w:tcPr>
          <w:p w14:paraId="1ACF70B7" w14:textId="3D7E9FD5" w:rsidR="00F87662" w:rsidRPr="00CF77C1" w:rsidRDefault="00F87662" w:rsidP="0080044B">
            <w:pPr>
              <w:jc w:val="right"/>
              <w:rPr>
                <w:sz w:val="22"/>
                <w:szCs w:val="22"/>
                <w:lang w:val="sr-Cyrl-RS"/>
              </w:rPr>
            </w:pPr>
            <w:r w:rsidRPr="00CF77C1">
              <w:rPr>
                <w:sz w:val="22"/>
                <w:szCs w:val="22"/>
                <w:lang w:val="sr-Cyrl-RS"/>
              </w:rPr>
              <w:t>1.210</w:t>
            </w:r>
          </w:p>
        </w:tc>
      </w:tr>
      <w:tr w:rsidR="00F87662" w:rsidRPr="00CF77C1" w14:paraId="5B8750D0" w14:textId="77777777" w:rsidTr="00A3013F">
        <w:tc>
          <w:tcPr>
            <w:tcW w:w="5637" w:type="dxa"/>
            <w:vAlign w:val="center"/>
          </w:tcPr>
          <w:p w14:paraId="30273917" w14:textId="1DCC35EE" w:rsidR="00F87662" w:rsidRPr="00CF77C1" w:rsidRDefault="00F87662" w:rsidP="0080044B">
            <w:pPr>
              <w:jc w:val="left"/>
              <w:rPr>
                <w:sz w:val="22"/>
                <w:szCs w:val="22"/>
                <w:lang w:val="sr-Cyrl-RS"/>
              </w:rPr>
            </w:pPr>
            <w:r w:rsidRPr="00CF77C1">
              <w:rPr>
                <w:sz w:val="22"/>
                <w:szCs w:val="22"/>
                <w:lang w:val="sr-Cyrl-RS"/>
              </w:rPr>
              <w:t>Очекивана БФПЕ из ОИЕ у сектору саобраћаја (хиљада тен)</w:t>
            </w:r>
          </w:p>
        </w:tc>
        <w:tc>
          <w:tcPr>
            <w:tcW w:w="1307" w:type="dxa"/>
            <w:vAlign w:val="center"/>
          </w:tcPr>
          <w:p w14:paraId="6BC5FB0C" w14:textId="77777777" w:rsidR="00F87662" w:rsidRPr="00CF77C1" w:rsidRDefault="00F87662" w:rsidP="0080044B">
            <w:pPr>
              <w:jc w:val="right"/>
              <w:rPr>
                <w:sz w:val="22"/>
                <w:szCs w:val="22"/>
                <w:lang w:val="sr-Cyrl-RS"/>
              </w:rPr>
            </w:pPr>
            <w:r w:rsidRPr="00CF77C1">
              <w:rPr>
                <w:sz w:val="22"/>
                <w:szCs w:val="22"/>
                <w:lang w:val="sr-Cyrl-RS"/>
              </w:rPr>
              <w:t>117</w:t>
            </w:r>
          </w:p>
        </w:tc>
        <w:tc>
          <w:tcPr>
            <w:tcW w:w="1307" w:type="dxa"/>
            <w:vAlign w:val="center"/>
          </w:tcPr>
          <w:p w14:paraId="253CF771" w14:textId="77777777" w:rsidR="00F87662" w:rsidRPr="00CF77C1" w:rsidRDefault="00F87662" w:rsidP="0080044B">
            <w:pPr>
              <w:jc w:val="right"/>
              <w:rPr>
                <w:sz w:val="22"/>
                <w:szCs w:val="22"/>
                <w:lang w:val="sr-Cyrl-RS"/>
              </w:rPr>
            </w:pPr>
            <w:r w:rsidRPr="00CF77C1">
              <w:rPr>
                <w:sz w:val="22"/>
                <w:szCs w:val="22"/>
                <w:lang w:val="sr-Cyrl-RS"/>
              </w:rPr>
              <w:t>159</w:t>
            </w:r>
          </w:p>
        </w:tc>
        <w:tc>
          <w:tcPr>
            <w:tcW w:w="1307" w:type="dxa"/>
            <w:vAlign w:val="center"/>
          </w:tcPr>
          <w:p w14:paraId="2EED7C19" w14:textId="77777777" w:rsidR="00F87662" w:rsidRPr="00CF77C1" w:rsidRDefault="00F87662" w:rsidP="0080044B">
            <w:pPr>
              <w:jc w:val="right"/>
              <w:rPr>
                <w:sz w:val="22"/>
                <w:szCs w:val="22"/>
                <w:lang w:val="sr-Cyrl-RS"/>
              </w:rPr>
            </w:pPr>
            <w:r w:rsidRPr="00CF77C1">
              <w:rPr>
                <w:sz w:val="22"/>
                <w:szCs w:val="22"/>
                <w:lang w:val="sr-Cyrl-RS"/>
              </w:rPr>
              <w:t>203</w:t>
            </w:r>
          </w:p>
        </w:tc>
        <w:tc>
          <w:tcPr>
            <w:tcW w:w="1307" w:type="dxa"/>
            <w:vAlign w:val="center"/>
          </w:tcPr>
          <w:p w14:paraId="67BEA0F3" w14:textId="0333EBBA" w:rsidR="00F87662" w:rsidRPr="00CF77C1" w:rsidRDefault="00F87662" w:rsidP="0080044B">
            <w:pPr>
              <w:jc w:val="right"/>
              <w:rPr>
                <w:sz w:val="22"/>
                <w:szCs w:val="22"/>
                <w:lang w:val="sr-Cyrl-RS"/>
              </w:rPr>
            </w:pPr>
            <w:r w:rsidRPr="00CF77C1">
              <w:rPr>
                <w:sz w:val="22"/>
                <w:szCs w:val="22"/>
                <w:lang w:val="sr-Cyrl-RS"/>
              </w:rPr>
              <w:t>246</w:t>
            </w:r>
          </w:p>
        </w:tc>
        <w:tc>
          <w:tcPr>
            <w:tcW w:w="1307" w:type="dxa"/>
            <w:vAlign w:val="center"/>
          </w:tcPr>
          <w:p w14:paraId="17316A43" w14:textId="2E086F34" w:rsidR="00F87662" w:rsidRPr="00CF77C1" w:rsidRDefault="00F87662" w:rsidP="0080044B">
            <w:pPr>
              <w:jc w:val="right"/>
              <w:rPr>
                <w:sz w:val="22"/>
                <w:szCs w:val="22"/>
                <w:lang w:val="sr-Cyrl-RS"/>
              </w:rPr>
            </w:pPr>
            <w:r w:rsidRPr="00CF77C1">
              <w:rPr>
                <w:sz w:val="22"/>
                <w:szCs w:val="22"/>
                <w:lang w:val="sr-Cyrl-RS"/>
              </w:rPr>
              <w:t xml:space="preserve"> 250 </w:t>
            </w:r>
          </w:p>
        </w:tc>
        <w:tc>
          <w:tcPr>
            <w:tcW w:w="1307" w:type="dxa"/>
            <w:vAlign w:val="center"/>
          </w:tcPr>
          <w:p w14:paraId="5DC659F7" w14:textId="31591531" w:rsidR="00F87662" w:rsidRPr="00CF77C1" w:rsidRDefault="00F87662" w:rsidP="0080044B">
            <w:pPr>
              <w:jc w:val="right"/>
              <w:rPr>
                <w:sz w:val="22"/>
                <w:szCs w:val="22"/>
                <w:lang w:val="sr-Cyrl-RS"/>
              </w:rPr>
            </w:pPr>
            <w:r w:rsidRPr="00CF77C1">
              <w:rPr>
                <w:sz w:val="22"/>
                <w:szCs w:val="22"/>
                <w:lang w:val="sr-Cyrl-RS"/>
              </w:rPr>
              <w:t>256</w:t>
            </w:r>
          </w:p>
        </w:tc>
        <w:tc>
          <w:tcPr>
            <w:tcW w:w="1308" w:type="dxa"/>
            <w:vAlign w:val="center"/>
          </w:tcPr>
          <w:p w14:paraId="1D763977" w14:textId="1FFCE633" w:rsidR="00F87662" w:rsidRPr="00CF77C1" w:rsidRDefault="00F87662" w:rsidP="0080044B">
            <w:pPr>
              <w:jc w:val="right"/>
              <w:rPr>
                <w:sz w:val="22"/>
                <w:szCs w:val="22"/>
                <w:lang w:val="sr-Cyrl-RS"/>
              </w:rPr>
            </w:pPr>
            <w:r w:rsidRPr="00CF77C1">
              <w:rPr>
                <w:sz w:val="22"/>
                <w:szCs w:val="22"/>
                <w:lang w:val="sr-Cyrl-RS"/>
              </w:rPr>
              <w:t>262</w:t>
            </w:r>
          </w:p>
        </w:tc>
      </w:tr>
      <w:tr w:rsidR="00F87662" w:rsidRPr="00CF77C1" w14:paraId="55EF4815" w14:textId="77777777" w:rsidTr="008E01E8">
        <w:tc>
          <w:tcPr>
            <w:tcW w:w="5637" w:type="dxa"/>
            <w:vAlign w:val="center"/>
          </w:tcPr>
          <w:p w14:paraId="71341972" w14:textId="60CA2389" w:rsidR="00F87662" w:rsidRPr="00CF77C1" w:rsidRDefault="00F87662" w:rsidP="0080044B">
            <w:pPr>
              <w:jc w:val="left"/>
              <w:rPr>
                <w:sz w:val="22"/>
                <w:szCs w:val="22"/>
                <w:lang w:val="sr-Cyrl-RS"/>
              </w:rPr>
            </w:pPr>
            <w:r w:rsidRPr="00CF77C1">
              <w:rPr>
                <w:sz w:val="22"/>
                <w:szCs w:val="22"/>
                <w:lang w:val="sr-Cyrl-RS"/>
              </w:rPr>
              <w:t>Укупна очекивана БФПЕ из ОИЕ (хиљада тен)</w:t>
            </w:r>
          </w:p>
        </w:tc>
        <w:tc>
          <w:tcPr>
            <w:tcW w:w="1307" w:type="dxa"/>
            <w:vAlign w:val="center"/>
          </w:tcPr>
          <w:p w14:paraId="76C11B1A" w14:textId="77777777" w:rsidR="00F87662" w:rsidRPr="00CF77C1" w:rsidRDefault="00F87662" w:rsidP="0080044B">
            <w:pPr>
              <w:jc w:val="right"/>
              <w:rPr>
                <w:sz w:val="22"/>
                <w:szCs w:val="22"/>
                <w:lang w:val="sr-Cyrl-RS"/>
              </w:rPr>
            </w:pPr>
            <w:r w:rsidRPr="00CF77C1">
              <w:rPr>
                <w:sz w:val="22"/>
                <w:szCs w:val="22"/>
                <w:lang w:val="sr-Cyrl-RS"/>
              </w:rPr>
              <w:t>2.275</w:t>
            </w:r>
          </w:p>
        </w:tc>
        <w:tc>
          <w:tcPr>
            <w:tcW w:w="1307" w:type="dxa"/>
            <w:vAlign w:val="center"/>
          </w:tcPr>
          <w:p w14:paraId="6939BBD7" w14:textId="77777777" w:rsidR="00F87662" w:rsidRPr="00CF77C1" w:rsidRDefault="00F87662" w:rsidP="0080044B">
            <w:pPr>
              <w:jc w:val="right"/>
              <w:rPr>
                <w:sz w:val="22"/>
                <w:szCs w:val="22"/>
                <w:lang w:val="sr-Cyrl-RS"/>
              </w:rPr>
            </w:pPr>
            <w:r w:rsidRPr="00CF77C1">
              <w:rPr>
                <w:sz w:val="22"/>
                <w:szCs w:val="22"/>
                <w:lang w:val="sr-Cyrl-RS"/>
              </w:rPr>
              <w:t>2.361</w:t>
            </w:r>
          </w:p>
        </w:tc>
        <w:tc>
          <w:tcPr>
            <w:tcW w:w="1307" w:type="dxa"/>
            <w:vAlign w:val="center"/>
          </w:tcPr>
          <w:p w14:paraId="66E809A2" w14:textId="77777777" w:rsidR="00F87662" w:rsidRPr="00CF77C1" w:rsidRDefault="00F87662" w:rsidP="0080044B">
            <w:pPr>
              <w:jc w:val="right"/>
              <w:rPr>
                <w:sz w:val="22"/>
                <w:szCs w:val="22"/>
                <w:lang w:val="sr-Cyrl-RS"/>
              </w:rPr>
            </w:pPr>
            <w:r w:rsidRPr="00CF77C1">
              <w:rPr>
                <w:sz w:val="22"/>
                <w:szCs w:val="22"/>
                <w:lang w:val="sr-Cyrl-RS"/>
              </w:rPr>
              <w:t>2.463</w:t>
            </w:r>
          </w:p>
        </w:tc>
        <w:tc>
          <w:tcPr>
            <w:tcW w:w="1307" w:type="dxa"/>
            <w:vAlign w:val="center"/>
          </w:tcPr>
          <w:p w14:paraId="6EC68695" w14:textId="669166FF" w:rsidR="00F87662" w:rsidRPr="00CF77C1" w:rsidRDefault="00F87662" w:rsidP="0080044B">
            <w:pPr>
              <w:jc w:val="right"/>
              <w:rPr>
                <w:sz w:val="22"/>
                <w:szCs w:val="22"/>
                <w:lang w:val="sr-Cyrl-RS"/>
              </w:rPr>
            </w:pPr>
            <w:r w:rsidRPr="00CF77C1">
              <w:rPr>
                <w:sz w:val="22"/>
                <w:szCs w:val="22"/>
                <w:lang w:val="sr-Cyrl-RS"/>
              </w:rPr>
              <w:t>2.564</w:t>
            </w:r>
          </w:p>
        </w:tc>
        <w:tc>
          <w:tcPr>
            <w:tcW w:w="1307" w:type="dxa"/>
            <w:vAlign w:val="bottom"/>
          </w:tcPr>
          <w:p w14:paraId="5125F033" w14:textId="7AE53E0B" w:rsidR="00F87662" w:rsidRPr="00CF77C1" w:rsidRDefault="00F87662" w:rsidP="0080044B">
            <w:pPr>
              <w:jc w:val="right"/>
              <w:rPr>
                <w:sz w:val="22"/>
                <w:szCs w:val="22"/>
                <w:lang w:val="sr-Cyrl-RS"/>
              </w:rPr>
            </w:pPr>
            <w:r w:rsidRPr="00CF77C1">
              <w:rPr>
                <w:sz w:val="22"/>
                <w:szCs w:val="22"/>
                <w:lang w:val="sr-Cyrl-RS"/>
              </w:rPr>
              <w:t>2.596</w:t>
            </w:r>
          </w:p>
        </w:tc>
        <w:tc>
          <w:tcPr>
            <w:tcW w:w="1307" w:type="dxa"/>
            <w:vAlign w:val="bottom"/>
          </w:tcPr>
          <w:p w14:paraId="377CA7EC" w14:textId="15FA8593" w:rsidR="00F87662" w:rsidRPr="00CF77C1" w:rsidRDefault="00F87662" w:rsidP="0080044B">
            <w:pPr>
              <w:jc w:val="right"/>
              <w:rPr>
                <w:sz w:val="22"/>
                <w:szCs w:val="22"/>
                <w:lang w:val="sr-Cyrl-RS"/>
              </w:rPr>
            </w:pPr>
            <w:r w:rsidRPr="00CF77C1">
              <w:rPr>
                <w:sz w:val="22"/>
                <w:szCs w:val="22"/>
                <w:lang w:val="sr-Cyrl-RS"/>
              </w:rPr>
              <w:t>2.627</w:t>
            </w:r>
          </w:p>
        </w:tc>
        <w:tc>
          <w:tcPr>
            <w:tcW w:w="1308" w:type="dxa"/>
            <w:vAlign w:val="bottom"/>
          </w:tcPr>
          <w:p w14:paraId="4442E8F1" w14:textId="46B29A8A" w:rsidR="00F87662" w:rsidRPr="00CF77C1" w:rsidRDefault="00F87662" w:rsidP="0080044B">
            <w:pPr>
              <w:jc w:val="right"/>
              <w:rPr>
                <w:sz w:val="22"/>
                <w:szCs w:val="22"/>
                <w:lang w:val="sr-Cyrl-RS"/>
              </w:rPr>
            </w:pPr>
            <w:r w:rsidRPr="00CF77C1">
              <w:rPr>
                <w:sz w:val="22"/>
                <w:szCs w:val="22"/>
                <w:lang w:val="sr-Cyrl-RS"/>
              </w:rPr>
              <w:t>2.660</w:t>
            </w:r>
          </w:p>
        </w:tc>
      </w:tr>
      <w:tr w:rsidR="009B4D43" w:rsidRPr="00CF77C1" w14:paraId="4CF26DBF" w14:textId="77777777" w:rsidTr="009B4D43">
        <w:tc>
          <w:tcPr>
            <w:tcW w:w="5637" w:type="dxa"/>
          </w:tcPr>
          <w:p w14:paraId="72A0C8DE" w14:textId="77777777" w:rsidR="009B4D43" w:rsidRPr="00CF77C1" w:rsidRDefault="009B4D43" w:rsidP="00393C98">
            <w:pPr>
              <w:jc w:val="left"/>
              <w:rPr>
                <w:sz w:val="22"/>
                <w:szCs w:val="22"/>
                <w:lang w:val="sr-Cyrl-RS"/>
              </w:rPr>
            </w:pPr>
            <w:r w:rsidRPr="00CF77C1">
              <w:rPr>
                <w:sz w:val="22"/>
                <w:szCs w:val="22"/>
                <w:lang w:val="sr-Cyrl-RS"/>
              </w:rPr>
              <w:t>Пројектовано нето смањење емисије гасова са ефектом стаклене баште коришћењем обновљивих извора енергије у сектору грејања и хлађења (t СО</w:t>
            </w:r>
            <w:r w:rsidRPr="00CF77C1">
              <w:rPr>
                <w:sz w:val="22"/>
                <w:szCs w:val="22"/>
                <w:vertAlign w:val="subscript"/>
                <w:lang w:val="sr-Cyrl-RS"/>
              </w:rPr>
              <w:t>2</w:t>
            </w:r>
            <w:r w:rsidRPr="00CF77C1">
              <w:rPr>
                <w:sz w:val="22"/>
                <w:szCs w:val="22"/>
                <w:lang w:val="sr-Cyrl-RS"/>
              </w:rPr>
              <w:t>еq)</w:t>
            </w:r>
          </w:p>
        </w:tc>
        <w:tc>
          <w:tcPr>
            <w:tcW w:w="1307" w:type="dxa"/>
            <w:vAlign w:val="center"/>
          </w:tcPr>
          <w:p w14:paraId="1D46DCF8" w14:textId="35FE6974" w:rsidR="009B4D43" w:rsidRPr="00CF77C1" w:rsidRDefault="009B4D43" w:rsidP="009B4D43">
            <w:pPr>
              <w:jc w:val="right"/>
              <w:rPr>
                <w:sz w:val="22"/>
                <w:szCs w:val="22"/>
                <w:lang w:val="sr-Cyrl-RS"/>
              </w:rPr>
            </w:pPr>
            <w:r w:rsidRPr="00CF77C1">
              <w:rPr>
                <w:color w:val="000000"/>
                <w:sz w:val="22"/>
                <w:szCs w:val="22"/>
                <w:lang w:val="sr-Cyrl-RS"/>
              </w:rPr>
              <w:t>3.761.712</w:t>
            </w:r>
          </w:p>
        </w:tc>
        <w:tc>
          <w:tcPr>
            <w:tcW w:w="1307" w:type="dxa"/>
            <w:vAlign w:val="center"/>
          </w:tcPr>
          <w:p w14:paraId="4297D45C" w14:textId="7F806282" w:rsidR="009B4D43" w:rsidRPr="00CF77C1" w:rsidRDefault="009B4D43" w:rsidP="009B4D43">
            <w:pPr>
              <w:jc w:val="right"/>
              <w:rPr>
                <w:sz w:val="22"/>
                <w:szCs w:val="22"/>
                <w:lang w:val="sr-Cyrl-RS"/>
              </w:rPr>
            </w:pPr>
            <w:r w:rsidRPr="00CF77C1">
              <w:rPr>
                <w:color w:val="000000"/>
                <w:sz w:val="22"/>
                <w:szCs w:val="22"/>
                <w:lang w:val="sr-Cyrl-RS"/>
              </w:rPr>
              <w:t>3.815.117</w:t>
            </w:r>
          </w:p>
        </w:tc>
        <w:tc>
          <w:tcPr>
            <w:tcW w:w="1307" w:type="dxa"/>
            <w:vAlign w:val="center"/>
          </w:tcPr>
          <w:p w14:paraId="55BAA516" w14:textId="4C2499C2" w:rsidR="009B4D43" w:rsidRPr="00CF77C1" w:rsidRDefault="009B4D43" w:rsidP="009B4D43">
            <w:pPr>
              <w:jc w:val="right"/>
              <w:rPr>
                <w:sz w:val="22"/>
                <w:szCs w:val="22"/>
                <w:lang w:val="sr-Cyrl-RS"/>
              </w:rPr>
            </w:pPr>
            <w:r w:rsidRPr="00CF77C1">
              <w:rPr>
                <w:color w:val="000000"/>
                <w:sz w:val="22"/>
                <w:szCs w:val="22"/>
                <w:lang w:val="sr-Cyrl-RS"/>
              </w:rPr>
              <w:t>3.845.157</w:t>
            </w:r>
          </w:p>
        </w:tc>
        <w:tc>
          <w:tcPr>
            <w:tcW w:w="1307" w:type="dxa"/>
            <w:vAlign w:val="center"/>
          </w:tcPr>
          <w:p w14:paraId="745C2AC2" w14:textId="25B9A15C" w:rsidR="009B4D43" w:rsidRPr="00CF77C1" w:rsidRDefault="009B4D43" w:rsidP="009B4D43">
            <w:pPr>
              <w:jc w:val="right"/>
              <w:rPr>
                <w:sz w:val="22"/>
                <w:szCs w:val="22"/>
                <w:lang w:val="sr-Cyrl-RS"/>
              </w:rPr>
            </w:pPr>
            <w:r w:rsidRPr="00CF77C1">
              <w:rPr>
                <w:color w:val="000000"/>
                <w:sz w:val="22"/>
                <w:szCs w:val="22"/>
                <w:lang w:val="sr-Cyrl-RS"/>
              </w:rPr>
              <w:t>3.895.224</w:t>
            </w:r>
          </w:p>
        </w:tc>
        <w:tc>
          <w:tcPr>
            <w:tcW w:w="1307" w:type="dxa"/>
            <w:vAlign w:val="center"/>
          </w:tcPr>
          <w:p w14:paraId="0EE158A7" w14:textId="2FA41242" w:rsidR="009B4D43" w:rsidRPr="00CF77C1" w:rsidRDefault="009B4D43" w:rsidP="009B4D43">
            <w:pPr>
              <w:jc w:val="right"/>
              <w:rPr>
                <w:sz w:val="22"/>
                <w:szCs w:val="22"/>
                <w:lang w:val="sr-Cyrl-RS"/>
              </w:rPr>
            </w:pPr>
            <w:r w:rsidRPr="00CF77C1">
              <w:rPr>
                <w:color w:val="000000"/>
                <w:sz w:val="22"/>
                <w:szCs w:val="22"/>
                <w:lang w:val="sr-Cyrl-RS"/>
              </w:rPr>
              <w:t>3.921.927</w:t>
            </w:r>
          </w:p>
        </w:tc>
        <w:tc>
          <w:tcPr>
            <w:tcW w:w="1307" w:type="dxa"/>
            <w:vAlign w:val="center"/>
          </w:tcPr>
          <w:p w14:paraId="7612C207" w14:textId="46855208" w:rsidR="009B4D43" w:rsidRPr="00CF77C1" w:rsidRDefault="009B4D43" w:rsidP="009B4D43">
            <w:pPr>
              <w:jc w:val="right"/>
              <w:rPr>
                <w:sz w:val="22"/>
                <w:szCs w:val="22"/>
                <w:lang w:val="sr-Cyrl-RS"/>
              </w:rPr>
            </w:pPr>
            <w:r w:rsidRPr="00CF77C1">
              <w:rPr>
                <w:color w:val="000000"/>
                <w:sz w:val="22"/>
                <w:szCs w:val="22"/>
                <w:lang w:val="sr-Cyrl-RS"/>
              </w:rPr>
              <w:t>3.941.954</w:t>
            </w:r>
          </w:p>
        </w:tc>
        <w:tc>
          <w:tcPr>
            <w:tcW w:w="1308" w:type="dxa"/>
            <w:vAlign w:val="center"/>
          </w:tcPr>
          <w:p w14:paraId="48AA6BB2" w14:textId="01B01321" w:rsidR="009B4D43" w:rsidRPr="00CF77C1" w:rsidRDefault="009B4D43" w:rsidP="009B4D43">
            <w:pPr>
              <w:jc w:val="right"/>
              <w:rPr>
                <w:sz w:val="22"/>
                <w:szCs w:val="22"/>
                <w:lang w:val="sr-Cyrl-RS"/>
              </w:rPr>
            </w:pPr>
            <w:r w:rsidRPr="00CF77C1">
              <w:rPr>
                <w:color w:val="000000"/>
                <w:sz w:val="22"/>
                <w:szCs w:val="22"/>
                <w:lang w:val="sr-Cyrl-RS"/>
              </w:rPr>
              <w:t>3.965.318</w:t>
            </w:r>
          </w:p>
        </w:tc>
      </w:tr>
      <w:tr w:rsidR="009B4D43" w:rsidRPr="00CF77C1" w14:paraId="025F2B5D" w14:textId="77777777" w:rsidTr="009B4D43">
        <w:tc>
          <w:tcPr>
            <w:tcW w:w="5637" w:type="dxa"/>
          </w:tcPr>
          <w:p w14:paraId="595CEEA0" w14:textId="77777777" w:rsidR="009B4D43" w:rsidRPr="00CF77C1" w:rsidRDefault="009B4D43" w:rsidP="00393C98">
            <w:pPr>
              <w:jc w:val="left"/>
              <w:rPr>
                <w:sz w:val="22"/>
                <w:szCs w:val="22"/>
                <w:lang w:val="sr-Cyrl-RS"/>
              </w:rPr>
            </w:pPr>
            <w:r w:rsidRPr="00CF77C1">
              <w:rPr>
                <w:sz w:val="22"/>
                <w:szCs w:val="22"/>
                <w:lang w:val="sr-Cyrl-RS"/>
              </w:rPr>
              <w:t>Пројектовано нето смањење емисије гасова са ефектом стаклене баште коришћењем електричне енергије из обновљивих извора (t СО</w:t>
            </w:r>
            <w:r w:rsidRPr="00CF77C1">
              <w:rPr>
                <w:sz w:val="22"/>
                <w:szCs w:val="22"/>
                <w:vertAlign w:val="subscript"/>
                <w:lang w:val="sr-Cyrl-RS"/>
              </w:rPr>
              <w:t>2</w:t>
            </w:r>
            <w:r w:rsidRPr="00CF77C1">
              <w:rPr>
                <w:sz w:val="22"/>
                <w:szCs w:val="22"/>
                <w:lang w:val="sr-Cyrl-RS"/>
              </w:rPr>
              <w:t>еq)</w:t>
            </w:r>
          </w:p>
        </w:tc>
        <w:tc>
          <w:tcPr>
            <w:tcW w:w="1307" w:type="dxa"/>
            <w:vAlign w:val="center"/>
          </w:tcPr>
          <w:p w14:paraId="5D3B4A43" w14:textId="7E058B9F" w:rsidR="009B4D43" w:rsidRPr="00CF77C1" w:rsidRDefault="009B4D43" w:rsidP="009B4D43">
            <w:pPr>
              <w:jc w:val="right"/>
              <w:rPr>
                <w:sz w:val="22"/>
                <w:szCs w:val="22"/>
                <w:lang w:val="sr-Cyrl-RS"/>
              </w:rPr>
            </w:pPr>
            <w:r w:rsidRPr="00CF77C1">
              <w:rPr>
                <w:color w:val="000000"/>
                <w:sz w:val="22"/>
                <w:szCs w:val="22"/>
                <w:lang w:val="sr-Cyrl-RS"/>
              </w:rPr>
              <w:t>13.177.592</w:t>
            </w:r>
          </w:p>
        </w:tc>
        <w:tc>
          <w:tcPr>
            <w:tcW w:w="1307" w:type="dxa"/>
            <w:vAlign w:val="center"/>
          </w:tcPr>
          <w:p w14:paraId="469CD9E3" w14:textId="2B5C9C3E" w:rsidR="009B4D43" w:rsidRPr="00CF77C1" w:rsidRDefault="009B4D43" w:rsidP="009B4D43">
            <w:pPr>
              <w:jc w:val="right"/>
              <w:rPr>
                <w:sz w:val="22"/>
                <w:szCs w:val="22"/>
                <w:lang w:val="sr-Cyrl-RS"/>
              </w:rPr>
            </w:pPr>
            <w:r w:rsidRPr="00CF77C1">
              <w:rPr>
                <w:color w:val="000000"/>
                <w:sz w:val="22"/>
                <w:szCs w:val="22"/>
                <w:lang w:val="sr-Cyrl-RS"/>
              </w:rPr>
              <w:t>13.535.471</w:t>
            </w:r>
          </w:p>
        </w:tc>
        <w:tc>
          <w:tcPr>
            <w:tcW w:w="1307" w:type="dxa"/>
            <w:vAlign w:val="center"/>
          </w:tcPr>
          <w:p w14:paraId="0A5FA260" w14:textId="0A0CF536" w:rsidR="009B4D43" w:rsidRPr="00CF77C1" w:rsidRDefault="009B4D43" w:rsidP="009B4D43">
            <w:pPr>
              <w:jc w:val="right"/>
              <w:rPr>
                <w:sz w:val="22"/>
                <w:szCs w:val="22"/>
                <w:lang w:val="sr-Cyrl-RS"/>
              </w:rPr>
            </w:pPr>
            <w:r w:rsidRPr="00CF77C1">
              <w:rPr>
                <w:color w:val="000000"/>
                <w:sz w:val="22"/>
                <w:szCs w:val="22"/>
                <w:lang w:val="sr-Cyrl-RS"/>
              </w:rPr>
              <w:t>14.161.758</w:t>
            </w:r>
          </w:p>
        </w:tc>
        <w:tc>
          <w:tcPr>
            <w:tcW w:w="1307" w:type="dxa"/>
            <w:vAlign w:val="center"/>
          </w:tcPr>
          <w:p w14:paraId="11E4E63D" w14:textId="4865DF89" w:rsidR="009B4D43" w:rsidRPr="00CF77C1" w:rsidRDefault="009B4D43" w:rsidP="009B4D43">
            <w:pPr>
              <w:jc w:val="right"/>
              <w:rPr>
                <w:sz w:val="22"/>
                <w:szCs w:val="22"/>
                <w:lang w:val="sr-Cyrl-RS"/>
              </w:rPr>
            </w:pPr>
            <w:r w:rsidRPr="00CF77C1">
              <w:rPr>
                <w:color w:val="000000"/>
                <w:sz w:val="22"/>
                <w:szCs w:val="22"/>
                <w:lang w:val="sr-Cyrl-RS"/>
              </w:rPr>
              <w:t>14.711.357</w:t>
            </w:r>
          </w:p>
        </w:tc>
        <w:tc>
          <w:tcPr>
            <w:tcW w:w="1307" w:type="dxa"/>
            <w:vAlign w:val="center"/>
          </w:tcPr>
          <w:p w14:paraId="15616FD4" w14:textId="5AFB92D0" w:rsidR="009B4D43" w:rsidRPr="00CF77C1" w:rsidRDefault="009B4D43" w:rsidP="009B4D43">
            <w:pPr>
              <w:jc w:val="right"/>
              <w:rPr>
                <w:sz w:val="22"/>
                <w:szCs w:val="22"/>
                <w:lang w:val="sr-Cyrl-RS"/>
              </w:rPr>
            </w:pPr>
            <w:r w:rsidRPr="00CF77C1">
              <w:rPr>
                <w:color w:val="000000"/>
                <w:sz w:val="22"/>
                <w:szCs w:val="22"/>
                <w:lang w:val="sr-Cyrl-RS"/>
              </w:rPr>
              <w:t>14.966.984</w:t>
            </w:r>
          </w:p>
        </w:tc>
        <w:tc>
          <w:tcPr>
            <w:tcW w:w="1307" w:type="dxa"/>
            <w:vAlign w:val="center"/>
          </w:tcPr>
          <w:p w14:paraId="560BDE4C" w14:textId="1F916144" w:rsidR="009B4D43" w:rsidRPr="00CF77C1" w:rsidRDefault="009B4D43" w:rsidP="009B4D43">
            <w:pPr>
              <w:jc w:val="right"/>
              <w:rPr>
                <w:sz w:val="22"/>
                <w:szCs w:val="22"/>
                <w:lang w:val="sr-Cyrl-RS"/>
              </w:rPr>
            </w:pPr>
            <w:r w:rsidRPr="00CF77C1">
              <w:rPr>
                <w:color w:val="000000"/>
                <w:sz w:val="22"/>
                <w:szCs w:val="22"/>
                <w:lang w:val="sr-Cyrl-RS"/>
              </w:rPr>
              <w:t>15.209.830</w:t>
            </w:r>
          </w:p>
        </w:tc>
        <w:tc>
          <w:tcPr>
            <w:tcW w:w="1308" w:type="dxa"/>
            <w:vAlign w:val="center"/>
          </w:tcPr>
          <w:p w14:paraId="205BF1FD" w14:textId="596E2EAF" w:rsidR="009B4D43" w:rsidRPr="00CF77C1" w:rsidRDefault="009B4D43" w:rsidP="009B4D43">
            <w:pPr>
              <w:jc w:val="right"/>
              <w:rPr>
                <w:sz w:val="22"/>
                <w:szCs w:val="22"/>
                <w:lang w:val="sr-Cyrl-RS"/>
              </w:rPr>
            </w:pPr>
            <w:r w:rsidRPr="00CF77C1">
              <w:rPr>
                <w:color w:val="000000"/>
                <w:sz w:val="22"/>
                <w:szCs w:val="22"/>
                <w:lang w:val="sr-Cyrl-RS"/>
              </w:rPr>
              <w:t>15.465.458</w:t>
            </w:r>
          </w:p>
        </w:tc>
      </w:tr>
      <w:tr w:rsidR="009B4D43" w:rsidRPr="00CF77C1" w14:paraId="0238172B" w14:textId="77777777" w:rsidTr="009B4D43">
        <w:tc>
          <w:tcPr>
            <w:tcW w:w="5637" w:type="dxa"/>
          </w:tcPr>
          <w:p w14:paraId="6B1EA530" w14:textId="77777777" w:rsidR="009B4D43" w:rsidRPr="00CF77C1" w:rsidRDefault="009B4D43" w:rsidP="00393C98">
            <w:pPr>
              <w:jc w:val="left"/>
              <w:rPr>
                <w:sz w:val="22"/>
                <w:szCs w:val="22"/>
                <w:lang w:val="sr-Cyrl-RS"/>
              </w:rPr>
            </w:pPr>
            <w:r w:rsidRPr="00CF77C1">
              <w:rPr>
                <w:sz w:val="22"/>
                <w:szCs w:val="22"/>
                <w:lang w:val="sr-Cyrl-RS"/>
              </w:rPr>
              <w:t>Пројектовано нето смањење емисије гасова са ефектом стаклене баште коришћењем обновљивих извора енергије у саобраћају (t СО</w:t>
            </w:r>
            <w:r w:rsidRPr="00CF77C1">
              <w:rPr>
                <w:sz w:val="22"/>
                <w:szCs w:val="22"/>
                <w:vertAlign w:val="subscript"/>
                <w:lang w:val="sr-Cyrl-RS"/>
              </w:rPr>
              <w:t>2</w:t>
            </w:r>
            <w:r w:rsidRPr="00CF77C1">
              <w:rPr>
                <w:sz w:val="22"/>
                <w:szCs w:val="22"/>
                <w:lang w:val="sr-Cyrl-RS"/>
              </w:rPr>
              <w:t>еq)</w:t>
            </w:r>
          </w:p>
        </w:tc>
        <w:tc>
          <w:tcPr>
            <w:tcW w:w="1307" w:type="dxa"/>
            <w:vAlign w:val="center"/>
          </w:tcPr>
          <w:p w14:paraId="11B414DB" w14:textId="2913FC9A" w:rsidR="009B4D43" w:rsidRPr="00CF77C1" w:rsidRDefault="009B4D43" w:rsidP="009B4D43">
            <w:pPr>
              <w:jc w:val="right"/>
              <w:rPr>
                <w:sz w:val="22"/>
                <w:szCs w:val="22"/>
                <w:lang w:val="sr-Cyrl-RS"/>
              </w:rPr>
            </w:pPr>
            <w:r w:rsidRPr="00CF77C1">
              <w:rPr>
                <w:color w:val="000000"/>
                <w:sz w:val="22"/>
                <w:szCs w:val="22"/>
                <w:lang w:val="sr-Cyrl-RS"/>
              </w:rPr>
              <w:t>345.618</w:t>
            </w:r>
          </w:p>
        </w:tc>
        <w:tc>
          <w:tcPr>
            <w:tcW w:w="1307" w:type="dxa"/>
            <w:vAlign w:val="center"/>
          </w:tcPr>
          <w:p w14:paraId="4490D71F" w14:textId="4DD3175A" w:rsidR="009B4D43" w:rsidRPr="00CF77C1" w:rsidRDefault="009B4D43" w:rsidP="009B4D43">
            <w:pPr>
              <w:jc w:val="right"/>
              <w:rPr>
                <w:sz w:val="22"/>
                <w:szCs w:val="22"/>
                <w:lang w:val="sr-Cyrl-RS"/>
              </w:rPr>
            </w:pPr>
            <w:r w:rsidRPr="00CF77C1">
              <w:rPr>
                <w:color w:val="000000"/>
                <w:sz w:val="22"/>
                <w:szCs w:val="22"/>
                <w:lang w:val="sr-Cyrl-RS"/>
              </w:rPr>
              <w:t>469.686</w:t>
            </w:r>
          </w:p>
        </w:tc>
        <w:tc>
          <w:tcPr>
            <w:tcW w:w="1307" w:type="dxa"/>
            <w:vAlign w:val="center"/>
          </w:tcPr>
          <w:p w14:paraId="039997A2" w14:textId="798D56A9" w:rsidR="009B4D43" w:rsidRPr="00CF77C1" w:rsidRDefault="009B4D43" w:rsidP="009B4D43">
            <w:pPr>
              <w:jc w:val="right"/>
              <w:rPr>
                <w:sz w:val="22"/>
                <w:szCs w:val="22"/>
                <w:lang w:val="sr-Cyrl-RS"/>
              </w:rPr>
            </w:pPr>
            <w:r w:rsidRPr="00CF77C1">
              <w:rPr>
                <w:color w:val="000000"/>
                <w:sz w:val="22"/>
                <w:szCs w:val="22"/>
                <w:lang w:val="sr-Cyrl-RS"/>
              </w:rPr>
              <w:t>599.662</w:t>
            </w:r>
          </w:p>
        </w:tc>
        <w:tc>
          <w:tcPr>
            <w:tcW w:w="1307" w:type="dxa"/>
            <w:vAlign w:val="center"/>
          </w:tcPr>
          <w:p w14:paraId="365ACD63" w14:textId="1A2BF417" w:rsidR="009B4D43" w:rsidRPr="00CF77C1" w:rsidRDefault="009B4D43" w:rsidP="009B4D43">
            <w:pPr>
              <w:jc w:val="right"/>
              <w:rPr>
                <w:sz w:val="22"/>
                <w:szCs w:val="22"/>
                <w:lang w:val="sr-Cyrl-RS"/>
              </w:rPr>
            </w:pPr>
            <w:r w:rsidRPr="00CF77C1">
              <w:rPr>
                <w:color w:val="000000"/>
                <w:sz w:val="22"/>
                <w:szCs w:val="22"/>
                <w:lang w:val="sr-Cyrl-RS"/>
              </w:rPr>
              <w:t>726.684</w:t>
            </w:r>
          </w:p>
        </w:tc>
        <w:tc>
          <w:tcPr>
            <w:tcW w:w="1307" w:type="dxa"/>
            <w:vAlign w:val="center"/>
          </w:tcPr>
          <w:p w14:paraId="548616E5" w14:textId="64B83950" w:rsidR="009B4D43" w:rsidRPr="00CF77C1" w:rsidRDefault="009B4D43" w:rsidP="009B4D43">
            <w:pPr>
              <w:jc w:val="right"/>
              <w:rPr>
                <w:sz w:val="22"/>
                <w:szCs w:val="22"/>
                <w:lang w:val="sr-Cyrl-RS"/>
              </w:rPr>
            </w:pPr>
            <w:r w:rsidRPr="00CF77C1">
              <w:rPr>
                <w:color w:val="000000"/>
                <w:sz w:val="22"/>
                <w:szCs w:val="22"/>
                <w:lang w:val="sr-Cyrl-RS"/>
              </w:rPr>
              <w:t>738.500</w:t>
            </w:r>
          </w:p>
        </w:tc>
        <w:tc>
          <w:tcPr>
            <w:tcW w:w="1307" w:type="dxa"/>
            <w:vAlign w:val="center"/>
          </w:tcPr>
          <w:p w14:paraId="3729376B" w14:textId="419044A2" w:rsidR="009B4D43" w:rsidRPr="00CF77C1" w:rsidRDefault="009B4D43" w:rsidP="009B4D43">
            <w:pPr>
              <w:jc w:val="right"/>
              <w:rPr>
                <w:sz w:val="22"/>
                <w:szCs w:val="22"/>
                <w:lang w:val="sr-Cyrl-RS"/>
              </w:rPr>
            </w:pPr>
            <w:r w:rsidRPr="00CF77C1">
              <w:rPr>
                <w:color w:val="000000"/>
                <w:sz w:val="22"/>
                <w:szCs w:val="22"/>
                <w:lang w:val="sr-Cyrl-RS"/>
              </w:rPr>
              <w:t>756.224</w:t>
            </w:r>
          </w:p>
        </w:tc>
        <w:tc>
          <w:tcPr>
            <w:tcW w:w="1308" w:type="dxa"/>
            <w:vAlign w:val="center"/>
          </w:tcPr>
          <w:p w14:paraId="433FD0BF" w14:textId="313C8EBA" w:rsidR="009B4D43" w:rsidRPr="00CF77C1" w:rsidRDefault="009B4D43" w:rsidP="009B4D43">
            <w:pPr>
              <w:jc w:val="right"/>
              <w:rPr>
                <w:sz w:val="22"/>
                <w:szCs w:val="22"/>
                <w:lang w:val="sr-Cyrl-RS"/>
              </w:rPr>
            </w:pPr>
            <w:r w:rsidRPr="00CF77C1">
              <w:rPr>
                <w:color w:val="000000"/>
                <w:sz w:val="22"/>
                <w:szCs w:val="22"/>
                <w:lang w:val="sr-Cyrl-RS"/>
              </w:rPr>
              <w:t>773.948</w:t>
            </w:r>
          </w:p>
        </w:tc>
      </w:tr>
      <w:tr w:rsidR="009B4D43" w:rsidRPr="00CF77C1" w14:paraId="746E2F1E" w14:textId="77777777" w:rsidTr="009B4D43">
        <w:tc>
          <w:tcPr>
            <w:tcW w:w="5637" w:type="dxa"/>
          </w:tcPr>
          <w:p w14:paraId="65EC2C29" w14:textId="77777777" w:rsidR="009B4D43" w:rsidRPr="00CF77C1" w:rsidRDefault="009B4D43" w:rsidP="00393C98">
            <w:pPr>
              <w:jc w:val="left"/>
              <w:rPr>
                <w:sz w:val="22"/>
                <w:szCs w:val="22"/>
                <w:lang w:val="sr-Cyrl-RS"/>
              </w:rPr>
            </w:pPr>
            <w:r w:rsidRPr="00CF77C1">
              <w:rPr>
                <w:sz w:val="22"/>
                <w:szCs w:val="22"/>
                <w:lang w:val="sr-Cyrl-RS"/>
              </w:rPr>
              <w:t>Укупно пројектовано нето смањење емисије гасова са ефектом стаклене баште коришћењем обновљивих извора енергије (t СО</w:t>
            </w:r>
            <w:r w:rsidRPr="00CF77C1">
              <w:rPr>
                <w:sz w:val="22"/>
                <w:szCs w:val="22"/>
                <w:vertAlign w:val="subscript"/>
                <w:lang w:val="sr-Cyrl-RS"/>
              </w:rPr>
              <w:t>2</w:t>
            </w:r>
            <w:r w:rsidRPr="00CF77C1">
              <w:rPr>
                <w:sz w:val="22"/>
                <w:szCs w:val="22"/>
                <w:lang w:val="sr-Cyrl-RS"/>
              </w:rPr>
              <w:t>еq)</w:t>
            </w:r>
          </w:p>
        </w:tc>
        <w:tc>
          <w:tcPr>
            <w:tcW w:w="1307" w:type="dxa"/>
            <w:vAlign w:val="center"/>
          </w:tcPr>
          <w:p w14:paraId="3066FFAE" w14:textId="513E3DA8" w:rsidR="009B4D43" w:rsidRPr="00CF77C1" w:rsidRDefault="009B4D43" w:rsidP="009B4D43">
            <w:pPr>
              <w:jc w:val="right"/>
              <w:rPr>
                <w:sz w:val="22"/>
                <w:szCs w:val="22"/>
                <w:lang w:val="sr-Cyrl-RS"/>
              </w:rPr>
            </w:pPr>
            <w:r w:rsidRPr="00CF77C1">
              <w:rPr>
                <w:color w:val="000000"/>
                <w:sz w:val="22"/>
                <w:szCs w:val="22"/>
                <w:lang w:val="sr-Cyrl-RS"/>
              </w:rPr>
              <w:t>17.284.922</w:t>
            </w:r>
          </w:p>
        </w:tc>
        <w:tc>
          <w:tcPr>
            <w:tcW w:w="1307" w:type="dxa"/>
            <w:vAlign w:val="center"/>
          </w:tcPr>
          <w:p w14:paraId="7A6B876E" w14:textId="5C78D34E" w:rsidR="009B4D43" w:rsidRPr="00CF77C1" w:rsidRDefault="009B4D43" w:rsidP="009B4D43">
            <w:pPr>
              <w:jc w:val="right"/>
              <w:rPr>
                <w:sz w:val="22"/>
                <w:szCs w:val="22"/>
                <w:lang w:val="sr-Cyrl-RS"/>
              </w:rPr>
            </w:pPr>
            <w:r w:rsidRPr="00CF77C1">
              <w:rPr>
                <w:color w:val="000000"/>
                <w:sz w:val="22"/>
                <w:szCs w:val="22"/>
                <w:lang w:val="sr-Cyrl-RS"/>
              </w:rPr>
              <w:t>17.820.274</w:t>
            </w:r>
          </w:p>
        </w:tc>
        <w:tc>
          <w:tcPr>
            <w:tcW w:w="1307" w:type="dxa"/>
            <w:vAlign w:val="center"/>
          </w:tcPr>
          <w:p w14:paraId="0A378345" w14:textId="53189D47" w:rsidR="009B4D43" w:rsidRPr="00CF77C1" w:rsidRDefault="009B4D43" w:rsidP="009B4D43">
            <w:pPr>
              <w:jc w:val="right"/>
              <w:rPr>
                <w:sz w:val="22"/>
                <w:szCs w:val="22"/>
                <w:lang w:val="sr-Cyrl-RS"/>
              </w:rPr>
            </w:pPr>
            <w:r w:rsidRPr="00CF77C1">
              <w:rPr>
                <w:color w:val="000000"/>
                <w:sz w:val="22"/>
                <w:szCs w:val="22"/>
                <w:lang w:val="sr-Cyrl-RS"/>
              </w:rPr>
              <w:t>18.606.577</w:t>
            </w:r>
          </w:p>
        </w:tc>
        <w:tc>
          <w:tcPr>
            <w:tcW w:w="1307" w:type="dxa"/>
            <w:vAlign w:val="center"/>
          </w:tcPr>
          <w:p w14:paraId="0EB3AEBC" w14:textId="7DA2B912" w:rsidR="009B4D43" w:rsidRPr="00CF77C1" w:rsidRDefault="009B4D43" w:rsidP="009B4D43">
            <w:pPr>
              <w:jc w:val="right"/>
              <w:rPr>
                <w:sz w:val="22"/>
                <w:szCs w:val="22"/>
                <w:lang w:val="sr-Cyrl-RS"/>
              </w:rPr>
            </w:pPr>
            <w:r w:rsidRPr="00CF77C1">
              <w:rPr>
                <w:color w:val="000000"/>
                <w:sz w:val="22"/>
                <w:szCs w:val="22"/>
                <w:lang w:val="sr-Cyrl-RS"/>
              </w:rPr>
              <w:t>19.333.265</w:t>
            </w:r>
          </w:p>
        </w:tc>
        <w:tc>
          <w:tcPr>
            <w:tcW w:w="1307" w:type="dxa"/>
            <w:vAlign w:val="center"/>
          </w:tcPr>
          <w:p w14:paraId="1E430C69" w14:textId="119301EE" w:rsidR="009B4D43" w:rsidRPr="00CF77C1" w:rsidRDefault="009B4D43" w:rsidP="009B4D43">
            <w:pPr>
              <w:jc w:val="right"/>
              <w:rPr>
                <w:sz w:val="22"/>
                <w:szCs w:val="22"/>
                <w:lang w:val="sr-Cyrl-RS"/>
              </w:rPr>
            </w:pPr>
            <w:r w:rsidRPr="00CF77C1">
              <w:rPr>
                <w:color w:val="000000"/>
                <w:sz w:val="22"/>
                <w:szCs w:val="22"/>
                <w:lang w:val="sr-Cyrl-RS"/>
              </w:rPr>
              <w:t>19.627.411</w:t>
            </w:r>
          </w:p>
        </w:tc>
        <w:tc>
          <w:tcPr>
            <w:tcW w:w="1307" w:type="dxa"/>
            <w:vAlign w:val="center"/>
          </w:tcPr>
          <w:p w14:paraId="0D3FCEC5" w14:textId="3E432924" w:rsidR="009B4D43" w:rsidRPr="00CF77C1" w:rsidRDefault="009B4D43" w:rsidP="009B4D43">
            <w:pPr>
              <w:jc w:val="right"/>
              <w:rPr>
                <w:sz w:val="22"/>
                <w:szCs w:val="22"/>
                <w:lang w:val="sr-Cyrl-RS"/>
              </w:rPr>
            </w:pPr>
            <w:r w:rsidRPr="00CF77C1">
              <w:rPr>
                <w:color w:val="000000"/>
                <w:sz w:val="22"/>
                <w:szCs w:val="22"/>
                <w:lang w:val="sr-Cyrl-RS"/>
              </w:rPr>
              <w:t>19.908.008</w:t>
            </w:r>
          </w:p>
        </w:tc>
        <w:tc>
          <w:tcPr>
            <w:tcW w:w="1308" w:type="dxa"/>
            <w:vAlign w:val="center"/>
          </w:tcPr>
          <w:p w14:paraId="63EC1F00" w14:textId="36944E11" w:rsidR="009B4D43" w:rsidRPr="00CF77C1" w:rsidRDefault="009B4D43" w:rsidP="009B4D43">
            <w:pPr>
              <w:jc w:val="right"/>
              <w:rPr>
                <w:sz w:val="22"/>
                <w:szCs w:val="22"/>
                <w:lang w:val="sr-Cyrl-RS"/>
              </w:rPr>
            </w:pPr>
            <w:r w:rsidRPr="00CF77C1">
              <w:rPr>
                <w:color w:val="000000"/>
                <w:sz w:val="22"/>
                <w:szCs w:val="22"/>
                <w:lang w:val="sr-Cyrl-RS"/>
              </w:rPr>
              <w:t>20.204.724</w:t>
            </w:r>
          </w:p>
        </w:tc>
      </w:tr>
    </w:tbl>
    <w:p w14:paraId="5D8DC9B8" w14:textId="72C7BBFC" w:rsidR="001B30E9" w:rsidRPr="00CF77C1" w:rsidRDefault="00294AC7" w:rsidP="00A82859">
      <w:pPr>
        <w:ind w:firstLine="720"/>
        <w:rPr>
          <w:lang w:val="sr-Cyrl-RS"/>
        </w:rPr>
      </w:pPr>
      <w:r w:rsidRPr="00CF77C1">
        <w:rPr>
          <w:lang w:val="sr-Cyrl-RS"/>
        </w:rPr>
        <w:t>Напомена: Циљеви за 2021, 2022. и 2023. годину биће ревидирани у складу будућим Националним акционим планом за коришћење обновљивих извора енергије који</w:t>
      </w:r>
      <w:r w:rsidR="00221656" w:rsidRPr="00CF77C1">
        <w:rPr>
          <w:lang w:val="sr-Cyrl-RS"/>
        </w:rPr>
        <w:t xml:space="preserve"> ће бити донет до 2020. године.</w:t>
      </w:r>
      <w:r w:rsidR="009B4D43" w:rsidRPr="00CF77C1">
        <w:rPr>
          <w:lang w:val="sr-Cyrl-RS"/>
        </w:rPr>
        <w:t xml:space="preserve"> Пројектовано смањење емисије гасова са ефектом стаклене башт</w:t>
      </w:r>
      <w:r w:rsidR="00F61B8B" w:rsidRPr="00CF77C1">
        <w:rPr>
          <w:lang w:val="sr-Cyrl-RS"/>
        </w:rPr>
        <w:t>е кориш</w:t>
      </w:r>
      <w:r w:rsidR="009B4D43" w:rsidRPr="00CF77C1">
        <w:rPr>
          <w:lang w:val="sr-Cyrl-RS"/>
        </w:rPr>
        <w:t xml:space="preserve">ћењем ОИЕ прорачунато је коришћењем </w:t>
      </w:r>
      <w:r w:rsidR="00F61B8B" w:rsidRPr="00CF77C1">
        <w:rPr>
          <w:lang w:val="sr-Cyrl-RS"/>
        </w:rPr>
        <w:t>следећих емисионих</w:t>
      </w:r>
      <w:r w:rsidR="009B4D43" w:rsidRPr="00CF77C1">
        <w:rPr>
          <w:lang w:val="sr-Cyrl-RS"/>
        </w:rPr>
        <w:t xml:space="preserve"> фактора</w:t>
      </w:r>
      <w:r w:rsidR="00F61B8B" w:rsidRPr="00CF77C1">
        <w:rPr>
          <w:lang w:val="sr-Cyrl-RS"/>
        </w:rPr>
        <w:t xml:space="preserve"> који су помножени са произведеном енергијом:</w:t>
      </w:r>
      <w:r w:rsidR="009B4D43" w:rsidRPr="00CF77C1">
        <w:rPr>
          <w:lang w:val="sr-Cyrl-RS"/>
        </w:rPr>
        <w:t xml:space="preserve"> за топлане 0,287 tCO</w:t>
      </w:r>
      <w:r w:rsidR="009B4D43" w:rsidRPr="00CF77C1">
        <w:rPr>
          <w:vertAlign w:val="subscript"/>
          <w:lang w:val="sr-Cyrl-RS"/>
        </w:rPr>
        <w:t>2</w:t>
      </w:r>
      <w:r w:rsidR="009B4D43" w:rsidRPr="00CF77C1">
        <w:rPr>
          <w:lang w:val="sr-Cyrl-RS"/>
        </w:rPr>
        <w:t>/MWh произведене топлотне енергије</w:t>
      </w:r>
      <w:r w:rsidR="00F61B8B" w:rsidRPr="00CF77C1">
        <w:rPr>
          <w:lang w:val="sr-Cyrl-RS"/>
        </w:rPr>
        <w:t xml:space="preserve"> (емисиони фактор са којим је рачунато у </w:t>
      </w:r>
      <w:r w:rsidR="00331048" w:rsidRPr="00CF77C1">
        <w:rPr>
          <w:lang w:val="sr-Cyrl-RS"/>
        </w:rPr>
        <w:t>Стратегији енергетике</w:t>
      </w:r>
      <w:r w:rsidR="00F61B8B" w:rsidRPr="00CF77C1">
        <w:rPr>
          <w:lang w:val="sr-Cyrl-RS"/>
        </w:rPr>
        <w:t>)</w:t>
      </w:r>
      <w:r w:rsidR="009B4D43" w:rsidRPr="00CF77C1">
        <w:rPr>
          <w:lang w:val="sr-Cyrl-RS"/>
        </w:rPr>
        <w:t>,</w:t>
      </w:r>
      <w:r w:rsidR="00F61B8B" w:rsidRPr="00CF77C1">
        <w:rPr>
          <w:lang w:val="sr-Cyrl-RS"/>
        </w:rPr>
        <w:t xml:space="preserve"> за електричну енергију 1,099 tCO</w:t>
      </w:r>
      <w:r w:rsidR="00F61B8B" w:rsidRPr="00CF77C1">
        <w:rPr>
          <w:vertAlign w:val="subscript"/>
          <w:lang w:val="sr-Cyrl-RS"/>
        </w:rPr>
        <w:t>2</w:t>
      </w:r>
      <w:r w:rsidR="00F61B8B" w:rsidRPr="00CF77C1">
        <w:rPr>
          <w:lang w:val="sr-Cyrl-RS"/>
        </w:rPr>
        <w:t>/MWh (комбиновани емисиони фактор за производњу електричне енергије у ЕЕС Србије: 1,099 t</w:t>
      </w:r>
      <w:r w:rsidR="00C666BB" w:rsidRPr="00CF77C1">
        <w:rPr>
          <w:lang w:val="sr-Cyrl-RS"/>
        </w:rPr>
        <w:t>CO</w:t>
      </w:r>
      <w:r w:rsidR="00C666BB" w:rsidRPr="00CF77C1">
        <w:rPr>
          <w:vertAlign w:val="subscript"/>
          <w:lang w:val="sr-Cyrl-RS"/>
        </w:rPr>
        <w:t>2</w:t>
      </w:r>
      <w:r w:rsidR="00F61B8B" w:rsidRPr="00CF77C1">
        <w:rPr>
          <w:lang w:val="sr-Cyrl-RS"/>
        </w:rPr>
        <w:t>/MWh (национални емисиони фактори за 2017.)) и за гориво 2.954 tCO</w:t>
      </w:r>
      <w:r w:rsidR="00F61B8B" w:rsidRPr="00CF77C1">
        <w:rPr>
          <w:vertAlign w:val="subscript"/>
          <w:lang w:val="sr-Cyrl-RS"/>
        </w:rPr>
        <w:t>2</w:t>
      </w:r>
      <w:r w:rsidR="00F61B8B" w:rsidRPr="00CF77C1">
        <w:rPr>
          <w:lang w:val="sr-Cyrl-RS"/>
        </w:rPr>
        <w:t xml:space="preserve">/тен (емисиони фактор са којим је рачунато у </w:t>
      </w:r>
      <w:r w:rsidR="00331048" w:rsidRPr="00CF77C1">
        <w:rPr>
          <w:lang w:val="sr-Cyrl-RS"/>
        </w:rPr>
        <w:t>Стратегији енергетике</w:t>
      </w:r>
      <w:r w:rsidR="00F61B8B" w:rsidRPr="00CF77C1">
        <w:rPr>
          <w:lang w:val="sr-Cyrl-RS"/>
        </w:rPr>
        <w:t>)</w:t>
      </w:r>
      <w:r w:rsidR="009B4D43" w:rsidRPr="00CF77C1">
        <w:rPr>
          <w:lang w:val="sr-Cyrl-RS"/>
        </w:rPr>
        <w:t>.</w:t>
      </w:r>
    </w:p>
    <w:p w14:paraId="3938B231" w14:textId="77777777" w:rsidR="009B4D43" w:rsidRPr="00CF77C1" w:rsidRDefault="009B4D43" w:rsidP="0080044B">
      <w:pPr>
        <w:rPr>
          <w:lang w:val="sr-Cyrl-RS"/>
        </w:rPr>
      </w:pPr>
    </w:p>
    <w:p w14:paraId="23807B20" w14:textId="77777777" w:rsidR="001B30E9" w:rsidRPr="00CF77C1" w:rsidRDefault="001B30E9" w:rsidP="0080044B">
      <w:pPr>
        <w:rPr>
          <w:lang w:val="sr-Cyrl-RS"/>
        </w:rPr>
        <w:sectPr w:rsidR="001B30E9" w:rsidRPr="00CF77C1" w:rsidSect="00017454">
          <w:headerReference w:type="default" r:id="rId55"/>
          <w:footerReference w:type="even" r:id="rId56"/>
          <w:footerReference w:type="default" r:id="rId57"/>
          <w:pgSz w:w="16839" w:h="11907" w:orient="landscape" w:code="9"/>
          <w:pgMar w:top="1418" w:right="1134" w:bottom="1134" w:left="1134" w:header="1004" w:footer="720" w:gutter="0"/>
          <w:cols w:space="720"/>
          <w:docGrid w:linePitch="360"/>
        </w:sectPr>
      </w:pPr>
    </w:p>
    <w:p w14:paraId="0CD52081" w14:textId="7004DB1D" w:rsidR="00012A19" w:rsidRPr="00CF77C1" w:rsidRDefault="00141BA0" w:rsidP="00141BA0">
      <w:pPr>
        <w:pStyle w:val="Heading3"/>
        <w:numPr>
          <w:ilvl w:val="0"/>
          <w:numId w:val="0"/>
        </w:numPr>
        <w:ind w:left="720"/>
        <w:rPr>
          <w:b w:val="0"/>
          <w:lang w:val="sr-Cyrl-RS"/>
        </w:rPr>
      </w:pPr>
      <w:bookmarkStart w:id="73" w:name="_Toc484260295"/>
      <w:r w:rsidRPr="00CF77C1">
        <w:rPr>
          <w:b w:val="0"/>
          <w:lang w:val="sr-Cyrl-RS"/>
        </w:rPr>
        <w:t xml:space="preserve">3.3.1. </w:t>
      </w:r>
      <w:r w:rsidR="00012A19" w:rsidRPr="00CF77C1">
        <w:rPr>
          <w:b w:val="0"/>
          <w:lang w:val="sr-Cyrl-RS"/>
        </w:rPr>
        <w:t>Специфичности области ОИЕ</w:t>
      </w:r>
      <w:bookmarkEnd w:id="73"/>
    </w:p>
    <w:p w14:paraId="18ED8D1A" w14:textId="67482491" w:rsidR="00294AC7" w:rsidRPr="00CF77C1" w:rsidRDefault="00F10D3F" w:rsidP="00A82859">
      <w:pPr>
        <w:ind w:firstLine="720"/>
        <w:rPr>
          <w:lang w:val="sr-Cyrl-RS"/>
        </w:rPr>
      </w:pPr>
      <w:r w:rsidRPr="00CF77C1">
        <w:rPr>
          <w:lang w:val="sr-Cyrl-RS"/>
        </w:rPr>
        <w:t xml:space="preserve">Приликом креирања мера и активности за достизање циљева у области ОИЕ дефинисаних Стратегијом, ПОС полази од специфичности области ОИЕ, преузетих међународних обавеза Републике Србије и стања у тој области. </w:t>
      </w:r>
      <w:r w:rsidR="00294AC7" w:rsidRPr="00CF77C1">
        <w:rPr>
          <w:lang w:val="sr-Cyrl-RS"/>
        </w:rPr>
        <w:t>Специфичности у овој области последица су коришћења ОИЕ у три различита сектора: сектору електричне енергије, сектору топлотне енергије и сектору саобраћаја.</w:t>
      </w:r>
    </w:p>
    <w:p w14:paraId="78DA23B4" w14:textId="3044AD24" w:rsidR="00F10D3F" w:rsidRPr="00CF77C1" w:rsidRDefault="00294AC7" w:rsidP="00A82859">
      <w:pPr>
        <w:ind w:firstLine="720"/>
        <w:rPr>
          <w:lang w:val="sr-Cyrl-RS"/>
        </w:rPr>
      </w:pPr>
      <w:r w:rsidRPr="00CF77C1">
        <w:rPr>
          <w:lang w:val="sr-Cyrl-RS"/>
        </w:rPr>
        <w:t xml:space="preserve">У сектору електричне енергије, у складу са </w:t>
      </w:r>
      <w:r w:rsidR="00E7054C" w:rsidRPr="00CF77C1">
        <w:rPr>
          <w:lang w:val="sr-Cyrl-RS"/>
        </w:rPr>
        <w:t xml:space="preserve">Законом </w:t>
      </w:r>
      <w:r w:rsidR="00B9618D" w:rsidRPr="00CF77C1">
        <w:rPr>
          <w:lang w:val="sr-Cyrl-RS"/>
        </w:rPr>
        <w:t>о енергетици</w:t>
      </w:r>
      <w:r w:rsidR="00E7054C" w:rsidRPr="00CF77C1">
        <w:rPr>
          <w:lang w:val="sr-Cyrl-RS"/>
        </w:rPr>
        <w:t xml:space="preserve"> </w:t>
      </w:r>
      <w:r w:rsidRPr="00CF77C1">
        <w:rPr>
          <w:lang w:val="sr-Cyrl-RS"/>
        </w:rPr>
        <w:t>и концептом либерализације тржишта електричне енергије, производња ел</w:t>
      </w:r>
      <w:r w:rsidR="00E7054C" w:rsidRPr="00CF77C1">
        <w:rPr>
          <w:lang w:val="sr-Cyrl-RS"/>
        </w:rPr>
        <w:t>ектричне енергије с</w:t>
      </w:r>
      <w:r w:rsidRPr="00CF77C1">
        <w:rPr>
          <w:lang w:val="sr-Cyrl-RS"/>
        </w:rPr>
        <w:t xml:space="preserve">е још од 2011. године </w:t>
      </w:r>
      <w:r w:rsidR="00E7054C" w:rsidRPr="00CF77C1">
        <w:rPr>
          <w:lang w:val="sr-Cyrl-RS"/>
        </w:rPr>
        <w:t>обавља по тржишним принципима</w:t>
      </w:r>
      <w:r w:rsidRPr="00CF77C1">
        <w:rPr>
          <w:lang w:val="sr-Cyrl-RS"/>
        </w:rPr>
        <w:t xml:space="preserve">, што се може сматрати најважнијом специфичношћу у сектору електричне енергије. Из тога произилази да је производња електричне енергије </w:t>
      </w:r>
      <w:r w:rsidR="00E7054C" w:rsidRPr="00CF77C1">
        <w:rPr>
          <w:lang w:val="sr-Cyrl-RS"/>
        </w:rPr>
        <w:t xml:space="preserve">једнако </w:t>
      </w:r>
      <w:r w:rsidRPr="00CF77C1">
        <w:rPr>
          <w:lang w:val="sr-Cyrl-RS"/>
        </w:rPr>
        <w:t xml:space="preserve">омогућена </w:t>
      </w:r>
      <w:r w:rsidR="00E7054C" w:rsidRPr="00CF77C1">
        <w:rPr>
          <w:lang w:val="sr-Cyrl-RS"/>
        </w:rPr>
        <w:t>како</w:t>
      </w:r>
      <w:r w:rsidRPr="00CF77C1">
        <w:rPr>
          <w:lang w:val="sr-Cyrl-RS"/>
        </w:rPr>
        <w:t xml:space="preserve"> предузећима чији је оснивач Република Србија, АП Војводина и јединице локалне самоуправе, </w:t>
      </w:r>
      <w:r w:rsidR="00E7054C" w:rsidRPr="00CF77C1">
        <w:rPr>
          <w:lang w:val="sr-Cyrl-RS"/>
        </w:rPr>
        <w:t>тако и приватним инвеститорима, односно, наведени субјекти су равноправни на</w:t>
      </w:r>
      <w:r w:rsidR="00F10D3F" w:rsidRPr="00CF77C1">
        <w:rPr>
          <w:lang w:val="sr-Cyrl-RS"/>
        </w:rPr>
        <w:t xml:space="preserve"> тржишту</w:t>
      </w:r>
      <w:r w:rsidR="00221656" w:rsidRPr="00CF77C1">
        <w:rPr>
          <w:lang w:val="sr-Cyrl-RS"/>
        </w:rPr>
        <w:t xml:space="preserve"> електричне енергије</w:t>
      </w:r>
      <w:r w:rsidR="00F10D3F" w:rsidRPr="00CF77C1">
        <w:rPr>
          <w:lang w:val="sr-Cyrl-RS"/>
        </w:rPr>
        <w:t>.</w:t>
      </w:r>
    </w:p>
    <w:p w14:paraId="6C4AED45" w14:textId="74DA6A30" w:rsidR="00294AC7" w:rsidRPr="00CF77C1" w:rsidRDefault="00294AC7" w:rsidP="00A82859">
      <w:pPr>
        <w:ind w:firstLine="720"/>
        <w:rPr>
          <w:lang w:val="sr-Cyrl-RS"/>
        </w:rPr>
      </w:pPr>
      <w:r w:rsidRPr="00CF77C1">
        <w:rPr>
          <w:lang w:val="sr-Cyrl-RS"/>
        </w:rPr>
        <w:t xml:space="preserve">У сектору топлотне енергије пракса указује </w:t>
      </w:r>
      <w:r w:rsidR="00F10D3F" w:rsidRPr="00CF77C1">
        <w:rPr>
          <w:lang w:val="sr-Cyrl-RS"/>
        </w:rPr>
        <w:t xml:space="preserve">на то </w:t>
      </w:r>
      <w:r w:rsidRPr="00CF77C1">
        <w:rPr>
          <w:lang w:val="sr-Cyrl-RS"/>
        </w:rPr>
        <w:t>да се предвиђени циљеви не реализују планираном динамиком, због чега је потребно извршити анализу узрока и дефинисати одг</w:t>
      </w:r>
      <w:r w:rsidR="0078663B" w:rsidRPr="00CF77C1">
        <w:rPr>
          <w:lang w:val="sr-Cyrl-RS"/>
        </w:rPr>
        <w:t>оварајуће мере и активности које</w:t>
      </w:r>
      <w:r w:rsidRPr="00CF77C1">
        <w:rPr>
          <w:lang w:val="sr-Cyrl-RS"/>
        </w:rPr>
        <w:t xml:space="preserve"> би допринеле већем коришћењу ОИЕ у овом сектору.</w:t>
      </w:r>
    </w:p>
    <w:p w14:paraId="117D58B5" w14:textId="1F3F00C5" w:rsidR="00294AC7" w:rsidRPr="00CF77C1" w:rsidRDefault="00294AC7" w:rsidP="00A82859">
      <w:pPr>
        <w:ind w:firstLine="720"/>
        <w:rPr>
          <w:lang w:val="sr-Cyrl-RS"/>
        </w:rPr>
      </w:pPr>
      <w:r w:rsidRPr="00CF77C1">
        <w:rPr>
          <w:lang w:val="sr-Cyrl-RS"/>
        </w:rPr>
        <w:t>У сектору саобраћаја, производња биогорива је енергетска делатност која се обавља у складу са тржишним принципима. Политика у овој области треба да се усмерава на стварање основе за успостављање транспарентних и недискриминаторних регулаторно-финансијских мера у циљу стимулисања инвеститора да улажу у производњу биогорива и добијено биогориво пласирају на тржиште. Ангажовање домаћих ресурса у производњи биогорива, уз уважавање правила о конкуренцији, и једнаком третману домаћих и страних лица на тржишту, треба да буде основа за доношење подзаконског оквира у овој области. Додатну сложеност у сектору саобраћаја намећу и захтеви одрживости биогорива са становишта животне средине и пољоприв</w:t>
      </w:r>
      <w:r w:rsidR="00267700">
        <w:rPr>
          <w:lang w:val="sr-Cyrl-RS"/>
        </w:rPr>
        <w:t>р</w:t>
      </w:r>
      <w:r w:rsidRPr="00CF77C1">
        <w:rPr>
          <w:lang w:val="sr-Cyrl-RS"/>
        </w:rPr>
        <w:t>еде, па је, приликом одређивања мера у овом сектору, потребно укључити министарств</w:t>
      </w:r>
      <w:r w:rsidR="00267700">
        <w:rPr>
          <w:lang w:val="sr-Cyrl-RS"/>
        </w:rPr>
        <w:t>а</w:t>
      </w:r>
      <w:r w:rsidRPr="00CF77C1">
        <w:rPr>
          <w:lang w:val="sr-Cyrl-RS"/>
        </w:rPr>
        <w:t xml:space="preserve"> надлежн</w:t>
      </w:r>
      <w:r w:rsidR="00267700">
        <w:rPr>
          <w:lang w:val="sr-Cyrl-RS"/>
        </w:rPr>
        <w:t>а</w:t>
      </w:r>
      <w:r w:rsidRPr="00CF77C1">
        <w:rPr>
          <w:lang w:val="sr-Cyrl-RS"/>
        </w:rPr>
        <w:t xml:space="preserve"> за послове пољопривреде и заштите животне средине. Поред биогорива, стимулисање коришћења електричних возила може значајно допринети остваривању секторског циља од 10%, па је потребно размотрити и ту могућност.</w:t>
      </w:r>
    </w:p>
    <w:p w14:paraId="10C0D187" w14:textId="5BAD3CAE" w:rsidR="00294AC7" w:rsidRPr="00CF77C1" w:rsidRDefault="00294AC7" w:rsidP="00A82859">
      <w:pPr>
        <w:ind w:firstLine="720"/>
        <w:rPr>
          <w:lang w:val="sr-Cyrl-RS"/>
        </w:rPr>
      </w:pPr>
      <w:r w:rsidRPr="00CF77C1">
        <w:rPr>
          <w:lang w:val="sr-Cyrl-RS"/>
        </w:rPr>
        <w:t>Остале специфичности: Значај коришћења ОИЕ и користи које се постижу нису довољно познати јавности, због чега је један од циљева које дефинише Стратегија информисање и едукације јавности о значају коришћења ОИЕ. Обавеза јачања свести грађана о ОИЕ прописана је и Законом о енергетици, а произилази из прописа ЕУ. Да би се повећала свест грађана о значају ОИЕ неопходно је укључити медије, образовне и научне институције</w:t>
      </w:r>
      <w:r w:rsidR="00293B1E" w:rsidRPr="00CF77C1">
        <w:rPr>
          <w:lang w:val="sr-Cyrl-RS"/>
        </w:rPr>
        <w:t xml:space="preserve"> и организације цивилног друштва</w:t>
      </w:r>
      <w:r w:rsidRPr="00CF77C1">
        <w:rPr>
          <w:lang w:val="sr-Cyrl-RS"/>
        </w:rPr>
        <w:t>.</w:t>
      </w:r>
    </w:p>
    <w:p w14:paraId="5032DD3E" w14:textId="24DBFBBD" w:rsidR="00294AC7" w:rsidRPr="00CF77C1" w:rsidRDefault="00294AC7" w:rsidP="00A82859">
      <w:pPr>
        <w:ind w:firstLine="720"/>
        <w:rPr>
          <w:lang w:val="sr-Cyrl-RS"/>
        </w:rPr>
      </w:pPr>
      <w:r w:rsidRPr="00CF77C1">
        <w:rPr>
          <w:lang w:val="sr-Cyrl-RS"/>
        </w:rPr>
        <w:t xml:space="preserve">Додатно, веома битан аспект у области ОИЕ су административне процедуре за изградњу постројења. С обзиром </w:t>
      </w:r>
      <w:r w:rsidR="00F10D3F" w:rsidRPr="00CF77C1">
        <w:rPr>
          <w:lang w:val="sr-Cyrl-RS"/>
        </w:rPr>
        <w:t xml:space="preserve">на то </w:t>
      </w:r>
      <w:r w:rsidRPr="00CF77C1">
        <w:rPr>
          <w:lang w:val="sr-Cyrl-RS"/>
        </w:rPr>
        <w:t>да су ове процедуре релативно сложене, а да су прописи од којих зависи поступак и брзина издавања одобрења и дозвола претежно у делокругу рада министарства надлежног за послове у области грађевинарства и министарства надлежног за послове државне управе, мере за рационализацију административних процедура морају се разматрати у сарадњи са та два министарства.</w:t>
      </w:r>
      <w:r w:rsidR="00C45078" w:rsidRPr="00CF77C1">
        <w:rPr>
          <w:lang w:val="sr-Cyrl-RS"/>
        </w:rPr>
        <w:t xml:space="preserve"> У разматрање је неопходно укључити Републички секретаријат за јавне политике који, сагласно Оперативном плану активности на успостављању јединственог јавног регистра административних поступака и осталих услова за пословање, реализује Пројекат успостављања јединственог јавног регистра административних поступака и осталих услова пословања и који ће касније водити тај регистар.</w:t>
      </w:r>
    </w:p>
    <w:p w14:paraId="4A5E6C03" w14:textId="398E1941" w:rsidR="00294AC7" w:rsidRPr="00CF77C1" w:rsidRDefault="00294AC7" w:rsidP="00A82859">
      <w:pPr>
        <w:ind w:firstLine="720"/>
        <w:rPr>
          <w:lang w:val="sr-Cyrl-RS"/>
        </w:rPr>
      </w:pPr>
      <w:r w:rsidRPr="00CF77C1">
        <w:rPr>
          <w:lang w:val="sr-Cyrl-RS"/>
        </w:rPr>
        <w:t xml:space="preserve">Полазећи од свега наведеног, може се закључити да је у креирању мера за достизање циљева из Стратегије у области ОИЕ потребан </w:t>
      </w:r>
      <w:r w:rsidR="0078663B" w:rsidRPr="00CF77C1">
        <w:rPr>
          <w:lang w:val="sr-Cyrl-RS"/>
        </w:rPr>
        <w:t>међусекторски</w:t>
      </w:r>
      <w:r w:rsidRPr="00CF77C1">
        <w:rPr>
          <w:lang w:val="sr-Cyrl-RS"/>
        </w:rPr>
        <w:t xml:space="preserve"> приступ да би се оне учиниле ефектним.</w:t>
      </w:r>
    </w:p>
    <w:p w14:paraId="23629CC9" w14:textId="6ECB1800" w:rsidR="00294AC7" w:rsidRPr="00CF77C1" w:rsidRDefault="00294AC7" w:rsidP="00A82859">
      <w:pPr>
        <w:ind w:firstLine="720"/>
        <w:rPr>
          <w:lang w:val="sr-Cyrl-RS"/>
        </w:rPr>
      </w:pPr>
      <w:r w:rsidRPr="00CF77C1">
        <w:rPr>
          <w:lang w:val="sr-Cyrl-RS"/>
        </w:rPr>
        <w:t>Нарочито, приликом осмишљавања регулаторно-финансијских мера, треба размотрити могућност успостављања јединственог финансијског фонда за целу област ОИЕ како би се, осим институционалне стабилности за финансирање п</w:t>
      </w:r>
      <w:r w:rsidR="00E7054C" w:rsidRPr="00CF77C1">
        <w:rPr>
          <w:lang w:val="sr-Cyrl-RS"/>
        </w:rPr>
        <w:t>ројеката у области ОИЕ, омогући</w:t>
      </w:r>
      <w:r w:rsidRPr="00CF77C1">
        <w:rPr>
          <w:lang w:val="sr-Cyrl-RS"/>
        </w:rPr>
        <w:t>ло свеобухватно планирање финансирања, лакше праћење финансијских токова и квалитетније усаглашавање свих шема подстицаја за веће коришћење ОИЕ које се успоста</w:t>
      </w:r>
      <w:r w:rsidR="00EB40BE">
        <w:rPr>
          <w:lang w:val="sr-Cyrl-RS"/>
        </w:rPr>
        <w:t>в</w:t>
      </w:r>
      <w:r w:rsidRPr="00CF77C1">
        <w:rPr>
          <w:lang w:val="sr-Cyrl-RS"/>
        </w:rPr>
        <w:t>љају у различитим секторима (пољопривреда, заштита животне средине, шумарство и сл.)</w:t>
      </w:r>
      <w:r w:rsidR="00F57CC4">
        <w:rPr>
          <w:lang w:val="sr-Cyrl-RS"/>
        </w:rPr>
        <w:t>.</w:t>
      </w:r>
    </w:p>
    <w:p w14:paraId="0FFE1AE8" w14:textId="25CA8B11" w:rsidR="00D640C0" w:rsidRPr="00CF77C1" w:rsidRDefault="00141BA0" w:rsidP="00141BA0">
      <w:pPr>
        <w:pStyle w:val="Heading3"/>
        <w:numPr>
          <w:ilvl w:val="0"/>
          <w:numId w:val="0"/>
        </w:numPr>
        <w:ind w:left="720"/>
        <w:rPr>
          <w:b w:val="0"/>
          <w:lang w:val="sr-Cyrl-RS"/>
        </w:rPr>
      </w:pPr>
      <w:bookmarkStart w:id="74" w:name="_Toc484260296"/>
      <w:r w:rsidRPr="00CF77C1">
        <w:rPr>
          <w:b w:val="0"/>
          <w:lang w:val="sr-Cyrl-RS"/>
        </w:rPr>
        <w:t xml:space="preserve">3.3.2. </w:t>
      </w:r>
      <w:r w:rsidR="00AC2DD1" w:rsidRPr="00CF77C1">
        <w:rPr>
          <w:b w:val="0"/>
          <w:lang w:val="sr-Cyrl-RS"/>
        </w:rPr>
        <w:t xml:space="preserve">Преглед активности и </w:t>
      </w:r>
      <w:r w:rsidR="00D640C0" w:rsidRPr="00CF77C1">
        <w:rPr>
          <w:b w:val="0"/>
          <w:lang w:val="sr-Cyrl-RS"/>
        </w:rPr>
        <w:t>мера у области обновљивих извора енергије</w:t>
      </w:r>
      <w:bookmarkEnd w:id="74"/>
    </w:p>
    <w:p w14:paraId="29A94C1E" w14:textId="116267C2" w:rsidR="00294AC7" w:rsidRPr="00CF77C1" w:rsidRDefault="00294AC7" w:rsidP="00A82859">
      <w:pPr>
        <w:keepNext/>
        <w:ind w:firstLine="720"/>
        <w:rPr>
          <w:lang w:val="sr-Latn-CS"/>
        </w:rPr>
      </w:pPr>
      <w:r w:rsidRPr="00CF77C1">
        <w:rPr>
          <w:lang w:val="sr-Cyrl-RS"/>
        </w:rPr>
        <w:t xml:space="preserve">Да би се остварили предвиђени циљеви у области ОИЕ, </w:t>
      </w:r>
      <w:r w:rsidR="00221656" w:rsidRPr="00CF77C1">
        <w:rPr>
          <w:lang w:val="sr-Cyrl-RS"/>
        </w:rPr>
        <w:t xml:space="preserve">у </w:t>
      </w:r>
      <w:r w:rsidR="00F10D3F" w:rsidRPr="00CF77C1">
        <w:rPr>
          <w:lang w:val="sr-Cyrl-RS"/>
        </w:rPr>
        <w:t>ПОС</w:t>
      </w:r>
      <w:r w:rsidR="00221656" w:rsidRPr="00CF77C1">
        <w:rPr>
          <w:lang w:val="sr-Cyrl-RS"/>
        </w:rPr>
        <w:t xml:space="preserve"> су дефинисане</w:t>
      </w:r>
      <w:r w:rsidRPr="00CF77C1">
        <w:rPr>
          <w:lang w:val="sr-Cyrl-RS"/>
        </w:rPr>
        <w:t xml:space="preserve"> мере</w:t>
      </w:r>
      <w:r w:rsidR="00F10D3F" w:rsidRPr="00CF77C1">
        <w:rPr>
          <w:lang w:val="sr-Cyrl-RS"/>
        </w:rPr>
        <w:t>, као</w:t>
      </w:r>
      <w:r w:rsidRPr="00CF77C1">
        <w:rPr>
          <w:lang w:val="sr-Cyrl-RS"/>
        </w:rPr>
        <w:t xml:space="preserve"> и активности којима се те мере остварују.</w:t>
      </w:r>
      <w:r w:rsidR="00A82859" w:rsidRPr="00CF77C1">
        <w:rPr>
          <w:lang w:val="sr-Latn-CS"/>
        </w:rPr>
        <w:t xml:space="preserve"> </w:t>
      </w:r>
    </w:p>
    <w:p w14:paraId="5ED9F33D" w14:textId="77777777" w:rsidR="00294AC7" w:rsidRPr="00CF77C1" w:rsidRDefault="00294AC7" w:rsidP="00A82859">
      <w:pPr>
        <w:keepNext/>
        <w:ind w:firstLine="357"/>
        <w:rPr>
          <w:lang w:val="sr-Cyrl-RS"/>
        </w:rPr>
      </w:pPr>
      <w:r w:rsidRPr="00CF77C1">
        <w:rPr>
          <w:lang w:val="sr-Cyrl-RS"/>
        </w:rPr>
        <w:t>Активности и мере у области ОИЕ се могу сврстати у две основне групе:</w:t>
      </w:r>
    </w:p>
    <w:p w14:paraId="6A554AEB" w14:textId="562B3E2E" w:rsidR="00294AC7" w:rsidRPr="00CF77C1" w:rsidRDefault="00294AC7" w:rsidP="003E39B4">
      <w:pPr>
        <w:pStyle w:val="ListParagraph"/>
        <w:numPr>
          <w:ilvl w:val="0"/>
          <w:numId w:val="30"/>
        </w:numPr>
        <w:spacing w:before="60" w:after="60"/>
        <w:ind w:left="0" w:firstLine="720"/>
        <w:contextualSpacing w:val="0"/>
        <w:rPr>
          <w:lang w:val="sr-Cyrl-RS"/>
        </w:rPr>
      </w:pPr>
      <w:r w:rsidRPr="00CF77C1">
        <w:rPr>
          <w:lang w:val="sr-Cyrl-RS"/>
        </w:rPr>
        <w:t>усклађивање прописа Републике Србије са преузетим међународним обавезама у области ОИЕ</w:t>
      </w:r>
      <w:r w:rsidR="00E7054C" w:rsidRPr="00CF77C1">
        <w:rPr>
          <w:lang w:val="sr-Cyrl-RS"/>
        </w:rPr>
        <w:t xml:space="preserve">, а које нису </w:t>
      </w:r>
      <w:r w:rsidR="0049024D" w:rsidRPr="00CF77C1">
        <w:rPr>
          <w:lang w:val="sr-Cyrl-RS"/>
        </w:rPr>
        <w:t>обухваћене Законом о енергетици</w:t>
      </w:r>
      <w:r w:rsidRPr="00CF77C1">
        <w:rPr>
          <w:lang w:val="sr-Cyrl-RS"/>
        </w:rPr>
        <w:t>;</w:t>
      </w:r>
    </w:p>
    <w:p w14:paraId="6527F874" w14:textId="300D3678" w:rsidR="00294AC7" w:rsidRPr="00CF77C1" w:rsidRDefault="00F10D3F" w:rsidP="003E39B4">
      <w:pPr>
        <w:pStyle w:val="ListParagraph"/>
        <w:numPr>
          <w:ilvl w:val="0"/>
          <w:numId w:val="30"/>
        </w:numPr>
        <w:spacing w:before="60" w:after="60"/>
        <w:ind w:left="0" w:firstLine="720"/>
        <w:contextualSpacing w:val="0"/>
        <w:rPr>
          <w:lang w:val="sr-Cyrl-RS"/>
        </w:rPr>
      </w:pPr>
      <w:r w:rsidRPr="00CF77C1">
        <w:rPr>
          <w:lang w:val="sr-Cyrl-RS"/>
        </w:rPr>
        <w:t>а</w:t>
      </w:r>
      <w:r w:rsidR="00294AC7" w:rsidRPr="00CF77C1">
        <w:rPr>
          <w:lang w:val="sr-Cyrl-RS"/>
        </w:rPr>
        <w:t>нализа ефеката примене постојећих прописа, а нарочито прописа којима се уређује подстицање произв</w:t>
      </w:r>
      <w:r w:rsidR="00E7054C" w:rsidRPr="00CF77C1">
        <w:rPr>
          <w:lang w:val="sr-Cyrl-RS"/>
        </w:rPr>
        <w:t>одње електричне енергије из ОИЕ,</w:t>
      </w:r>
      <w:r w:rsidR="00294AC7" w:rsidRPr="00CF77C1">
        <w:rPr>
          <w:lang w:val="sr-Cyrl-RS"/>
        </w:rPr>
        <w:t xml:space="preserve"> </w:t>
      </w:r>
      <w:r w:rsidR="00EB40BE">
        <w:rPr>
          <w:lang w:val="sr-Cyrl-RS"/>
        </w:rPr>
        <w:t>и</w:t>
      </w:r>
      <w:r w:rsidR="00E7054C" w:rsidRPr="00CF77C1">
        <w:rPr>
          <w:lang w:val="sr-Cyrl-RS"/>
        </w:rPr>
        <w:t xml:space="preserve"> на основу резултата свеобухватне техно-економске анализе, евентуална измена постојећих прописа</w:t>
      </w:r>
      <w:r w:rsidRPr="00CF77C1">
        <w:rPr>
          <w:lang w:val="sr-Cyrl-RS"/>
        </w:rPr>
        <w:t>.</w:t>
      </w:r>
    </w:p>
    <w:p w14:paraId="4973673C" w14:textId="7230618B" w:rsidR="00294AC7" w:rsidRPr="00CF77C1" w:rsidRDefault="00294AC7" w:rsidP="00A82859">
      <w:pPr>
        <w:keepNext/>
        <w:ind w:firstLine="720"/>
        <w:rPr>
          <w:lang w:val="sr-Cyrl-RS"/>
        </w:rPr>
      </w:pPr>
      <w:r w:rsidRPr="00CF77C1">
        <w:rPr>
          <w:lang w:val="sr-Cyrl-RS"/>
        </w:rPr>
        <w:t xml:space="preserve">Преглед мера и активности дат је у </w:t>
      </w:r>
      <w:r w:rsidR="005B4954">
        <w:rPr>
          <w:lang w:val="sr-Cyrl-RS"/>
        </w:rPr>
        <w:t>таб</w:t>
      </w:r>
      <w:r w:rsidRPr="00CF77C1">
        <w:rPr>
          <w:lang w:val="sr-Cyrl-RS"/>
        </w:rPr>
        <w:t>.</w:t>
      </w:r>
      <w:r w:rsidR="005B4954">
        <w:rPr>
          <w:lang w:val="sr-Cyrl-RS"/>
        </w:rPr>
        <w:t xml:space="preserve"> 34</w:t>
      </w:r>
      <w:r w:rsidR="006A1D0E">
        <w:rPr>
          <w:lang w:val="sr-Cyrl-RS"/>
        </w:rPr>
        <w:t>-</w:t>
      </w:r>
      <w:r w:rsidR="005B4954">
        <w:rPr>
          <w:lang w:val="sr-Cyrl-RS"/>
        </w:rPr>
        <w:t>35.</w:t>
      </w:r>
    </w:p>
    <w:p w14:paraId="7C8823B4" w14:textId="77777777" w:rsidR="0075721A" w:rsidRPr="00CF77C1" w:rsidRDefault="0075721A" w:rsidP="0080044B">
      <w:pPr>
        <w:rPr>
          <w:lang w:val="sr-Cyrl-RS"/>
        </w:rPr>
      </w:pPr>
    </w:p>
    <w:p w14:paraId="0DCEB16C" w14:textId="77777777" w:rsidR="0075721A" w:rsidRPr="00CF77C1" w:rsidRDefault="0075721A" w:rsidP="0080044B">
      <w:pPr>
        <w:rPr>
          <w:lang w:val="sr-Cyrl-RS"/>
        </w:rPr>
        <w:sectPr w:rsidR="0075721A" w:rsidRPr="00CF77C1" w:rsidSect="00A82859">
          <w:headerReference w:type="default" r:id="rId58"/>
          <w:footerReference w:type="default" r:id="rId59"/>
          <w:pgSz w:w="11907" w:h="16839" w:code="9"/>
          <w:pgMar w:top="1134" w:right="1287" w:bottom="1134" w:left="1418" w:header="720" w:footer="720" w:gutter="0"/>
          <w:cols w:space="720"/>
          <w:docGrid w:linePitch="360"/>
        </w:sectPr>
      </w:pPr>
    </w:p>
    <w:p w14:paraId="4D79279E" w14:textId="496E0344" w:rsidR="0075721A" w:rsidRPr="00CF77C1" w:rsidRDefault="00D61BC9" w:rsidP="00A82859">
      <w:pPr>
        <w:pStyle w:val="Caption"/>
        <w:ind w:firstLine="720"/>
        <w:rPr>
          <w:b w:val="0"/>
          <w:lang w:val="sr-Cyrl-RS"/>
        </w:rPr>
      </w:pPr>
      <w:r w:rsidRPr="00CF77C1">
        <w:rPr>
          <w:b w:val="0"/>
          <w:lang w:val="sr-Cyrl-RS"/>
        </w:rPr>
        <w:t>таб.</w:t>
      </w:r>
      <w:r w:rsidR="0075721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34</w:t>
      </w:r>
      <w:r w:rsidR="0092145E" w:rsidRPr="00CF77C1">
        <w:rPr>
          <w:b w:val="0"/>
          <w:lang w:val="sr-Cyrl-RS"/>
        </w:rPr>
        <w:fldChar w:fldCharType="end"/>
      </w:r>
      <w:r w:rsidR="0075721A" w:rsidRPr="00CF77C1">
        <w:rPr>
          <w:b w:val="0"/>
          <w:lang w:val="sr-Cyrl-RS"/>
        </w:rPr>
        <w:t>: Преглед мера у области обновљивих извора енергије</w:t>
      </w:r>
    </w:p>
    <w:tbl>
      <w:tblPr>
        <w:tblStyle w:val="TableGrid"/>
        <w:tblW w:w="14709" w:type="dxa"/>
        <w:tblLayout w:type="fixed"/>
        <w:tblLook w:val="04A0" w:firstRow="1" w:lastRow="0" w:firstColumn="1" w:lastColumn="0" w:noHBand="0" w:noVBand="1"/>
      </w:tblPr>
      <w:tblGrid>
        <w:gridCol w:w="895"/>
        <w:gridCol w:w="1907"/>
        <w:gridCol w:w="3543"/>
        <w:gridCol w:w="2411"/>
        <w:gridCol w:w="2835"/>
        <w:gridCol w:w="1654"/>
        <w:gridCol w:w="1464"/>
      </w:tblGrid>
      <w:tr w:rsidR="0075721A" w:rsidRPr="00CF77C1" w14:paraId="43E4B3EC" w14:textId="77777777" w:rsidTr="00294AC7">
        <w:trPr>
          <w:cantSplit/>
          <w:trHeight w:val="1153"/>
          <w:tblHeader/>
        </w:trPr>
        <w:tc>
          <w:tcPr>
            <w:tcW w:w="895" w:type="dxa"/>
            <w:vAlign w:val="center"/>
          </w:tcPr>
          <w:p w14:paraId="3BF1B8C2" w14:textId="77777777" w:rsidR="0075721A" w:rsidRPr="00CF77C1" w:rsidRDefault="0075721A" w:rsidP="0080044B">
            <w:pPr>
              <w:jc w:val="center"/>
              <w:rPr>
                <w:lang w:val="sr-Cyrl-RS"/>
              </w:rPr>
            </w:pPr>
            <w:r w:rsidRPr="00CF77C1">
              <w:rPr>
                <w:lang w:val="sr-Cyrl-RS"/>
              </w:rPr>
              <w:t>Редни број</w:t>
            </w:r>
          </w:p>
        </w:tc>
        <w:tc>
          <w:tcPr>
            <w:tcW w:w="1907" w:type="dxa"/>
            <w:vAlign w:val="center"/>
          </w:tcPr>
          <w:p w14:paraId="4349B495" w14:textId="77777777" w:rsidR="0075721A" w:rsidRPr="00CF77C1" w:rsidRDefault="0075721A" w:rsidP="0080044B">
            <w:pPr>
              <w:jc w:val="center"/>
              <w:rPr>
                <w:lang w:val="sr-Cyrl-RS"/>
              </w:rPr>
            </w:pPr>
            <w:r w:rsidRPr="00CF77C1">
              <w:rPr>
                <w:lang w:val="sr-Cyrl-RS"/>
              </w:rPr>
              <w:t>Садржина мере</w:t>
            </w:r>
          </w:p>
        </w:tc>
        <w:tc>
          <w:tcPr>
            <w:tcW w:w="3543" w:type="dxa"/>
            <w:vAlign w:val="center"/>
          </w:tcPr>
          <w:p w14:paraId="7DA18441" w14:textId="77777777" w:rsidR="0075721A" w:rsidRPr="00CF77C1" w:rsidRDefault="0075721A" w:rsidP="0080044B">
            <w:pPr>
              <w:jc w:val="center"/>
              <w:rPr>
                <w:lang w:val="sr-Cyrl-RS"/>
              </w:rPr>
            </w:pPr>
            <w:r w:rsidRPr="00CF77C1">
              <w:rPr>
                <w:lang w:val="sr-Cyrl-RS"/>
              </w:rPr>
              <w:t>Циљ мере</w:t>
            </w:r>
          </w:p>
        </w:tc>
        <w:tc>
          <w:tcPr>
            <w:tcW w:w="2411" w:type="dxa"/>
            <w:vAlign w:val="center"/>
          </w:tcPr>
          <w:p w14:paraId="385BA06F" w14:textId="77777777" w:rsidR="0075721A" w:rsidRPr="00CF77C1" w:rsidRDefault="0075721A" w:rsidP="0080044B">
            <w:pPr>
              <w:jc w:val="center"/>
              <w:rPr>
                <w:lang w:val="sr-Cyrl-RS"/>
              </w:rPr>
            </w:pPr>
            <w:r w:rsidRPr="00CF77C1">
              <w:rPr>
                <w:lang w:val="sr-Cyrl-RS"/>
              </w:rPr>
              <w:t>Реализатори мере</w:t>
            </w:r>
          </w:p>
        </w:tc>
        <w:tc>
          <w:tcPr>
            <w:tcW w:w="2835" w:type="dxa"/>
            <w:vAlign w:val="center"/>
          </w:tcPr>
          <w:p w14:paraId="2E268EAD" w14:textId="77777777" w:rsidR="0075721A" w:rsidRPr="00CF77C1" w:rsidRDefault="0075721A" w:rsidP="0080044B">
            <w:pPr>
              <w:jc w:val="center"/>
              <w:rPr>
                <w:lang w:val="sr-Cyrl-RS"/>
              </w:rPr>
            </w:pPr>
            <w:r w:rsidRPr="00CF77C1">
              <w:rPr>
                <w:lang w:val="sr-Cyrl-RS"/>
              </w:rPr>
              <w:t>Показатељ (индикатор) реализованости мере</w:t>
            </w:r>
          </w:p>
        </w:tc>
        <w:tc>
          <w:tcPr>
            <w:tcW w:w="1654" w:type="dxa"/>
            <w:vAlign w:val="center"/>
          </w:tcPr>
          <w:p w14:paraId="183C6036" w14:textId="77777777" w:rsidR="0075721A" w:rsidRPr="00CF77C1" w:rsidRDefault="0075721A" w:rsidP="0080044B">
            <w:pPr>
              <w:jc w:val="center"/>
              <w:rPr>
                <w:lang w:val="sr-Cyrl-RS"/>
              </w:rPr>
            </w:pPr>
            <w:r w:rsidRPr="00CF77C1">
              <w:rPr>
                <w:lang w:val="sr-Cyrl-RS"/>
              </w:rPr>
              <w:t>Рок за реализацију мере</w:t>
            </w:r>
          </w:p>
        </w:tc>
        <w:tc>
          <w:tcPr>
            <w:tcW w:w="1464" w:type="dxa"/>
            <w:vAlign w:val="center"/>
          </w:tcPr>
          <w:p w14:paraId="5F43B788" w14:textId="77777777" w:rsidR="0075721A" w:rsidRPr="00CF77C1" w:rsidRDefault="0075721A" w:rsidP="0080044B">
            <w:pPr>
              <w:jc w:val="center"/>
              <w:rPr>
                <w:lang w:val="sr-Cyrl-RS"/>
              </w:rPr>
            </w:pPr>
            <w:r w:rsidRPr="00CF77C1">
              <w:rPr>
                <w:lang w:val="sr-Cyrl-RS"/>
              </w:rPr>
              <w:t>Област примене мере</w:t>
            </w:r>
          </w:p>
        </w:tc>
      </w:tr>
      <w:tr w:rsidR="00294AC7" w:rsidRPr="00CF77C1" w14:paraId="4DA0107C" w14:textId="77777777" w:rsidTr="00294AC7">
        <w:trPr>
          <w:cantSplit/>
          <w:trHeight w:val="20"/>
        </w:trPr>
        <w:tc>
          <w:tcPr>
            <w:tcW w:w="895" w:type="dxa"/>
            <w:vAlign w:val="center"/>
          </w:tcPr>
          <w:p w14:paraId="37D74492" w14:textId="77777777" w:rsidR="00294AC7" w:rsidRPr="00CF77C1" w:rsidRDefault="00294AC7" w:rsidP="0080044B">
            <w:pPr>
              <w:jc w:val="center"/>
              <w:rPr>
                <w:lang w:val="sr-Cyrl-RS"/>
              </w:rPr>
            </w:pPr>
            <w:bookmarkStart w:id="75" w:name="OEI_Mera_1_broj"/>
            <w:r w:rsidRPr="00CF77C1">
              <w:rPr>
                <w:lang w:val="sr-Cyrl-RS"/>
              </w:rPr>
              <w:t>1.</w:t>
            </w:r>
            <w:bookmarkEnd w:id="75"/>
          </w:p>
        </w:tc>
        <w:tc>
          <w:tcPr>
            <w:tcW w:w="1907" w:type="dxa"/>
            <w:vAlign w:val="center"/>
          </w:tcPr>
          <w:p w14:paraId="586E54BA" w14:textId="3DB4F741" w:rsidR="00294AC7" w:rsidRPr="00CF77C1" w:rsidRDefault="00E7054C" w:rsidP="0082126B">
            <w:pPr>
              <w:jc w:val="left"/>
              <w:rPr>
                <w:lang w:val="sr-Cyrl-RS"/>
              </w:rPr>
            </w:pPr>
            <w:r w:rsidRPr="00CF77C1">
              <w:rPr>
                <w:lang w:val="sr-Cyrl-RS"/>
              </w:rPr>
              <w:t>Разматрање могућности</w:t>
            </w:r>
            <w:r w:rsidR="00323095" w:rsidRPr="00CF77C1">
              <w:rPr>
                <w:lang w:val="sr-Cyrl-RS"/>
              </w:rPr>
              <w:t xml:space="preserve"> </w:t>
            </w:r>
            <w:r w:rsidRPr="00CF77C1">
              <w:rPr>
                <w:lang w:val="sr-Cyrl-RS"/>
              </w:rPr>
              <w:t>успостављања шема подршке за произвођаче електричне енергије који користе ОИЕ заснованих на тржишним принципима</w:t>
            </w:r>
            <w:r w:rsidR="00294AC7" w:rsidRPr="00CF77C1">
              <w:rPr>
                <w:lang w:val="sr-Cyrl-RS"/>
              </w:rPr>
              <w:t xml:space="preserve"> </w:t>
            </w:r>
          </w:p>
        </w:tc>
        <w:tc>
          <w:tcPr>
            <w:tcW w:w="3543" w:type="dxa"/>
            <w:vAlign w:val="center"/>
          </w:tcPr>
          <w:p w14:paraId="7C4751D6" w14:textId="77777777" w:rsidR="00294AC7" w:rsidRPr="00CF77C1" w:rsidRDefault="00294AC7" w:rsidP="003E39B4">
            <w:pPr>
              <w:pStyle w:val="ListParagraph"/>
              <w:numPr>
                <w:ilvl w:val="0"/>
                <w:numId w:val="31"/>
              </w:numPr>
              <w:spacing w:before="60" w:after="60"/>
              <w:ind w:left="357" w:hanging="357"/>
              <w:jc w:val="left"/>
              <w:rPr>
                <w:lang w:val="sr-Cyrl-RS"/>
              </w:rPr>
            </w:pPr>
            <w:r w:rsidRPr="00CF77C1">
              <w:rPr>
                <w:lang w:val="sr-Cyrl-RS"/>
              </w:rPr>
              <w:t>Постепено усмеравање производње електричне енергије из ОИЕ ка тржишним принципима</w:t>
            </w:r>
          </w:p>
          <w:p w14:paraId="571B73DB" w14:textId="77777777" w:rsidR="00294AC7" w:rsidRPr="00CF77C1" w:rsidRDefault="00294AC7" w:rsidP="003E39B4">
            <w:pPr>
              <w:pStyle w:val="ListParagraph"/>
              <w:numPr>
                <w:ilvl w:val="0"/>
                <w:numId w:val="31"/>
              </w:numPr>
              <w:spacing w:before="60" w:after="60"/>
              <w:ind w:left="357" w:hanging="357"/>
              <w:jc w:val="left"/>
              <w:rPr>
                <w:lang w:val="sr-Cyrl-RS"/>
              </w:rPr>
            </w:pPr>
            <w:r w:rsidRPr="00CF77C1">
              <w:rPr>
                <w:lang w:val="sr-Cyrl-RS"/>
              </w:rPr>
              <w:t>Смањење трошкова подстицаја за крајње купце електричне енергије</w:t>
            </w:r>
          </w:p>
          <w:p w14:paraId="475ED73B" w14:textId="53386ECD" w:rsidR="00294AC7" w:rsidRPr="00CF77C1" w:rsidRDefault="00294AC7" w:rsidP="003E39B4">
            <w:pPr>
              <w:pStyle w:val="ListParagraph"/>
              <w:numPr>
                <w:ilvl w:val="0"/>
                <w:numId w:val="31"/>
              </w:numPr>
              <w:spacing w:before="60" w:after="60"/>
              <w:ind w:left="357" w:hanging="357"/>
              <w:jc w:val="left"/>
              <w:rPr>
                <w:lang w:val="sr-Cyrl-RS"/>
              </w:rPr>
            </w:pPr>
            <w:r w:rsidRPr="00CF77C1">
              <w:rPr>
                <w:lang w:val="sr-Cyrl-RS"/>
              </w:rPr>
              <w:t>Економско одрживи раст производње електричне енергије из ОИЕ</w:t>
            </w:r>
          </w:p>
        </w:tc>
        <w:tc>
          <w:tcPr>
            <w:tcW w:w="2411" w:type="dxa"/>
            <w:vAlign w:val="center"/>
          </w:tcPr>
          <w:p w14:paraId="1C73BF9D" w14:textId="366E91E9" w:rsidR="00294AC7" w:rsidRPr="00CF77C1" w:rsidRDefault="00AC627E" w:rsidP="0080044B">
            <w:pPr>
              <w:jc w:val="left"/>
              <w:rPr>
                <w:lang w:val="sr-Cyrl-RS"/>
              </w:rPr>
            </w:pPr>
            <w:r w:rsidRPr="00CF77C1">
              <w:rPr>
                <w:lang w:val="sr-Cyrl-RS"/>
              </w:rPr>
              <w:t>Влада</w:t>
            </w:r>
            <w:r w:rsidR="00294AC7" w:rsidRPr="00CF77C1">
              <w:rPr>
                <w:lang w:val="sr-Cyrl-RS"/>
              </w:rPr>
              <w:t>, министарство надлежно за послове рударства и енергетике</w:t>
            </w:r>
          </w:p>
        </w:tc>
        <w:tc>
          <w:tcPr>
            <w:tcW w:w="2835" w:type="dxa"/>
            <w:vAlign w:val="center"/>
          </w:tcPr>
          <w:p w14:paraId="1F8AA0F6" w14:textId="1A3BB431" w:rsidR="00294AC7" w:rsidRPr="00CF77C1" w:rsidRDefault="00E7054C" w:rsidP="0080044B">
            <w:pPr>
              <w:jc w:val="left"/>
              <w:rPr>
                <w:lang w:val="sr-Cyrl-RS"/>
              </w:rPr>
            </w:pPr>
            <w:r w:rsidRPr="00CF77C1">
              <w:rPr>
                <w:lang w:val="sr-Cyrl-RS"/>
              </w:rPr>
              <w:t>Одабран оптимални модел који може послужити као основ за евентуалну измену прописа</w:t>
            </w:r>
            <w:r w:rsidR="00294AC7" w:rsidRPr="00CF77C1">
              <w:rPr>
                <w:lang w:val="sr-Cyrl-RS"/>
              </w:rPr>
              <w:t xml:space="preserve"> на основу извршене анализе у оквиру активности </w:t>
            </w:r>
            <w:r w:rsidR="00294AC7" w:rsidRPr="00CF77C1">
              <w:rPr>
                <w:lang w:val="sr-Cyrl-RS"/>
              </w:rPr>
              <w:fldChar w:fldCharType="begin"/>
            </w:r>
            <w:r w:rsidR="00294AC7" w:rsidRPr="00CF77C1">
              <w:rPr>
                <w:lang w:val="sr-Cyrl-RS"/>
              </w:rPr>
              <w:instrText xml:space="preserve"> REF OIE_Aktivnost_1_broj \h </w:instrText>
            </w:r>
            <w:r w:rsidR="002158C6" w:rsidRPr="00CF77C1">
              <w:rPr>
                <w:lang w:val="sr-Cyrl-RS"/>
              </w:rPr>
              <w:instrText xml:space="preserve"> \* MERGEFORMAT </w:instrText>
            </w:r>
            <w:r w:rsidR="00294AC7" w:rsidRPr="00CF77C1">
              <w:rPr>
                <w:lang w:val="sr-Cyrl-RS"/>
              </w:rPr>
            </w:r>
            <w:r w:rsidR="00294AC7" w:rsidRPr="00CF77C1">
              <w:rPr>
                <w:lang w:val="sr-Cyrl-RS"/>
              </w:rPr>
              <w:fldChar w:fldCharType="separate"/>
            </w:r>
            <w:r w:rsidR="002D5918" w:rsidRPr="00CF77C1">
              <w:rPr>
                <w:lang w:val="sr-Cyrl-RS"/>
              </w:rPr>
              <w:t>1.</w:t>
            </w:r>
            <w:r w:rsidR="00294AC7" w:rsidRPr="00CF77C1">
              <w:rPr>
                <w:lang w:val="sr-Cyrl-RS"/>
              </w:rPr>
              <w:fldChar w:fldCharType="end"/>
            </w:r>
            <w:r w:rsidR="00294AC7" w:rsidRPr="00CF77C1">
              <w:rPr>
                <w:lang w:val="sr-Cyrl-RS"/>
              </w:rPr>
              <w:t xml:space="preserve"> приказане у </w:t>
            </w:r>
            <w:r w:rsidR="00294AC7" w:rsidRPr="00CF77C1">
              <w:rPr>
                <w:lang w:val="sr-Cyrl-RS"/>
              </w:rPr>
              <w:fldChar w:fldCharType="begin"/>
            </w:r>
            <w:r w:rsidR="00294AC7" w:rsidRPr="00CF77C1">
              <w:rPr>
                <w:lang w:val="sr-Cyrl-RS"/>
              </w:rPr>
              <w:instrText xml:space="preserve"> REF _Ref475708412 \h </w:instrText>
            </w:r>
            <w:r w:rsidR="002158C6" w:rsidRPr="00CF77C1">
              <w:rPr>
                <w:lang w:val="sr-Cyrl-RS"/>
              </w:rPr>
              <w:instrText xml:space="preserve"> \* MERGEFORMAT </w:instrText>
            </w:r>
            <w:r w:rsidR="00294AC7" w:rsidRPr="00CF77C1">
              <w:rPr>
                <w:lang w:val="sr-Cyrl-RS"/>
              </w:rPr>
            </w:r>
            <w:r w:rsidR="00294AC7" w:rsidRPr="00CF77C1">
              <w:rPr>
                <w:lang w:val="sr-Cyrl-RS"/>
              </w:rPr>
              <w:fldChar w:fldCharType="separate"/>
            </w:r>
            <w:r w:rsidR="002D5918" w:rsidRPr="002D5918">
              <w:rPr>
                <w:lang w:val="sr-Cyrl-RS"/>
              </w:rPr>
              <w:t xml:space="preserve">таб. </w:t>
            </w:r>
            <w:r w:rsidR="002D5918" w:rsidRPr="002D5918">
              <w:rPr>
                <w:noProof/>
                <w:lang w:val="sr-Cyrl-RS"/>
              </w:rPr>
              <w:t>35</w:t>
            </w:r>
            <w:r w:rsidR="00294AC7" w:rsidRPr="00CF77C1">
              <w:rPr>
                <w:lang w:val="sr-Cyrl-RS"/>
              </w:rPr>
              <w:fldChar w:fldCharType="end"/>
            </w:r>
          </w:p>
        </w:tc>
        <w:tc>
          <w:tcPr>
            <w:tcW w:w="1654" w:type="dxa"/>
            <w:vAlign w:val="center"/>
          </w:tcPr>
          <w:p w14:paraId="244DB651" w14:textId="4C630CCB" w:rsidR="00294AC7" w:rsidRPr="00CF77C1" w:rsidRDefault="00294AC7" w:rsidP="0080044B">
            <w:pPr>
              <w:jc w:val="center"/>
              <w:rPr>
                <w:lang w:val="sr-Cyrl-RS"/>
              </w:rPr>
            </w:pPr>
            <w:r w:rsidRPr="00CF77C1">
              <w:rPr>
                <w:lang w:val="sr-Cyrl-RS"/>
              </w:rPr>
              <w:t>2020. година</w:t>
            </w:r>
          </w:p>
        </w:tc>
        <w:tc>
          <w:tcPr>
            <w:tcW w:w="1464" w:type="dxa"/>
            <w:vAlign w:val="center"/>
          </w:tcPr>
          <w:p w14:paraId="5457F6B3" w14:textId="731E9025" w:rsidR="00294AC7" w:rsidRPr="00CF77C1" w:rsidRDefault="00294AC7" w:rsidP="0080044B">
            <w:pPr>
              <w:jc w:val="left"/>
              <w:rPr>
                <w:lang w:val="sr-Cyrl-RS"/>
              </w:rPr>
            </w:pPr>
            <w:r w:rsidRPr="00CF77C1">
              <w:rPr>
                <w:lang w:val="sr-Cyrl-RS"/>
              </w:rPr>
              <w:t>Сектор електричне енергије</w:t>
            </w:r>
          </w:p>
        </w:tc>
      </w:tr>
      <w:tr w:rsidR="00294AC7" w:rsidRPr="00CF77C1" w14:paraId="461464B9" w14:textId="77777777" w:rsidTr="00294AC7">
        <w:trPr>
          <w:cantSplit/>
          <w:trHeight w:val="20"/>
        </w:trPr>
        <w:tc>
          <w:tcPr>
            <w:tcW w:w="895" w:type="dxa"/>
            <w:vAlign w:val="center"/>
          </w:tcPr>
          <w:p w14:paraId="10A54EA0" w14:textId="77777777" w:rsidR="00294AC7" w:rsidRPr="00CF77C1" w:rsidRDefault="00294AC7" w:rsidP="0080044B">
            <w:pPr>
              <w:jc w:val="center"/>
              <w:rPr>
                <w:lang w:val="sr-Cyrl-RS"/>
              </w:rPr>
            </w:pPr>
            <w:bookmarkStart w:id="76" w:name="OEI_Mera_2_broj"/>
            <w:r w:rsidRPr="00CF77C1">
              <w:rPr>
                <w:lang w:val="sr-Cyrl-RS"/>
              </w:rPr>
              <w:t>2.</w:t>
            </w:r>
            <w:bookmarkEnd w:id="76"/>
          </w:p>
        </w:tc>
        <w:tc>
          <w:tcPr>
            <w:tcW w:w="1907" w:type="dxa"/>
            <w:vAlign w:val="center"/>
          </w:tcPr>
          <w:p w14:paraId="30C600FB" w14:textId="2BF87594" w:rsidR="00294AC7" w:rsidRPr="00CF77C1" w:rsidRDefault="00E7054C" w:rsidP="00E7054C">
            <w:pPr>
              <w:jc w:val="left"/>
              <w:rPr>
                <w:lang w:val="sr-Cyrl-RS"/>
              </w:rPr>
            </w:pPr>
            <w:bookmarkStart w:id="77" w:name="OEI_Mera_2"/>
            <w:r w:rsidRPr="00CF77C1">
              <w:rPr>
                <w:lang w:val="sr-Cyrl-RS"/>
              </w:rPr>
              <w:t>Разматрање могућности успостављања</w:t>
            </w:r>
            <w:r w:rsidR="00294AC7" w:rsidRPr="00CF77C1">
              <w:rPr>
                <w:lang w:val="sr-Cyrl-RS"/>
              </w:rPr>
              <w:t xml:space="preserve"> посебних модела подстицаја за учешће грађана у производњи електричне енергије из ОИЕ</w:t>
            </w:r>
            <w:bookmarkEnd w:id="77"/>
          </w:p>
        </w:tc>
        <w:tc>
          <w:tcPr>
            <w:tcW w:w="3543" w:type="dxa"/>
            <w:vAlign w:val="center"/>
          </w:tcPr>
          <w:p w14:paraId="019CE1B1" w14:textId="77777777" w:rsidR="00294AC7" w:rsidRPr="00CF77C1" w:rsidRDefault="00294AC7" w:rsidP="003E39B4">
            <w:pPr>
              <w:pStyle w:val="ListParagraph"/>
              <w:numPr>
                <w:ilvl w:val="0"/>
                <w:numId w:val="50"/>
              </w:numPr>
              <w:spacing w:before="60" w:after="60"/>
              <w:jc w:val="left"/>
              <w:rPr>
                <w:bCs/>
                <w:snapToGrid w:val="0"/>
                <w:lang w:val="sr-Cyrl-RS"/>
              </w:rPr>
            </w:pPr>
            <w:r w:rsidRPr="00CF77C1">
              <w:rPr>
                <w:lang w:val="sr-Cyrl-RS"/>
              </w:rPr>
              <w:t>Повећање учешћа грађана, удружења, енергетских задруга и локалних заједница у производњи електричне енергије из ОИЕ</w:t>
            </w:r>
          </w:p>
          <w:p w14:paraId="7A8AE1CB" w14:textId="568E896B" w:rsidR="00294AC7" w:rsidRPr="00CF77C1" w:rsidRDefault="00294AC7" w:rsidP="003E39B4">
            <w:pPr>
              <w:pStyle w:val="ListParagraph"/>
              <w:numPr>
                <w:ilvl w:val="0"/>
                <w:numId w:val="50"/>
              </w:numPr>
              <w:spacing w:before="60" w:after="60"/>
              <w:jc w:val="left"/>
              <w:rPr>
                <w:bCs/>
                <w:snapToGrid w:val="0"/>
                <w:lang w:val="sr-Cyrl-RS"/>
              </w:rPr>
            </w:pPr>
            <w:r w:rsidRPr="00CF77C1">
              <w:rPr>
                <w:lang w:val="sr-Cyrl-RS"/>
              </w:rPr>
              <w:t>Равномернија географска расподела производње електричне енергије</w:t>
            </w:r>
          </w:p>
          <w:p w14:paraId="395AA683" w14:textId="3D05262D" w:rsidR="00294AC7" w:rsidRPr="00CF77C1" w:rsidRDefault="00294AC7" w:rsidP="003E39B4">
            <w:pPr>
              <w:pStyle w:val="ListParagraph"/>
              <w:numPr>
                <w:ilvl w:val="0"/>
                <w:numId w:val="50"/>
              </w:numPr>
              <w:spacing w:before="60" w:after="60"/>
              <w:jc w:val="left"/>
              <w:rPr>
                <w:bCs/>
                <w:snapToGrid w:val="0"/>
                <w:lang w:val="sr-Cyrl-RS"/>
              </w:rPr>
            </w:pPr>
            <w:r w:rsidRPr="00CF77C1">
              <w:rPr>
                <w:lang w:val="sr-Cyrl-RS"/>
              </w:rPr>
              <w:t>Расподела економске користи од употребе ОИЕ непосредно на грађане и локалне заједнице</w:t>
            </w:r>
          </w:p>
        </w:tc>
        <w:tc>
          <w:tcPr>
            <w:tcW w:w="2411" w:type="dxa"/>
            <w:vAlign w:val="center"/>
          </w:tcPr>
          <w:p w14:paraId="65B2C395" w14:textId="2A113EDD" w:rsidR="00294AC7" w:rsidRPr="00CF77C1" w:rsidRDefault="00294AC7" w:rsidP="00AC627E">
            <w:pPr>
              <w:jc w:val="left"/>
              <w:rPr>
                <w:lang w:val="sr-Cyrl-RS"/>
              </w:rPr>
            </w:pPr>
            <w:r w:rsidRPr="00CF77C1">
              <w:rPr>
                <w:lang w:val="sr-Cyrl-RS"/>
              </w:rPr>
              <w:t>Влада, министарство надлежно за послове рударства и енергетике</w:t>
            </w:r>
          </w:p>
        </w:tc>
        <w:tc>
          <w:tcPr>
            <w:tcW w:w="2835" w:type="dxa"/>
            <w:vAlign w:val="center"/>
          </w:tcPr>
          <w:p w14:paraId="16061CB9" w14:textId="11789092" w:rsidR="00294AC7" w:rsidRPr="00CF77C1" w:rsidRDefault="00E7054C" w:rsidP="0082126B">
            <w:pPr>
              <w:jc w:val="left"/>
              <w:rPr>
                <w:lang w:val="sr-Cyrl-RS"/>
              </w:rPr>
            </w:pPr>
            <w:r w:rsidRPr="00CF77C1">
              <w:rPr>
                <w:lang w:val="sr-Cyrl-RS"/>
              </w:rPr>
              <w:t>Израђена студија са предлогом оптималног решења, која може послужити као основ за евентуалну измену прописа,</w:t>
            </w:r>
            <w:r w:rsidR="00294AC7" w:rsidRPr="00CF77C1">
              <w:rPr>
                <w:lang w:val="sr-Cyrl-RS"/>
              </w:rPr>
              <w:t xml:space="preserve"> на основу извршене анализе у оквиру активности </w:t>
            </w:r>
            <w:r w:rsidR="00294AC7" w:rsidRPr="00CF77C1">
              <w:rPr>
                <w:lang w:val="sr-Cyrl-RS"/>
              </w:rPr>
              <w:fldChar w:fldCharType="begin"/>
            </w:r>
            <w:r w:rsidR="00294AC7" w:rsidRPr="00CF77C1">
              <w:rPr>
                <w:lang w:val="sr-Cyrl-RS"/>
              </w:rPr>
              <w:instrText xml:space="preserve"> REF OIE_Aktivnost_2_broj \h </w:instrText>
            </w:r>
            <w:r w:rsidR="002158C6" w:rsidRPr="00CF77C1">
              <w:rPr>
                <w:lang w:val="sr-Cyrl-RS"/>
              </w:rPr>
              <w:instrText xml:space="preserve"> \* MERGEFORMAT </w:instrText>
            </w:r>
            <w:r w:rsidR="00294AC7" w:rsidRPr="00CF77C1">
              <w:rPr>
                <w:lang w:val="sr-Cyrl-RS"/>
              </w:rPr>
            </w:r>
            <w:r w:rsidR="00294AC7" w:rsidRPr="00CF77C1">
              <w:rPr>
                <w:lang w:val="sr-Cyrl-RS"/>
              </w:rPr>
              <w:fldChar w:fldCharType="separate"/>
            </w:r>
            <w:r w:rsidR="002D5918" w:rsidRPr="00CF77C1">
              <w:rPr>
                <w:lang w:val="sr-Cyrl-RS"/>
              </w:rPr>
              <w:t>5.</w:t>
            </w:r>
            <w:r w:rsidR="00294AC7" w:rsidRPr="00CF77C1">
              <w:rPr>
                <w:lang w:val="sr-Cyrl-RS"/>
              </w:rPr>
              <w:fldChar w:fldCharType="end"/>
            </w:r>
            <w:r w:rsidR="00294AC7" w:rsidRPr="00CF77C1">
              <w:rPr>
                <w:lang w:val="sr-Cyrl-RS"/>
              </w:rPr>
              <w:t xml:space="preserve"> приказане у </w:t>
            </w:r>
            <w:r w:rsidR="00294AC7" w:rsidRPr="00CF77C1">
              <w:rPr>
                <w:lang w:val="sr-Cyrl-RS"/>
              </w:rPr>
              <w:fldChar w:fldCharType="begin"/>
            </w:r>
            <w:r w:rsidR="00294AC7" w:rsidRPr="00CF77C1">
              <w:rPr>
                <w:lang w:val="sr-Cyrl-RS"/>
              </w:rPr>
              <w:instrText xml:space="preserve"> REF _Ref475708412 \h </w:instrText>
            </w:r>
            <w:r w:rsidR="002158C6" w:rsidRPr="00CF77C1">
              <w:rPr>
                <w:lang w:val="sr-Cyrl-RS"/>
              </w:rPr>
              <w:instrText xml:space="preserve"> \* MERGEFORMAT </w:instrText>
            </w:r>
            <w:r w:rsidR="00294AC7" w:rsidRPr="00CF77C1">
              <w:rPr>
                <w:lang w:val="sr-Cyrl-RS"/>
              </w:rPr>
            </w:r>
            <w:r w:rsidR="00294AC7" w:rsidRPr="00CF77C1">
              <w:rPr>
                <w:lang w:val="sr-Cyrl-RS"/>
              </w:rPr>
              <w:fldChar w:fldCharType="separate"/>
            </w:r>
            <w:r w:rsidR="002D5918" w:rsidRPr="002D5918">
              <w:rPr>
                <w:lang w:val="sr-Cyrl-RS"/>
              </w:rPr>
              <w:t xml:space="preserve">таб. </w:t>
            </w:r>
            <w:r w:rsidR="002D5918" w:rsidRPr="002D5918">
              <w:rPr>
                <w:noProof/>
                <w:lang w:val="sr-Cyrl-RS"/>
              </w:rPr>
              <w:t>35</w:t>
            </w:r>
            <w:r w:rsidR="00294AC7" w:rsidRPr="00CF77C1">
              <w:rPr>
                <w:lang w:val="sr-Cyrl-RS"/>
              </w:rPr>
              <w:fldChar w:fldCharType="end"/>
            </w:r>
          </w:p>
        </w:tc>
        <w:tc>
          <w:tcPr>
            <w:tcW w:w="1654" w:type="dxa"/>
            <w:vAlign w:val="center"/>
          </w:tcPr>
          <w:p w14:paraId="0388A6C6" w14:textId="6EA35BBE" w:rsidR="00294AC7" w:rsidRPr="00CF77C1" w:rsidRDefault="00294AC7" w:rsidP="0080044B">
            <w:pPr>
              <w:jc w:val="center"/>
              <w:rPr>
                <w:lang w:val="sr-Cyrl-RS"/>
              </w:rPr>
            </w:pPr>
            <w:r w:rsidRPr="00CF77C1">
              <w:rPr>
                <w:lang w:val="sr-Cyrl-RS"/>
              </w:rPr>
              <w:t xml:space="preserve">2020. година </w:t>
            </w:r>
          </w:p>
        </w:tc>
        <w:tc>
          <w:tcPr>
            <w:tcW w:w="1464" w:type="dxa"/>
            <w:vAlign w:val="center"/>
          </w:tcPr>
          <w:p w14:paraId="2C72AAEF" w14:textId="7AF33467" w:rsidR="00294AC7" w:rsidRPr="00CF77C1" w:rsidRDefault="00294AC7" w:rsidP="0080044B">
            <w:pPr>
              <w:jc w:val="left"/>
              <w:rPr>
                <w:lang w:val="sr-Cyrl-RS"/>
              </w:rPr>
            </w:pPr>
            <w:r w:rsidRPr="00CF77C1">
              <w:rPr>
                <w:lang w:val="sr-Cyrl-RS"/>
              </w:rPr>
              <w:t>Сектор електричне енергије</w:t>
            </w:r>
          </w:p>
        </w:tc>
      </w:tr>
      <w:tr w:rsidR="00294AC7" w:rsidRPr="00CF77C1" w14:paraId="4DD65FEA" w14:textId="77777777" w:rsidTr="00294AC7">
        <w:trPr>
          <w:cantSplit/>
          <w:trHeight w:val="20"/>
        </w:trPr>
        <w:tc>
          <w:tcPr>
            <w:tcW w:w="895" w:type="dxa"/>
            <w:vAlign w:val="center"/>
          </w:tcPr>
          <w:p w14:paraId="1768D524" w14:textId="77777777" w:rsidR="00294AC7" w:rsidRPr="00CF77C1" w:rsidRDefault="00294AC7" w:rsidP="0080044B">
            <w:pPr>
              <w:jc w:val="center"/>
              <w:rPr>
                <w:lang w:val="sr-Cyrl-RS"/>
              </w:rPr>
            </w:pPr>
            <w:bookmarkStart w:id="78" w:name="OEI_Mera_3_broj"/>
            <w:r w:rsidRPr="00CF77C1">
              <w:rPr>
                <w:lang w:val="sr-Cyrl-RS"/>
              </w:rPr>
              <w:t>3.</w:t>
            </w:r>
            <w:bookmarkEnd w:id="78"/>
          </w:p>
        </w:tc>
        <w:tc>
          <w:tcPr>
            <w:tcW w:w="1907" w:type="dxa"/>
            <w:vAlign w:val="center"/>
          </w:tcPr>
          <w:p w14:paraId="2BC587F1" w14:textId="16182CD5" w:rsidR="00294AC7" w:rsidRPr="00CF77C1" w:rsidRDefault="00294AC7" w:rsidP="00F10D3F">
            <w:pPr>
              <w:jc w:val="left"/>
              <w:rPr>
                <w:lang w:val="sr-Cyrl-RS"/>
              </w:rPr>
            </w:pPr>
            <w:bookmarkStart w:id="79" w:name="OEI_Mera_3"/>
            <w:r w:rsidRPr="00CF77C1">
              <w:rPr>
                <w:lang w:val="sr-Cyrl-RS"/>
              </w:rPr>
              <w:t xml:space="preserve">Замена фосилних горива </w:t>
            </w:r>
            <w:r w:rsidR="00F10D3F" w:rsidRPr="00CF77C1">
              <w:rPr>
                <w:lang w:val="sr-Cyrl-RS"/>
              </w:rPr>
              <w:t>обновљивим изворима енергије</w:t>
            </w:r>
            <w:r w:rsidRPr="00CF77C1">
              <w:rPr>
                <w:lang w:val="sr-Cyrl-RS"/>
              </w:rPr>
              <w:t xml:space="preserve"> у топланама на даљинско грејање</w:t>
            </w:r>
            <w:bookmarkEnd w:id="79"/>
          </w:p>
        </w:tc>
        <w:tc>
          <w:tcPr>
            <w:tcW w:w="3543" w:type="dxa"/>
            <w:vAlign w:val="center"/>
          </w:tcPr>
          <w:p w14:paraId="07AC4841" w14:textId="77777777" w:rsidR="00294AC7" w:rsidRPr="00CF77C1" w:rsidRDefault="00294AC7" w:rsidP="003E39B4">
            <w:pPr>
              <w:pStyle w:val="ListParagraph"/>
              <w:numPr>
                <w:ilvl w:val="0"/>
                <w:numId w:val="32"/>
              </w:numPr>
              <w:spacing w:before="60" w:after="60"/>
              <w:ind w:left="357" w:hanging="357"/>
              <w:jc w:val="left"/>
              <w:rPr>
                <w:lang w:val="sr-Cyrl-RS"/>
              </w:rPr>
            </w:pPr>
            <w:r w:rsidRPr="00CF77C1">
              <w:rPr>
                <w:lang w:val="sr-Cyrl-RS"/>
              </w:rPr>
              <w:t>Повећање удела ОИЕ у топланама на даљинско грејање</w:t>
            </w:r>
          </w:p>
          <w:p w14:paraId="775CAA8B" w14:textId="77777777" w:rsidR="00294AC7" w:rsidRPr="00CF77C1" w:rsidRDefault="00294AC7" w:rsidP="003E39B4">
            <w:pPr>
              <w:pStyle w:val="ListParagraph"/>
              <w:numPr>
                <w:ilvl w:val="0"/>
                <w:numId w:val="32"/>
              </w:numPr>
              <w:spacing w:before="60" w:after="60"/>
              <w:ind w:left="357" w:hanging="357"/>
              <w:jc w:val="left"/>
              <w:rPr>
                <w:lang w:val="sr-Cyrl-RS"/>
              </w:rPr>
            </w:pPr>
            <w:r w:rsidRPr="00CF77C1">
              <w:rPr>
                <w:lang w:val="sr-Cyrl-RS"/>
              </w:rPr>
              <w:t>Смањење зависности топлана на даљинско грејање од увозних енергената</w:t>
            </w:r>
          </w:p>
          <w:p w14:paraId="4945B24E" w14:textId="1CC9D802" w:rsidR="00294AC7" w:rsidRPr="00CF77C1" w:rsidRDefault="00294AC7" w:rsidP="003E39B4">
            <w:pPr>
              <w:pStyle w:val="ListParagraph"/>
              <w:numPr>
                <w:ilvl w:val="0"/>
                <w:numId w:val="32"/>
              </w:numPr>
              <w:spacing w:before="60" w:after="60"/>
              <w:ind w:left="357" w:hanging="357"/>
              <w:jc w:val="left"/>
              <w:rPr>
                <w:lang w:val="sr-Cyrl-RS"/>
              </w:rPr>
            </w:pPr>
            <w:r w:rsidRPr="00CF77C1">
              <w:rPr>
                <w:lang w:val="sr-Cyrl-RS"/>
              </w:rPr>
              <w:t xml:space="preserve">Повећање </w:t>
            </w:r>
            <w:r w:rsidR="00E7054C" w:rsidRPr="00CF77C1">
              <w:rPr>
                <w:lang w:val="sr-Cyrl-RS"/>
              </w:rPr>
              <w:t>сигурности снабдевања енергијом</w:t>
            </w:r>
          </w:p>
        </w:tc>
        <w:tc>
          <w:tcPr>
            <w:tcW w:w="2411" w:type="dxa"/>
            <w:vAlign w:val="center"/>
          </w:tcPr>
          <w:p w14:paraId="11D6347A" w14:textId="0F04C3F5" w:rsidR="00294AC7" w:rsidRPr="00CF77C1" w:rsidRDefault="00787C42" w:rsidP="00A627BB">
            <w:pPr>
              <w:jc w:val="left"/>
              <w:rPr>
                <w:lang w:val="sr-Cyrl-RS"/>
              </w:rPr>
            </w:pPr>
            <w:r w:rsidRPr="00CF77C1">
              <w:rPr>
                <w:lang w:val="sr-Cyrl-RS"/>
              </w:rPr>
              <w:t>м</w:t>
            </w:r>
            <w:r w:rsidR="00294AC7" w:rsidRPr="00CF77C1">
              <w:rPr>
                <w:lang w:val="sr-Cyrl-RS"/>
              </w:rPr>
              <w:t>инистарство надлежно за послове руда</w:t>
            </w:r>
            <w:r w:rsidR="009B7914">
              <w:rPr>
                <w:lang w:val="sr-Cyrl-RS"/>
              </w:rPr>
              <w:t>рства и енергетике, министарства надлежна</w:t>
            </w:r>
            <w:r w:rsidR="00294AC7" w:rsidRPr="00CF77C1">
              <w:rPr>
                <w:lang w:val="sr-Cyrl-RS"/>
              </w:rPr>
              <w:t xml:space="preserve"> за послове пољопривреде и заштите животне средине, тело надлежно за управљање јавним улагањима, јединице локалних самоуправа, топлане</w:t>
            </w:r>
          </w:p>
        </w:tc>
        <w:tc>
          <w:tcPr>
            <w:tcW w:w="2835" w:type="dxa"/>
            <w:vAlign w:val="center"/>
          </w:tcPr>
          <w:p w14:paraId="61A7F380" w14:textId="0A66B2A8" w:rsidR="00294AC7" w:rsidRPr="00CF77C1" w:rsidRDefault="00E7054C" w:rsidP="0080044B">
            <w:pPr>
              <w:jc w:val="left"/>
              <w:rPr>
                <w:lang w:val="sr-Cyrl-RS"/>
              </w:rPr>
            </w:pPr>
            <w:r w:rsidRPr="00CF77C1">
              <w:rPr>
                <w:lang w:val="sr-Cyrl-RS"/>
              </w:rPr>
              <w:t>Повећан</w:t>
            </w:r>
            <w:r w:rsidR="00323095" w:rsidRPr="00CF77C1">
              <w:rPr>
                <w:lang w:val="sr-Cyrl-RS"/>
              </w:rPr>
              <w:t xml:space="preserve"> </w:t>
            </w:r>
            <w:r w:rsidRPr="00CF77C1">
              <w:rPr>
                <w:lang w:val="sr-Cyrl-RS"/>
              </w:rPr>
              <w:t>удео ОИЕ у укупној финалној потрошњи топлотне енергије у складу са индик</w:t>
            </w:r>
            <w:r w:rsidR="00A1249F">
              <w:rPr>
                <w:lang w:val="sr-Cyrl-RS"/>
              </w:rPr>
              <w:t>ативном путањом у оквиру НАПОИЕ</w:t>
            </w:r>
          </w:p>
        </w:tc>
        <w:tc>
          <w:tcPr>
            <w:tcW w:w="1654" w:type="dxa"/>
            <w:vAlign w:val="center"/>
          </w:tcPr>
          <w:p w14:paraId="033564C6" w14:textId="128A1BB1" w:rsidR="00294AC7" w:rsidRPr="00CF77C1" w:rsidRDefault="00294AC7" w:rsidP="0080044B">
            <w:pPr>
              <w:jc w:val="center"/>
              <w:rPr>
                <w:lang w:val="sr-Cyrl-RS"/>
              </w:rPr>
            </w:pPr>
            <w:r w:rsidRPr="00CF77C1">
              <w:rPr>
                <w:lang w:val="sr-Cyrl-RS"/>
              </w:rPr>
              <w:t>2023. година</w:t>
            </w:r>
          </w:p>
        </w:tc>
        <w:tc>
          <w:tcPr>
            <w:tcW w:w="1464" w:type="dxa"/>
            <w:vAlign w:val="center"/>
          </w:tcPr>
          <w:p w14:paraId="3267A94B" w14:textId="74610A69" w:rsidR="00294AC7" w:rsidRPr="00CF77C1" w:rsidRDefault="00294AC7" w:rsidP="0080044B">
            <w:pPr>
              <w:jc w:val="left"/>
              <w:rPr>
                <w:lang w:val="sr-Cyrl-RS"/>
              </w:rPr>
            </w:pPr>
            <w:r w:rsidRPr="00CF77C1">
              <w:rPr>
                <w:lang w:val="sr-Cyrl-RS"/>
              </w:rPr>
              <w:t>Сектор топлотне енергије</w:t>
            </w:r>
          </w:p>
        </w:tc>
      </w:tr>
      <w:tr w:rsidR="00294AC7" w:rsidRPr="00CF77C1" w14:paraId="35A08D81" w14:textId="77777777" w:rsidTr="00294AC7">
        <w:trPr>
          <w:cantSplit/>
          <w:trHeight w:val="20"/>
        </w:trPr>
        <w:tc>
          <w:tcPr>
            <w:tcW w:w="895" w:type="dxa"/>
            <w:vAlign w:val="center"/>
          </w:tcPr>
          <w:p w14:paraId="342A714B" w14:textId="77777777" w:rsidR="00294AC7" w:rsidRPr="00CF77C1" w:rsidRDefault="00294AC7" w:rsidP="0080044B">
            <w:pPr>
              <w:jc w:val="center"/>
              <w:rPr>
                <w:lang w:val="sr-Cyrl-RS"/>
              </w:rPr>
            </w:pPr>
            <w:bookmarkStart w:id="80" w:name="OEI_Mera_4_broj"/>
            <w:r w:rsidRPr="00CF77C1">
              <w:rPr>
                <w:lang w:val="sr-Cyrl-RS"/>
              </w:rPr>
              <w:t>4.</w:t>
            </w:r>
            <w:bookmarkEnd w:id="80"/>
          </w:p>
        </w:tc>
        <w:tc>
          <w:tcPr>
            <w:tcW w:w="1907" w:type="dxa"/>
            <w:vAlign w:val="center"/>
          </w:tcPr>
          <w:p w14:paraId="5B49298E" w14:textId="7C175A84" w:rsidR="00294AC7" w:rsidRPr="00CF77C1" w:rsidRDefault="00E7054C" w:rsidP="0080044B">
            <w:pPr>
              <w:jc w:val="left"/>
              <w:rPr>
                <w:lang w:val="sr-Cyrl-RS"/>
              </w:rPr>
            </w:pPr>
            <w:bookmarkStart w:id="81" w:name="OEI_Mera_4"/>
            <w:r w:rsidRPr="00CF77C1">
              <w:rPr>
                <w:lang w:val="sr-Cyrl-RS"/>
              </w:rPr>
              <w:t>Разматрање могућности увођења п</w:t>
            </w:r>
            <w:r w:rsidR="00294AC7" w:rsidRPr="00CF77C1">
              <w:rPr>
                <w:lang w:val="sr-Cyrl-RS"/>
              </w:rPr>
              <w:t>орески</w:t>
            </w:r>
            <w:r w:rsidRPr="00CF77C1">
              <w:rPr>
                <w:lang w:val="sr-Cyrl-RS"/>
              </w:rPr>
              <w:t>х</w:t>
            </w:r>
            <w:r w:rsidR="00294AC7" w:rsidRPr="00CF77C1">
              <w:rPr>
                <w:lang w:val="sr-Cyrl-RS"/>
              </w:rPr>
              <w:t xml:space="preserve"> и финансијски</w:t>
            </w:r>
            <w:r w:rsidRPr="00CF77C1">
              <w:rPr>
                <w:lang w:val="sr-Cyrl-RS"/>
              </w:rPr>
              <w:t>х подстицаја</w:t>
            </w:r>
            <w:r w:rsidR="00294AC7" w:rsidRPr="00CF77C1">
              <w:rPr>
                <w:lang w:val="sr-Cyrl-RS"/>
              </w:rPr>
              <w:t xml:space="preserve"> грађана да користе енергетске ефикасне котлове/пећи/</w:t>
            </w:r>
            <w:r w:rsidR="00294AC7" w:rsidRPr="00CF77C1">
              <w:rPr>
                <w:lang w:val="sr-Cyrl-RS"/>
              </w:rPr>
              <w:br/>
              <w:t>шпорете на биомасу</w:t>
            </w:r>
            <w:bookmarkEnd w:id="81"/>
          </w:p>
        </w:tc>
        <w:tc>
          <w:tcPr>
            <w:tcW w:w="3543" w:type="dxa"/>
            <w:vAlign w:val="center"/>
          </w:tcPr>
          <w:p w14:paraId="7ADAC600" w14:textId="77777777" w:rsidR="00294AC7" w:rsidRPr="00CF77C1" w:rsidRDefault="00294AC7" w:rsidP="003E39B4">
            <w:pPr>
              <w:pStyle w:val="ListParagraph"/>
              <w:keepNext/>
              <w:numPr>
                <w:ilvl w:val="0"/>
                <w:numId w:val="33"/>
              </w:numPr>
              <w:spacing w:before="60" w:after="60"/>
              <w:ind w:left="360"/>
              <w:jc w:val="left"/>
              <w:rPr>
                <w:lang w:val="sr-Cyrl-RS"/>
              </w:rPr>
            </w:pPr>
            <w:r w:rsidRPr="00CF77C1">
              <w:rPr>
                <w:lang w:val="sr-Cyrl-RS"/>
              </w:rPr>
              <w:t>Повећање удела ОИЕ у потрошњи топлотне енергије</w:t>
            </w:r>
          </w:p>
          <w:p w14:paraId="35EAE5BD" w14:textId="77777777" w:rsidR="00294AC7" w:rsidRPr="00CF77C1" w:rsidRDefault="00294AC7" w:rsidP="003E39B4">
            <w:pPr>
              <w:pStyle w:val="ListParagraph"/>
              <w:keepNext/>
              <w:numPr>
                <w:ilvl w:val="0"/>
                <w:numId w:val="33"/>
              </w:numPr>
              <w:spacing w:before="60" w:after="60"/>
              <w:ind w:left="360"/>
              <w:jc w:val="left"/>
              <w:rPr>
                <w:lang w:val="sr-Cyrl-RS"/>
              </w:rPr>
            </w:pPr>
            <w:r w:rsidRPr="00CF77C1">
              <w:rPr>
                <w:lang w:val="sr-Cyrl-RS"/>
              </w:rPr>
              <w:t>Усмеравање потрошње биомасе на одржив начин</w:t>
            </w:r>
          </w:p>
          <w:p w14:paraId="79B0FED4" w14:textId="38179338" w:rsidR="00294AC7" w:rsidRPr="00CF77C1" w:rsidRDefault="00E7054C" w:rsidP="003E39B4">
            <w:pPr>
              <w:pStyle w:val="ListParagraph"/>
              <w:keepNext/>
              <w:numPr>
                <w:ilvl w:val="0"/>
                <w:numId w:val="33"/>
              </w:numPr>
              <w:spacing w:before="60" w:after="60"/>
              <w:ind w:left="360"/>
              <w:jc w:val="left"/>
              <w:rPr>
                <w:lang w:val="sr-Cyrl-RS"/>
              </w:rPr>
            </w:pPr>
            <w:r w:rsidRPr="00CF77C1">
              <w:rPr>
                <w:lang w:val="sr-Cyrl-RS"/>
              </w:rPr>
              <w:t>Повећање сигурности снабдевања енергијом, безбедности грађана и смањење зависности од увоза енергената</w:t>
            </w:r>
          </w:p>
        </w:tc>
        <w:tc>
          <w:tcPr>
            <w:tcW w:w="2411" w:type="dxa"/>
            <w:vAlign w:val="center"/>
          </w:tcPr>
          <w:p w14:paraId="162D0899" w14:textId="61420B0B" w:rsidR="00294AC7" w:rsidRPr="00CF77C1" w:rsidRDefault="00AC627E" w:rsidP="00E7054C">
            <w:pPr>
              <w:jc w:val="left"/>
              <w:rPr>
                <w:lang w:val="sr-Cyrl-RS"/>
              </w:rPr>
            </w:pPr>
            <w:r w:rsidRPr="00CF77C1">
              <w:rPr>
                <w:lang w:val="sr-Cyrl-RS"/>
              </w:rPr>
              <w:t>Влада</w:t>
            </w:r>
            <w:r w:rsidR="00294AC7" w:rsidRPr="00CF77C1">
              <w:rPr>
                <w:lang w:val="sr-Cyrl-RS"/>
              </w:rPr>
              <w:t xml:space="preserve">, министарство надлежно за послове финансија, </w:t>
            </w:r>
            <w:r w:rsidR="00E7054C" w:rsidRPr="00CF77C1">
              <w:rPr>
                <w:lang w:val="sr-Cyrl-RS"/>
              </w:rPr>
              <w:t xml:space="preserve">министарство надлежно за послове рударства и енергетике, </w:t>
            </w:r>
            <w:r w:rsidR="00294AC7" w:rsidRPr="00CF77C1">
              <w:rPr>
                <w:lang w:val="sr-Cyrl-RS"/>
              </w:rPr>
              <w:t>финансијске организације</w:t>
            </w:r>
          </w:p>
        </w:tc>
        <w:tc>
          <w:tcPr>
            <w:tcW w:w="2835" w:type="dxa"/>
            <w:vAlign w:val="center"/>
          </w:tcPr>
          <w:p w14:paraId="58AF998A" w14:textId="4B9D4A9A" w:rsidR="00294AC7" w:rsidRPr="00CF77C1" w:rsidRDefault="00294AC7" w:rsidP="00A627BB">
            <w:pPr>
              <w:jc w:val="left"/>
              <w:rPr>
                <w:lang w:val="sr-Cyrl-RS"/>
              </w:rPr>
            </w:pPr>
            <w:r w:rsidRPr="00CF77C1">
              <w:rPr>
                <w:lang w:val="sr-Cyrl-RS"/>
              </w:rPr>
              <w:t>Урађена анализа којом се дефинишу модели подстицаја грађана да користе енергетски ефикасне уређаје на биомасу и ефекти њихове примене</w:t>
            </w:r>
            <w:r w:rsidR="00E7054C" w:rsidRPr="00CF77C1">
              <w:rPr>
                <w:lang w:val="sr-Cyrl-RS"/>
              </w:rPr>
              <w:t xml:space="preserve"> на основу које би се извршила евентуална измена прописа</w:t>
            </w:r>
          </w:p>
        </w:tc>
        <w:tc>
          <w:tcPr>
            <w:tcW w:w="1654" w:type="dxa"/>
            <w:vAlign w:val="center"/>
          </w:tcPr>
          <w:p w14:paraId="63A239AB" w14:textId="07F5EFAD" w:rsidR="00294AC7" w:rsidRPr="00CF77C1" w:rsidRDefault="00294AC7" w:rsidP="0080044B">
            <w:pPr>
              <w:jc w:val="center"/>
              <w:rPr>
                <w:lang w:val="sr-Cyrl-RS"/>
              </w:rPr>
            </w:pPr>
            <w:r w:rsidRPr="00CF77C1">
              <w:rPr>
                <w:lang w:val="sr-Cyrl-RS"/>
              </w:rPr>
              <w:t>2020. година</w:t>
            </w:r>
          </w:p>
        </w:tc>
        <w:tc>
          <w:tcPr>
            <w:tcW w:w="1464" w:type="dxa"/>
            <w:vAlign w:val="center"/>
          </w:tcPr>
          <w:p w14:paraId="618B3C98" w14:textId="56A6863D" w:rsidR="00294AC7" w:rsidRPr="00CF77C1" w:rsidRDefault="00294AC7" w:rsidP="0080044B">
            <w:pPr>
              <w:jc w:val="left"/>
              <w:rPr>
                <w:lang w:val="sr-Cyrl-RS"/>
              </w:rPr>
            </w:pPr>
            <w:r w:rsidRPr="00CF77C1">
              <w:rPr>
                <w:lang w:val="sr-Cyrl-RS"/>
              </w:rPr>
              <w:t>Сектор топлотне енергије</w:t>
            </w:r>
          </w:p>
        </w:tc>
      </w:tr>
      <w:tr w:rsidR="004734DB" w:rsidRPr="00CF77C1" w14:paraId="1A5932D1" w14:textId="77777777" w:rsidTr="004734DB">
        <w:trPr>
          <w:cantSplit/>
          <w:trHeight w:val="20"/>
        </w:trPr>
        <w:tc>
          <w:tcPr>
            <w:tcW w:w="895" w:type="dxa"/>
            <w:vAlign w:val="center"/>
          </w:tcPr>
          <w:p w14:paraId="4273CC4B" w14:textId="5A1AFBFA" w:rsidR="004734DB" w:rsidRPr="00CF77C1" w:rsidRDefault="004734DB" w:rsidP="004734DB">
            <w:pPr>
              <w:jc w:val="center"/>
              <w:rPr>
                <w:lang w:val="sr-Cyrl-RS"/>
              </w:rPr>
            </w:pPr>
            <w:bookmarkStart w:id="82" w:name="OEI_Mera_5_broj"/>
            <w:r w:rsidRPr="00CF77C1">
              <w:rPr>
                <w:lang w:val="sr-Cyrl-RS"/>
              </w:rPr>
              <w:t>5.</w:t>
            </w:r>
            <w:bookmarkEnd w:id="82"/>
          </w:p>
        </w:tc>
        <w:tc>
          <w:tcPr>
            <w:tcW w:w="1907" w:type="dxa"/>
            <w:vAlign w:val="center"/>
          </w:tcPr>
          <w:p w14:paraId="6F713217" w14:textId="77777777" w:rsidR="004734DB" w:rsidRPr="00CF77C1" w:rsidRDefault="004734DB" w:rsidP="004734DB">
            <w:pPr>
              <w:keepLines/>
              <w:jc w:val="left"/>
              <w:rPr>
                <w:lang w:val="sr-Cyrl-RS"/>
              </w:rPr>
            </w:pPr>
            <w:bookmarkStart w:id="83" w:name="OEI_Mera_5"/>
            <w:r w:rsidRPr="00CF77C1">
              <w:rPr>
                <w:lang w:val="sr-Cyrl-RS"/>
              </w:rPr>
              <w:t>Разматрање могућности увођења пореских и финансијских подстицаја за коришћење геотермалне енергије</w:t>
            </w:r>
            <w:bookmarkEnd w:id="83"/>
          </w:p>
        </w:tc>
        <w:tc>
          <w:tcPr>
            <w:tcW w:w="3543" w:type="dxa"/>
            <w:vAlign w:val="center"/>
          </w:tcPr>
          <w:p w14:paraId="649B8E65" w14:textId="77777777" w:rsidR="004734DB" w:rsidRPr="00CF77C1" w:rsidRDefault="004734DB" w:rsidP="003E39B4">
            <w:pPr>
              <w:pStyle w:val="ListParagraph"/>
              <w:keepLines/>
              <w:numPr>
                <w:ilvl w:val="0"/>
                <w:numId w:val="104"/>
              </w:numPr>
              <w:spacing w:before="60" w:after="60"/>
              <w:ind w:left="360"/>
              <w:jc w:val="left"/>
              <w:rPr>
                <w:lang w:val="sr-Cyrl-RS"/>
              </w:rPr>
            </w:pPr>
            <w:r w:rsidRPr="00CF77C1">
              <w:rPr>
                <w:lang w:val="sr-Cyrl-RS"/>
              </w:rPr>
              <w:t>Повећање удела ОИЕ у потрошњи топлотне енергије</w:t>
            </w:r>
          </w:p>
        </w:tc>
        <w:tc>
          <w:tcPr>
            <w:tcW w:w="2411" w:type="dxa"/>
            <w:vAlign w:val="center"/>
          </w:tcPr>
          <w:p w14:paraId="3EB2A437" w14:textId="35C58067" w:rsidR="004734DB" w:rsidRPr="00CF77C1" w:rsidRDefault="00AC627E" w:rsidP="004734DB">
            <w:pPr>
              <w:keepLines/>
              <w:tabs>
                <w:tab w:val="left" w:pos="2552"/>
              </w:tabs>
              <w:jc w:val="left"/>
              <w:rPr>
                <w:lang w:val="sr-Cyrl-RS"/>
              </w:rPr>
            </w:pPr>
            <w:r w:rsidRPr="00CF77C1">
              <w:rPr>
                <w:lang w:val="sr-Cyrl-RS"/>
              </w:rPr>
              <w:t>Влада</w:t>
            </w:r>
            <w:r w:rsidR="004734DB" w:rsidRPr="00CF77C1">
              <w:rPr>
                <w:lang w:val="sr-Cyrl-RS"/>
              </w:rPr>
              <w:t>, министарство надлежно за послове финансија, министарство надлежно за послове рударства и енергетике</w:t>
            </w:r>
          </w:p>
        </w:tc>
        <w:tc>
          <w:tcPr>
            <w:tcW w:w="2835" w:type="dxa"/>
            <w:vAlign w:val="center"/>
          </w:tcPr>
          <w:p w14:paraId="66529E8E" w14:textId="77777777" w:rsidR="004734DB" w:rsidRPr="00CF77C1" w:rsidRDefault="004734DB" w:rsidP="004734DB">
            <w:pPr>
              <w:keepLines/>
              <w:jc w:val="left"/>
              <w:rPr>
                <w:lang w:val="sr-Cyrl-RS"/>
              </w:rPr>
            </w:pPr>
            <w:r w:rsidRPr="00CF77C1">
              <w:rPr>
                <w:lang w:val="sr-Cyrl-RS"/>
              </w:rPr>
              <w:t>Урађена анализа којом се дефинишу модели подстицаја за коришћење геотермалне енергије и ефекти њихове примене на основу које би се извршила евентуална измена прописа</w:t>
            </w:r>
          </w:p>
        </w:tc>
        <w:tc>
          <w:tcPr>
            <w:tcW w:w="1654" w:type="dxa"/>
            <w:vAlign w:val="center"/>
          </w:tcPr>
          <w:p w14:paraId="0A999FDB" w14:textId="77777777" w:rsidR="004734DB" w:rsidRPr="00CF77C1" w:rsidRDefault="004734DB" w:rsidP="004734DB">
            <w:pPr>
              <w:keepLines/>
              <w:jc w:val="center"/>
              <w:rPr>
                <w:lang w:val="sr-Cyrl-RS"/>
              </w:rPr>
            </w:pPr>
            <w:r w:rsidRPr="00CF77C1">
              <w:rPr>
                <w:lang w:val="sr-Cyrl-RS"/>
              </w:rPr>
              <w:t>2020. година</w:t>
            </w:r>
          </w:p>
        </w:tc>
        <w:tc>
          <w:tcPr>
            <w:tcW w:w="1464" w:type="dxa"/>
            <w:vAlign w:val="center"/>
          </w:tcPr>
          <w:p w14:paraId="4296481C" w14:textId="77777777" w:rsidR="004734DB" w:rsidRPr="00CF77C1" w:rsidRDefault="004734DB" w:rsidP="004734DB">
            <w:pPr>
              <w:keepLines/>
              <w:jc w:val="left"/>
              <w:rPr>
                <w:lang w:val="sr-Cyrl-RS"/>
              </w:rPr>
            </w:pPr>
            <w:r w:rsidRPr="00CF77C1">
              <w:rPr>
                <w:lang w:val="sr-Cyrl-RS"/>
              </w:rPr>
              <w:t>Сектор топлотне енергије</w:t>
            </w:r>
          </w:p>
        </w:tc>
      </w:tr>
      <w:tr w:rsidR="00294AC7" w:rsidRPr="00CF77C1" w14:paraId="05183722" w14:textId="77777777" w:rsidTr="00294AC7">
        <w:trPr>
          <w:cantSplit/>
          <w:trHeight w:val="20"/>
        </w:trPr>
        <w:tc>
          <w:tcPr>
            <w:tcW w:w="895" w:type="dxa"/>
            <w:vAlign w:val="center"/>
          </w:tcPr>
          <w:p w14:paraId="6B61521F" w14:textId="66EA641D" w:rsidR="00294AC7" w:rsidRPr="00CF77C1" w:rsidRDefault="004734DB" w:rsidP="0080044B">
            <w:pPr>
              <w:jc w:val="center"/>
              <w:rPr>
                <w:lang w:val="sr-Cyrl-RS"/>
              </w:rPr>
            </w:pPr>
            <w:bookmarkStart w:id="84" w:name="OEI_Mera_6_broj"/>
            <w:r w:rsidRPr="00CF77C1">
              <w:rPr>
                <w:lang w:val="sr-Cyrl-RS"/>
              </w:rPr>
              <w:t>6</w:t>
            </w:r>
            <w:r w:rsidR="00294AC7" w:rsidRPr="00CF77C1">
              <w:rPr>
                <w:lang w:val="sr-Cyrl-RS"/>
              </w:rPr>
              <w:t>.</w:t>
            </w:r>
            <w:bookmarkEnd w:id="84"/>
          </w:p>
        </w:tc>
        <w:tc>
          <w:tcPr>
            <w:tcW w:w="1907" w:type="dxa"/>
            <w:vAlign w:val="center"/>
          </w:tcPr>
          <w:p w14:paraId="0F985B50" w14:textId="30388801" w:rsidR="00294AC7" w:rsidRPr="00CF77C1" w:rsidRDefault="00DD7B2C" w:rsidP="00DD7B2C">
            <w:pPr>
              <w:keepLines/>
              <w:jc w:val="left"/>
              <w:rPr>
                <w:lang w:val="sr-Cyrl-RS"/>
              </w:rPr>
            </w:pPr>
            <w:bookmarkStart w:id="85" w:name="OEI_Mera_6"/>
            <w:r w:rsidRPr="00CF77C1">
              <w:rPr>
                <w:lang w:val="sr-Cyrl-RS"/>
              </w:rPr>
              <w:t>Разматрање могућности увођења</w:t>
            </w:r>
            <w:r w:rsidR="00294AC7" w:rsidRPr="00CF77C1">
              <w:rPr>
                <w:lang w:val="sr-Cyrl-RS"/>
              </w:rPr>
              <w:t xml:space="preserve"> пореских и финансијских подстицаја за </w:t>
            </w:r>
            <w:r w:rsidRPr="00CF77C1">
              <w:rPr>
                <w:lang w:val="sr-Cyrl-RS"/>
              </w:rPr>
              <w:t>коришћење</w:t>
            </w:r>
            <w:r w:rsidR="00294AC7" w:rsidRPr="00CF77C1">
              <w:rPr>
                <w:lang w:val="sr-Cyrl-RS"/>
              </w:rPr>
              <w:t xml:space="preserve"> енергетских засада</w:t>
            </w:r>
            <w:bookmarkEnd w:id="85"/>
          </w:p>
        </w:tc>
        <w:tc>
          <w:tcPr>
            <w:tcW w:w="3543" w:type="dxa"/>
            <w:vAlign w:val="center"/>
          </w:tcPr>
          <w:p w14:paraId="62F3BCD7" w14:textId="3D8C303F" w:rsidR="00294AC7" w:rsidRPr="00CF77C1" w:rsidRDefault="00294AC7" w:rsidP="003E39B4">
            <w:pPr>
              <w:pStyle w:val="ListParagraph"/>
              <w:keepLines/>
              <w:numPr>
                <w:ilvl w:val="0"/>
                <w:numId w:val="34"/>
              </w:numPr>
              <w:spacing w:before="60" w:after="60"/>
              <w:ind w:left="360"/>
              <w:jc w:val="left"/>
              <w:rPr>
                <w:lang w:val="sr-Cyrl-RS"/>
              </w:rPr>
            </w:pPr>
            <w:r w:rsidRPr="00CF77C1">
              <w:rPr>
                <w:lang w:val="sr-Cyrl-RS"/>
              </w:rPr>
              <w:t>Повећање технички искористивог потенцијала биомасе за коришћење у енергетске сврхе</w:t>
            </w:r>
          </w:p>
        </w:tc>
        <w:tc>
          <w:tcPr>
            <w:tcW w:w="2411" w:type="dxa"/>
            <w:vAlign w:val="center"/>
          </w:tcPr>
          <w:p w14:paraId="3BA06776" w14:textId="757F466D" w:rsidR="00294AC7" w:rsidRPr="00CF77C1" w:rsidRDefault="00FC5220" w:rsidP="00AC627E">
            <w:pPr>
              <w:keepLines/>
              <w:tabs>
                <w:tab w:val="left" w:pos="2552"/>
              </w:tabs>
              <w:jc w:val="left"/>
              <w:rPr>
                <w:lang w:val="sr-Cyrl-RS"/>
              </w:rPr>
            </w:pPr>
            <w:r>
              <w:rPr>
                <w:lang w:val="sr-Cyrl-RS"/>
              </w:rPr>
              <w:t>Влада, министарство</w:t>
            </w:r>
            <w:r w:rsidR="00294AC7" w:rsidRPr="00CF77C1">
              <w:rPr>
                <w:lang w:val="sr-Cyrl-RS"/>
              </w:rPr>
              <w:t xml:space="preserve"> надлежно за</w:t>
            </w:r>
            <w:r>
              <w:rPr>
                <w:lang w:val="sr-Cyrl-RS"/>
              </w:rPr>
              <w:t xml:space="preserve"> послове финансија, министарства надлежна</w:t>
            </w:r>
            <w:r w:rsidR="00294AC7" w:rsidRPr="00CF77C1">
              <w:rPr>
                <w:lang w:val="sr-Cyrl-RS"/>
              </w:rPr>
              <w:t xml:space="preserve"> за послове пољопривреде и животне средине</w:t>
            </w:r>
            <w:r w:rsidR="00DD7B2C" w:rsidRPr="00CF77C1">
              <w:rPr>
                <w:lang w:val="sr-Cyrl-RS"/>
              </w:rPr>
              <w:t>, министарство надлежно за послове рударства и енергетике</w:t>
            </w:r>
          </w:p>
        </w:tc>
        <w:tc>
          <w:tcPr>
            <w:tcW w:w="2835" w:type="dxa"/>
            <w:vAlign w:val="center"/>
          </w:tcPr>
          <w:p w14:paraId="13ADEE2A" w14:textId="05648FFA" w:rsidR="00294AC7" w:rsidRPr="00CF77C1" w:rsidRDefault="00DD7B2C" w:rsidP="00DE4E75">
            <w:pPr>
              <w:keepLines/>
              <w:jc w:val="left"/>
              <w:rPr>
                <w:lang w:val="sr-Cyrl-RS"/>
              </w:rPr>
            </w:pPr>
            <w:r w:rsidRPr="00CF77C1">
              <w:rPr>
                <w:lang w:val="sr-Cyrl-RS"/>
              </w:rPr>
              <w:t>Израђена студија са предлогом оптималног решења</w:t>
            </w:r>
            <w:r w:rsidR="0078663B" w:rsidRPr="00CF77C1">
              <w:rPr>
                <w:lang w:val="sr-Cyrl-RS"/>
              </w:rPr>
              <w:t xml:space="preserve"> избора врсте дрвећа, начина садње,</w:t>
            </w:r>
            <w:r w:rsidR="00DE4E75" w:rsidRPr="00CF77C1">
              <w:rPr>
                <w:lang w:val="sr-Cyrl-RS"/>
              </w:rPr>
              <w:t xml:space="preserve"> </w:t>
            </w:r>
            <w:r w:rsidR="0078663B" w:rsidRPr="00CF77C1">
              <w:rPr>
                <w:lang w:val="sr-Cyrl-RS"/>
              </w:rPr>
              <w:t>врсте и типова земљишта погодног за узгајање енергетских засада</w:t>
            </w:r>
            <w:r w:rsidRPr="00CF77C1">
              <w:rPr>
                <w:lang w:val="sr-Cyrl-RS"/>
              </w:rPr>
              <w:t>, која може послужити као основ за евентуалну измену прописа</w:t>
            </w:r>
            <w:r w:rsidR="00323095" w:rsidRPr="00CF77C1">
              <w:rPr>
                <w:lang w:val="sr-Cyrl-RS"/>
              </w:rPr>
              <w:t xml:space="preserve"> </w:t>
            </w:r>
            <w:r w:rsidRPr="00CF77C1">
              <w:rPr>
                <w:lang w:val="sr-Cyrl-RS"/>
              </w:rPr>
              <w:t>за пореске и финансијске подстицаје за коришћење енергетских засада</w:t>
            </w:r>
          </w:p>
        </w:tc>
        <w:tc>
          <w:tcPr>
            <w:tcW w:w="1654" w:type="dxa"/>
            <w:vAlign w:val="center"/>
          </w:tcPr>
          <w:p w14:paraId="12968200" w14:textId="1F4B08B5" w:rsidR="00294AC7" w:rsidRPr="00CF77C1" w:rsidRDefault="00294AC7" w:rsidP="0080044B">
            <w:pPr>
              <w:keepLines/>
              <w:jc w:val="center"/>
              <w:rPr>
                <w:lang w:val="sr-Cyrl-RS"/>
              </w:rPr>
            </w:pPr>
            <w:r w:rsidRPr="00CF77C1">
              <w:rPr>
                <w:lang w:val="sr-Cyrl-RS"/>
              </w:rPr>
              <w:t>2021. година</w:t>
            </w:r>
          </w:p>
        </w:tc>
        <w:tc>
          <w:tcPr>
            <w:tcW w:w="1464" w:type="dxa"/>
            <w:vAlign w:val="center"/>
          </w:tcPr>
          <w:p w14:paraId="3305EB14" w14:textId="543A0F5E" w:rsidR="00294AC7" w:rsidRPr="00CF77C1" w:rsidRDefault="00294AC7" w:rsidP="0080044B">
            <w:pPr>
              <w:keepLines/>
              <w:jc w:val="left"/>
              <w:rPr>
                <w:lang w:val="sr-Cyrl-RS"/>
              </w:rPr>
            </w:pPr>
            <w:r w:rsidRPr="00CF77C1">
              <w:rPr>
                <w:lang w:val="sr-Cyrl-RS"/>
              </w:rPr>
              <w:t>Сектор енергетике</w:t>
            </w:r>
          </w:p>
        </w:tc>
      </w:tr>
      <w:tr w:rsidR="00293B1E" w:rsidRPr="00CF77C1" w14:paraId="7598AB11" w14:textId="77777777" w:rsidTr="00294AC7">
        <w:trPr>
          <w:cantSplit/>
          <w:trHeight w:val="20"/>
        </w:trPr>
        <w:tc>
          <w:tcPr>
            <w:tcW w:w="895" w:type="dxa"/>
            <w:vAlign w:val="center"/>
          </w:tcPr>
          <w:p w14:paraId="0D07D72A" w14:textId="3A2CAEFE" w:rsidR="00293B1E" w:rsidRPr="00CF77C1" w:rsidRDefault="00293B1E" w:rsidP="0080044B">
            <w:pPr>
              <w:jc w:val="center"/>
              <w:rPr>
                <w:lang w:val="sr-Cyrl-RS"/>
              </w:rPr>
            </w:pPr>
            <w:bookmarkStart w:id="86" w:name="OEI_Mera_7_broj"/>
            <w:r w:rsidRPr="00CF77C1">
              <w:rPr>
                <w:lang w:val="sr-Cyrl-RS"/>
              </w:rPr>
              <w:t>7.</w:t>
            </w:r>
            <w:bookmarkEnd w:id="86"/>
          </w:p>
        </w:tc>
        <w:tc>
          <w:tcPr>
            <w:tcW w:w="1907" w:type="dxa"/>
            <w:vAlign w:val="center"/>
          </w:tcPr>
          <w:p w14:paraId="00D62880" w14:textId="101DD265" w:rsidR="00293B1E" w:rsidRPr="00CF77C1" w:rsidRDefault="00293B1E" w:rsidP="0080044B">
            <w:pPr>
              <w:jc w:val="left"/>
              <w:rPr>
                <w:lang w:val="sr-Cyrl-RS"/>
              </w:rPr>
            </w:pPr>
            <w:bookmarkStart w:id="87" w:name="OEI_Mera_7"/>
            <w:r w:rsidRPr="00CF77C1">
              <w:rPr>
                <w:lang w:val="sr-Cyrl-RS"/>
              </w:rPr>
              <w:t>Успостављање националне шеме верификације испуњености одрживости биогорива</w:t>
            </w:r>
            <w:bookmarkEnd w:id="87"/>
          </w:p>
        </w:tc>
        <w:tc>
          <w:tcPr>
            <w:tcW w:w="3543" w:type="dxa"/>
            <w:vAlign w:val="center"/>
          </w:tcPr>
          <w:p w14:paraId="101BF228" w14:textId="77777777" w:rsidR="00293B1E" w:rsidRPr="00CF77C1" w:rsidRDefault="00293B1E" w:rsidP="003E39B4">
            <w:pPr>
              <w:pStyle w:val="ListParagraph"/>
              <w:numPr>
                <w:ilvl w:val="0"/>
                <w:numId w:val="35"/>
              </w:numPr>
              <w:spacing w:before="60" w:after="60"/>
              <w:ind w:left="360"/>
              <w:jc w:val="left"/>
              <w:rPr>
                <w:lang w:val="sr-Cyrl-RS"/>
              </w:rPr>
            </w:pPr>
            <w:r w:rsidRPr="00CF77C1">
              <w:rPr>
                <w:lang w:val="sr-Cyrl-RS"/>
              </w:rPr>
              <w:t>Производња биогорива на одржив начин</w:t>
            </w:r>
          </w:p>
          <w:p w14:paraId="4A6209F2" w14:textId="0B6D5A73" w:rsidR="00293B1E" w:rsidRPr="00CF77C1" w:rsidRDefault="00293B1E" w:rsidP="003E39B4">
            <w:pPr>
              <w:pStyle w:val="ListParagraph"/>
              <w:numPr>
                <w:ilvl w:val="0"/>
                <w:numId w:val="35"/>
              </w:numPr>
              <w:spacing w:before="60" w:after="60"/>
              <w:ind w:left="360"/>
              <w:jc w:val="left"/>
              <w:rPr>
                <w:lang w:val="sr-Cyrl-RS"/>
              </w:rPr>
            </w:pPr>
            <w:r w:rsidRPr="00CF77C1">
              <w:rPr>
                <w:lang w:val="sr-Cyrl-RS"/>
              </w:rPr>
              <w:t>Смањење зависности домаћих произвођача од иностраних верификатора испуњености одрживе производње биогорива</w:t>
            </w:r>
          </w:p>
        </w:tc>
        <w:tc>
          <w:tcPr>
            <w:tcW w:w="2411" w:type="dxa"/>
            <w:vAlign w:val="center"/>
          </w:tcPr>
          <w:p w14:paraId="2E245FB8" w14:textId="73415F96" w:rsidR="00293B1E" w:rsidRPr="00CF77C1" w:rsidRDefault="00AC627E" w:rsidP="0080044B">
            <w:pPr>
              <w:jc w:val="left"/>
              <w:rPr>
                <w:lang w:val="sr-Cyrl-RS"/>
              </w:rPr>
            </w:pPr>
            <w:r w:rsidRPr="00CF77C1">
              <w:rPr>
                <w:lang w:val="sr-Cyrl-RS"/>
              </w:rPr>
              <w:t>Влада</w:t>
            </w:r>
            <w:r w:rsidR="00293B1E" w:rsidRPr="00CF77C1">
              <w:rPr>
                <w:lang w:val="sr-Cyrl-RS"/>
              </w:rPr>
              <w:t>, министарство надлежно за послове рударства и е</w:t>
            </w:r>
            <w:r w:rsidR="00EF0E1A">
              <w:rPr>
                <w:lang w:val="sr-Cyrl-RS"/>
              </w:rPr>
              <w:t>нергетике, министарства</w:t>
            </w:r>
            <w:r w:rsidR="00FC5220">
              <w:rPr>
                <w:lang w:val="sr-Cyrl-RS"/>
              </w:rPr>
              <w:t xml:space="preserve"> надлежна</w:t>
            </w:r>
            <w:r w:rsidR="00293B1E" w:rsidRPr="00CF77C1">
              <w:rPr>
                <w:lang w:val="sr-Cyrl-RS"/>
              </w:rPr>
              <w:t xml:space="preserve"> за послове пољопривреде и заштите животне средине</w:t>
            </w:r>
          </w:p>
        </w:tc>
        <w:tc>
          <w:tcPr>
            <w:tcW w:w="2835" w:type="dxa"/>
            <w:vAlign w:val="center"/>
          </w:tcPr>
          <w:p w14:paraId="4478ED0F" w14:textId="1A4285F1" w:rsidR="00293B1E" w:rsidRPr="00CF77C1" w:rsidRDefault="00293B1E" w:rsidP="0080044B">
            <w:pPr>
              <w:jc w:val="left"/>
              <w:rPr>
                <w:lang w:val="sr-Cyrl-RS"/>
              </w:rPr>
            </w:pPr>
            <w:r w:rsidRPr="00CF77C1">
              <w:rPr>
                <w:lang w:val="sr-Cyrl-RS"/>
              </w:rPr>
              <w:t>Успостављена национална шема верификације испуњености одрживости биогорива</w:t>
            </w:r>
          </w:p>
        </w:tc>
        <w:tc>
          <w:tcPr>
            <w:tcW w:w="1654" w:type="dxa"/>
            <w:vAlign w:val="center"/>
          </w:tcPr>
          <w:p w14:paraId="6E2B42C5" w14:textId="78B7D113" w:rsidR="00293B1E" w:rsidRPr="00CF77C1" w:rsidRDefault="00293B1E" w:rsidP="0080044B">
            <w:pPr>
              <w:jc w:val="center"/>
              <w:rPr>
                <w:lang w:val="sr-Cyrl-RS"/>
              </w:rPr>
            </w:pPr>
            <w:r w:rsidRPr="00CF77C1">
              <w:rPr>
                <w:lang w:val="sr-Cyrl-RS"/>
              </w:rPr>
              <w:t>2019. година</w:t>
            </w:r>
          </w:p>
        </w:tc>
        <w:tc>
          <w:tcPr>
            <w:tcW w:w="1464" w:type="dxa"/>
            <w:vAlign w:val="center"/>
          </w:tcPr>
          <w:p w14:paraId="0CAD761B" w14:textId="37E4FD55" w:rsidR="00293B1E" w:rsidRPr="00CF77C1" w:rsidRDefault="00293B1E" w:rsidP="0080044B">
            <w:pPr>
              <w:jc w:val="left"/>
              <w:rPr>
                <w:lang w:val="sr-Cyrl-RS"/>
              </w:rPr>
            </w:pPr>
            <w:r w:rsidRPr="00CF77C1">
              <w:rPr>
                <w:lang w:val="sr-Cyrl-RS"/>
              </w:rPr>
              <w:t>Сектор саобраћаја</w:t>
            </w:r>
          </w:p>
        </w:tc>
      </w:tr>
      <w:tr w:rsidR="00293B1E" w:rsidRPr="00CF77C1" w14:paraId="30974A3F" w14:textId="77777777" w:rsidTr="00294AC7">
        <w:trPr>
          <w:cantSplit/>
          <w:trHeight w:val="20"/>
        </w:trPr>
        <w:tc>
          <w:tcPr>
            <w:tcW w:w="895" w:type="dxa"/>
            <w:vAlign w:val="center"/>
          </w:tcPr>
          <w:p w14:paraId="7CE7B364" w14:textId="4C863793" w:rsidR="00293B1E" w:rsidRPr="00CF77C1" w:rsidRDefault="00293B1E" w:rsidP="0080044B">
            <w:pPr>
              <w:jc w:val="center"/>
              <w:rPr>
                <w:lang w:val="sr-Cyrl-RS"/>
              </w:rPr>
            </w:pPr>
            <w:bookmarkStart w:id="88" w:name="OEI_Mera_8_broj"/>
            <w:r w:rsidRPr="00CF77C1">
              <w:rPr>
                <w:lang w:val="sr-Cyrl-RS"/>
              </w:rPr>
              <w:t>8.</w:t>
            </w:r>
            <w:bookmarkEnd w:id="88"/>
          </w:p>
        </w:tc>
        <w:tc>
          <w:tcPr>
            <w:tcW w:w="1907" w:type="dxa"/>
            <w:vAlign w:val="center"/>
          </w:tcPr>
          <w:p w14:paraId="5FDA0C38" w14:textId="77CBCA41" w:rsidR="00293B1E" w:rsidRPr="00CF77C1" w:rsidRDefault="00293B1E" w:rsidP="0080044B">
            <w:pPr>
              <w:jc w:val="left"/>
              <w:rPr>
                <w:lang w:val="sr-Cyrl-RS"/>
              </w:rPr>
            </w:pPr>
            <w:bookmarkStart w:id="89" w:name="OEI_Mera_8"/>
            <w:r w:rsidRPr="00CF77C1">
              <w:rPr>
                <w:lang w:val="sr-Cyrl-RS"/>
              </w:rPr>
              <w:t>Разматрање могућности увођења пореских и финансијских подстицаја како за производњу биогорива тако и за њихово стављање на тржиште</w:t>
            </w:r>
            <w:bookmarkEnd w:id="89"/>
          </w:p>
        </w:tc>
        <w:tc>
          <w:tcPr>
            <w:tcW w:w="3543" w:type="dxa"/>
            <w:vAlign w:val="center"/>
          </w:tcPr>
          <w:p w14:paraId="5526C73A" w14:textId="77777777" w:rsidR="00293B1E" w:rsidRPr="00CF77C1" w:rsidRDefault="00293B1E" w:rsidP="003E39B4">
            <w:pPr>
              <w:pStyle w:val="ListParagraph"/>
              <w:numPr>
                <w:ilvl w:val="0"/>
                <w:numId w:val="51"/>
              </w:numPr>
              <w:spacing w:before="60" w:after="60"/>
              <w:ind w:left="360"/>
              <w:jc w:val="left"/>
              <w:rPr>
                <w:lang w:val="sr-Cyrl-RS"/>
              </w:rPr>
            </w:pPr>
            <w:r w:rsidRPr="00CF77C1">
              <w:rPr>
                <w:lang w:val="sr-Cyrl-RS"/>
              </w:rPr>
              <w:t>Повећање коришћења ОИЕ у саобраћају</w:t>
            </w:r>
          </w:p>
          <w:p w14:paraId="4BB5E498" w14:textId="09C61C17" w:rsidR="00293B1E" w:rsidRPr="00CF77C1" w:rsidRDefault="00293B1E" w:rsidP="003E39B4">
            <w:pPr>
              <w:pStyle w:val="ListParagraph"/>
              <w:numPr>
                <w:ilvl w:val="0"/>
                <w:numId w:val="51"/>
              </w:numPr>
              <w:spacing w:before="60" w:after="60"/>
              <w:ind w:left="360"/>
              <w:jc w:val="left"/>
              <w:rPr>
                <w:lang w:val="sr-Cyrl-RS"/>
              </w:rPr>
            </w:pPr>
            <w:r w:rsidRPr="00CF77C1">
              <w:rPr>
                <w:lang w:val="sr-Cyrl-RS"/>
              </w:rPr>
              <w:t>Ангажовање домаћих ресурса</w:t>
            </w:r>
          </w:p>
          <w:p w14:paraId="3E244EAB" w14:textId="1C0F83F9" w:rsidR="00293B1E" w:rsidRPr="00CF77C1" w:rsidRDefault="00293B1E" w:rsidP="003E39B4">
            <w:pPr>
              <w:pStyle w:val="ListParagraph"/>
              <w:numPr>
                <w:ilvl w:val="0"/>
                <w:numId w:val="51"/>
              </w:numPr>
              <w:spacing w:before="60" w:after="60"/>
              <w:ind w:left="360"/>
              <w:jc w:val="left"/>
              <w:rPr>
                <w:lang w:val="sr-Cyrl-RS"/>
              </w:rPr>
            </w:pPr>
            <w:r w:rsidRPr="00CF77C1">
              <w:rPr>
                <w:lang w:val="sr-Cyrl-RS"/>
              </w:rPr>
              <w:t>Рурални развој</w:t>
            </w:r>
          </w:p>
        </w:tc>
        <w:tc>
          <w:tcPr>
            <w:tcW w:w="2411" w:type="dxa"/>
            <w:vAlign w:val="center"/>
          </w:tcPr>
          <w:p w14:paraId="11EACFBD" w14:textId="06B61173" w:rsidR="00293B1E" w:rsidRPr="00CF77C1" w:rsidRDefault="00AC627E" w:rsidP="00EF0E1A">
            <w:pPr>
              <w:tabs>
                <w:tab w:val="left" w:pos="2552"/>
              </w:tabs>
              <w:jc w:val="left"/>
              <w:rPr>
                <w:lang w:val="sr-Cyrl-RS"/>
              </w:rPr>
            </w:pPr>
            <w:r w:rsidRPr="00CF77C1">
              <w:rPr>
                <w:lang w:val="sr-Cyrl-RS"/>
              </w:rPr>
              <w:t>Влада</w:t>
            </w:r>
            <w:r w:rsidR="00293B1E" w:rsidRPr="00CF77C1">
              <w:rPr>
                <w:lang w:val="sr-Cyrl-RS"/>
              </w:rPr>
              <w:t>, министарство надлежно за послове финансија, министарство надлежно за послове рударства и енергетике, министарств</w:t>
            </w:r>
            <w:r w:rsidR="00EF0E1A">
              <w:rPr>
                <w:lang w:val="sr-Cyrl-RS"/>
              </w:rPr>
              <w:t>а надлежна</w:t>
            </w:r>
            <w:r w:rsidR="00293B1E" w:rsidRPr="00CF77C1">
              <w:rPr>
                <w:lang w:val="sr-Cyrl-RS"/>
              </w:rPr>
              <w:t xml:space="preserve"> за послове пољопривреде и заштите животне средине</w:t>
            </w:r>
          </w:p>
        </w:tc>
        <w:tc>
          <w:tcPr>
            <w:tcW w:w="2835" w:type="dxa"/>
            <w:vAlign w:val="center"/>
          </w:tcPr>
          <w:p w14:paraId="7830426D" w14:textId="685ACAE9" w:rsidR="00293B1E" w:rsidRPr="00CF77C1" w:rsidRDefault="00293B1E" w:rsidP="0080044B">
            <w:pPr>
              <w:jc w:val="left"/>
              <w:rPr>
                <w:lang w:val="sr-Cyrl-RS"/>
              </w:rPr>
            </w:pPr>
            <w:r w:rsidRPr="00CF77C1">
              <w:rPr>
                <w:lang w:val="sr-Cyrl-RS"/>
              </w:rPr>
              <w:t>Израђена студија са предлогом оптималног решења, која може послужити као основ за израду прописа</w:t>
            </w:r>
          </w:p>
        </w:tc>
        <w:tc>
          <w:tcPr>
            <w:tcW w:w="1654" w:type="dxa"/>
            <w:vAlign w:val="center"/>
          </w:tcPr>
          <w:p w14:paraId="6E713559" w14:textId="6A5E0585" w:rsidR="00293B1E" w:rsidRPr="00CF77C1" w:rsidRDefault="00293B1E" w:rsidP="0080044B">
            <w:pPr>
              <w:jc w:val="center"/>
              <w:rPr>
                <w:lang w:val="sr-Cyrl-RS"/>
              </w:rPr>
            </w:pPr>
            <w:r w:rsidRPr="00CF77C1">
              <w:rPr>
                <w:lang w:val="sr-Cyrl-RS"/>
              </w:rPr>
              <w:t>2018. година</w:t>
            </w:r>
          </w:p>
        </w:tc>
        <w:tc>
          <w:tcPr>
            <w:tcW w:w="1464" w:type="dxa"/>
            <w:vAlign w:val="center"/>
          </w:tcPr>
          <w:p w14:paraId="08188AF3" w14:textId="003C1685" w:rsidR="00293B1E" w:rsidRPr="00CF77C1" w:rsidRDefault="00293B1E" w:rsidP="0080044B">
            <w:pPr>
              <w:jc w:val="left"/>
              <w:rPr>
                <w:lang w:val="sr-Cyrl-RS"/>
              </w:rPr>
            </w:pPr>
            <w:r w:rsidRPr="00CF77C1">
              <w:rPr>
                <w:lang w:val="sr-Cyrl-RS"/>
              </w:rPr>
              <w:t>Сектор саобраћаја</w:t>
            </w:r>
          </w:p>
        </w:tc>
      </w:tr>
      <w:tr w:rsidR="00293B1E" w:rsidRPr="00CF77C1" w14:paraId="02D16480" w14:textId="77777777" w:rsidTr="00294AC7">
        <w:trPr>
          <w:cantSplit/>
          <w:trHeight w:val="20"/>
        </w:trPr>
        <w:tc>
          <w:tcPr>
            <w:tcW w:w="895" w:type="dxa"/>
            <w:vAlign w:val="center"/>
          </w:tcPr>
          <w:p w14:paraId="26FFABCB" w14:textId="0A024AD3" w:rsidR="00293B1E" w:rsidRPr="00CF77C1" w:rsidRDefault="00E41D32" w:rsidP="0080044B">
            <w:pPr>
              <w:jc w:val="center"/>
              <w:rPr>
                <w:lang w:val="sr-Cyrl-RS"/>
              </w:rPr>
            </w:pPr>
            <w:bookmarkStart w:id="90" w:name="OEI_Mera_9_broj"/>
            <w:r w:rsidRPr="00CF77C1">
              <w:rPr>
                <w:lang w:val="sr-Cyrl-RS"/>
              </w:rPr>
              <w:t>9</w:t>
            </w:r>
            <w:r w:rsidR="00293B1E" w:rsidRPr="00CF77C1">
              <w:rPr>
                <w:lang w:val="sr-Cyrl-RS"/>
              </w:rPr>
              <w:t>.</w:t>
            </w:r>
            <w:bookmarkEnd w:id="90"/>
          </w:p>
        </w:tc>
        <w:tc>
          <w:tcPr>
            <w:tcW w:w="1907" w:type="dxa"/>
            <w:vAlign w:val="center"/>
          </w:tcPr>
          <w:p w14:paraId="396E4963" w14:textId="151EB05E" w:rsidR="00293B1E" w:rsidRPr="00CF77C1" w:rsidRDefault="00293B1E" w:rsidP="0080044B">
            <w:pPr>
              <w:jc w:val="left"/>
              <w:rPr>
                <w:lang w:val="sr-Cyrl-RS"/>
              </w:rPr>
            </w:pPr>
            <w:bookmarkStart w:id="91" w:name="OEI_Mera_9"/>
            <w:r w:rsidRPr="00CF77C1">
              <w:rPr>
                <w:lang w:val="sr-Cyrl-RS"/>
              </w:rPr>
              <w:t>Разматрање могућности увођења подстицаја за коришћење електричних возила</w:t>
            </w:r>
            <w:bookmarkEnd w:id="91"/>
          </w:p>
        </w:tc>
        <w:tc>
          <w:tcPr>
            <w:tcW w:w="3543" w:type="dxa"/>
            <w:vAlign w:val="center"/>
          </w:tcPr>
          <w:p w14:paraId="1AAAE789" w14:textId="77777777" w:rsidR="00293B1E" w:rsidRPr="00CF77C1" w:rsidRDefault="00293B1E" w:rsidP="003E39B4">
            <w:pPr>
              <w:pStyle w:val="ListParagraph"/>
              <w:numPr>
                <w:ilvl w:val="0"/>
                <w:numId w:val="52"/>
              </w:numPr>
              <w:spacing w:before="60" w:after="60"/>
              <w:ind w:left="360"/>
              <w:jc w:val="left"/>
              <w:rPr>
                <w:lang w:val="sr-Cyrl-RS"/>
              </w:rPr>
            </w:pPr>
            <w:r w:rsidRPr="00CF77C1">
              <w:rPr>
                <w:lang w:val="sr-Cyrl-RS"/>
              </w:rPr>
              <w:t>Смањење коришћења фосилних извора у саобраћају</w:t>
            </w:r>
          </w:p>
          <w:p w14:paraId="09D61E57" w14:textId="298139A7" w:rsidR="00293B1E" w:rsidRPr="00CF77C1" w:rsidRDefault="00293B1E" w:rsidP="003E39B4">
            <w:pPr>
              <w:pStyle w:val="ListParagraph"/>
              <w:numPr>
                <w:ilvl w:val="0"/>
                <w:numId w:val="52"/>
              </w:numPr>
              <w:spacing w:before="60" w:after="60"/>
              <w:ind w:left="360"/>
              <w:jc w:val="left"/>
              <w:rPr>
                <w:rFonts w:eastAsia="Times New Roman"/>
                <w:bCs/>
                <w:snapToGrid w:val="0"/>
                <w:szCs w:val="20"/>
                <w:lang w:val="sr-Cyrl-RS"/>
              </w:rPr>
            </w:pPr>
            <w:r w:rsidRPr="00CF77C1">
              <w:rPr>
                <w:lang w:val="sr-Cyrl-RS"/>
              </w:rPr>
              <w:t>Смањење увозне зависности од фосилних енергената</w:t>
            </w:r>
          </w:p>
        </w:tc>
        <w:tc>
          <w:tcPr>
            <w:tcW w:w="2411" w:type="dxa"/>
            <w:vAlign w:val="center"/>
          </w:tcPr>
          <w:p w14:paraId="7656A8EC" w14:textId="0C5F551D" w:rsidR="00293B1E" w:rsidRPr="00CF77C1" w:rsidRDefault="00AC627E" w:rsidP="0080044B">
            <w:pPr>
              <w:jc w:val="left"/>
              <w:rPr>
                <w:lang w:val="sr-Cyrl-RS"/>
              </w:rPr>
            </w:pPr>
            <w:r w:rsidRPr="00CF77C1">
              <w:rPr>
                <w:lang w:val="sr-Cyrl-RS"/>
              </w:rPr>
              <w:t>Влада</w:t>
            </w:r>
            <w:r w:rsidR="00293B1E" w:rsidRPr="00CF77C1">
              <w:rPr>
                <w:lang w:val="sr-Cyrl-RS"/>
              </w:rPr>
              <w:t>, министарство надлежно за послове рударства и енергетике, министарство надлежно за послове саобраћаја, министарство надлежно за послове финансија</w:t>
            </w:r>
          </w:p>
        </w:tc>
        <w:tc>
          <w:tcPr>
            <w:tcW w:w="2835" w:type="dxa"/>
            <w:vAlign w:val="center"/>
          </w:tcPr>
          <w:p w14:paraId="759B6436" w14:textId="219FA03A" w:rsidR="00293B1E" w:rsidRPr="00CF77C1" w:rsidRDefault="00293B1E" w:rsidP="0080044B">
            <w:pPr>
              <w:jc w:val="left"/>
              <w:rPr>
                <w:lang w:val="sr-Cyrl-RS"/>
              </w:rPr>
            </w:pPr>
            <w:r w:rsidRPr="00CF77C1">
              <w:rPr>
                <w:lang w:val="sr-Cyrl-RS"/>
              </w:rPr>
              <w:t>Израђена студија са предлогом оптималног решења, која може послужити као основ за израду прописа</w:t>
            </w:r>
          </w:p>
        </w:tc>
        <w:tc>
          <w:tcPr>
            <w:tcW w:w="1654" w:type="dxa"/>
            <w:vAlign w:val="center"/>
          </w:tcPr>
          <w:p w14:paraId="65605CD5" w14:textId="413C5C7A" w:rsidR="00293B1E" w:rsidRPr="00CF77C1" w:rsidRDefault="00293B1E" w:rsidP="0080044B">
            <w:pPr>
              <w:jc w:val="center"/>
              <w:rPr>
                <w:lang w:val="sr-Cyrl-RS"/>
              </w:rPr>
            </w:pPr>
            <w:r w:rsidRPr="00CF77C1">
              <w:rPr>
                <w:lang w:val="sr-Cyrl-RS"/>
              </w:rPr>
              <w:t>2019. година</w:t>
            </w:r>
          </w:p>
        </w:tc>
        <w:tc>
          <w:tcPr>
            <w:tcW w:w="1464" w:type="dxa"/>
            <w:vAlign w:val="center"/>
          </w:tcPr>
          <w:p w14:paraId="3CD642E7" w14:textId="01B2E194" w:rsidR="00293B1E" w:rsidRPr="00CF77C1" w:rsidRDefault="00293B1E" w:rsidP="0080044B">
            <w:pPr>
              <w:jc w:val="left"/>
              <w:rPr>
                <w:lang w:val="sr-Cyrl-RS"/>
              </w:rPr>
            </w:pPr>
            <w:r w:rsidRPr="00CF77C1">
              <w:rPr>
                <w:lang w:val="sr-Cyrl-RS"/>
              </w:rPr>
              <w:t>Сектор саобраћаја</w:t>
            </w:r>
          </w:p>
        </w:tc>
      </w:tr>
      <w:tr w:rsidR="00293B1E" w:rsidRPr="00CF77C1" w14:paraId="7098597E" w14:textId="77777777" w:rsidTr="00294AC7">
        <w:trPr>
          <w:cantSplit/>
          <w:trHeight w:val="20"/>
        </w:trPr>
        <w:tc>
          <w:tcPr>
            <w:tcW w:w="895" w:type="dxa"/>
            <w:vAlign w:val="center"/>
          </w:tcPr>
          <w:p w14:paraId="3609280A" w14:textId="60EDDFDF" w:rsidR="00293B1E" w:rsidRPr="00CF77C1" w:rsidRDefault="00E41D32" w:rsidP="0080044B">
            <w:pPr>
              <w:jc w:val="center"/>
              <w:rPr>
                <w:lang w:val="sr-Cyrl-RS"/>
              </w:rPr>
            </w:pPr>
            <w:bookmarkStart w:id="92" w:name="OEI_Mera_10_broj"/>
            <w:r w:rsidRPr="00CF77C1">
              <w:rPr>
                <w:lang w:val="sr-Cyrl-RS"/>
              </w:rPr>
              <w:t>10</w:t>
            </w:r>
            <w:r w:rsidR="00293B1E" w:rsidRPr="00CF77C1">
              <w:rPr>
                <w:lang w:val="sr-Cyrl-RS"/>
              </w:rPr>
              <w:t>.</w:t>
            </w:r>
            <w:bookmarkEnd w:id="92"/>
          </w:p>
        </w:tc>
        <w:tc>
          <w:tcPr>
            <w:tcW w:w="1907" w:type="dxa"/>
            <w:vAlign w:val="center"/>
          </w:tcPr>
          <w:p w14:paraId="1851E18D" w14:textId="3DB1C519" w:rsidR="00293B1E" w:rsidRPr="00CF77C1" w:rsidRDefault="00293B1E" w:rsidP="0080044B">
            <w:pPr>
              <w:jc w:val="left"/>
              <w:rPr>
                <w:lang w:val="sr-Cyrl-RS"/>
              </w:rPr>
            </w:pPr>
            <w:bookmarkStart w:id="93" w:name="OEI_Mera_10"/>
            <w:r w:rsidRPr="00CF77C1">
              <w:rPr>
                <w:lang w:val="sr-Cyrl-RS"/>
              </w:rPr>
              <w:t>Стварање услова за образовање и информисање грађана и младих о значају и предностима коришћења ОИЕ</w:t>
            </w:r>
            <w:bookmarkEnd w:id="93"/>
          </w:p>
        </w:tc>
        <w:tc>
          <w:tcPr>
            <w:tcW w:w="3543" w:type="dxa"/>
            <w:vAlign w:val="center"/>
          </w:tcPr>
          <w:p w14:paraId="1846A781" w14:textId="3A2E5C4F" w:rsidR="00293B1E" w:rsidRPr="00CF77C1" w:rsidRDefault="00293B1E" w:rsidP="003E39B4">
            <w:pPr>
              <w:pStyle w:val="ListParagraph"/>
              <w:keepNext/>
              <w:numPr>
                <w:ilvl w:val="0"/>
                <w:numId w:val="36"/>
              </w:numPr>
              <w:spacing w:before="60" w:after="60"/>
              <w:ind w:left="360"/>
              <w:jc w:val="left"/>
              <w:rPr>
                <w:lang w:val="sr-Cyrl-RS"/>
              </w:rPr>
            </w:pPr>
            <w:r w:rsidRPr="00CF77C1">
              <w:rPr>
                <w:lang w:val="sr-Cyrl-RS"/>
              </w:rPr>
              <w:t>Повећање свести о значају ОИЕ за стварање услова за унапређење стања заштите животне средине и рационално коришћење природних ресурса</w:t>
            </w:r>
          </w:p>
        </w:tc>
        <w:tc>
          <w:tcPr>
            <w:tcW w:w="2411" w:type="dxa"/>
            <w:vAlign w:val="center"/>
          </w:tcPr>
          <w:p w14:paraId="6994CC10" w14:textId="0B6EEE2E" w:rsidR="00293B1E" w:rsidRPr="00CF77C1" w:rsidRDefault="00AC627E" w:rsidP="00BC0A5E">
            <w:pPr>
              <w:jc w:val="left"/>
              <w:rPr>
                <w:lang w:val="sr-Cyrl-RS"/>
              </w:rPr>
            </w:pPr>
            <w:r w:rsidRPr="00CF77C1">
              <w:rPr>
                <w:lang w:val="sr-Cyrl-RS"/>
              </w:rPr>
              <w:t>Влада</w:t>
            </w:r>
            <w:r w:rsidR="00293B1E" w:rsidRPr="00CF77C1">
              <w:rPr>
                <w:lang w:val="sr-Cyrl-RS"/>
              </w:rPr>
              <w:t>, министарство надлежно за послове рударства и енергетике, министарство надлежно за послове просвете, науке и технолошког развоја, медији</w:t>
            </w:r>
          </w:p>
        </w:tc>
        <w:tc>
          <w:tcPr>
            <w:tcW w:w="2835" w:type="dxa"/>
            <w:vAlign w:val="center"/>
          </w:tcPr>
          <w:p w14:paraId="0C65779A" w14:textId="0E68D7CB" w:rsidR="00293B1E" w:rsidRPr="00CF77C1" w:rsidRDefault="00293B1E" w:rsidP="0080044B">
            <w:pPr>
              <w:jc w:val="left"/>
              <w:rPr>
                <w:lang w:val="sr-Cyrl-RS"/>
              </w:rPr>
            </w:pPr>
            <w:r w:rsidRPr="00CF77C1">
              <w:rPr>
                <w:lang w:val="sr-Cyrl-RS"/>
              </w:rPr>
              <w:t>Донети програми образовања и информисања који укључују промовисање ОИЕ</w:t>
            </w:r>
          </w:p>
        </w:tc>
        <w:tc>
          <w:tcPr>
            <w:tcW w:w="1654" w:type="dxa"/>
            <w:vAlign w:val="center"/>
          </w:tcPr>
          <w:p w14:paraId="2BAA171A" w14:textId="0CFB278E" w:rsidR="00293B1E" w:rsidRPr="00CF77C1" w:rsidRDefault="00293B1E" w:rsidP="0080044B">
            <w:pPr>
              <w:jc w:val="center"/>
              <w:rPr>
                <w:lang w:val="sr-Cyrl-RS"/>
              </w:rPr>
            </w:pPr>
            <w:r w:rsidRPr="00CF77C1">
              <w:rPr>
                <w:lang w:val="sr-Cyrl-RS"/>
              </w:rPr>
              <w:t>2019. година</w:t>
            </w:r>
          </w:p>
        </w:tc>
        <w:tc>
          <w:tcPr>
            <w:tcW w:w="1464" w:type="dxa"/>
            <w:vAlign w:val="center"/>
          </w:tcPr>
          <w:p w14:paraId="37451737" w14:textId="15238C07" w:rsidR="00293B1E" w:rsidRPr="00CF77C1" w:rsidRDefault="00293B1E" w:rsidP="0080044B">
            <w:pPr>
              <w:jc w:val="left"/>
              <w:rPr>
                <w:lang w:val="sr-Cyrl-RS"/>
              </w:rPr>
            </w:pPr>
            <w:r w:rsidRPr="00CF77C1">
              <w:rPr>
                <w:lang w:val="sr-Cyrl-RS"/>
              </w:rPr>
              <w:t>Сектор енергетике, сектор образовања, сектор медија</w:t>
            </w:r>
          </w:p>
        </w:tc>
      </w:tr>
      <w:tr w:rsidR="00293B1E" w:rsidRPr="00CF77C1" w14:paraId="33D9A257" w14:textId="77777777" w:rsidTr="00294AC7">
        <w:trPr>
          <w:cantSplit/>
          <w:trHeight w:val="20"/>
        </w:trPr>
        <w:tc>
          <w:tcPr>
            <w:tcW w:w="895" w:type="dxa"/>
            <w:vAlign w:val="center"/>
          </w:tcPr>
          <w:p w14:paraId="1FAE1FAD" w14:textId="14276463" w:rsidR="00293B1E" w:rsidRPr="00CF77C1" w:rsidRDefault="00E41D32" w:rsidP="00293B1E">
            <w:pPr>
              <w:jc w:val="center"/>
              <w:rPr>
                <w:lang w:val="sr-Cyrl-RS"/>
              </w:rPr>
            </w:pPr>
            <w:bookmarkStart w:id="94" w:name="OEI_Mera_11_broj"/>
            <w:r w:rsidRPr="00CF77C1">
              <w:rPr>
                <w:lang w:val="sr-Cyrl-RS"/>
              </w:rPr>
              <w:t>11</w:t>
            </w:r>
            <w:r w:rsidR="00293B1E" w:rsidRPr="00CF77C1">
              <w:rPr>
                <w:lang w:val="sr-Cyrl-RS"/>
              </w:rPr>
              <w:t>.</w:t>
            </w:r>
            <w:bookmarkEnd w:id="94"/>
          </w:p>
        </w:tc>
        <w:tc>
          <w:tcPr>
            <w:tcW w:w="1907" w:type="dxa"/>
            <w:vAlign w:val="center"/>
          </w:tcPr>
          <w:p w14:paraId="7601EEB6" w14:textId="5A549383" w:rsidR="00293B1E" w:rsidRPr="00CF77C1" w:rsidRDefault="00293B1E" w:rsidP="00DD7B2C">
            <w:pPr>
              <w:jc w:val="left"/>
              <w:rPr>
                <w:lang w:val="sr-Cyrl-RS"/>
              </w:rPr>
            </w:pPr>
            <w:bookmarkStart w:id="95" w:name="OEI_Mera_11"/>
            <w:r w:rsidRPr="00CF77C1">
              <w:rPr>
                <w:lang w:val="sr-Cyrl-RS"/>
              </w:rPr>
              <w:t>Разматрање могућности за увођење подстицаја за иновације и промотивне пројекте у производњи и коришћењу ОИЕ</w:t>
            </w:r>
            <w:bookmarkEnd w:id="95"/>
          </w:p>
        </w:tc>
        <w:tc>
          <w:tcPr>
            <w:tcW w:w="3543" w:type="dxa"/>
            <w:vAlign w:val="center"/>
          </w:tcPr>
          <w:p w14:paraId="3ACB88CE" w14:textId="3AC9644F" w:rsidR="00293B1E" w:rsidRPr="00CF77C1" w:rsidRDefault="00293B1E" w:rsidP="003E39B4">
            <w:pPr>
              <w:pStyle w:val="ListParagraph"/>
              <w:keepNext/>
              <w:numPr>
                <w:ilvl w:val="0"/>
                <w:numId w:val="53"/>
              </w:numPr>
              <w:spacing w:before="60" w:after="60"/>
              <w:ind w:left="360"/>
              <w:jc w:val="left"/>
              <w:rPr>
                <w:lang w:val="sr-Cyrl-RS"/>
              </w:rPr>
            </w:pPr>
            <w:r w:rsidRPr="00CF77C1">
              <w:rPr>
                <w:lang w:val="sr-Cyrl-RS"/>
              </w:rPr>
              <w:t>Подстицање домаћих ресурса у области науке и иноваторства на развијање и увођење нових технологија у области ОИЕ</w:t>
            </w:r>
          </w:p>
          <w:p w14:paraId="15E02F93" w14:textId="2D4C173C" w:rsidR="00293B1E" w:rsidRPr="00CF77C1" w:rsidRDefault="00293B1E" w:rsidP="003E39B4">
            <w:pPr>
              <w:pStyle w:val="ListParagraph"/>
              <w:keepNext/>
              <w:numPr>
                <w:ilvl w:val="0"/>
                <w:numId w:val="53"/>
              </w:numPr>
              <w:spacing w:before="60" w:after="60"/>
              <w:ind w:left="360"/>
              <w:jc w:val="left"/>
              <w:rPr>
                <w:lang w:val="sr-Cyrl-RS"/>
              </w:rPr>
            </w:pPr>
            <w:r w:rsidRPr="00CF77C1">
              <w:rPr>
                <w:lang w:val="sr-Cyrl-RS"/>
              </w:rPr>
              <w:t>Повећање енергетске ефикасности и економске исплативости ОИЕ</w:t>
            </w:r>
          </w:p>
        </w:tc>
        <w:tc>
          <w:tcPr>
            <w:tcW w:w="2411" w:type="dxa"/>
            <w:vAlign w:val="center"/>
          </w:tcPr>
          <w:p w14:paraId="548DE2C8" w14:textId="50D1C1DF" w:rsidR="00293B1E" w:rsidRPr="00CF77C1" w:rsidRDefault="00AC627E" w:rsidP="0080044B">
            <w:pPr>
              <w:tabs>
                <w:tab w:val="left" w:pos="2552"/>
              </w:tabs>
              <w:jc w:val="left"/>
              <w:rPr>
                <w:lang w:val="sr-Cyrl-RS"/>
              </w:rPr>
            </w:pPr>
            <w:r w:rsidRPr="00CF77C1">
              <w:rPr>
                <w:lang w:val="sr-Cyrl-RS"/>
              </w:rPr>
              <w:t>м</w:t>
            </w:r>
            <w:r w:rsidR="00293B1E" w:rsidRPr="00CF77C1">
              <w:rPr>
                <w:lang w:val="sr-Cyrl-RS"/>
              </w:rPr>
              <w:t>инистарство надлежно за послове рударства и енергетике, министарство надлежно за послове просвете, науке и технолошког развоја</w:t>
            </w:r>
          </w:p>
        </w:tc>
        <w:tc>
          <w:tcPr>
            <w:tcW w:w="2835" w:type="dxa"/>
            <w:vAlign w:val="center"/>
          </w:tcPr>
          <w:p w14:paraId="6241FE54" w14:textId="71F19123" w:rsidR="00293B1E" w:rsidRPr="00CF77C1" w:rsidRDefault="00293B1E" w:rsidP="0080044B">
            <w:pPr>
              <w:jc w:val="left"/>
              <w:rPr>
                <w:lang w:val="sr-Cyrl-RS"/>
              </w:rPr>
            </w:pPr>
            <w:r w:rsidRPr="00CF77C1">
              <w:rPr>
                <w:lang w:val="sr-Cyrl-RS"/>
              </w:rPr>
              <w:t>Израђена студија са предлогом оптималног решења, која може послужити као основ за евентуалну израду прописа</w:t>
            </w:r>
          </w:p>
        </w:tc>
        <w:tc>
          <w:tcPr>
            <w:tcW w:w="1654" w:type="dxa"/>
            <w:vAlign w:val="center"/>
          </w:tcPr>
          <w:p w14:paraId="18C6B708" w14:textId="347935AE" w:rsidR="00293B1E" w:rsidRPr="00CF77C1" w:rsidRDefault="00293B1E" w:rsidP="0080044B">
            <w:pPr>
              <w:jc w:val="center"/>
              <w:rPr>
                <w:lang w:val="sr-Cyrl-RS"/>
              </w:rPr>
            </w:pPr>
            <w:r w:rsidRPr="00CF77C1">
              <w:rPr>
                <w:lang w:val="sr-Cyrl-RS"/>
              </w:rPr>
              <w:t>2019. година</w:t>
            </w:r>
          </w:p>
        </w:tc>
        <w:tc>
          <w:tcPr>
            <w:tcW w:w="1464" w:type="dxa"/>
            <w:vAlign w:val="center"/>
          </w:tcPr>
          <w:p w14:paraId="77E92EB2" w14:textId="77777777" w:rsidR="00293B1E" w:rsidRPr="00CF77C1" w:rsidRDefault="00293B1E" w:rsidP="00F70CE2">
            <w:pPr>
              <w:jc w:val="left"/>
              <w:rPr>
                <w:lang w:val="sr-Cyrl-RS"/>
              </w:rPr>
            </w:pPr>
            <w:r w:rsidRPr="00CF77C1">
              <w:rPr>
                <w:lang w:val="sr-Cyrl-RS"/>
              </w:rPr>
              <w:t>Сектор енергетике</w:t>
            </w:r>
          </w:p>
          <w:p w14:paraId="1A687192" w14:textId="290D224A" w:rsidR="00293B1E" w:rsidRPr="00CF77C1" w:rsidRDefault="00293B1E" w:rsidP="0080044B">
            <w:pPr>
              <w:jc w:val="left"/>
              <w:rPr>
                <w:lang w:val="sr-Cyrl-RS"/>
              </w:rPr>
            </w:pPr>
          </w:p>
        </w:tc>
      </w:tr>
      <w:tr w:rsidR="00293B1E" w:rsidRPr="00CF77C1" w14:paraId="5912984A" w14:textId="77777777" w:rsidTr="00294AC7">
        <w:trPr>
          <w:cantSplit/>
          <w:trHeight w:val="20"/>
        </w:trPr>
        <w:tc>
          <w:tcPr>
            <w:tcW w:w="895" w:type="dxa"/>
            <w:vAlign w:val="center"/>
          </w:tcPr>
          <w:p w14:paraId="3F35B534" w14:textId="60048D27" w:rsidR="00293B1E" w:rsidRPr="00CF77C1" w:rsidRDefault="00E41D32" w:rsidP="00293B1E">
            <w:pPr>
              <w:jc w:val="center"/>
              <w:rPr>
                <w:lang w:val="sr-Cyrl-RS"/>
              </w:rPr>
            </w:pPr>
            <w:bookmarkStart w:id="96" w:name="OEI_Mera_12_broj"/>
            <w:r w:rsidRPr="00CF77C1">
              <w:rPr>
                <w:lang w:val="sr-Cyrl-RS"/>
              </w:rPr>
              <w:t>12</w:t>
            </w:r>
            <w:r w:rsidR="00293B1E" w:rsidRPr="00CF77C1">
              <w:rPr>
                <w:lang w:val="sr-Cyrl-RS"/>
              </w:rPr>
              <w:t>.</w:t>
            </w:r>
            <w:bookmarkEnd w:id="96"/>
          </w:p>
        </w:tc>
        <w:tc>
          <w:tcPr>
            <w:tcW w:w="1907" w:type="dxa"/>
            <w:vAlign w:val="center"/>
          </w:tcPr>
          <w:p w14:paraId="0A755E51" w14:textId="5DBFD572" w:rsidR="00293B1E" w:rsidRPr="00CF77C1" w:rsidRDefault="00293B1E" w:rsidP="0080044B">
            <w:pPr>
              <w:jc w:val="left"/>
              <w:rPr>
                <w:lang w:val="sr-Cyrl-RS"/>
              </w:rPr>
            </w:pPr>
            <w:bookmarkStart w:id="97" w:name="OEI_Mera_12"/>
            <w:r w:rsidRPr="00CF77C1">
              <w:rPr>
                <w:lang w:val="sr-Cyrl-RS"/>
              </w:rPr>
              <w:t>Укључивање поступка издавања енергетске дозволе за објекте снаге снаге до 10 MW и стицање статуса привременог повлашћеног произвођача, повлашћеног произвођача и произвођача из ОИЕ у електронске услуге портала Е-управе</w:t>
            </w:r>
            <w:bookmarkEnd w:id="97"/>
          </w:p>
        </w:tc>
        <w:tc>
          <w:tcPr>
            <w:tcW w:w="3543" w:type="dxa"/>
            <w:vAlign w:val="center"/>
          </w:tcPr>
          <w:p w14:paraId="53AFF568" w14:textId="3F801AE1" w:rsidR="00293B1E" w:rsidRPr="00CF77C1" w:rsidRDefault="00293B1E" w:rsidP="003E39B4">
            <w:pPr>
              <w:pStyle w:val="ListParagraph"/>
              <w:keepNext/>
              <w:numPr>
                <w:ilvl w:val="0"/>
                <w:numId w:val="54"/>
              </w:numPr>
              <w:spacing w:before="60" w:after="60"/>
              <w:ind w:left="360"/>
              <w:jc w:val="left"/>
              <w:rPr>
                <w:lang w:val="sr-Cyrl-RS"/>
              </w:rPr>
            </w:pPr>
            <w:r w:rsidRPr="00CF77C1">
              <w:rPr>
                <w:lang w:val="sr-Cyrl-RS"/>
              </w:rPr>
              <w:t>Поједностављење административне процедуре и отклањање административних баријера</w:t>
            </w:r>
          </w:p>
        </w:tc>
        <w:tc>
          <w:tcPr>
            <w:tcW w:w="2411" w:type="dxa"/>
            <w:vAlign w:val="center"/>
          </w:tcPr>
          <w:p w14:paraId="20668886" w14:textId="14CAA627" w:rsidR="00293B1E" w:rsidRPr="00CF77C1" w:rsidRDefault="00AC627E" w:rsidP="0080044B">
            <w:pPr>
              <w:tabs>
                <w:tab w:val="left" w:pos="2552"/>
              </w:tabs>
              <w:jc w:val="left"/>
              <w:rPr>
                <w:lang w:val="sr-Cyrl-RS"/>
              </w:rPr>
            </w:pPr>
            <w:r w:rsidRPr="00CF77C1">
              <w:rPr>
                <w:lang w:val="sr-Cyrl-RS"/>
              </w:rPr>
              <w:t>м</w:t>
            </w:r>
            <w:r w:rsidR="00293B1E" w:rsidRPr="00CF77C1">
              <w:rPr>
                <w:lang w:val="sr-Cyrl-RS"/>
              </w:rPr>
              <w:t xml:space="preserve">инистарство надлежно за послове рударства и енергетике, </w:t>
            </w:r>
            <w:r w:rsidR="00D41EC7" w:rsidRPr="00CF77C1">
              <w:rPr>
                <w:lang w:val="sr-Cyrl-RS"/>
              </w:rPr>
              <w:t xml:space="preserve">Канцеларија за информационе технологије и електронску управу, </w:t>
            </w:r>
            <w:r w:rsidR="00293B1E" w:rsidRPr="00CF77C1">
              <w:rPr>
                <w:lang w:val="sr-Cyrl-RS"/>
              </w:rPr>
              <w:t>Привредна комора Србије</w:t>
            </w:r>
          </w:p>
        </w:tc>
        <w:tc>
          <w:tcPr>
            <w:tcW w:w="2835" w:type="dxa"/>
            <w:vAlign w:val="center"/>
          </w:tcPr>
          <w:p w14:paraId="18904C2E" w14:textId="356574D9" w:rsidR="00293B1E" w:rsidRPr="00CF77C1" w:rsidRDefault="00293B1E" w:rsidP="0080044B">
            <w:pPr>
              <w:tabs>
                <w:tab w:val="left" w:pos="2552"/>
              </w:tabs>
              <w:jc w:val="left"/>
              <w:rPr>
                <w:lang w:val="sr-Cyrl-RS"/>
              </w:rPr>
            </w:pPr>
            <w:r w:rsidRPr="00CF77C1">
              <w:rPr>
                <w:lang w:val="sr-Cyrl-RS"/>
              </w:rPr>
              <w:t>Успостављена електронска услуга на порталу Е-управе</w:t>
            </w:r>
          </w:p>
        </w:tc>
        <w:tc>
          <w:tcPr>
            <w:tcW w:w="1654" w:type="dxa"/>
            <w:vAlign w:val="center"/>
          </w:tcPr>
          <w:p w14:paraId="72C74FD5" w14:textId="573383E2" w:rsidR="00293B1E" w:rsidRPr="00CF77C1" w:rsidRDefault="00293B1E" w:rsidP="0080044B">
            <w:pPr>
              <w:jc w:val="center"/>
              <w:rPr>
                <w:lang w:val="sr-Cyrl-RS"/>
              </w:rPr>
            </w:pPr>
            <w:r w:rsidRPr="00CF77C1">
              <w:rPr>
                <w:lang w:val="sr-Cyrl-RS"/>
              </w:rPr>
              <w:t>2019. година</w:t>
            </w:r>
          </w:p>
        </w:tc>
        <w:tc>
          <w:tcPr>
            <w:tcW w:w="1464" w:type="dxa"/>
            <w:vAlign w:val="center"/>
          </w:tcPr>
          <w:p w14:paraId="634E9763" w14:textId="1E72F03D" w:rsidR="00293B1E" w:rsidRPr="00CF77C1" w:rsidRDefault="00293B1E" w:rsidP="0080044B">
            <w:pPr>
              <w:jc w:val="left"/>
              <w:rPr>
                <w:lang w:val="sr-Cyrl-RS"/>
              </w:rPr>
            </w:pPr>
            <w:r w:rsidRPr="00CF77C1">
              <w:rPr>
                <w:lang w:val="sr-Cyrl-RS"/>
              </w:rPr>
              <w:t>Сектор енергетике</w:t>
            </w:r>
          </w:p>
        </w:tc>
      </w:tr>
      <w:tr w:rsidR="00293B1E" w:rsidRPr="00CF77C1" w14:paraId="37A9DC23" w14:textId="77777777" w:rsidTr="00294AC7">
        <w:trPr>
          <w:cantSplit/>
          <w:trHeight w:val="20"/>
        </w:trPr>
        <w:tc>
          <w:tcPr>
            <w:tcW w:w="895" w:type="dxa"/>
            <w:vAlign w:val="center"/>
          </w:tcPr>
          <w:p w14:paraId="39693B3B" w14:textId="26278A39" w:rsidR="00293B1E" w:rsidRPr="00CF77C1" w:rsidRDefault="00E41D32" w:rsidP="00293B1E">
            <w:pPr>
              <w:jc w:val="center"/>
              <w:rPr>
                <w:highlight w:val="yellow"/>
                <w:lang w:val="sr-Cyrl-RS"/>
              </w:rPr>
            </w:pPr>
            <w:bookmarkStart w:id="98" w:name="OEI_Mera_14_broj"/>
            <w:bookmarkStart w:id="99" w:name="OEI_Mera_13_broj"/>
            <w:r w:rsidRPr="00CF77C1">
              <w:rPr>
                <w:lang w:val="sr-Cyrl-RS"/>
              </w:rPr>
              <w:t>13</w:t>
            </w:r>
            <w:r w:rsidR="00293B1E" w:rsidRPr="00CF77C1">
              <w:rPr>
                <w:lang w:val="sr-Cyrl-RS"/>
              </w:rPr>
              <w:t>.</w:t>
            </w:r>
            <w:bookmarkEnd w:id="98"/>
            <w:bookmarkEnd w:id="99"/>
          </w:p>
        </w:tc>
        <w:tc>
          <w:tcPr>
            <w:tcW w:w="1907" w:type="dxa"/>
            <w:vAlign w:val="center"/>
          </w:tcPr>
          <w:p w14:paraId="151212F0" w14:textId="07803AF2" w:rsidR="00293B1E" w:rsidRPr="00CF77C1" w:rsidRDefault="00293B1E" w:rsidP="0080044B">
            <w:pPr>
              <w:jc w:val="left"/>
              <w:rPr>
                <w:lang w:val="sr-Cyrl-RS"/>
              </w:rPr>
            </w:pPr>
            <w:bookmarkStart w:id="100" w:name="OEI_Mera_14"/>
            <w:bookmarkStart w:id="101" w:name="OEI_Mera_13"/>
            <w:r w:rsidRPr="00CF77C1">
              <w:rPr>
                <w:lang w:val="sr-Cyrl-RS"/>
              </w:rPr>
              <w:t>Промоција производње електричне енергије из ОИЕ у јавном сектору</w:t>
            </w:r>
            <w:bookmarkEnd w:id="100"/>
            <w:bookmarkEnd w:id="101"/>
          </w:p>
        </w:tc>
        <w:tc>
          <w:tcPr>
            <w:tcW w:w="3543" w:type="dxa"/>
            <w:vAlign w:val="center"/>
          </w:tcPr>
          <w:p w14:paraId="15067364" w14:textId="77777777" w:rsidR="00293B1E" w:rsidRPr="00CF77C1" w:rsidRDefault="00293B1E" w:rsidP="003E39B4">
            <w:pPr>
              <w:pStyle w:val="ListParagraph"/>
              <w:keepNext/>
              <w:numPr>
                <w:ilvl w:val="0"/>
                <w:numId w:val="37"/>
              </w:numPr>
              <w:spacing w:before="60" w:after="60"/>
              <w:ind w:left="360"/>
              <w:jc w:val="left"/>
              <w:rPr>
                <w:lang w:val="sr-Cyrl-RS"/>
              </w:rPr>
            </w:pPr>
            <w:r w:rsidRPr="00CF77C1">
              <w:rPr>
                <w:lang w:val="sr-Cyrl-RS"/>
              </w:rPr>
              <w:t>Повећање производње енергије из ОИЕ</w:t>
            </w:r>
          </w:p>
          <w:p w14:paraId="0827F14D" w14:textId="338582B8" w:rsidR="00293B1E" w:rsidRPr="00CF77C1" w:rsidRDefault="00293B1E" w:rsidP="003E39B4">
            <w:pPr>
              <w:pStyle w:val="ListParagraph"/>
              <w:keepNext/>
              <w:numPr>
                <w:ilvl w:val="0"/>
                <w:numId w:val="37"/>
              </w:numPr>
              <w:spacing w:before="60" w:after="60"/>
              <w:ind w:left="360"/>
              <w:jc w:val="left"/>
              <w:rPr>
                <w:lang w:val="sr-Cyrl-RS"/>
              </w:rPr>
            </w:pPr>
            <w:r w:rsidRPr="00CF77C1">
              <w:rPr>
                <w:lang w:val="sr-Cyrl-RS"/>
              </w:rPr>
              <w:t>Јачање свести о значају ОИЕ за рационално коришћење природних ресурса и унапређење стања заштите животне средине</w:t>
            </w:r>
          </w:p>
        </w:tc>
        <w:tc>
          <w:tcPr>
            <w:tcW w:w="2411" w:type="dxa"/>
            <w:vAlign w:val="center"/>
          </w:tcPr>
          <w:p w14:paraId="7F60C8F2" w14:textId="4B7A3B54" w:rsidR="00293B1E" w:rsidRPr="00CF77C1" w:rsidRDefault="00AC627E" w:rsidP="00DD7B2C">
            <w:pPr>
              <w:jc w:val="left"/>
              <w:rPr>
                <w:lang w:val="sr-Cyrl-RS"/>
              </w:rPr>
            </w:pPr>
            <w:r w:rsidRPr="00CF77C1">
              <w:rPr>
                <w:lang w:val="sr-Cyrl-RS"/>
              </w:rPr>
              <w:t>Влада</w:t>
            </w:r>
            <w:r w:rsidR="001F2766">
              <w:rPr>
                <w:lang w:val="sr-Cyrl-RS"/>
              </w:rPr>
              <w:t>, министарства надлежна</w:t>
            </w:r>
            <w:r w:rsidR="00293B1E" w:rsidRPr="00CF77C1">
              <w:rPr>
                <w:lang w:val="sr-Cyrl-RS"/>
              </w:rPr>
              <w:t xml:space="preserve"> за послове пољопривреде и заштите животне средине, министарство надлежно за послове рударства и енергетике, Републичка дирекција за имовину</w:t>
            </w:r>
            <w:r w:rsidR="001F2766">
              <w:rPr>
                <w:lang w:val="sr-Cyrl-RS"/>
              </w:rPr>
              <w:t xml:space="preserve"> Републике Србије</w:t>
            </w:r>
            <w:r w:rsidR="00293B1E" w:rsidRPr="00CF77C1">
              <w:rPr>
                <w:lang w:val="sr-Cyrl-RS"/>
              </w:rPr>
              <w:t>, јединице локалних самоуправа</w:t>
            </w:r>
          </w:p>
        </w:tc>
        <w:tc>
          <w:tcPr>
            <w:tcW w:w="2835" w:type="dxa"/>
            <w:vAlign w:val="center"/>
          </w:tcPr>
          <w:p w14:paraId="3F09F209" w14:textId="11BCF2A0" w:rsidR="00293B1E" w:rsidRPr="00CF77C1" w:rsidRDefault="00293B1E" w:rsidP="0080044B">
            <w:pPr>
              <w:tabs>
                <w:tab w:val="left" w:pos="2552"/>
              </w:tabs>
              <w:jc w:val="left"/>
              <w:rPr>
                <w:lang w:val="sr-Cyrl-RS"/>
              </w:rPr>
            </w:pPr>
            <w:r w:rsidRPr="00CF77C1">
              <w:rPr>
                <w:lang w:val="sr-Cyrl-RS"/>
              </w:rPr>
              <w:t>Повећан удео ОИЕ у јавном сектору</w:t>
            </w:r>
          </w:p>
        </w:tc>
        <w:tc>
          <w:tcPr>
            <w:tcW w:w="1654" w:type="dxa"/>
            <w:vAlign w:val="center"/>
          </w:tcPr>
          <w:p w14:paraId="7B972280" w14:textId="6592C4CF" w:rsidR="00293B1E" w:rsidRPr="00CF77C1" w:rsidRDefault="00293B1E" w:rsidP="0080044B">
            <w:pPr>
              <w:jc w:val="center"/>
              <w:rPr>
                <w:lang w:val="sr-Cyrl-RS"/>
              </w:rPr>
            </w:pPr>
            <w:r w:rsidRPr="00CF77C1">
              <w:rPr>
                <w:lang w:val="sr-Cyrl-RS"/>
              </w:rPr>
              <w:t>2023. година</w:t>
            </w:r>
          </w:p>
        </w:tc>
        <w:tc>
          <w:tcPr>
            <w:tcW w:w="1464" w:type="dxa"/>
            <w:vAlign w:val="center"/>
          </w:tcPr>
          <w:p w14:paraId="70138388" w14:textId="5929DD34" w:rsidR="00293B1E" w:rsidRPr="00CF77C1" w:rsidRDefault="00293B1E" w:rsidP="0080044B">
            <w:pPr>
              <w:jc w:val="left"/>
              <w:rPr>
                <w:lang w:val="sr-Cyrl-RS"/>
              </w:rPr>
            </w:pPr>
            <w:r w:rsidRPr="00CF77C1">
              <w:rPr>
                <w:lang w:val="sr-Cyrl-RS"/>
              </w:rPr>
              <w:t>Сектор електричне енергије, сектор заштите животне средине,</w:t>
            </w:r>
          </w:p>
        </w:tc>
      </w:tr>
    </w:tbl>
    <w:p w14:paraId="0A6EFB91" w14:textId="717042CA" w:rsidR="0075721A" w:rsidRPr="00CF77C1" w:rsidRDefault="00D61BC9" w:rsidP="0080044B">
      <w:pPr>
        <w:pStyle w:val="Caption"/>
        <w:rPr>
          <w:b w:val="0"/>
          <w:lang w:val="sr-Cyrl-RS"/>
        </w:rPr>
      </w:pPr>
      <w:bookmarkStart w:id="102" w:name="_Ref475708412"/>
      <w:r w:rsidRPr="00CF77C1">
        <w:rPr>
          <w:b w:val="0"/>
          <w:lang w:val="sr-Cyrl-RS"/>
        </w:rPr>
        <w:t>таб.</w:t>
      </w:r>
      <w:r w:rsidR="00D24347"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35</w:t>
      </w:r>
      <w:r w:rsidR="0092145E" w:rsidRPr="00CF77C1">
        <w:rPr>
          <w:b w:val="0"/>
          <w:lang w:val="sr-Cyrl-RS"/>
        </w:rPr>
        <w:fldChar w:fldCharType="end"/>
      </w:r>
      <w:bookmarkEnd w:id="102"/>
      <w:r w:rsidR="00D24347" w:rsidRPr="00CF77C1">
        <w:rPr>
          <w:b w:val="0"/>
          <w:lang w:val="sr-Cyrl-RS"/>
        </w:rPr>
        <w:t>: План активности за реализацију мера у области обновљивих извора енергије</w:t>
      </w:r>
    </w:p>
    <w:tbl>
      <w:tblPr>
        <w:tblStyle w:val="TableGrid"/>
        <w:tblW w:w="14714" w:type="dxa"/>
        <w:tblInd w:w="-5" w:type="dxa"/>
        <w:tblLayout w:type="fixed"/>
        <w:tblLook w:val="04A0" w:firstRow="1" w:lastRow="0" w:firstColumn="1" w:lastColumn="0" w:noHBand="0" w:noVBand="1"/>
      </w:tblPr>
      <w:tblGrid>
        <w:gridCol w:w="895"/>
        <w:gridCol w:w="4180"/>
        <w:gridCol w:w="2835"/>
        <w:gridCol w:w="3147"/>
        <w:gridCol w:w="1800"/>
        <w:gridCol w:w="1857"/>
      </w:tblGrid>
      <w:tr w:rsidR="00D24347" w:rsidRPr="00CF77C1" w14:paraId="4D1A5048" w14:textId="77777777" w:rsidTr="000B77FC">
        <w:trPr>
          <w:cantSplit/>
          <w:trHeight w:val="20"/>
          <w:tblHeader/>
        </w:trPr>
        <w:tc>
          <w:tcPr>
            <w:tcW w:w="895" w:type="dxa"/>
            <w:vAlign w:val="center"/>
          </w:tcPr>
          <w:p w14:paraId="5EB59CC6" w14:textId="77777777" w:rsidR="00D24347" w:rsidRPr="00CF77C1" w:rsidRDefault="00D24347" w:rsidP="0080044B">
            <w:pPr>
              <w:keepNext/>
              <w:keepLines/>
              <w:jc w:val="center"/>
              <w:rPr>
                <w:lang w:val="sr-Cyrl-RS"/>
              </w:rPr>
            </w:pPr>
            <w:r w:rsidRPr="00CF77C1">
              <w:rPr>
                <w:lang w:val="sr-Cyrl-RS"/>
              </w:rPr>
              <w:t>Редни број</w:t>
            </w:r>
          </w:p>
        </w:tc>
        <w:tc>
          <w:tcPr>
            <w:tcW w:w="4180" w:type="dxa"/>
            <w:vAlign w:val="center"/>
          </w:tcPr>
          <w:p w14:paraId="784C537C" w14:textId="77777777" w:rsidR="00D24347" w:rsidRPr="00CF77C1" w:rsidRDefault="00D24347" w:rsidP="0080044B">
            <w:pPr>
              <w:keepNext/>
              <w:keepLines/>
              <w:jc w:val="center"/>
              <w:rPr>
                <w:lang w:val="sr-Cyrl-RS"/>
              </w:rPr>
            </w:pPr>
            <w:r w:rsidRPr="00CF77C1">
              <w:rPr>
                <w:lang w:val="sr-Cyrl-RS"/>
              </w:rPr>
              <w:t>Активност</w:t>
            </w:r>
          </w:p>
        </w:tc>
        <w:tc>
          <w:tcPr>
            <w:tcW w:w="2835" w:type="dxa"/>
            <w:vAlign w:val="center"/>
          </w:tcPr>
          <w:p w14:paraId="232BAA0B" w14:textId="77777777" w:rsidR="00D24347" w:rsidRPr="00CF77C1" w:rsidRDefault="00D24347" w:rsidP="0080044B">
            <w:pPr>
              <w:keepNext/>
              <w:keepLines/>
              <w:jc w:val="center"/>
              <w:rPr>
                <w:lang w:val="sr-Cyrl-RS"/>
              </w:rPr>
            </w:pPr>
            <w:r w:rsidRPr="00CF77C1">
              <w:rPr>
                <w:lang w:val="sr-Cyrl-RS"/>
              </w:rPr>
              <w:t>Носилац активности</w:t>
            </w:r>
          </w:p>
        </w:tc>
        <w:tc>
          <w:tcPr>
            <w:tcW w:w="3147" w:type="dxa"/>
            <w:vAlign w:val="center"/>
          </w:tcPr>
          <w:p w14:paraId="5D273459" w14:textId="77777777" w:rsidR="00D24347" w:rsidRPr="00CF77C1" w:rsidRDefault="00D24347" w:rsidP="0080044B">
            <w:pPr>
              <w:keepNext/>
              <w:keepLines/>
              <w:jc w:val="center"/>
              <w:rPr>
                <w:lang w:val="sr-Cyrl-RS"/>
              </w:rPr>
            </w:pPr>
            <w:r w:rsidRPr="00CF77C1">
              <w:rPr>
                <w:lang w:val="sr-Cyrl-RS"/>
              </w:rPr>
              <w:t>Показ</w:t>
            </w:r>
            <w:r w:rsidR="00E47B48" w:rsidRPr="00CF77C1">
              <w:rPr>
                <w:lang w:val="sr-Cyrl-RS"/>
              </w:rPr>
              <w:t>атељ (индикатор) реализованости</w:t>
            </w:r>
            <w:r w:rsidR="00F52DC8" w:rsidRPr="00CF77C1">
              <w:rPr>
                <w:lang w:val="sr-Cyrl-RS"/>
              </w:rPr>
              <w:t xml:space="preserve"> </w:t>
            </w:r>
            <w:r w:rsidRPr="00CF77C1">
              <w:rPr>
                <w:lang w:val="sr-Cyrl-RS"/>
              </w:rPr>
              <w:t>активности</w:t>
            </w:r>
          </w:p>
        </w:tc>
        <w:tc>
          <w:tcPr>
            <w:tcW w:w="1800" w:type="dxa"/>
            <w:vAlign w:val="center"/>
          </w:tcPr>
          <w:p w14:paraId="441017B1" w14:textId="77777777" w:rsidR="00D24347" w:rsidRPr="00CF77C1" w:rsidRDefault="00D24347" w:rsidP="0080044B">
            <w:pPr>
              <w:keepNext/>
              <w:keepLines/>
              <w:jc w:val="center"/>
              <w:rPr>
                <w:lang w:val="sr-Cyrl-RS"/>
              </w:rPr>
            </w:pPr>
            <w:r w:rsidRPr="00CF77C1">
              <w:rPr>
                <w:lang w:val="sr-Cyrl-RS"/>
              </w:rPr>
              <w:t>Рок за реализацију активности</w:t>
            </w:r>
          </w:p>
        </w:tc>
        <w:tc>
          <w:tcPr>
            <w:tcW w:w="1857" w:type="dxa"/>
            <w:vAlign w:val="center"/>
          </w:tcPr>
          <w:p w14:paraId="3869C794" w14:textId="77777777" w:rsidR="00D24347" w:rsidRPr="00CF77C1" w:rsidRDefault="00D24347" w:rsidP="0080044B">
            <w:pPr>
              <w:keepNext/>
              <w:keepLines/>
              <w:jc w:val="center"/>
              <w:rPr>
                <w:lang w:val="sr-Cyrl-RS"/>
              </w:rPr>
            </w:pPr>
            <w:r w:rsidRPr="00CF77C1">
              <w:rPr>
                <w:lang w:val="sr-Cyrl-RS"/>
              </w:rPr>
              <w:t>Мера на коју се односи активност</w:t>
            </w:r>
          </w:p>
        </w:tc>
      </w:tr>
      <w:tr w:rsidR="00294AC7" w:rsidRPr="00CF77C1" w14:paraId="2AEEAC2C" w14:textId="77777777" w:rsidTr="000B77FC">
        <w:trPr>
          <w:cantSplit/>
          <w:trHeight w:val="20"/>
        </w:trPr>
        <w:tc>
          <w:tcPr>
            <w:tcW w:w="895" w:type="dxa"/>
            <w:vAlign w:val="center"/>
          </w:tcPr>
          <w:p w14:paraId="0586B9FE" w14:textId="77777777" w:rsidR="00294AC7" w:rsidRPr="00CF77C1" w:rsidRDefault="00294AC7" w:rsidP="0080044B">
            <w:pPr>
              <w:jc w:val="center"/>
              <w:rPr>
                <w:lang w:val="sr-Cyrl-RS"/>
              </w:rPr>
            </w:pPr>
            <w:bookmarkStart w:id="103" w:name="OIE_Aktivnost_1_broj"/>
            <w:r w:rsidRPr="00CF77C1">
              <w:rPr>
                <w:lang w:val="sr-Cyrl-RS"/>
              </w:rPr>
              <w:t>1.</w:t>
            </w:r>
            <w:bookmarkEnd w:id="103"/>
          </w:p>
        </w:tc>
        <w:tc>
          <w:tcPr>
            <w:tcW w:w="4180" w:type="dxa"/>
            <w:vAlign w:val="center"/>
          </w:tcPr>
          <w:p w14:paraId="1C9A04F7" w14:textId="2E660230" w:rsidR="00294AC7" w:rsidRPr="00CF77C1" w:rsidRDefault="00294AC7" w:rsidP="00DD7B2C">
            <w:pPr>
              <w:jc w:val="left"/>
              <w:rPr>
                <w:lang w:val="sr-Cyrl-RS"/>
              </w:rPr>
            </w:pPr>
            <w:r w:rsidRPr="00CF77C1">
              <w:rPr>
                <w:lang w:val="sr-Cyrl-RS"/>
              </w:rPr>
              <w:t>Анализа</w:t>
            </w:r>
            <w:r w:rsidR="00DD7B2C" w:rsidRPr="00CF77C1">
              <w:rPr>
                <w:lang w:val="sr-Cyrl-RS"/>
              </w:rPr>
              <w:t xml:space="preserve"> могућих</w:t>
            </w:r>
            <w:r w:rsidRPr="00CF77C1">
              <w:rPr>
                <w:lang w:val="sr-Cyrl-RS"/>
              </w:rPr>
              <w:t xml:space="preserve"> модела подстицаја произвођача електричне енергије из ОИЕ заснованих на тржишним принципима (аукције, тендери, фид-ин премије и зелени сертификати) и </w:t>
            </w:r>
            <w:r w:rsidR="00DD7B2C" w:rsidRPr="00CF77C1">
              <w:rPr>
                <w:lang w:val="sr-Cyrl-RS"/>
              </w:rPr>
              <w:t>анализа</w:t>
            </w:r>
            <w:r w:rsidRPr="00CF77C1">
              <w:rPr>
                <w:lang w:val="sr-Cyrl-RS"/>
              </w:rPr>
              <w:t xml:space="preserve"> домаћег тржишта електричне енергије и берзе да произвођачи из ОИЕ постану тржишни учесници са проценом оптималног економског модела подстицаја за домаће услове</w:t>
            </w:r>
          </w:p>
        </w:tc>
        <w:tc>
          <w:tcPr>
            <w:tcW w:w="2835" w:type="dxa"/>
            <w:vAlign w:val="center"/>
          </w:tcPr>
          <w:p w14:paraId="5BBD3A57" w14:textId="4504E11A" w:rsidR="00294AC7" w:rsidRPr="00CF77C1" w:rsidRDefault="00AC627E" w:rsidP="004F45A1">
            <w:pPr>
              <w:jc w:val="center"/>
              <w:rPr>
                <w:lang w:val="sr-Cyrl-RS"/>
              </w:rPr>
            </w:pPr>
            <w:r w:rsidRPr="00CF77C1">
              <w:rPr>
                <w:lang w:val="sr-Cyrl-RS"/>
              </w:rPr>
              <w:t>м</w:t>
            </w:r>
            <w:r w:rsidR="00294AC7" w:rsidRPr="00CF77C1">
              <w:rPr>
                <w:lang w:val="sr-Cyrl-RS"/>
              </w:rPr>
              <w:t>инистарство надлежно за послове рударства и енергетике, АЕРС, SEEPEX</w:t>
            </w:r>
          </w:p>
        </w:tc>
        <w:tc>
          <w:tcPr>
            <w:tcW w:w="3147" w:type="dxa"/>
            <w:vAlign w:val="center"/>
          </w:tcPr>
          <w:p w14:paraId="057407CE" w14:textId="30B6A561" w:rsidR="00294AC7" w:rsidRPr="00CF77C1" w:rsidRDefault="00DD7B2C" w:rsidP="00DD7B2C">
            <w:pPr>
              <w:jc w:val="center"/>
              <w:rPr>
                <w:lang w:val="sr-Cyrl-RS"/>
              </w:rPr>
            </w:pPr>
            <w:r w:rsidRPr="00CF77C1">
              <w:rPr>
                <w:lang w:val="sr-Cyrl-RS"/>
              </w:rPr>
              <w:t>Из</w:t>
            </w:r>
            <w:r w:rsidR="00294AC7" w:rsidRPr="00CF77C1">
              <w:rPr>
                <w:lang w:val="sr-Cyrl-RS"/>
              </w:rPr>
              <w:t xml:space="preserve">рађена анализа </w:t>
            </w:r>
            <w:r w:rsidRPr="00CF77C1">
              <w:rPr>
                <w:lang w:val="sr-Cyrl-RS"/>
              </w:rPr>
              <w:t>могућих</w:t>
            </w:r>
            <w:r w:rsidR="00294AC7" w:rsidRPr="00CF77C1">
              <w:rPr>
                <w:lang w:val="sr-Cyrl-RS"/>
              </w:rPr>
              <w:t xml:space="preserve"> модела подстицаја</w:t>
            </w:r>
          </w:p>
        </w:tc>
        <w:tc>
          <w:tcPr>
            <w:tcW w:w="1800" w:type="dxa"/>
            <w:vAlign w:val="center"/>
          </w:tcPr>
          <w:p w14:paraId="4F5C2867" w14:textId="685C1EDA" w:rsidR="00294AC7" w:rsidRPr="00CF77C1" w:rsidRDefault="0078663B" w:rsidP="0080044B">
            <w:pPr>
              <w:jc w:val="center"/>
              <w:rPr>
                <w:lang w:val="sr-Cyrl-RS"/>
              </w:rPr>
            </w:pPr>
            <w:r w:rsidRPr="00CF77C1">
              <w:rPr>
                <w:lang w:val="sr-Cyrl-RS"/>
              </w:rPr>
              <w:t>2018</w:t>
            </w:r>
            <w:r w:rsidR="00294AC7" w:rsidRPr="00CF77C1">
              <w:rPr>
                <w:lang w:val="sr-Cyrl-RS"/>
              </w:rPr>
              <w:t>. година</w:t>
            </w:r>
          </w:p>
        </w:tc>
        <w:tc>
          <w:tcPr>
            <w:tcW w:w="1857" w:type="dxa"/>
            <w:vAlign w:val="center"/>
          </w:tcPr>
          <w:p w14:paraId="1D86C499" w14:textId="64F27C51"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OEI_Mera_1_broj \h  \* MERGEFORMAT </w:instrText>
            </w:r>
            <w:r w:rsidRPr="00CF77C1">
              <w:rPr>
                <w:lang w:val="sr-Cyrl-RS"/>
              </w:rPr>
            </w:r>
            <w:r w:rsidRPr="00CF77C1">
              <w:rPr>
                <w:lang w:val="sr-Cyrl-RS"/>
              </w:rPr>
              <w:fldChar w:fldCharType="separate"/>
            </w:r>
            <w:r w:rsidR="002D5918" w:rsidRPr="00CF77C1">
              <w:rPr>
                <w:lang w:val="sr-Cyrl-RS"/>
              </w:rPr>
              <w:t>1.</w:t>
            </w:r>
            <w:r w:rsidRPr="00CF77C1">
              <w:rPr>
                <w:lang w:val="sr-Cyrl-RS"/>
              </w:rPr>
              <w:fldChar w:fldCharType="end"/>
            </w:r>
          </w:p>
          <w:p w14:paraId="5630D881" w14:textId="14FD6E78"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OEI_Mera_2_broj \h  \* MERGEFORMAT </w:instrText>
            </w:r>
            <w:r w:rsidRPr="00CF77C1">
              <w:rPr>
                <w:lang w:val="sr-Cyrl-RS"/>
              </w:rPr>
            </w:r>
            <w:r w:rsidRPr="00CF77C1">
              <w:rPr>
                <w:lang w:val="sr-Cyrl-RS"/>
              </w:rPr>
              <w:fldChar w:fldCharType="separate"/>
            </w:r>
            <w:r w:rsidR="002D5918" w:rsidRPr="00CF77C1">
              <w:rPr>
                <w:lang w:val="sr-Cyrl-RS"/>
              </w:rPr>
              <w:t>2.</w:t>
            </w:r>
            <w:r w:rsidRPr="00CF77C1">
              <w:rPr>
                <w:lang w:val="sr-Cyrl-RS"/>
              </w:rPr>
              <w:fldChar w:fldCharType="end"/>
            </w:r>
          </w:p>
        </w:tc>
      </w:tr>
      <w:tr w:rsidR="00294AC7" w:rsidRPr="00CF77C1" w14:paraId="1A6DB590" w14:textId="77777777" w:rsidTr="000B77FC">
        <w:trPr>
          <w:cantSplit/>
          <w:trHeight w:val="20"/>
        </w:trPr>
        <w:tc>
          <w:tcPr>
            <w:tcW w:w="895" w:type="dxa"/>
            <w:vAlign w:val="center"/>
          </w:tcPr>
          <w:p w14:paraId="214FEFA0" w14:textId="77777777" w:rsidR="00294AC7" w:rsidRPr="00CF77C1" w:rsidRDefault="00294AC7" w:rsidP="0080044B">
            <w:pPr>
              <w:jc w:val="center"/>
              <w:rPr>
                <w:lang w:val="sr-Cyrl-RS"/>
              </w:rPr>
            </w:pPr>
            <w:r w:rsidRPr="00CF77C1">
              <w:rPr>
                <w:lang w:val="sr-Cyrl-RS"/>
              </w:rPr>
              <w:t>2.</w:t>
            </w:r>
          </w:p>
        </w:tc>
        <w:tc>
          <w:tcPr>
            <w:tcW w:w="4180" w:type="dxa"/>
            <w:vAlign w:val="center"/>
          </w:tcPr>
          <w:p w14:paraId="12A88639" w14:textId="3D9CC11D" w:rsidR="00294AC7" w:rsidRPr="00CF77C1" w:rsidRDefault="00294AC7" w:rsidP="0080044B">
            <w:pPr>
              <w:jc w:val="left"/>
              <w:rPr>
                <w:lang w:val="sr-Cyrl-RS"/>
              </w:rPr>
            </w:pPr>
            <w:r w:rsidRPr="00CF77C1">
              <w:rPr>
                <w:lang w:val="sr-Cyrl-RS"/>
              </w:rPr>
              <w:t>Анализа утицаја рада ветроелектрана на преносни систем Републике Србије у погледу свих аспеката квалитета електричне енергије и ангажовања осталих електрана у систему</w:t>
            </w:r>
          </w:p>
        </w:tc>
        <w:tc>
          <w:tcPr>
            <w:tcW w:w="2835" w:type="dxa"/>
            <w:vAlign w:val="center"/>
          </w:tcPr>
          <w:p w14:paraId="6631FBEA" w14:textId="68AC318A" w:rsidR="00294AC7" w:rsidRPr="00CF77C1" w:rsidRDefault="00DD7B2C" w:rsidP="00DD7B2C">
            <w:pPr>
              <w:jc w:val="center"/>
              <w:rPr>
                <w:lang w:val="sr-Cyrl-RS"/>
              </w:rPr>
            </w:pPr>
            <w:r w:rsidRPr="00CF77C1">
              <w:rPr>
                <w:lang w:val="sr-Cyrl-RS"/>
              </w:rPr>
              <w:t>Оператор преносног система</w:t>
            </w:r>
          </w:p>
        </w:tc>
        <w:tc>
          <w:tcPr>
            <w:tcW w:w="3147" w:type="dxa"/>
            <w:vAlign w:val="center"/>
          </w:tcPr>
          <w:p w14:paraId="269A3D97" w14:textId="1C43786E" w:rsidR="00294AC7" w:rsidRPr="00CF77C1" w:rsidRDefault="00DD7B2C" w:rsidP="0080044B">
            <w:pPr>
              <w:jc w:val="center"/>
              <w:rPr>
                <w:lang w:val="sr-Cyrl-RS"/>
              </w:rPr>
            </w:pPr>
            <w:r w:rsidRPr="00CF77C1">
              <w:rPr>
                <w:lang w:val="sr-Cyrl-RS"/>
              </w:rPr>
              <w:t>Из</w:t>
            </w:r>
            <w:r w:rsidR="00294AC7" w:rsidRPr="00CF77C1">
              <w:rPr>
                <w:lang w:val="sr-Cyrl-RS"/>
              </w:rPr>
              <w:t>рађена анализа утицаја рада ветроелектрана на преносни систем</w:t>
            </w:r>
          </w:p>
        </w:tc>
        <w:tc>
          <w:tcPr>
            <w:tcW w:w="1800" w:type="dxa"/>
            <w:vAlign w:val="center"/>
          </w:tcPr>
          <w:p w14:paraId="06398DD2" w14:textId="1D571EEB" w:rsidR="00294AC7" w:rsidRPr="00CF77C1" w:rsidRDefault="00294AC7" w:rsidP="0080044B">
            <w:pPr>
              <w:jc w:val="center"/>
              <w:rPr>
                <w:lang w:val="sr-Cyrl-RS"/>
              </w:rPr>
            </w:pPr>
            <w:r w:rsidRPr="00CF77C1">
              <w:rPr>
                <w:lang w:val="sr-Cyrl-RS"/>
              </w:rPr>
              <w:t>2019. година</w:t>
            </w:r>
          </w:p>
        </w:tc>
        <w:tc>
          <w:tcPr>
            <w:tcW w:w="1857" w:type="dxa"/>
            <w:vAlign w:val="center"/>
          </w:tcPr>
          <w:p w14:paraId="69025B19" w14:textId="7D8AEFDC"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OEI_Mera_1_broj \h  \* MERGEFORMAT </w:instrText>
            </w:r>
            <w:r w:rsidRPr="00CF77C1">
              <w:rPr>
                <w:lang w:val="sr-Cyrl-RS"/>
              </w:rPr>
            </w:r>
            <w:r w:rsidRPr="00CF77C1">
              <w:rPr>
                <w:lang w:val="sr-Cyrl-RS"/>
              </w:rPr>
              <w:fldChar w:fldCharType="separate"/>
            </w:r>
            <w:r w:rsidR="002D5918" w:rsidRPr="00CF77C1">
              <w:rPr>
                <w:lang w:val="sr-Cyrl-RS"/>
              </w:rPr>
              <w:t>1.</w:t>
            </w:r>
            <w:r w:rsidRPr="00CF77C1">
              <w:rPr>
                <w:lang w:val="sr-Cyrl-RS"/>
              </w:rPr>
              <w:fldChar w:fldCharType="end"/>
            </w:r>
          </w:p>
        </w:tc>
      </w:tr>
      <w:tr w:rsidR="00294AC7" w:rsidRPr="00CF77C1" w14:paraId="222E21F6" w14:textId="77777777" w:rsidTr="000B77FC">
        <w:trPr>
          <w:cantSplit/>
          <w:trHeight w:val="20"/>
        </w:trPr>
        <w:tc>
          <w:tcPr>
            <w:tcW w:w="895" w:type="dxa"/>
            <w:vAlign w:val="center"/>
          </w:tcPr>
          <w:p w14:paraId="7DDB02DE" w14:textId="77777777" w:rsidR="00294AC7" w:rsidRPr="00CF77C1" w:rsidRDefault="00294AC7" w:rsidP="0080044B">
            <w:pPr>
              <w:jc w:val="center"/>
              <w:rPr>
                <w:lang w:val="sr-Cyrl-RS"/>
              </w:rPr>
            </w:pPr>
            <w:r w:rsidRPr="00CF77C1">
              <w:rPr>
                <w:lang w:val="sr-Cyrl-RS"/>
              </w:rPr>
              <w:t>3.</w:t>
            </w:r>
          </w:p>
        </w:tc>
        <w:tc>
          <w:tcPr>
            <w:tcW w:w="4180" w:type="dxa"/>
            <w:vAlign w:val="center"/>
          </w:tcPr>
          <w:p w14:paraId="5609E945" w14:textId="5819C142" w:rsidR="00294AC7" w:rsidRPr="00CF77C1" w:rsidRDefault="00294AC7" w:rsidP="0080044B">
            <w:pPr>
              <w:jc w:val="left"/>
              <w:rPr>
                <w:lang w:val="sr-Cyrl-RS"/>
              </w:rPr>
            </w:pPr>
            <w:r w:rsidRPr="00CF77C1">
              <w:rPr>
                <w:lang w:val="sr-Cyrl-RS"/>
              </w:rPr>
              <w:t>Анализа утицаја дистрибуиране производње електричне енергије на параметре квалитета електричне енергије (напон, више хармонике, фликере и континуитет напајања) и губитке у дистрибутивном систему</w:t>
            </w:r>
          </w:p>
        </w:tc>
        <w:tc>
          <w:tcPr>
            <w:tcW w:w="2835" w:type="dxa"/>
            <w:vAlign w:val="center"/>
          </w:tcPr>
          <w:p w14:paraId="5546E830" w14:textId="017D123D" w:rsidR="00294AC7" w:rsidRPr="00CF77C1" w:rsidRDefault="00294AC7" w:rsidP="0080044B">
            <w:pPr>
              <w:jc w:val="center"/>
              <w:rPr>
                <w:lang w:val="sr-Cyrl-RS"/>
              </w:rPr>
            </w:pPr>
            <w:r w:rsidRPr="00CF77C1">
              <w:rPr>
                <w:lang w:val="sr-Cyrl-RS"/>
              </w:rPr>
              <w:t>Оператор дистрибутивног система</w:t>
            </w:r>
          </w:p>
        </w:tc>
        <w:tc>
          <w:tcPr>
            <w:tcW w:w="3147" w:type="dxa"/>
            <w:vAlign w:val="center"/>
          </w:tcPr>
          <w:p w14:paraId="1C465766" w14:textId="3377944D" w:rsidR="00294AC7" w:rsidRPr="00CF77C1" w:rsidRDefault="00DD7B2C" w:rsidP="0080044B">
            <w:pPr>
              <w:jc w:val="center"/>
              <w:rPr>
                <w:lang w:val="sr-Cyrl-RS"/>
              </w:rPr>
            </w:pPr>
            <w:r w:rsidRPr="00CF77C1">
              <w:rPr>
                <w:lang w:val="sr-Cyrl-RS"/>
              </w:rPr>
              <w:t>Из</w:t>
            </w:r>
            <w:r w:rsidR="00294AC7" w:rsidRPr="00CF77C1">
              <w:rPr>
                <w:lang w:val="sr-Cyrl-RS"/>
              </w:rPr>
              <w:t>рађена анализа утицаја дистрибуиране производње на дистрибутивни систем</w:t>
            </w:r>
          </w:p>
        </w:tc>
        <w:tc>
          <w:tcPr>
            <w:tcW w:w="1800" w:type="dxa"/>
            <w:vAlign w:val="center"/>
          </w:tcPr>
          <w:p w14:paraId="5193B55A" w14:textId="624B9C46" w:rsidR="00294AC7" w:rsidRPr="00CF77C1" w:rsidRDefault="00294AC7" w:rsidP="0080044B">
            <w:pPr>
              <w:jc w:val="center"/>
              <w:rPr>
                <w:lang w:val="sr-Cyrl-RS"/>
              </w:rPr>
            </w:pPr>
            <w:r w:rsidRPr="00CF77C1">
              <w:rPr>
                <w:lang w:val="sr-Cyrl-RS"/>
              </w:rPr>
              <w:t>2019. година</w:t>
            </w:r>
          </w:p>
        </w:tc>
        <w:tc>
          <w:tcPr>
            <w:tcW w:w="1857" w:type="dxa"/>
            <w:vAlign w:val="center"/>
          </w:tcPr>
          <w:p w14:paraId="2AA11A9C" w14:textId="2C956FC6"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OEI_Mera_1_broj \h  \* MERGEFORMAT </w:instrText>
            </w:r>
            <w:r w:rsidRPr="00CF77C1">
              <w:rPr>
                <w:lang w:val="sr-Cyrl-RS"/>
              </w:rPr>
            </w:r>
            <w:r w:rsidRPr="00CF77C1">
              <w:rPr>
                <w:lang w:val="sr-Cyrl-RS"/>
              </w:rPr>
              <w:fldChar w:fldCharType="separate"/>
            </w:r>
            <w:r w:rsidR="002D5918" w:rsidRPr="00CF77C1">
              <w:rPr>
                <w:lang w:val="sr-Cyrl-RS"/>
              </w:rPr>
              <w:t>1.</w:t>
            </w:r>
            <w:r w:rsidRPr="00CF77C1">
              <w:rPr>
                <w:lang w:val="sr-Cyrl-RS"/>
              </w:rPr>
              <w:fldChar w:fldCharType="end"/>
            </w:r>
          </w:p>
          <w:p w14:paraId="01868F25" w14:textId="3152EC51"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OEI_Mera_2_broj \h  \* MERGEFORMAT </w:instrText>
            </w:r>
            <w:r w:rsidRPr="00CF77C1">
              <w:rPr>
                <w:lang w:val="sr-Cyrl-RS"/>
              </w:rPr>
            </w:r>
            <w:r w:rsidRPr="00CF77C1">
              <w:rPr>
                <w:lang w:val="sr-Cyrl-RS"/>
              </w:rPr>
              <w:fldChar w:fldCharType="separate"/>
            </w:r>
            <w:r w:rsidR="002D5918" w:rsidRPr="00CF77C1">
              <w:rPr>
                <w:lang w:val="sr-Cyrl-RS"/>
              </w:rPr>
              <w:t>2.</w:t>
            </w:r>
            <w:r w:rsidRPr="00CF77C1">
              <w:rPr>
                <w:lang w:val="sr-Cyrl-RS"/>
              </w:rPr>
              <w:fldChar w:fldCharType="end"/>
            </w:r>
          </w:p>
        </w:tc>
      </w:tr>
      <w:tr w:rsidR="00294AC7" w:rsidRPr="00CF77C1" w14:paraId="73979C83" w14:textId="77777777" w:rsidTr="000B77FC">
        <w:trPr>
          <w:cantSplit/>
          <w:trHeight w:val="20"/>
        </w:trPr>
        <w:tc>
          <w:tcPr>
            <w:tcW w:w="895" w:type="dxa"/>
            <w:vAlign w:val="center"/>
          </w:tcPr>
          <w:p w14:paraId="5ED99197" w14:textId="77777777" w:rsidR="00294AC7" w:rsidRPr="00CF77C1" w:rsidRDefault="00294AC7" w:rsidP="0080044B">
            <w:pPr>
              <w:jc w:val="center"/>
              <w:rPr>
                <w:lang w:val="sr-Cyrl-RS"/>
              </w:rPr>
            </w:pPr>
            <w:r w:rsidRPr="00CF77C1">
              <w:rPr>
                <w:lang w:val="sr-Cyrl-RS"/>
              </w:rPr>
              <w:t>4.</w:t>
            </w:r>
          </w:p>
        </w:tc>
        <w:tc>
          <w:tcPr>
            <w:tcW w:w="4180" w:type="dxa"/>
            <w:vAlign w:val="center"/>
          </w:tcPr>
          <w:p w14:paraId="5BB32E2D" w14:textId="361F4CC4" w:rsidR="00294AC7" w:rsidRPr="00CF77C1" w:rsidRDefault="00294AC7" w:rsidP="00DD7B2C">
            <w:pPr>
              <w:jc w:val="left"/>
              <w:rPr>
                <w:lang w:val="sr-Cyrl-RS"/>
              </w:rPr>
            </w:pPr>
            <w:r w:rsidRPr="00CF77C1">
              <w:rPr>
                <w:lang w:val="sr-Cyrl-RS"/>
              </w:rPr>
              <w:t xml:space="preserve">Анализа хидропотенцијала Републике Србије </w:t>
            </w:r>
            <w:r w:rsidR="00DD7B2C" w:rsidRPr="00CF77C1">
              <w:rPr>
                <w:lang w:val="sr-Cyrl-RS"/>
              </w:rPr>
              <w:t>за</w:t>
            </w:r>
            <w:r w:rsidRPr="00CF77C1">
              <w:rPr>
                <w:lang w:val="sr-Cyrl-RS"/>
              </w:rPr>
              <w:t xml:space="preserve"> </w:t>
            </w:r>
            <w:r w:rsidR="00DD7B2C" w:rsidRPr="00CF77C1">
              <w:rPr>
                <w:lang w:val="sr-Cyrl-RS"/>
              </w:rPr>
              <w:t>хидроелектране снаге до 10 </w:t>
            </w:r>
            <w:r w:rsidRPr="00CF77C1">
              <w:rPr>
                <w:lang w:val="sr-Cyrl-RS"/>
              </w:rPr>
              <w:t>MW</w:t>
            </w:r>
          </w:p>
        </w:tc>
        <w:tc>
          <w:tcPr>
            <w:tcW w:w="2835" w:type="dxa"/>
            <w:vAlign w:val="center"/>
          </w:tcPr>
          <w:p w14:paraId="03FF4E1E" w14:textId="00CDCFC6" w:rsidR="00294AC7" w:rsidRPr="00CF77C1" w:rsidRDefault="00AC627E" w:rsidP="0080044B">
            <w:pPr>
              <w:jc w:val="center"/>
              <w:rPr>
                <w:lang w:val="sr-Cyrl-RS"/>
              </w:rPr>
            </w:pPr>
            <w:r w:rsidRPr="00CF77C1">
              <w:rPr>
                <w:lang w:val="sr-Cyrl-RS"/>
              </w:rPr>
              <w:t>м</w:t>
            </w:r>
            <w:r w:rsidR="00294AC7" w:rsidRPr="00CF77C1">
              <w:rPr>
                <w:lang w:val="sr-Cyrl-RS"/>
              </w:rPr>
              <w:t>инистарство надлежно за послове рударства и енергетике</w:t>
            </w:r>
          </w:p>
        </w:tc>
        <w:tc>
          <w:tcPr>
            <w:tcW w:w="3147" w:type="dxa"/>
            <w:vAlign w:val="center"/>
          </w:tcPr>
          <w:p w14:paraId="7464793C" w14:textId="1098205B" w:rsidR="00294AC7" w:rsidRPr="00CF77C1" w:rsidRDefault="00DD7B2C" w:rsidP="0078663B">
            <w:pPr>
              <w:jc w:val="center"/>
              <w:rPr>
                <w:lang w:val="sr-Cyrl-RS"/>
              </w:rPr>
            </w:pPr>
            <w:r w:rsidRPr="00CF77C1">
              <w:rPr>
                <w:lang w:val="sr-Cyrl-RS"/>
              </w:rPr>
              <w:t>Израђен катаст</w:t>
            </w:r>
            <w:r w:rsidR="0078663B" w:rsidRPr="00CF77C1">
              <w:rPr>
                <w:lang w:val="sr-Cyrl-RS"/>
              </w:rPr>
              <w:t>а</w:t>
            </w:r>
            <w:r w:rsidR="00294AC7" w:rsidRPr="00CF77C1">
              <w:rPr>
                <w:lang w:val="sr-Cyrl-RS"/>
              </w:rPr>
              <w:t>р МХЕ</w:t>
            </w:r>
          </w:p>
        </w:tc>
        <w:tc>
          <w:tcPr>
            <w:tcW w:w="1800" w:type="dxa"/>
            <w:vAlign w:val="center"/>
          </w:tcPr>
          <w:p w14:paraId="4D8BF6AC" w14:textId="3E127E4C" w:rsidR="00294AC7" w:rsidRPr="00CF77C1" w:rsidRDefault="00294AC7" w:rsidP="0080044B">
            <w:pPr>
              <w:jc w:val="center"/>
              <w:rPr>
                <w:lang w:val="sr-Cyrl-RS"/>
              </w:rPr>
            </w:pPr>
            <w:r w:rsidRPr="00CF77C1">
              <w:rPr>
                <w:lang w:val="sr-Cyrl-RS"/>
              </w:rPr>
              <w:t>2019. година</w:t>
            </w:r>
          </w:p>
        </w:tc>
        <w:tc>
          <w:tcPr>
            <w:tcW w:w="1857" w:type="dxa"/>
            <w:vAlign w:val="center"/>
          </w:tcPr>
          <w:p w14:paraId="0D82F257" w14:textId="22BCCE19"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OEI_Mera_1_broj \h  \* MERGEFORMAT </w:instrText>
            </w:r>
            <w:r w:rsidRPr="00CF77C1">
              <w:rPr>
                <w:lang w:val="sr-Cyrl-RS"/>
              </w:rPr>
            </w:r>
            <w:r w:rsidRPr="00CF77C1">
              <w:rPr>
                <w:lang w:val="sr-Cyrl-RS"/>
              </w:rPr>
              <w:fldChar w:fldCharType="separate"/>
            </w:r>
            <w:r w:rsidR="002D5918" w:rsidRPr="00CF77C1">
              <w:rPr>
                <w:lang w:val="sr-Cyrl-RS"/>
              </w:rPr>
              <w:t>1.</w:t>
            </w:r>
            <w:r w:rsidRPr="00CF77C1">
              <w:rPr>
                <w:lang w:val="sr-Cyrl-RS"/>
              </w:rPr>
              <w:fldChar w:fldCharType="end"/>
            </w:r>
            <w:r w:rsidRPr="00CF77C1">
              <w:rPr>
                <w:lang w:val="sr-Cyrl-RS"/>
              </w:rPr>
              <w:t xml:space="preserve"> </w:t>
            </w:r>
          </w:p>
        </w:tc>
      </w:tr>
      <w:tr w:rsidR="00294AC7" w:rsidRPr="00CF77C1" w14:paraId="687ACBC4" w14:textId="77777777" w:rsidTr="000B77FC">
        <w:trPr>
          <w:cantSplit/>
          <w:trHeight w:val="20"/>
        </w:trPr>
        <w:tc>
          <w:tcPr>
            <w:tcW w:w="895" w:type="dxa"/>
            <w:vAlign w:val="center"/>
          </w:tcPr>
          <w:p w14:paraId="1A5C548A" w14:textId="77777777" w:rsidR="00294AC7" w:rsidRPr="00CF77C1" w:rsidRDefault="00294AC7" w:rsidP="0080044B">
            <w:pPr>
              <w:jc w:val="center"/>
              <w:rPr>
                <w:lang w:val="sr-Cyrl-RS"/>
              </w:rPr>
            </w:pPr>
            <w:bookmarkStart w:id="104" w:name="OIE_Aktivnost_2_broj"/>
            <w:r w:rsidRPr="00CF77C1">
              <w:rPr>
                <w:lang w:val="sr-Cyrl-RS"/>
              </w:rPr>
              <w:t>5.</w:t>
            </w:r>
            <w:bookmarkEnd w:id="104"/>
          </w:p>
        </w:tc>
        <w:tc>
          <w:tcPr>
            <w:tcW w:w="4180" w:type="dxa"/>
            <w:vAlign w:val="center"/>
          </w:tcPr>
          <w:p w14:paraId="6323EADA" w14:textId="67685B1C" w:rsidR="00294AC7" w:rsidRPr="00CF77C1" w:rsidRDefault="00294AC7" w:rsidP="00DD7B2C">
            <w:pPr>
              <w:jc w:val="left"/>
              <w:rPr>
                <w:lang w:val="sr-Cyrl-RS"/>
              </w:rPr>
            </w:pPr>
            <w:r w:rsidRPr="00CF77C1">
              <w:rPr>
                <w:lang w:val="sr-Cyrl-RS"/>
              </w:rPr>
              <w:t xml:space="preserve">Анализа модела подстицаја грађана и малих пројеката у области ОИЕ (фид-ин тарифе, енергетске задруге, нет метеринг, зелени сертификати итд.) </w:t>
            </w:r>
            <w:r w:rsidR="00DD7B2C" w:rsidRPr="00CF77C1">
              <w:rPr>
                <w:lang w:val="sr-Cyrl-RS"/>
              </w:rPr>
              <w:t xml:space="preserve">по угледу на међународну праксу </w:t>
            </w:r>
            <w:r w:rsidRPr="00CF77C1">
              <w:rPr>
                <w:lang w:val="sr-Cyrl-RS"/>
              </w:rPr>
              <w:t>са проценом оптималног економског модела подстицаја за домаће услове</w:t>
            </w:r>
          </w:p>
        </w:tc>
        <w:tc>
          <w:tcPr>
            <w:tcW w:w="2835" w:type="dxa"/>
            <w:vAlign w:val="center"/>
          </w:tcPr>
          <w:p w14:paraId="73F59A4A" w14:textId="06F3F610" w:rsidR="00294AC7" w:rsidRPr="00CF77C1" w:rsidRDefault="00AC627E" w:rsidP="00BC0A5E">
            <w:pPr>
              <w:jc w:val="center"/>
              <w:rPr>
                <w:lang w:val="sr-Cyrl-RS"/>
              </w:rPr>
            </w:pPr>
            <w:r w:rsidRPr="00CF77C1">
              <w:rPr>
                <w:lang w:val="sr-Cyrl-RS"/>
              </w:rPr>
              <w:t>м</w:t>
            </w:r>
            <w:r w:rsidR="00294AC7" w:rsidRPr="00CF77C1">
              <w:rPr>
                <w:lang w:val="sr-Cyrl-RS"/>
              </w:rPr>
              <w:t>инистарство надлежно за послове рударства и енергетике</w:t>
            </w:r>
          </w:p>
        </w:tc>
        <w:tc>
          <w:tcPr>
            <w:tcW w:w="3147" w:type="dxa"/>
            <w:vAlign w:val="center"/>
          </w:tcPr>
          <w:p w14:paraId="302CF4B5" w14:textId="1CD962DD" w:rsidR="00294AC7" w:rsidRPr="00CF77C1" w:rsidRDefault="00DD7B2C" w:rsidP="00DD7B2C">
            <w:pPr>
              <w:jc w:val="center"/>
              <w:rPr>
                <w:lang w:val="sr-Cyrl-RS"/>
              </w:rPr>
            </w:pPr>
            <w:r w:rsidRPr="00CF77C1">
              <w:rPr>
                <w:lang w:val="sr-Cyrl-RS"/>
              </w:rPr>
              <w:t>Из</w:t>
            </w:r>
            <w:r w:rsidR="00294AC7" w:rsidRPr="00CF77C1">
              <w:rPr>
                <w:lang w:val="sr-Cyrl-RS"/>
              </w:rPr>
              <w:t xml:space="preserve">рађена анализа </w:t>
            </w:r>
            <w:r w:rsidRPr="00CF77C1">
              <w:rPr>
                <w:lang w:val="sr-Cyrl-RS"/>
              </w:rPr>
              <w:t>могућих</w:t>
            </w:r>
            <w:r w:rsidR="00294AC7" w:rsidRPr="00CF77C1">
              <w:rPr>
                <w:lang w:val="sr-Cyrl-RS"/>
              </w:rPr>
              <w:t xml:space="preserve"> модела подстицаја </w:t>
            </w:r>
          </w:p>
        </w:tc>
        <w:tc>
          <w:tcPr>
            <w:tcW w:w="1800" w:type="dxa"/>
            <w:vAlign w:val="center"/>
          </w:tcPr>
          <w:p w14:paraId="47B485EA" w14:textId="5C4BCD73" w:rsidR="00294AC7" w:rsidRPr="00CF77C1" w:rsidRDefault="0078663B" w:rsidP="0080044B">
            <w:pPr>
              <w:jc w:val="center"/>
              <w:rPr>
                <w:lang w:val="sr-Cyrl-RS"/>
              </w:rPr>
            </w:pPr>
            <w:r w:rsidRPr="00CF77C1">
              <w:rPr>
                <w:lang w:val="sr-Cyrl-RS"/>
              </w:rPr>
              <w:t>2018</w:t>
            </w:r>
            <w:r w:rsidR="00294AC7" w:rsidRPr="00CF77C1">
              <w:rPr>
                <w:lang w:val="sr-Cyrl-RS"/>
              </w:rPr>
              <w:t>. година</w:t>
            </w:r>
          </w:p>
        </w:tc>
        <w:tc>
          <w:tcPr>
            <w:tcW w:w="1857" w:type="dxa"/>
            <w:vAlign w:val="center"/>
          </w:tcPr>
          <w:p w14:paraId="73824AC1" w14:textId="4DBBC906"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OEI_Mera_2_broj \h  \* MERGEFORMAT </w:instrText>
            </w:r>
            <w:r w:rsidRPr="00CF77C1">
              <w:rPr>
                <w:lang w:val="sr-Cyrl-RS"/>
              </w:rPr>
            </w:r>
            <w:r w:rsidRPr="00CF77C1">
              <w:rPr>
                <w:lang w:val="sr-Cyrl-RS"/>
              </w:rPr>
              <w:fldChar w:fldCharType="separate"/>
            </w:r>
            <w:r w:rsidR="002D5918" w:rsidRPr="00CF77C1">
              <w:rPr>
                <w:lang w:val="sr-Cyrl-RS"/>
              </w:rPr>
              <w:t>2.</w:t>
            </w:r>
            <w:r w:rsidRPr="00CF77C1">
              <w:rPr>
                <w:lang w:val="sr-Cyrl-RS"/>
              </w:rPr>
              <w:fldChar w:fldCharType="end"/>
            </w:r>
          </w:p>
        </w:tc>
      </w:tr>
      <w:tr w:rsidR="00294AC7" w:rsidRPr="00CF77C1" w14:paraId="762DF8E5" w14:textId="77777777" w:rsidTr="000B77FC">
        <w:trPr>
          <w:cantSplit/>
          <w:trHeight w:val="20"/>
        </w:trPr>
        <w:tc>
          <w:tcPr>
            <w:tcW w:w="895" w:type="dxa"/>
            <w:vAlign w:val="center"/>
          </w:tcPr>
          <w:p w14:paraId="49E80F92" w14:textId="77777777" w:rsidR="00294AC7" w:rsidRPr="00CF77C1" w:rsidRDefault="00294AC7" w:rsidP="0080044B">
            <w:pPr>
              <w:jc w:val="center"/>
              <w:rPr>
                <w:lang w:val="sr-Cyrl-RS"/>
              </w:rPr>
            </w:pPr>
            <w:r w:rsidRPr="00CF77C1">
              <w:rPr>
                <w:lang w:val="sr-Cyrl-RS"/>
              </w:rPr>
              <w:t>6.</w:t>
            </w:r>
          </w:p>
        </w:tc>
        <w:tc>
          <w:tcPr>
            <w:tcW w:w="4180" w:type="dxa"/>
            <w:vAlign w:val="center"/>
          </w:tcPr>
          <w:p w14:paraId="66AA270F" w14:textId="039C1B48" w:rsidR="00294AC7" w:rsidRPr="00CF77C1" w:rsidRDefault="00294AC7" w:rsidP="008B1C3D">
            <w:pPr>
              <w:jc w:val="left"/>
              <w:rPr>
                <w:lang w:val="sr-Cyrl-RS"/>
              </w:rPr>
            </w:pPr>
            <w:r w:rsidRPr="00CF77C1">
              <w:rPr>
                <w:lang w:val="sr-Cyrl-RS"/>
              </w:rPr>
              <w:t>Oснивање радне групе са задатком да прикупи и анализира информације о могућностима и начинима формирања јединственог финансијског фонда за целу област ОИЕ</w:t>
            </w:r>
          </w:p>
        </w:tc>
        <w:tc>
          <w:tcPr>
            <w:tcW w:w="2835" w:type="dxa"/>
            <w:vAlign w:val="center"/>
          </w:tcPr>
          <w:p w14:paraId="28A94E2E" w14:textId="10B3DE50" w:rsidR="00294AC7" w:rsidRPr="00CF77C1" w:rsidRDefault="00AC627E" w:rsidP="00BC0A5E">
            <w:pPr>
              <w:jc w:val="center"/>
              <w:rPr>
                <w:lang w:val="sr-Cyrl-RS"/>
              </w:rPr>
            </w:pPr>
            <w:r w:rsidRPr="00CF77C1">
              <w:rPr>
                <w:lang w:val="sr-Cyrl-RS"/>
              </w:rPr>
              <w:t>м</w:t>
            </w:r>
            <w:r w:rsidR="00294AC7" w:rsidRPr="00CF77C1">
              <w:rPr>
                <w:lang w:val="sr-Cyrl-RS"/>
              </w:rPr>
              <w:t>инистарство надлежно за послове рударства и енергетике</w:t>
            </w:r>
          </w:p>
        </w:tc>
        <w:tc>
          <w:tcPr>
            <w:tcW w:w="3147" w:type="dxa"/>
            <w:vAlign w:val="center"/>
          </w:tcPr>
          <w:p w14:paraId="02290B7D" w14:textId="12A89BCD" w:rsidR="00294AC7" w:rsidRPr="00CF77C1" w:rsidRDefault="00294AC7" w:rsidP="0080044B">
            <w:pPr>
              <w:jc w:val="center"/>
              <w:rPr>
                <w:lang w:val="sr-Cyrl-RS"/>
              </w:rPr>
            </w:pPr>
            <w:r w:rsidRPr="00CF77C1">
              <w:rPr>
                <w:lang w:val="sr-Cyrl-RS"/>
              </w:rPr>
              <w:t>Основана радна група</w:t>
            </w:r>
          </w:p>
        </w:tc>
        <w:tc>
          <w:tcPr>
            <w:tcW w:w="1800" w:type="dxa"/>
            <w:vAlign w:val="center"/>
          </w:tcPr>
          <w:p w14:paraId="7BAA668A" w14:textId="114B82F9" w:rsidR="00294AC7" w:rsidRPr="00CF77C1" w:rsidRDefault="0078663B" w:rsidP="008B1C3D">
            <w:pPr>
              <w:jc w:val="center"/>
              <w:rPr>
                <w:lang w:val="sr-Cyrl-RS"/>
              </w:rPr>
            </w:pPr>
            <w:r w:rsidRPr="00CF77C1">
              <w:rPr>
                <w:lang w:val="sr-Cyrl-RS"/>
              </w:rPr>
              <w:t>2018</w:t>
            </w:r>
            <w:r w:rsidR="00294AC7" w:rsidRPr="00CF77C1">
              <w:rPr>
                <w:lang w:val="sr-Cyrl-RS"/>
              </w:rPr>
              <w:t>. година</w:t>
            </w:r>
          </w:p>
        </w:tc>
        <w:tc>
          <w:tcPr>
            <w:tcW w:w="1857" w:type="dxa"/>
            <w:vAlign w:val="center"/>
          </w:tcPr>
          <w:p w14:paraId="532CBBD0" w14:textId="7A552FC6"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OEI_Mera_2_broj \h  \* MERGEFORMAT </w:instrText>
            </w:r>
            <w:r w:rsidRPr="00CF77C1">
              <w:rPr>
                <w:lang w:val="sr-Cyrl-RS"/>
              </w:rPr>
            </w:r>
            <w:r w:rsidRPr="00CF77C1">
              <w:rPr>
                <w:lang w:val="sr-Cyrl-RS"/>
              </w:rPr>
              <w:fldChar w:fldCharType="separate"/>
            </w:r>
            <w:r w:rsidR="002D5918" w:rsidRPr="00CF77C1">
              <w:rPr>
                <w:lang w:val="sr-Cyrl-RS"/>
              </w:rPr>
              <w:t>2.</w:t>
            </w:r>
            <w:r w:rsidRPr="00CF77C1">
              <w:rPr>
                <w:lang w:val="sr-Cyrl-RS"/>
              </w:rPr>
              <w:fldChar w:fldCharType="end"/>
            </w:r>
          </w:p>
        </w:tc>
      </w:tr>
      <w:tr w:rsidR="00294AC7" w:rsidRPr="00CF77C1" w14:paraId="23E6BD62" w14:textId="77777777" w:rsidTr="000B77FC">
        <w:trPr>
          <w:cantSplit/>
          <w:trHeight w:val="20"/>
        </w:trPr>
        <w:tc>
          <w:tcPr>
            <w:tcW w:w="895" w:type="dxa"/>
            <w:vAlign w:val="center"/>
          </w:tcPr>
          <w:p w14:paraId="5CB25D54" w14:textId="77777777" w:rsidR="00294AC7" w:rsidRPr="00CF77C1" w:rsidRDefault="00294AC7" w:rsidP="0080044B">
            <w:pPr>
              <w:jc w:val="center"/>
              <w:rPr>
                <w:lang w:val="sr-Cyrl-RS"/>
              </w:rPr>
            </w:pPr>
            <w:r w:rsidRPr="00CF77C1">
              <w:rPr>
                <w:lang w:val="sr-Cyrl-RS"/>
              </w:rPr>
              <w:t>7.</w:t>
            </w:r>
          </w:p>
        </w:tc>
        <w:tc>
          <w:tcPr>
            <w:tcW w:w="4180" w:type="dxa"/>
            <w:vAlign w:val="center"/>
          </w:tcPr>
          <w:p w14:paraId="41B34E56" w14:textId="15BC323D" w:rsidR="00294AC7" w:rsidRPr="00CF77C1" w:rsidRDefault="00294AC7" w:rsidP="000F0583">
            <w:pPr>
              <w:tabs>
                <w:tab w:val="left" w:pos="2552"/>
              </w:tabs>
              <w:jc w:val="left"/>
              <w:rPr>
                <w:lang w:val="sr-Cyrl-RS"/>
              </w:rPr>
            </w:pPr>
            <w:r w:rsidRPr="00CF77C1">
              <w:rPr>
                <w:lang w:val="sr-Cyrl-RS"/>
              </w:rPr>
              <w:t>Успостављање механизма за редовно статистичко праћење и унапређење квалитета података из области ОИЕ</w:t>
            </w:r>
          </w:p>
        </w:tc>
        <w:tc>
          <w:tcPr>
            <w:tcW w:w="2835" w:type="dxa"/>
            <w:vAlign w:val="center"/>
          </w:tcPr>
          <w:p w14:paraId="16D10586" w14:textId="59677DD9" w:rsidR="00294AC7" w:rsidRPr="00CF77C1" w:rsidRDefault="00AC627E" w:rsidP="0080044B">
            <w:pPr>
              <w:jc w:val="center"/>
              <w:rPr>
                <w:lang w:val="sr-Cyrl-RS"/>
              </w:rPr>
            </w:pPr>
            <w:r w:rsidRPr="00CF77C1">
              <w:rPr>
                <w:lang w:val="sr-Cyrl-RS"/>
              </w:rPr>
              <w:t>м</w:t>
            </w:r>
            <w:r w:rsidR="00294AC7" w:rsidRPr="00CF77C1">
              <w:rPr>
                <w:lang w:val="sr-Cyrl-RS"/>
              </w:rPr>
              <w:t>инистарство надлежно за послове рударства и енергетике, Републички завод за статистику</w:t>
            </w:r>
          </w:p>
        </w:tc>
        <w:tc>
          <w:tcPr>
            <w:tcW w:w="3147" w:type="dxa"/>
            <w:vAlign w:val="center"/>
          </w:tcPr>
          <w:p w14:paraId="6BCD95B5" w14:textId="0C0AA7C8" w:rsidR="00294AC7" w:rsidRPr="00CF77C1" w:rsidRDefault="000818D0" w:rsidP="000F0583">
            <w:pPr>
              <w:tabs>
                <w:tab w:val="left" w:pos="2552"/>
              </w:tabs>
              <w:jc w:val="center"/>
              <w:rPr>
                <w:lang w:val="sr-Cyrl-RS"/>
              </w:rPr>
            </w:pPr>
            <w:r w:rsidRPr="00CF77C1">
              <w:rPr>
                <w:lang w:val="sr-Cyrl-RS"/>
              </w:rPr>
              <w:t>У потпуности успостављено</w:t>
            </w:r>
            <w:r w:rsidR="00294AC7" w:rsidRPr="00CF77C1">
              <w:rPr>
                <w:lang w:val="sr-Cyrl-RS"/>
              </w:rPr>
              <w:t xml:space="preserve"> редовно и квалитетно статистичко извештавање у области ОИЕ</w:t>
            </w:r>
          </w:p>
        </w:tc>
        <w:tc>
          <w:tcPr>
            <w:tcW w:w="1800" w:type="dxa"/>
            <w:vAlign w:val="center"/>
          </w:tcPr>
          <w:p w14:paraId="48F52B27" w14:textId="175DCEDE" w:rsidR="00294AC7" w:rsidRPr="00CF77C1" w:rsidRDefault="00294AC7" w:rsidP="0080044B">
            <w:pPr>
              <w:tabs>
                <w:tab w:val="left" w:pos="2552"/>
              </w:tabs>
              <w:jc w:val="center"/>
              <w:rPr>
                <w:lang w:val="sr-Cyrl-RS"/>
              </w:rPr>
            </w:pPr>
            <w:r w:rsidRPr="00CF77C1">
              <w:rPr>
                <w:lang w:val="sr-Cyrl-RS"/>
              </w:rPr>
              <w:t>2020. година</w:t>
            </w:r>
          </w:p>
        </w:tc>
        <w:tc>
          <w:tcPr>
            <w:tcW w:w="1857" w:type="dxa"/>
            <w:vAlign w:val="center"/>
          </w:tcPr>
          <w:p w14:paraId="00854E50" w14:textId="657770AC"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OEI_Mera_3_broj \h  \* MERGEFORMAT </w:instrText>
            </w:r>
            <w:r w:rsidRPr="00CF77C1">
              <w:rPr>
                <w:lang w:val="sr-Cyrl-RS"/>
              </w:rPr>
            </w:r>
            <w:r w:rsidRPr="00CF77C1">
              <w:rPr>
                <w:lang w:val="sr-Cyrl-RS"/>
              </w:rPr>
              <w:fldChar w:fldCharType="separate"/>
            </w:r>
            <w:r w:rsidR="002D5918" w:rsidRPr="00CF77C1">
              <w:rPr>
                <w:lang w:val="sr-Cyrl-RS"/>
              </w:rPr>
              <w:t>3.</w:t>
            </w:r>
            <w:r w:rsidRPr="00CF77C1">
              <w:rPr>
                <w:lang w:val="sr-Cyrl-RS"/>
              </w:rPr>
              <w:fldChar w:fldCharType="end"/>
            </w:r>
          </w:p>
          <w:p w14:paraId="151A100F" w14:textId="367E27C0"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OEI_Mera_4_broj \h  \* MERGEFORMAT </w:instrText>
            </w:r>
            <w:r w:rsidRPr="00CF77C1">
              <w:rPr>
                <w:lang w:val="sr-Cyrl-RS"/>
              </w:rPr>
            </w:r>
            <w:r w:rsidRPr="00CF77C1">
              <w:rPr>
                <w:lang w:val="sr-Cyrl-RS"/>
              </w:rPr>
              <w:fldChar w:fldCharType="separate"/>
            </w:r>
            <w:r w:rsidR="002D5918" w:rsidRPr="00CF77C1">
              <w:rPr>
                <w:lang w:val="sr-Cyrl-RS"/>
              </w:rPr>
              <w:t>4.</w:t>
            </w:r>
            <w:r w:rsidRPr="00CF77C1">
              <w:rPr>
                <w:lang w:val="sr-Cyrl-RS"/>
              </w:rPr>
              <w:fldChar w:fldCharType="end"/>
            </w:r>
            <w:r w:rsidRPr="00CF77C1">
              <w:rPr>
                <w:lang w:val="sr-Cyrl-RS"/>
              </w:rPr>
              <w:t xml:space="preserve"> </w:t>
            </w:r>
          </w:p>
        </w:tc>
      </w:tr>
      <w:tr w:rsidR="00294AC7" w:rsidRPr="00CF77C1" w14:paraId="0B3EF502" w14:textId="77777777" w:rsidTr="000B77FC">
        <w:trPr>
          <w:cantSplit/>
          <w:trHeight w:val="20"/>
        </w:trPr>
        <w:tc>
          <w:tcPr>
            <w:tcW w:w="895" w:type="dxa"/>
            <w:vAlign w:val="center"/>
          </w:tcPr>
          <w:p w14:paraId="65FC24D7" w14:textId="77777777" w:rsidR="00294AC7" w:rsidRPr="00CF77C1" w:rsidRDefault="00294AC7" w:rsidP="0080044B">
            <w:pPr>
              <w:jc w:val="center"/>
              <w:rPr>
                <w:lang w:val="sr-Cyrl-RS"/>
              </w:rPr>
            </w:pPr>
            <w:r w:rsidRPr="00CF77C1">
              <w:rPr>
                <w:lang w:val="sr-Cyrl-RS"/>
              </w:rPr>
              <w:t>8.</w:t>
            </w:r>
          </w:p>
        </w:tc>
        <w:tc>
          <w:tcPr>
            <w:tcW w:w="4180" w:type="dxa"/>
            <w:vAlign w:val="center"/>
          </w:tcPr>
          <w:p w14:paraId="151E3233" w14:textId="350A7B6B" w:rsidR="00294AC7" w:rsidRPr="00CF77C1" w:rsidRDefault="00294AC7" w:rsidP="00DD7B2C">
            <w:pPr>
              <w:tabs>
                <w:tab w:val="left" w:pos="2552"/>
              </w:tabs>
              <w:jc w:val="left"/>
              <w:rPr>
                <w:lang w:val="sr-Cyrl-RS"/>
              </w:rPr>
            </w:pPr>
            <w:r w:rsidRPr="00CF77C1">
              <w:rPr>
                <w:lang w:val="sr-Cyrl-RS"/>
              </w:rPr>
              <w:t xml:space="preserve">Oснивање радне групе са задатком да прикупи информације о трошковима и исплативости замене фосилних горива ОИЕ, </w:t>
            </w:r>
            <w:r w:rsidR="00DD7B2C" w:rsidRPr="00CF77C1">
              <w:rPr>
                <w:lang w:val="sr-Cyrl-RS"/>
              </w:rPr>
              <w:t>изради</w:t>
            </w:r>
            <w:r w:rsidRPr="00CF77C1">
              <w:rPr>
                <w:lang w:val="sr-Cyrl-RS"/>
              </w:rPr>
              <w:t xml:space="preserve"> заједнички план за прелазак топлана на биомасу, пружи подршку топланама у проналажењу </w:t>
            </w:r>
            <w:r w:rsidR="00DD7B2C" w:rsidRPr="00CF77C1">
              <w:rPr>
                <w:lang w:val="sr-Cyrl-RS"/>
              </w:rPr>
              <w:t>начина финансирања</w:t>
            </w:r>
            <w:r w:rsidRPr="00CF77C1">
              <w:rPr>
                <w:lang w:val="sr-Cyrl-RS"/>
              </w:rPr>
              <w:t>, праћењу реализације пројеката и сл.</w:t>
            </w:r>
          </w:p>
        </w:tc>
        <w:tc>
          <w:tcPr>
            <w:tcW w:w="2835" w:type="dxa"/>
            <w:vAlign w:val="center"/>
          </w:tcPr>
          <w:p w14:paraId="4278817B" w14:textId="1FA7A980" w:rsidR="00294AC7" w:rsidRPr="00CF77C1" w:rsidRDefault="00AC627E" w:rsidP="00943281">
            <w:pPr>
              <w:tabs>
                <w:tab w:val="left" w:pos="2552"/>
              </w:tabs>
              <w:jc w:val="center"/>
              <w:rPr>
                <w:lang w:val="sr-Cyrl-RS"/>
              </w:rPr>
            </w:pPr>
            <w:r w:rsidRPr="00CF77C1">
              <w:rPr>
                <w:lang w:val="sr-Cyrl-RS"/>
              </w:rPr>
              <w:t>м</w:t>
            </w:r>
            <w:r w:rsidR="00294AC7" w:rsidRPr="00CF77C1">
              <w:rPr>
                <w:lang w:val="sr-Cyrl-RS"/>
              </w:rPr>
              <w:t xml:space="preserve">инистарство надлежно за послове рударства и енергетике, </w:t>
            </w:r>
            <w:r w:rsidR="00B65C3A" w:rsidRPr="00CF77C1">
              <w:rPr>
                <w:lang w:val="sr-Cyrl-RS"/>
              </w:rPr>
              <w:t>м</w:t>
            </w:r>
            <w:r w:rsidR="00943281">
              <w:rPr>
                <w:lang w:val="sr-Cyrl-RS"/>
              </w:rPr>
              <w:t xml:space="preserve">инистарства надлежна </w:t>
            </w:r>
            <w:r w:rsidR="00B65C3A" w:rsidRPr="00CF77C1">
              <w:rPr>
                <w:lang w:val="sr-Cyrl-RS"/>
              </w:rPr>
              <w:t>за послове пољопривреде</w:t>
            </w:r>
            <w:r w:rsidR="00943281">
              <w:rPr>
                <w:lang w:val="sr-Cyrl-RS"/>
              </w:rPr>
              <w:t xml:space="preserve"> и </w:t>
            </w:r>
            <w:r w:rsidR="00B65C3A" w:rsidRPr="00CF77C1">
              <w:rPr>
                <w:lang w:val="sr-Cyrl-RS"/>
              </w:rPr>
              <w:t>заштите животне средине</w:t>
            </w:r>
            <w:r w:rsidR="00294AC7" w:rsidRPr="00CF77C1">
              <w:rPr>
                <w:lang w:val="sr-Cyrl-RS"/>
              </w:rPr>
              <w:t>, тело надлежно за управљање јавним улагањима, јединице локалне самоуправе</w:t>
            </w:r>
          </w:p>
        </w:tc>
        <w:tc>
          <w:tcPr>
            <w:tcW w:w="3147" w:type="dxa"/>
            <w:vAlign w:val="center"/>
          </w:tcPr>
          <w:p w14:paraId="240C12F1" w14:textId="5CA52D98" w:rsidR="00294AC7" w:rsidRPr="00CF77C1" w:rsidRDefault="00294AC7" w:rsidP="0080044B">
            <w:pPr>
              <w:tabs>
                <w:tab w:val="left" w:pos="2552"/>
              </w:tabs>
              <w:jc w:val="center"/>
              <w:rPr>
                <w:lang w:val="sr-Cyrl-RS"/>
              </w:rPr>
            </w:pPr>
            <w:r w:rsidRPr="00CF77C1">
              <w:rPr>
                <w:lang w:val="sr-Cyrl-RS"/>
              </w:rPr>
              <w:t xml:space="preserve">Основана радна група </w:t>
            </w:r>
          </w:p>
        </w:tc>
        <w:tc>
          <w:tcPr>
            <w:tcW w:w="1800" w:type="dxa"/>
            <w:vAlign w:val="center"/>
          </w:tcPr>
          <w:p w14:paraId="7E3F776C" w14:textId="2CD872A4" w:rsidR="00294AC7" w:rsidRPr="00CF77C1" w:rsidRDefault="0078663B" w:rsidP="0080044B">
            <w:pPr>
              <w:tabs>
                <w:tab w:val="left" w:pos="2552"/>
              </w:tabs>
              <w:jc w:val="center"/>
              <w:rPr>
                <w:lang w:val="sr-Cyrl-RS"/>
              </w:rPr>
            </w:pPr>
            <w:r w:rsidRPr="00CF77C1">
              <w:rPr>
                <w:lang w:val="sr-Cyrl-RS"/>
              </w:rPr>
              <w:t>2018</w:t>
            </w:r>
            <w:r w:rsidR="00294AC7" w:rsidRPr="00CF77C1">
              <w:rPr>
                <w:lang w:val="sr-Cyrl-RS"/>
              </w:rPr>
              <w:t>. година</w:t>
            </w:r>
          </w:p>
        </w:tc>
        <w:tc>
          <w:tcPr>
            <w:tcW w:w="1857" w:type="dxa"/>
            <w:vAlign w:val="center"/>
          </w:tcPr>
          <w:p w14:paraId="63D55C33" w14:textId="509E4CEB"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OEI_Mera_3_broj \h  \* MERGEFORMAT </w:instrText>
            </w:r>
            <w:r w:rsidRPr="00CF77C1">
              <w:rPr>
                <w:lang w:val="sr-Cyrl-RS"/>
              </w:rPr>
            </w:r>
            <w:r w:rsidRPr="00CF77C1">
              <w:rPr>
                <w:lang w:val="sr-Cyrl-RS"/>
              </w:rPr>
              <w:fldChar w:fldCharType="separate"/>
            </w:r>
            <w:r w:rsidR="002D5918" w:rsidRPr="00CF77C1">
              <w:rPr>
                <w:lang w:val="sr-Cyrl-RS"/>
              </w:rPr>
              <w:t>3.</w:t>
            </w:r>
            <w:r w:rsidRPr="00CF77C1">
              <w:rPr>
                <w:lang w:val="sr-Cyrl-RS"/>
              </w:rPr>
              <w:fldChar w:fldCharType="end"/>
            </w:r>
          </w:p>
        </w:tc>
      </w:tr>
      <w:tr w:rsidR="00294AC7" w:rsidRPr="00CF77C1" w14:paraId="16B6F49B" w14:textId="77777777" w:rsidTr="000B77FC">
        <w:trPr>
          <w:cantSplit/>
          <w:trHeight w:val="20"/>
        </w:trPr>
        <w:tc>
          <w:tcPr>
            <w:tcW w:w="895" w:type="dxa"/>
            <w:vAlign w:val="center"/>
          </w:tcPr>
          <w:p w14:paraId="094A1776" w14:textId="77777777" w:rsidR="00294AC7" w:rsidRPr="00CF77C1" w:rsidRDefault="00294AC7" w:rsidP="0080044B">
            <w:pPr>
              <w:jc w:val="center"/>
              <w:rPr>
                <w:lang w:val="sr-Cyrl-RS"/>
              </w:rPr>
            </w:pPr>
            <w:r w:rsidRPr="00CF77C1">
              <w:rPr>
                <w:lang w:val="sr-Cyrl-RS"/>
              </w:rPr>
              <w:t>9.</w:t>
            </w:r>
          </w:p>
        </w:tc>
        <w:tc>
          <w:tcPr>
            <w:tcW w:w="4180" w:type="dxa"/>
            <w:vAlign w:val="center"/>
          </w:tcPr>
          <w:p w14:paraId="7A72B326" w14:textId="06E25EE9" w:rsidR="00294AC7" w:rsidRPr="00CF77C1" w:rsidRDefault="00294AC7" w:rsidP="0080044B">
            <w:pPr>
              <w:jc w:val="left"/>
              <w:rPr>
                <w:lang w:val="sr-Cyrl-RS"/>
              </w:rPr>
            </w:pPr>
            <w:r w:rsidRPr="00CF77C1">
              <w:rPr>
                <w:lang w:val="sr-Cyrl-RS"/>
              </w:rPr>
              <w:t>Оснивање радне групе са задатком да испита могућност, оправданост и ограничења пореских подстицаја или других финансијских модела за грађане да користе енергетски ефикасне котлове/пећи/шпорете на биомасу и изради предлог конкретних мера</w:t>
            </w:r>
          </w:p>
        </w:tc>
        <w:tc>
          <w:tcPr>
            <w:tcW w:w="2835" w:type="dxa"/>
            <w:vAlign w:val="center"/>
          </w:tcPr>
          <w:p w14:paraId="1D4FBC3B" w14:textId="5D5C269C" w:rsidR="00294AC7" w:rsidRPr="00CF77C1" w:rsidRDefault="00AC627E" w:rsidP="00943281">
            <w:pPr>
              <w:jc w:val="center"/>
              <w:rPr>
                <w:lang w:val="sr-Cyrl-RS"/>
              </w:rPr>
            </w:pPr>
            <w:r w:rsidRPr="00CF77C1">
              <w:rPr>
                <w:lang w:val="sr-Cyrl-RS"/>
              </w:rPr>
              <w:t>м</w:t>
            </w:r>
            <w:r w:rsidR="00294AC7" w:rsidRPr="00CF77C1">
              <w:rPr>
                <w:lang w:val="sr-Cyrl-RS"/>
              </w:rPr>
              <w:t>инистарство надлежно за послове рударства и енергетике, министарство надлежно за</w:t>
            </w:r>
            <w:r w:rsidR="008B2110">
              <w:rPr>
                <w:lang w:val="sr-Cyrl-RS"/>
              </w:rPr>
              <w:t xml:space="preserve"> послове финансија, </w:t>
            </w:r>
            <w:r w:rsidR="00183BB8" w:rsidRPr="00CF77C1">
              <w:rPr>
                <w:lang w:val="sr-Cyrl-RS"/>
              </w:rPr>
              <w:t>м</w:t>
            </w:r>
            <w:r w:rsidR="00943281">
              <w:rPr>
                <w:lang w:val="sr-Cyrl-RS"/>
              </w:rPr>
              <w:t xml:space="preserve">инистарства надлежна </w:t>
            </w:r>
            <w:r w:rsidR="00183BB8" w:rsidRPr="00CF77C1">
              <w:rPr>
                <w:lang w:val="sr-Cyrl-RS"/>
              </w:rPr>
              <w:t>за послове пољопривреде</w:t>
            </w:r>
            <w:r w:rsidR="00943281">
              <w:rPr>
                <w:lang w:val="sr-Cyrl-RS"/>
              </w:rPr>
              <w:t xml:space="preserve"> и </w:t>
            </w:r>
            <w:r w:rsidR="00183BB8" w:rsidRPr="00CF77C1">
              <w:rPr>
                <w:lang w:val="sr-Cyrl-RS"/>
              </w:rPr>
              <w:t>заштите животне средине</w:t>
            </w:r>
          </w:p>
        </w:tc>
        <w:tc>
          <w:tcPr>
            <w:tcW w:w="3147" w:type="dxa"/>
            <w:vAlign w:val="center"/>
          </w:tcPr>
          <w:p w14:paraId="16F4EDFD" w14:textId="03172B16" w:rsidR="00294AC7" w:rsidRPr="00CF77C1" w:rsidRDefault="00294AC7" w:rsidP="0080044B">
            <w:pPr>
              <w:tabs>
                <w:tab w:val="left" w:pos="2552"/>
              </w:tabs>
              <w:jc w:val="center"/>
              <w:rPr>
                <w:lang w:val="sr-Cyrl-RS"/>
              </w:rPr>
            </w:pPr>
            <w:r w:rsidRPr="00CF77C1">
              <w:rPr>
                <w:lang w:val="sr-Cyrl-RS"/>
              </w:rPr>
              <w:t>Основана радна група</w:t>
            </w:r>
          </w:p>
        </w:tc>
        <w:tc>
          <w:tcPr>
            <w:tcW w:w="1800" w:type="dxa"/>
            <w:vAlign w:val="center"/>
          </w:tcPr>
          <w:p w14:paraId="4D5AD27C" w14:textId="29FA15DE" w:rsidR="00294AC7" w:rsidRPr="00CF77C1" w:rsidRDefault="0078663B" w:rsidP="0080044B">
            <w:pPr>
              <w:tabs>
                <w:tab w:val="left" w:pos="2552"/>
              </w:tabs>
              <w:jc w:val="center"/>
              <w:rPr>
                <w:lang w:val="sr-Cyrl-RS"/>
              </w:rPr>
            </w:pPr>
            <w:r w:rsidRPr="00CF77C1">
              <w:rPr>
                <w:lang w:val="sr-Cyrl-RS"/>
              </w:rPr>
              <w:t>2018</w:t>
            </w:r>
            <w:r w:rsidR="00294AC7" w:rsidRPr="00CF77C1">
              <w:rPr>
                <w:lang w:val="sr-Cyrl-RS"/>
              </w:rPr>
              <w:t>. година</w:t>
            </w:r>
          </w:p>
        </w:tc>
        <w:tc>
          <w:tcPr>
            <w:tcW w:w="1857" w:type="dxa"/>
            <w:vAlign w:val="center"/>
          </w:tcPr>
          <w:p w14:paraId="3049B524" w14:textId="0350DB7D" w:rsidR="00294AC7" w:rsidRPr="00CF77C1" w:rsidRDefault="00294AC7"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OEI_Mera_4_broj \h  \* MERGEFORMAT </w:instrText>
            </w:r>
            <w:r w:rsidRPr="00CF77C1">
              <w:rPr>
                <w:lang w:val="sr-Cyrl-RS"/>
              </w:rPr>
            </w:r>
            <w:r w:rsidRPr="00CF77C1">
              <w:rPr>
                <w:lang w:val="sr-Cyrl-RS"/>
              </w:rPr>
              <w:fldChar w:fldCharType="separate"/>
            </w:r>
            <w:r w:rsidR="002D5918" w:rsidRPr="00CF77C1">
              <w:rPr>
                <w:lang w:val="sr-Cyrl-RS"/>
              </w:rPr>
              <w:t>4.</w:t>
            </w:r>
            <w:r w:rsidRPr="00CF77C1">
              <w:rPr>
                <w:lang w:val="sr-Cyrl-RS"/>
              </w:rPr>
              <w:fldChar w:fldCharType="end"/>
            </w:r>
          </w:p>
        </w:tc>
      </w:tr>
      <w:tr w:rsidR="004734DB" w:rsidRPr="00CF77C1" w14:paraId="7CB8F011" w14:textId="77777777" w:rsidTr="000B77FC">
        <w:trPr>
          <w:cantSplit/>
          <w:trHeight w:val="20"/>
        </w:trPr>
        <w:tc>
          <w:tcPr>
            <w:tcW w:w="895" w:type="dxa"/>
            <w:vAlign w:val="center"/>
          </w:tcPr>
          <w:p w14:paraId="7D39E5BA" w14:textId="4693A0E9" w:rsidR="004734DB" w:rsidRPr="00CF77C1" w:rsidRDefault="004734DB" w:rsidP="0080044B">
            <w:pPr>
              <w:jc w:val="center"/>
              <w:rPr>
                <w:lang w:val="sr-Cyrl-RS"/>
              </w:rPr>
            </w:pPr>
            <w:r w:rsidRPr="00CF77C1">
              <w:rPr>
                <w:lang w:val="sr-Cyrl-RS"/>
              </w:rPr>
              <w:t>10.</w:t>
            </w:r>
          </w:p>
        </w:tc>
        <w:tc>
          <w:tcPr>
            <w:tcW w:w="4180" w:type="dxa"/>
            <w:vAlign w:val="center"/>
          </w:tcPr>
          <w:p w14:paraId="312EFCC5" w14:textId="0161C63A" w:rsidR="004734DB" w:rsidRPr="00CF77C1" w:rsidRDefault="0060660B" w:rsidP="0060660B">
            <w:pPr>
              <w:jc w:val="left"/>
              <w:rPr>
                <w:lang w:val="sr-Cyrl-RS"/>
              </w:rPr>
            </w:pPr>
            <w:r w:rsidRPr="00CF77C1">
              <w:rPr>
                <w:lang w:val="sr-Cyrl-RS"/>
              </w:rPr>
              <w:t>Оснивање радне групе са задатком да испита могућност, оправданост и ограничења пореских подстицаја или других финансијских модела за коришћење геотермалне енергије</w:t>
            </w:r>
          </w:p>
        </w:tc>
        <w:tc>
          <w:tcPr>
            <w:tcW w:w="2835" w:type="dxa"/>
            <w:vAlign w:val="center"/>
          </w:tcPr>
          <w:p w14:paraId="72A3D021" w14:textId="5DB13718" w:rsidR="004734DB" w:rsidRPr="00CF77C1" w:rsidRDefault="00AC627E" w:rsidP="0060660B">
            <w:pPr>
              <w:jc w:val="center"/>
              <w:rPr>
                <w:lang w:val="sr-Cyrl-RS"/>
              </w:rPr>
            </w:pPr>
            <w:r w:rsidRPr="00CF77C1">
              <w:rPr>
                <w:lang w:val="sr-Cyrl-RS"/>
              </w:rPr>
              <w:t>м</w:t>
            </w:r>
            <w:r w:rsidR="004734DB" w:rsidRPr="00CF77C1">
              <w:rPr>
                <w:lang w:val="sr-Cyrl-RS"/>
              </w:rPr>
              <w:t>инистарство надлежно за послове рударства и енергетике, министарство надлежно за послове финансија</w:t>
            </w:r>
          </w:p>
        </w:tc>
        <w:tc>
          <w:tcPr>
            <w:tcW w:w="3147" w:type="dxa"/>
            <w:vAlign w:val="center"/>
          </w:tcPr>
          <w:p w14:paraId="11747588" w14:textId="5ACD9BFD" w:rsidR="004734DB" w:rsidRPr="00CF77C1" w:rsidRDefault="004734DB" w:rsidP="0080044B">
            <w:pPr>
              <w:tabs>
                <w:tab w:val="left" w:pos="2552"/>
              </w:tabs>
              <w:jc w:val="center"/>
              <w:rPr>
                <w:lang w:val="sr-Cyrl-RS"/>
              </w:rPr>
            </w:pPr>
            <w:r w:rsidRPr="00CF77C1">
              <w:rPr>
                <w:lang w:val="sr-Cyrl-RS"/>
              </w:rPr>
              <w:t>Основана радна група</w:t>
            </w:r>
          </w:p>
        </w:tc>
        <w:tc>
          <w:tcPr>
            <w:tcW w:w="1800" w:type="dxa"/>
            <w:vAlign w:val="center"/>
          </w:tcPr>
          <w:p w14:paraId="3BCD997B" w14:textId="1CE6154D" w:rsidR="004734DB" w:rsidRPr="00CF77C1" w:rsidRDefault="004734DB" w:rsidP="0080044B">
            <w:pPr>
              <w:tabs>
                <w:tab w:val="left" w:pos="2552"/>
              </w:tabs>
              <w:jc w:val="center"/>
              <w:rPr>
                <w:lang w:val="sr-Cyrl-RS"/>
              </w:rPr>
            </w:pPr>
            <w:r w:rsidRPr="00CF77C1">
              <w:rPr>
                <w:lang w:val="sr-Cyrl-RS"/>
              </w:rPr>
              <w:t>2018. година</w:t>
            </w:r>
          </w:p>
        </w:tc>
        <w:tc>
          <w:tcPr>
            <w:tcW w:w="1857" w:type="dxa"/>
            <w:vAlign w:val="center"/>
          </w:tcPr>
          <w:p w14:paraId="5985CA91" w14:textId="22330AFE" w:rsidR="004734DB" w:rsidRPr="00CF77C1" w:rsidRDefault="004734DB" w:rsidP="0060660B">
            <w:pPr>
              <w:jc w:val="left"/>
              <w:rPr>
                <w:lang w:val="sr-Cyrl-RS"/>
              </w:rPr>
            </w:pPr>
            <w:r w:rsidRPr="00CF77C1">
              <w:rPr>
                <w:lang w:val="sr-Cyrl-RS"/>
              </w:rPr>
              <w:t xml:space="preserve">Мера бр. </w:t>
            </w:r>
            <w:r w:rsidR="0060660B" w:rsidRPr="00CF77C1">
              <w:rPr>
                <w:lang w:val="sr-Cyrl-RS"/>
              </w:rPr>
              <w:fldChar w:fldCharType="begin"/>
            </w:r>
            <w:r w:rsidR="0060660B" w:rsidRPr="00CF77C1">
              <w:rPr>
                <w:lang w:val="sr-Cyrl-RS"/>
              </w:rPr>
              <w:instrText xml:space="preserve"> REF OEI_Mera_5_broj \h </w:instrText>
            </w:r>
            <w:r w:rsidR="0077363A" w:rsidRPr="00CF77C1">
              <w:rPr>
                <w:lang w:val="sr-Cyrl-RS"/>
              </w:rPr>
              <w:instrText xml:space="preserve"> \* MERGEFORMAT </w:instrText>
            </w:r>
            <w:r w:rsidR="0060660B" w:rsidRPr="00CF77C1">
              <w:rPr>
                <w:lang w:val="sr-Cyrl-RS"/>
              </w:rPr>
            </w:r>
            <w:r w:rsidR="0060660B" w:rsidRPr="00CF77C1">
              <w:rPr>
                <w:lang w:val="sr-Cyrl-RS"/>
              </w:rPr>
              <w:fldChar w:fldCharType="separate"/>
            </w:r>
            <w:r w:rsidR="002D5918" w:rsidRPr="00CF77C1">
              <w:rPr>
                <w:lang w:val="sr-Cyrl-RS"/>
              </w:rPr>
              <w:t>5.</w:t>
            </w:r>
            <w:r w:rsidR="0060660B" w:rsidRPr="00CF77C1">
              <w:rPr>
                <w:lang w:val="sr-Cyrl-RS"/>
              </w:rPr>
              <w:fldChar w:fldCharType="end"/>
            </w:r>
          </w:p>
        </w:tc>
      </w:tr>
      <w:tr w:rsidR="004734DB" w:rsidRPr="00CF77C1" w14:paraId="092036A4" w14:textId="77777777" w:rsidTr="000B77FC">
        <w:trPr>
          <w:cantSplit/>
          <w:trHeight w:val="20"/>
        </w:trPr>
        <w:tc>
          <w:tcPr>
            <w:tcW w:w="895" w:type="dxa"/>
            <w:vAlign w:val="center"/>
          </w:tcPr>
          <w:p w14:paraId="03D29F93" w14:textId="2890F5DE" w:rsidR="004734DB" w:rsidRPr="00CF77C1" w:rsidRDefault="004734DB" w:rsidP="0080044B">
            <w:pPr>
              <w:jc w:val="center"/>
              <w:rPr>
                <w:lang w:val="sr-Cyrl-RS"/>
              </w:rPr>
            </w:pPr>
            <w:r w:rsidRPr="00CF77C1">
              <w:rPr>
                <w:lang w:val="sr-Cyrl-RS"/>
              </w:rPr>
              <w:t>11.</w:t>
            </w:r>
          </w:p>
        </w:tc>
        <w:tc>
          <w:tcPr>
            <w:tcW w:w="4180" w:type="dxa"/>
            <w:vAlign w:val="center"/>
          </w:tcPr>
          <w:p w14:paraId="424085E5" w14:textId="37D4C569" w:rsidR="004734DB" w:rsidRPr="00CF77C1" w:rsidRDefault="004734DB" w:rsidP="0080044B">
            <w:pPr>
              <w:jc w:val="left"/>
              <w:rPr>
                <w:lang w:val="sr-Cyrl-RS"/>
              </w:rPr>
            </w:pPr>
            <w:r w:rsidRPr="00CF77C1">
              <w:rPr>
                <w:lang w:val="sr-Cyrl-RS"/>
              </w:rPr>
              <w:t>Успостављање електронског портала за трговину биомасом у оквиру пројекта „Смањење баријера за веће коришћење биомасе</w:t>
            </w:r>
            <w:r w:rsidRPr="00CF77C1">
              <w:rPr>
                <w:szCs w:val="24"/>
                <w:lang w:val="sr-Cyrl-RS"/>
              </w:rPr>
              <w:t>”</w:t>
            </w:r>
          </w:p>
        </w:tc>
        <w:tc>
          <w:tcPr>
            <w:tcW w:w="2835" w:type="dxa"/>
            <w:vAlign w:val="center"/>
          </w:tcPr>
          <w:p w14:paraId="405D8493" w14:textId="733B992F" w:rsidR="004734DB" w:rsidRPr="00CF77C1" w:rsidRDefault="00AC627E" w:rsidP="002033CB">
            <w:pPr>
              <w:jc w:val="center"/>
              <w:rPr>
                <w:lang w:val="sr-Cyrl-RS"/>
              </w:rPr>
            </w:pPr>
            <w:r w:rsidRPr="00CF77C1">
              <w:rPr>
                <w:lang w:val="sr-Cyrl-RS"/>
              </w:rPr>
              <w:t>м</w:t>
            </w:r>
            <w:r w:rsidR="004734DB" w:rsidRPr="00CF77C1">
              <w:rPr>
                <w:lang w:val="sr-Cyrl-RS"/>
              </w:rPr>
              <w:t xml:space="preserve">инистарство надлежно за послове рударства и енергетике, </w:t>
            </w:r>
            <w:r w:rsidR="00183BB8" w:rsidRPr="00CF77C1">
              <w:rPr>
                <w:lang w:val="sr-Cyrl-RS"/>
              </w:rPr>
              <w:t>м</w:t>
            </w:r>
            <w:r w:rsidR="002033CB">
              <w:rPr>
                <w:lang w:val="sr-Cyrl-RS"/>
              </w:rPr>
              <w:t xml:space="preserve">инистарства надлежна </w:t>
            </w:r>
            <w:r w:rsidR="00183BB8" w:rsidRPr="00CF77C1">
              <w:rPr>
                <w:lang w:val="sr-Cyrl-RS"/>
              </w:rPr>
              <w:t>за послове пољопривреде</w:t>
            </w:r>
            <w:r w:rsidR="002033CB">
              <w:rPr>
                <w:lang w:val="sr-Cyrl-RS"/>
              </w:rPr>
              <w:t xml:space="preserve"> и </w:t>
            </w:r>
            <w:r w:rsidR="00183BB8" w:rsidRPr="00CF77C1">
              <w:rPr>
                <w:lang w:val="sr-Cyrl-RS"/>
              </w:rPr>
              <w:t>заштите животне средине</w:t>
            </w:r>
            <w:r w:rsidR="004734DB" w:rsidRPr="00CF77C1">
              <w:rPr>
                <w:lang w:val="sr-Cyrl-RS"/>
              </w:rPr>
              <w:t>, Привредна комора Србије</w:t>
            </w:r>
          </w:p>
        </w:tc>
        <w:tc>
          <w:tcPr>
            <w:tcW w:w="3147" w:type="dxa"/>
            <w:vAlign w:val="center"/>
          </w:tcPr>
          <w:p w14:paraId="5EB3C1D5" w14:textId="3E5128FB" w:rsidR="004734DB" w:rsidRPr="00CF77C1" w:rsidRDefault="004734DB" w:rsidP="00DD7B2C">
            <w:pPr>
              <w:tabs>
                <w:tab w:val="left" w:pos="2552"/>
              </w:tabs>
              <w:jc w:val="center"/>
              <w:rPr>
                <w:lang w:val="sr-Cyrl-RS"/>
              </w:rPr>
            </w:pPr>
            <w:r w:rsidRPr="00CF77C1">
              <w:rPr>
                <w:lang w:val="sr-Cyrl-RS"/>
              </w:rPr>
              <w:t>Успостављен електронски портал за трговину биомасом</w:t>
            </w:r>
          </w:p>
        </w:tc>
        <w:tc>
          <w:tcPr>
            <w:tcW w:w="1800" w:type="dxa"/>
            <w:vAlign w:val="center"/>
          </w:tcPr>
          <w:p w14:paraId="311FFEB1" w14:textId="1946F2C7" w:rsidR="004734DB" w:rsidRPr="00CF77C1" w:rsidRDefault="004734DB" w:rsidP="0080044B">
            <w:pPr>
              <w:tabs>
                <w:tab w:val="left" w:pos="2552"/>
              </w:tabs>
              <w:jc w:val="center"/>
              <w:rPr>
                <w:lang w:val="sr-Cyrl-RS"/>
              </w:rPr>
            </w:pPr>
            <w:r w:rsidRPr="00CF77C1">
              <w:rPr>
                <w:lang w:val="sr-Cyrl-RS"/>
              </w:rPr>
              <w:t>2018. година</w:t>
            </w:r>
          </w:p>
        </w:tc>
        <w:tc>
          <w:tcPr>
            <w:tcW w:w="1857" w:type="dxa"/>
            <w:vAlign w:val="center"/>
          </w:tcPr>
          <w:p w14:paraId="337A9EDF" w14:textId="431742EA"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OEI_Mera_3_broj \h  \* MERGEFORMAT </w:instrText>
            </w:r>
            <w:r w:rsidRPr="00CF77C1">
              <w:rPr>
                <w:lang w:val="sr-Cyrl-RS"/>
              </w:rPr>
            </w:r>
            <w:r w:rsidRPr="00CF77C1">
              <w:rPr>
                <w:lang w:val="sr-Cyrl-RS"/>
              </w:rPr>
              <w:fldChar w:fldCharType="separate"/>
            </w:r>
            <w:r w:rsidR="002D5918" w:rsidRPr="00CF77C1">
              <w:rPr>
                <w:lang w:val="sr-Cyrl-RS"/>
              </w:rPr>
              <w:t>3.</w:t>
            </w:r>
            <w:r w:rsidRPr="00CF77C1">
              <w:rPr>
                <w:lang w:val="sr-Cyrl-RS"/>
              </w:rPr>
              <w:fldChar w:fldCharType="end"/>
            </w:r>
          </w:p>
          <w:p w14:paraId="022DB14C" w14:textId="551422F4"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OEI_Mera_4_broj \h  \* MERGEFORMAT </w:instrText>
            </w:r>
            <w:r w:rsidRPr="00CF77C1">
              <w:rPr>
                <w:lang w:val="sr-Cyrl-RS"/>
              </w:rPr>
            </w:r>
            <w:r w:rsidRPr="00CF77C1">
              <w:rPr>
                <w:lang w:val="sr-Cyrl-RS"/>
              </w:rPr>
              <w:fldChar w:fldCharType="separate"/>
            </w:r>
            <w:r w:rsidR="002D5918" w:rsidRPr="00CF77C1">
              <w:rPr>
                <w:lang w:val="sr-Cyrl-RS"/>
              </w:rPr>
              <w:t>4.</w:t>
            </w:r>
            <w:r w:rsidRPr="00CF77C1">
              <w:rPr>
                <w:lang w:val="sr-Cyrl-RS"/>
              </w:rPr>
              <w:fldChar w:fldCharType="end"/>
            </w:r>
          </w:p>
          <w:p w14:paraId="2DF773BF" w14:textId="283F7309" w:rsidR="004734DB" w:rsidRPr="00CF77C1" w:rsidRDefault="004734DB" w:rsidP="0080044B">
            <w:pPr>
              <w:jc w:val="left"/>
              <w:rPr>
                <w:lang w:val="sr-Cyrl-RS"/>
              </w:rPr>
            </w:pPr>
            <w:r w:rsidRPr="00CF77C1">
              <w:rPr>
                <w:lang w:val="sr-Cyrl-RS"/>
              </w:rPr>
              <w:t xml:space="preserve">Мера бр. </w:t>
            </w:r>
            <w:r w:rsidR="0060660B" w:rsidRPr="00CF77C1">
              <w:rPr>
                <w:lang w:val="sr-Cyrl-RS"/>
              </w:rPr>
              <w:fldChar w:fldCharType="begin"/>
            </w:r>
            <w:r w:rsidR="0060660B" w:rsidRPr="00CF77C1">
              <w:rPr>
                <w:lang w:val="sr-Cyrl-RS"/>
              </w:rPr>
              <w:instrText xml:space="preserve"> REF OEI_Mera_6_broj \h </w:instrText>
            </w:r>
            <w:r w:rsidR="0077363A" w:rsidRPr="00CF77C1">
              <w:rPr>
                <w:lang w:val="sr-Cyrl-RS"/>
              </w:rPr>
              <w:instrText xml:space="preserve"> \* MERGEFORMAT </w:instrText>
            </w:r>
            <w:r w:rsidR="0060660B" w:rsidRPr="00CF77C1">
              <w:rPr>
                <w:lang w:val="sr-Cyrl-RS"/>
              </w:rPr>
            </w:r>
            <w:r w:rsidR="0060660B" w:rsidRPr="00CF77C1">
              <w:rPr>
                <w:lang w:val="sr-Cyrl-RS"/>
              </w:rPr>
              <w:fldChar w:fldCharType="separate"/>
            </w:r>
            <w:r w:rsidR="002D5918" w:rsidRPr="00CF77C1">
              <w:rPr>
                <w:lang w:val="sr-Cyrl-RS"/>
              </w:rPr>
              <w:t>6.</w:t>
            </w:r>
            <w:r w:rsidR="0060660B" w:rsidRPr="00CF77C1">
              <w:rPr>
                <w:lang w:val="sr-Cyrl-RS"/>
              </w:rPr>
              <w:fldChar w:fldCharType="end"/>
            </w:r>
          </w:p>
        </w:tc>
      </w:tr>
      <w:tr w:rsidR="004734DB" w:rsidRPr="00CF77C1" w14:paraId="77C126D0" w14:textId="77777777" w:rsidTr="000B77FC">
        <w:trPr>
          <w:cantSplit/>
          <w:trHeight w:val="20"/>
        </w:trPr>
        <w:tc>
          <w:tcPr>
            <w:tcW w:w="895" w:type="dxa"/>
            <w:vAlign w:val="center"/>
          </w:tcPr>
          <w:p w14:paraId="33DCEA4D" w14:textId="5C351CB7" w:rsidR="004734DB" w:rsidRPr="00CF77C1" w:rsidRDefault="004734DB" w:rsidP="0080044B">
            <w:pPr>
              <w:jc w:val="center"/>
              <w:rPr>
                <w:lang w:val="sr-Cyrl-RS"/>
              </w:rPr>
            </w:pPr>
            <w:r w:rsidRPr="00CF77C1">
              <w:rPr>
                <w:lang w:val="sr-Cyrl-RS"/>
              </w:rPr>
              <w:t>12.</w:t>
            </w:r>
          </w:p>
        </w:tc>
        <w:tc>
          <w:tcPr>
            <w:tcW w:w="4180" w:type="dxa"/>
            <w:vAlign w:val="center"/>
          </w:tcPr>
          <w:p w14:paraId="3D1552B5" w14:textId="0D119C31" w:rsidR="004734DB" w:rsidRPr="00CF77C1" w:rsidRDefault="004734DB" w:rsidP="00A876FF">
            <w:pPr>
              <w:jc w:val="left"/>
              <w:rPr>
                <w:lang w:val="sr-Cyrl-RS"/>
              </w:rPr>
            </w:pPr>
            <w:r w:rsidRPr="00CF77C1">
              <w:rPr>
                <w:lang w:val="sr-Cyrl-RS"/>
              </w:rPr>
              <w:t>Идентификација земљишта погодног за енергетске засаде</w:t>
            </w:r>
          </w:p>
        </w:tc>
        <w:tc>
          <w:tcPr>
            <w:tcW w:w="2835" w:type="dxa"/>
            <w:vAlign w:val="center"/>
          </w:tcPr>
          <w:p w14:paraId="7612AF36" w14:textId="374C97BF" w:rsidR="004734DB" w:rsidRPr="00CF77C1" w:rsidRDefault="00AC627E" w:rsidP="000B094C">
            <w:pPr>
              <w:jc w:val="center"/>
              <w:rPr>
                <w:lang w:val="sr-Cyrl-RS"/>
              </w:rPr>
            </w:pPr>
            <w:r w:rsidRPr="00CF77C1">
              <w:rPr>
                <w:lang w:val="sr-Cyrl-RS"/>
              </w:rPr>
              <w:t>м</w:t>
            </w:r>
            <w:r w:rsidR="00F36EC2">
              <w:rPr>
                <w:lang w:val="sr-Cyrl-RS"/>
              </w:rPr>
              <w:t>инистарств</w:t>
            </w:r>
            <w:r w:rsidR="000B094C">
              <w:rPr>
                <w:lang w:val="sr-Cyrl-RS"/>
              </w:rPr>
              <w:t>а</w:t>
            </w:r>
            <w:r w:rsidR="00F36EC2">
              <w:rPr>
                <w:lang w:val="sr-Cyrl-RS"/>
              </w:rPr>
              <w:t xml:space="preserve"> надлежн</w:t>
            </w:r>
            <w:r w:rsidR="000B094C">
              <w:rPr>
                <w:lang w:val="sr-Cyrl-RS"/>
              </w:rPr>
              <w:t>а</w:t>
            </w:r>
            <w:r w:rsidR="004734DB" w:rsidRPr="00CF77C1">
              <w:rPr>
                <w:lang w:val="sr-Cyrl-RS"/>
              </w:rPr>
              <w:t xml:space="preserve"> за послове пољопривреде</w:t>
            </w:r>
            <w:r w:rsidR="00183BB8">
              <w:rPr>
                <w:lang w:val="sr-Cyrl-RS"/>
              </w:rPr>
              <w:t xml:space="preserve"> </w:t>
            </w:r>
            <w:r w:rsidR="000B094C">
              <w:rPr>
                <w:lang w:val="sr-Cyrl-RS"/>
              </w:rPr>
              <w:t xml:space="preserve">и </w:t>
            </w:r>
            <w:r w:rsidR="004734DB" w:rsidRPr="00CF77C1">
              <w:rPr>
                <w:lang w:val="sr-Cyrl-RS"/>
              </w:rPr>
              <w:t>заштите животне средине, министарство надлежно за послове рударства и енергетике, Републички геодетски завод</w:t>
            </w:r>
          </w:p>
        </w:tc>
        <w:tc>
          <w:tcPr>
            <w:tcW w:w="3147" w:type="dxa"/>
            <w:vAlign w:val="center"/>
          </w:tcPr>
          <w:p w14:paraId="45D89311" w14:textId="668AF472" w:rsidR="004734DB" w:rsidRPr="00CF77C1" w:rsidRDefault="004734DB" w:rsidP="00DD7B2C">
            <w:pPr>
              <w:tabs>
                <w:tab w:val="left" w:pos="2552"/>
              </w:tabs>
              <w:jc w:val="center"/>
              <w:rPr>
                <w:lang w:val="sr-Cyrl-RS"/>
              </w:rPr>
            </w:pPr>
            <w:r w:rsidRPr="00CF77C1">
              <w:rPr>
                <w:lang w:val="sr-Cyrl-RS"/>
              </w:rPr>
              <w:t>Идентификовано и мапирано земљиште погодно за енергетске засаде</w:t>
            </w:r>
          </w:p>
        </w:tc>
        <w:tc>
          <w:tcPr>
            <w:tcW w:w="1800" w:type="dxa"/>
            <w:vAlign w:val="center"/>
          </w:tcPr>
          <w:p w14:paraId="208ED51C" w14:textId="2A26C362" w:rsidR="004734DB" w:rsidRPr="00CF77C1" w:rsidRDefault="004734DB" w:rsidP="0080044B">
            <w:pPr>
              <w:tabs>
                <w:tab w:val="left" w:pos="2552"/>
              </w:tabs>
              <w:jc w:val="center"/>
              <w:rPr>
                <w:lang w:val="sr-Cyrl-RS"/>
              </w:rPr>
            </w:pPr>
            <w:r w:rsidRPr="00CF77C1">
              <w:rPr>
                <w:lang w:val="sr-Cyrl-RS"/>
              </w:rPr>
              <w:t>2020. година</w:t>
            </w:r>
          </w:p>
        </w:tc>
        <w:tc>
          <w:tcPr>
            <w:tcW w:w="1857" w:type="dxa"/>
            <w:vAlign w:val="center"/>
          </w:tcPr>
          <w:p w14:paraId="22925629" w14:textId="0717DCE1"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OEI_Mera_6_broj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6.</w:t>
            </w:r>
            <w:r w:rsidRPr="00CF77C1">
              <w:rPr>
                <w:lang w:val="sr-Cyrl-RS"/>
              </w:rPr>
              <w:fldChar w:fldCharType="end"/>
            </w:r>
          </w:p>
          <w:p w14:paraId="63002534" w14:textId="11EE3164"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OEI_Mera_7_broj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7.</w:t>
            </w:r>
            <w:r w:rsidRPr="00CF77C1">
              <w:rPr>
                <w:lang w:val="sr-Cyrl-RS"/>
              </w:rPr>
              <w:fldChar w:fldCharType="end"/>
            </w:r>
          </w:p>
          <w:p w14:paraId="17A03294" w14:textId="4F133D2C"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OEI_Mera_8_broj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8.</w:t>
            </w:r>
            <w:r w:rsidRPr="00CF77C1">
              <w:rPr>
                <w:lang w:val="sr-Cyrl-RS"/>
              </w:rPr>
              <w:fldChar w:fldCharType="end"/>
            </w:r>
          </w:p>
        </w:tc>
      </w:tr>
      <w:tr w:rsidR="004734DB" w:rsidRPr="00CF77C1" w14:paraId="0737BB6F" w14:textId="77777777" w:rsidTr="000B77FC">
        <w:trPr>
          <w:cantSplit/>
          <w:trHeight w:val="20"/>
        </w:trPr>
        <w:tc>
          <w:tcPr>
            <w:tcW w:w="895" w:type="dxa"/>
            <w:vAlign w:val="center"/>
          </w:tcPr>
          <w:p w14:paraId="47FAEB9A" w14:textId="7C9B74DD" w:rsidR="004734DB" w:rsidRPr="00CF77C1" w:rsidRDefault="004734DB" w:rsidP="0080044B">
            <w:pPr>
              <w:jc w:val="center"/>
              <w:rPr>
                <w:lang w:val="sr-Cyrl-RS"/>
              </w:rPr>
            </w:pPr>
            <w:r w:rsidRPr="00CF77C1">
              <w:rPr>
                <w:lang w:val="sr-Cyrl-RS"/>
              </w:rPr>
              <w:t>13.</w:t>
            </w:r>
          </w:p>
        </w:tc>
        <w:tc>
          <w:tcPr>
            <w:tcW w:w="4180" w:type="dxa"/>
            <w:vAlign w:val="center"/>
          </w:tcPr>
          <w:p w14:paraId="002D5E79" w14:textId="39A1D15A" w:rsidR="004734DB" w:rsidRPr="00CF77C1" w:rsidRDefault="004734DB" w:rsidP="0080044B">
            <w:pPr>
              <w:jc w:val="left"/>
              <w:rPr>
                <w:lang w:val="sr-Cyrl-RS"/>
              </w:rPr>
            </w:pPr>
            <w:r w:rsidRPr="00CF77C1">
              <w:rPr>
                <w:lang w:val="sr-Cyrl-RS"/>
              </w:rPr>
              <w:t>Oснивање радне групе са задатком да испита могућности и оправданост увођења моделе подстицаја енергетских засада и изради предлог модела за подстицаје</w:t>
            </w:r>
          </w:p>
        </w:tc>
        <w:tc>
          <w:tcPr>
            <w:tcW w:w="2835" w:type="dxa"/>
            <w:vAlign w:val="center"/>
          </w:tcPr>
          <w:p w14:paraId="678DEE2B" w14:textId="0062442A" w:rsidR="004734DB" w:rsidRPr="00CF77C1" w:rsidRDefault="00AC627E" w:rsidP="000B094C">
            <w:pPr>
              <w:jc w:val="center"/>
              <w:rPr>
                <w:lang w:val="sr-Cyrl-RS"/>
              </w:rPr>
            </w:pPr>
            <w:r w:rsidRPr="00CF77C1">
              <w:rPr>
                <w:lang w:val="sr-Cyrl-RS"/>
              </w:rPr>
              <w:t>м</w:t>
            </w:r>
            <w:r w:rsidR="004734DB" w:rsidRPr="00CF77C1">
              <w:rPr>
                <w:lang w:val="sr-Cyrl-RS"/>
              </w:rPr>
              <w:t xml:space="preserve">инистарство надлежно за послове рударства и </w:t>
            </w:r>
            <w:r w:rsidR="00F36EC2">
              <w:rPr>
                <w:lang w:val="sr-Cyrl-RS"/>
              </w:rPr>
              <w:t xml:space="preserve">енергетике, </w:t>
            </w:r>
            <w:r w:rsidR="00183BB8" w:rsidRPr="00CF77C1">
              <w:rPr>
                <w:lang w:val="sr-Cyrl-RS"/>
              </w:rPr>
              <w:t>м</w:t>
            </w:r>
            <w:r w:rsidR="00183BB8">
              <w:rPr>
                <w:lang w:val="sr-Cyrl-RS"/>
              </w:rPr>
              <w:t>инистарств</w:t>
            </w:r>
            <w:r w:rsidR="000B094C">
              <w:rPr>
                <w:lang w:val="sr-Cyrl-RS"/>
              </w:rPr>
              <w:t>а надлежна</w:t>
            </w:r>
            <w:r w:rsidR="00183BB8" w:rsidRPr="00CF77C1">
              <w:rPr>
                <w:lang w:val="sr-Cyrl-RS"/>
              </w:rPr>
              <w:t xml:space="preserve"> за послове пољопривреде</w:t>
            </w:r>
            <w:r w:rsidR="000B094C">
              <w:rPr>
                <w:lang w:val="sr-Cyrl-RS"/>
              </w:rPr>
              <w:t xml:space="preserve"> и</w:t>
            </w:r>
            <w:r w:rsidR="00183BB8">
              <w:rPr>
                <w:lang w:val="sr-Cyrl-RS"/>
              </w:rPr>
              <w:t xml:space="preserve"> </w:t>
            </w:r>
            <w:r w:rsidR="00183BB8" w:rsidRPr="00CF77C1">
              <w:rPr>
                <w:lang w:val="sr-Cyrl-RS"/>
              </w:rPr>
              <w:t>заштите животне средине</w:t>
            </w:r>
          </w:p>
        </w:tc>
        <w:tc>
          <w:tcPr>
            <w:tcW w:w="3147" w:type="dxa"/>
            <w:vAlign w:val="center"/>
          </w:tcPr>
          <w:p w14:paraId="4AF6D9E3" w14:textId="5F9DF4DF" w:rsidR="004734DB" w:rsidRPr="00CF77C1" w:rsidRDefault="004734DB" w:rsidP="0080044B">
            <w:pPr>
              <w:jc w:val="center"/>
              <w:rPr>
                <w:lang w:val="sr-Cyrl-RS"/>
              </w:rPr>
            </w:pPr>
            <w:r w:rsidRPr="00CF77C1">
              <w:rPr>
                <w:lang w:val="sr-Cyrl-RS"/>
              </w:rPr>
              <w:t>Основана радна група</w:t>
            </w:r>
          </w:p>
        </w:tc>
        <w:tc>
          <w:tcPr>
            <w:tcW w:w="1800" w:type="dxa"/>
            <w:vAlign w:val="center"/>
          </w:tcPr>
          <w:p w14:paraId="7B11C1C3" w14:textId="33575231" w:rsidR="004734DB" w:rsidRPr="00CF77C1" w:rsidRDefault="004734DB" w:rsidP="0080044B">
            <w:pPr>
              <w:jc w:val="center"/>
              <w:rPr>
                <w:lang w:val="sr-Cyrl-RS"/>
              </w:rPr>
            </w:pPr>
            <w:r w:rsidRPr="00CF77C1">
              <w:rPr>
                <w:lang w:val="sr-Cyrl-RS"/>
              </w:rPr>
              <w:t>2018. година</w:t>
            </w:r>
          </w:p>
        </w:tc>
        <w:tc>
          <w:tcPr>
            <w:tcW w:w="1857" w:type="dxa"/>
            <w:vAlign w:val="center"/>
          </w:tcPr>
          <w:p w14:paraId="7343500C" w14:textId="6B01BD5E"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OEI_Mera_6_broj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6.</w:t>
            </w:r>
            <w:r w:rsidRPr="00CF77C1">
              <w:rPr>
                <w:lang w:val="sr-Cyrl-RS"/>
              </w:rPr>
              <w:fldChar w:fldCharType="end"/>
            </w:r>
          </w:p>
          <w:p w14:paraId="7862C016" w14:textId="281A9039"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OEI_Mera_7_broj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7.</w:t>
            </w:r>
            <w:r w:rsidRPr="00CF77C1">
              <w:rPr>
                <w:lang w:val="sr-Cyrl-RS"/>
              </w:rPr>
              <w:fldChar w:fldCharType="end"/>
            </w:r>
          </w:p>
          <w:p w14:paraId="7F700333" w14:textId="0E62F4EB" w:rsidR="004734DB" w:rsidRPr="00CF77C1" w:rsidRDefault="004734DB" w:rsidP="0080044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OEI_Mera_8_broj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8.</w:t>
            </w:r>
            <w:r w:rsidRPr="00CF77C1">
              <w:rPr>
                <w:lang w:val="sr-Cyrl-RS"/>
              </w:rPr>
              <w:fldChar w:fldCharType="end"/>
            </w:r>
          </w:p>
        </w:tc>
      </w:tr>
      <w:tr w:rsidR="004734DB" w:rsidRPr="00CF77C1" w14:paraId="3D037C4A" w14:textId="77777777" w:rsidTr="000B77FC">
        <w:trPr>
          <w:cantSplit/>
          <w:trHeight w:val="20"/>
        </w:trPr>
        <w:tc>
          <w:tcPr>
            <w:tcW w:w="895" w:type="dxa"/>
            <w:vAlign w:val="center"/>
          </w:tcPr>
          <w:p w14:paraId="001E4734" w14:textId="72DF4110" w:rsidR="004734DB" w:rsidRPr="00CF77C1" w:rsidRDefault="004734DB" w:rsidP="0080044B">
            <w:pPr>
              <w:jc w:val="center"/>
              <w:rPr>
                <w:lang w:val="sr-Cyrl-RS"/>
              </w:rPr>
            </w:pPr>
            <w:r w:rsidRPr="00CF77C1">
              <w:rPr>
                <w:lang w:val="sr-Cyrl-RS"/>
              </w:rPr>
              <w:t>14.</w:t>
            </w:r>
          </w:p>
        </w:tc>
        <w:tc>
          <w:tcPr>
            <w:tcW w:w="4180" w:type="dxa"/>
            <w:vAlign w:val="center"/>
          </w:tcPr>
          <w:p w14:paraId="249E3A02" w14:textId="77067E62" w:rsidR="004734DB" w:rsidRPr="00CF77C1" w:rsidRDefault="004734DB" w:rsidP="0080044B">
            <w:pPr>
              <w:jc w:val="left"/>
              <w:rPr>
                <w:lang w:val="sr-Cyrl-RS"/>
              </w:rPr>
            </w:pPr>
            <w:r w:rsidRPr="00CF77C1">
              <w:rPr>
                <w:lang w:val="sr-Cyrl-RS"/>
              </w:rPr>
              <w:t>Реализација Пројекта израде националне шеме верификације испуњености критеријума одрживости биогорива из ИПА 2014</w:t>
            </w:r>
          </w:p>
        </w:tc>
        <w:tc>
          <w:tcPr>
            <w:tcW w:w="2835" w:type="dxa"/>
            <w:vAlign w:val="center"/>
          </w:tcPr>
          <w:p w14:paraId="65242755" w14:textId="624D8A3A" w:rsidR="004734DB" w:rsidRPr="00CF77C1" w:rsidRDefault="00AC627E" w:rsidP="00A876FF">
            <w:pPr>
              <w:jc w:val="center"/>
              <w:rPr>
                <w:lang w:val="sr-Cyrl-RS"/>
              </w:rPr>
            </w:pPr>
            <w:r w:rsidRPr="00CF77C1">
              <w:rPr>
                <w:lang w:val="sr-Cyrl-RS"/>
              </w:rPr>
              <w:t>м</w:t>
            </w:r>
            <w:r w:rsidR="004734DB" w:rsidRPr="00CF77C1">
              <w:rPr>
                <w:lang w:val="sr-Cyrl-RS"/>
              </w:rPr>
              <w:t xml:space="preserve">инистарство надлежно за послове рударства и енергетике </w:t>
            </w:r>
          </w:p>
        </w:tc>
        <w:tc>
          <w:tcPr>
            <w:tcW w:w="3147" w:type="dxa"/>
            <w:vAlign w:val="center"/>
          </w:tcPr>
          <w:p w14:paraId="3705D07B" w14:textId="4F2B7295" w:rsidR="004734DB" w:rsidRPr="00CF77C1" w:rsidRDefault="004734DB" w:rsidP="0080044B">
            <w:pPr>
              <w:tabs>
                <w:tab w:val="left" w:pos="2552"/>
              </w:tabs>
              <w:jc w:val="center"/>
              <w:rPr>
                <w:lang w:val="sr-Cyrl-RS"/>
              </w:rPr>
            </w:pPr>
            <w:r w:rsidRPr="00CF77C1">
              <w:rPr>
                <w:lang w:val="sr-Cyrl-RS"/>
              </w:rPr>
              <w:t>Успостављена национална шема верификације испуњености критеријума одрживости биогорива</w:t>
            </w:r>
          </w:p>
        </w:tc>
        <w:tc>
          <w:tcPr>
            <w:tcW w:w="1800" w:type="dxa"/>
            <w:vAlign w:val="center"/>
          </w:tcPr>
          <w:p w14:paraId="751BC809" w14:textId="0170BC6C" w:rsidR="004734DB" w:rsidRPr="00CF77C1" w:rsidRDefault="004734DB" w:rsidP="0080044B">
            <w:pPr>
              <w:tabs>
                <w:tab w:val="left" w:pos="2552"/>
              </w:tabs>
              <w:jc w:val="center"/>
              <w:rPr>
                <w:lang w:val="sr-Cyrl-RS"/>
              </w:rPr>
            </w:pPr>
            <w:r w:rsidRPr="00CF77C1">
              <w:rPr>
                <w:lang w:val="sr-Cyrl-RS"/>
              </w:rPr>
              <w:t>2020. година</w:t>
            </w:r>
          </w:p>
        </w:tc>
        <w:tc>
          <w:tcPr>
            <w:tcW w:w="1857" w:type="dxa"/>
            <w:vAlign w:val="center"/>
          </w:tcPr>
          <w:p w14:paraId="45D5FACE" w14:textId="6335E230" w:rsidR="004734DB" w:rsidRPr="00CF77C1" w:rsidRDefault="004734DB" w:rsidP="004734D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OEI_Mera_7_broj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7.</w:t>
            </w:r>
            <w:r w:rsidRPr="00CF77C1">
              <w:rPr>
                <w:lang w:val="sr-Cyrl-RS"/>
              </w:rPr>
              <w:fldChar w:fldCharType="end"/>
            </w:r>
          </w:p>
        </w:tc>
      </w:tr>
      <w:tr w:rsidR="004734DB" w:rsidRPr="00CF77C1" w14:paraId="32C43F5D" w14:textId="77777777" w:rsidTr="000B77FC">
        <w:trPr>
          <w:cantSplit/>
          <w:trHeight w:val="20"/>
        </w:trPr>
        <w:tc>
          <w:tcPr>
            <w:tcW w:w="895" w:type="dxa"/>
            <w:vAlign w:val="center"/>
          </w:tcPr>
          <w:p w14:paraId="49C3F95A" w14:textId="79CFE989" w:rsidR="004734DB" w:rsidRPr="00CF77C1" w:rsidRDefault="004734DB" w:rsidP="0080044B">
            <w:pPr>
              <w:jc w:val="center"/>
              <w:rPr>
                <w:lang w:val="sr-Cyrl-RS"/>
              </w:rPr>
            </w:pPr>
            <w:r w:rsidRPr="00CF77C1">
              <w:rPr>
                <w:lang w:val="sr-Cyrl-RS"/>
              </w:rPr>
              <w:t>15.</w:t>
            </w:r>
          </w:p>
        </w:tc>
        <w:tc>
          <w:tcPr>
            <w:tcW w:w="4180" w:type="dxa"/>
            <w:vAlign w:val="center"/>
          </w:tcPr>
          <w:p w14:paraId="7E41BCB2" w14:textId="5E930D03" w:rsidR="004734DB" w:rsidRPr="00CF77C1" w:rsidRDefault="004734DB" w:rsidP="0080044B">
            <w:pPr>
              <w:jc w:val="left"/>
              <w:rPr>
                <w:lang w:val="sr-Cyrl-RS"/>
              </w:rPr>
            </w:pPr>
            <w:r w:rsidRPr="00CF77C1">
              <w:rPr>
                <w:lang w:val="sr-Cyrl-RS"/>
              </w:rPr>
              <w:t>Оснивање радне групе са задатком да испита могућности и ограничења пореских или других финансијских подстицаја за подстицање производње биогорива из домаћих ресурса и изради предлог конкретног модела за подстицаје</w:t>
            </w:r>
          </w:p>
        </w:tc>
        <w:tc>
          <w:tcPr>
            <w:tcW w:w="2835" w:type="dxa"/>
            <w:vAlign w:val="center"/>
          </w:tcPr>
          <w:p w14:paraId="3AF0F20C" w14:textId="4E039313" w:rsidR="004734DB" w:rsidRPr="00CF77C1" w:rsidRDefault="00AC627E" w:rsidP="000B094C">
            <w:pPr>
              <w:jc w:val="center"/>
              <w:rPr>
                <w:lang w:val="sr-Cyrl-RS"/>
              </w:rPr>
            </w:pPr>
            <w:r w:rsidRPr="00CF77C1">
              <w:rPr>
                <w:lang w:val="sr-Cyrl-RS"/>
              </w:rPr>
              <w:t>м</w:t>
            </w:r>
            <w:r w:rsidR="004734DB" w:rsidRPr="00CF77C1">
              <w:rPr>
                <w:lang w:val="sr-Cyrl-RS"/>
              </w:rPr>
              <w:t xml:space="preserve">инистарство надлежно за послове рударства и енергетике, </w:t>
            </w:r>
            <w:r w:rsidR="00183BB8" w:rsidRPr="00CF77C1">
              <w:rPr>
                <w:lang w:val="sr-Cyrl-RS"/>
              </w:rPr>
              <w:t>м</w:t>
            </w:r>
            <w:r w:rsidR="000B094C">
              <w:rPr>
                <w:lang w:val="sr-Cyrl-RS"/>
              </w:rPr>
              <w:t>инистарства надлежна</w:t>
            </w:r>
            <w:r w:rsidR="00183BB8" w:rsidRPr="00CF77C1">
              <w:rPr>
                <w:lang w:val="sr-Cyrl-RS"/>
              </w:rPr>
              <w:t xml:space="preserve"> за послове пољопривреде</w:t>
            </w:r>
            <w:r w:rsidR="000B094C">
              <w:rPr>
                <w:lang w:val="sr-Cyrl-RS"/>
              </w:rPr>
              <w:t xml:space="preserve"> и </w:t>
            </w:r>
            <w:r w:rsidR="00183BB8" w:rsidRPr="00CF77C1">
              <w:rPr>
                <w:lang w:val="sr-Cyrl-RS"/>
              </w:rPr>
              <w:t>заштите животне средине</w:t>
            </w:r>
            <w:r w:rsidR="004734DB" w:rsidRPr="00CF77C1">
              <w:rPr>
                <w:lang w:val="sr-Cyrl-RS"/>
              </w:rPr>
              <w:t>, министарство надлежно за послове финансија</w:t>
            </w:r>
          </w:p>
        </w:tc>
        <w:tc>
          <w:tcPr>
            <w:tcW w:w="3147" w:type="dxa"/>
            <w:vAlign w:val="center"/>
          </w:tcPr>
          <w:p w14:paraId="48829A17" w14:textId="0F0F5C1D" w:rsidR="004734DB" w:rsidRPr="00CF77C1" w:rsidRDefault="004734DB" w:rsidP="0080044B">
            <w:pPr>
              <w:jc w:val="center"/>
              <w:rPr>
                <w:lang w:val="sr-Cyrl-RS"/>
              </w:rPr>
            </w:pPr>
            <w:r w:rsidRPr="00CF77C1">
              <w:rPr>
                <w:lang w:val="sr-Cyrl-RS"/>
              </w:rPr>
              <w:t>Основана радна група</w:t>
            </w:r>
          </w:p>
        </w:tc>
        <w:tc>
          <w:tcPr>
            <w:tcW w:w="1800" w:type="dxa"/>
            <w:vAlign w:val="center"/>
          </w:tcPr>
          <w:p w14:paraId="555E3521" w14:textId="10A11357" w:rsidR="004734DB" w:rsidRPr="00CF77C1" w:rsidRDefault="004734DB" w:rsidP="0080044B">
            <w:pPr>
              <w:jc w:val="center"/>
              <w:rPr>
                <w:lang w:val="sr-Cyrl-RS"/>
              </w:rPr>
            </w:pPr>
            <w:r w:rsidRPr="00CF77C1">
              <w:rPr>
                <w:lang w:val="sr-Cyrl-RS"/>
              </w:rPr>
              <w:t>2018. година</w:t>
            </w:r>
          </w:p>
        </w:tc>
        <w:tc>
          <w:tcPr>
            <w:tcW w:w="1857" w:type="dxa"/>
            <w:vAlign w:val="center"/>
          </w:tcPr>
          <w:p w14:paraId="1A29057D" w14:textId="42B33FE3" w:rsidR="004734DB" w:rsidRPr="00CF77C1" w:rsidRDefault="004734DB" w:rsidP="004734DB">
            <w:pPr>
              <w:jc w:val="left"/>
              <w:rPr>
                <w:lang w:val="sr-Cyrl-RS"/>
              </w:rPr>
            </w:pPr>
            <w:r w:rsidRPr="00CF77C1">
              <w:rPr>
                <w:lang w:val="sr-Cyrl-RS"/>
              </w:rPr>
              <w:t xml:space="preserve">Мера бр. </w:t>
            </w:r>
            <w:r w:rsidRPr="00CF77C1">
              <w:rPr>
                <w:lang w:val="sr-Cyrl-RS"/>
              </w:rPr>
              <w:fldChar w:fldCharType="begin"/>
            </w:r>
            <w:r w:rsidRPr="00CF77C1">
              <w:rPr>
                <w:lang w:val="sr-Cyrl-RS"/>
              </w:rPr>
              <w:instrText xml:space="preserve"> REF OEI_Mera_8_broj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CF77C1">
              <w:rPr>
                <w:lang w:val="sr-Cyrl-RS"/>
              </w:rPr>
              <w:t>8.</w:t>
            </w:r>
            <w:r w:rsidRPr="00CF77C1">
              <w:rPr>
                <w:lang w:val="sr-Cyrl-RS"/>
              </w:rPr>
              <w:fldChar w:fldCharType="end"/>
            </w:r>
          </w:p>
        </w:tc>
      </w:tr>
      <w:tr w:rsidR="004734DB" w:rsidRPr="00CF77C1" w14:paraId="2BCFA8D2" w14:textId="77777777" w:rsidTr="000B77FC">
        <w:trPr>
          <w:cantSplit/>
          <w:trHeight w:val="20"/>
        </w:trPr>
        <w:tc>
          <w:tcPr>
            <w:tcW w:w="895" w:type="dxa"/>
            <w:vAlign w:val="center"/>
          </w:tcPr>
          <w:p w14:paraId="79BF3199" w14:textId="5C33E1EE" w:rsidR="004734DB" w:rsidRPr="00CF77C1" w:rsidRDefault="00E41D32" w:rsidP="0080044B">
            <w:pPr>
              <w:jc w:val="center"/>
              <w:rPr>
                <w:lang w:val="sr-Cyrl-RS"/>
              </w:rPr>
            </w:pPr>
            <w:r w:rsidRPr="00CF77C1">
              <w:rPr>
                <w:lang w:val="sr-Cyrl-RS"/>
              </w:rPr>
              <w:t>16</w:t>
            </w:r>
            <w:r w:rsidR="004734DB" w:rsidRPr="00CF77C1">
              <w:rPr>
                <w:lang w:val="sr-Cyrl-RS"/>
              </w:rPr>
              <w:t>.</w:t>
            </w:r>
          </w:p>
        </w:tc>
        <w:tc>
          <w:tcPr>
            <w:tcW w:w="4180" w:type="dxa"/>
            <w:vAlign w:val="center"/>
          </w:tcPr>
          <w:p w14:paraId="36DEB730" w14:textId="03D76E42" w:rsidR="004734DB" w:rsidRPr="00CF77C1" w:rsidRDefault="004734DB" w:rsidP="0080044B">
            <w:pPr>
              <w:jc w:val="left"/>
              <w:rPr>
                <w:lang w:val="sr-Cyrl-RS"/>
              </w:rPr>
            </w:pPr>
            <w:r w:rsidRPr="00CF77C1">
              <w:rPr>
                <w:lang w:val="sr-Cyrl-RS"/>
              </w:rPr>
              <w:t>Оснивање радне групе са задатком да испита могућности, оправданост и ограничења подстицаја коришћења електричних возила и изради предлог конкретног модела за подстицаје</w:t>
            </w:r>
          </w:p>
        </w:tc>
        <w:tc>
          <w:tcPr>
            <w:tcW w:w="2835" w:type="dxa"/>
            <w:vAlign w:val="center"/>
          </w:tcPr>
          <w:p w14:paraId="192688FA" w14:textId="2C1A10DF" w:rsidR="004734DB" w:rsidRPr="00CF77C1" w:rsidRDefault="00AC627E" w:rsidP="00DD7B2C">
            <w:pPr>
              <w:jc w:val="center"/>
              <w:rPr>
                <w:lang w:val="sr-Cyrl-RS"/>
              </w:rPr>
            </w:pPr>
            <w:r w:rsidRPr="00CF77C1">
              <w:rPr>
                <w:lang w:val="sr-Cyrl-RS"/>
              </w:rPr>
              <w:t>м</w:t>
            </w:r>
            <w:r w:rsidR="004734DB" w:rsidRPr="00CF77C1">
              <w:rPr>
                <w:lang w:val="sr-Cyrl-RS"/>
              </w:rPr>
              <w:t>инистарство надлежно за послове рударства и енергетике, министарство надлежно за послове саобраћаја, министарство надлежно за послове финансија</w:t>
            </w:r>
          </w:p>
        </w:tc>
        <w:tc>
          <w:tcPr>
            <w:tcW w:w="3147" w:type="dxa"/>
            <w:vAlign w:val="center"/>
          </w:tcPr>
          <w:p w14:paraId="76619ECE" w14:textId="55916745" w:rsidR="004734DB" w:rsidRPr="00CF77C1" w:rsidRDefault="004734DB" w:rsidP="0080044B">
            <w:pPr>
              <w:jc w:val="center"/>
              <w:rPr>
                <w:lang w:val="sr-Cyrl-RS"/>
              </w:rPr>
            </w:pPr>
            <w:r w:rsidRPr="00CF77C1">
              <w:rPr>
                <w:lang w:val="sr-Cyrl-RS"/>
              </w:rPr>
              <w:t>Основана радна група</w:t>
            </w:r>
          </w:p>
        </w:tc>
        <w:tc>
          <w:tcPr>
            <w:tcW w:w="1800" w:type="dxa"/>
            <w:vAlign w:val="center"/>
          </w:tcPr>
          <w:p w14:paraId="1A1649B0" w14:textId="7FE525C4" w:rsidR="004734DB" w:rsidRPr="00CF77C1" w:rsidRDefault="004734DB" w:rsidP="0080044B">
            <w:pPr>
              <w:jc w:val="center"/>
              <w:rPr>
                <w:lang w:val="sr-Cyrl-RS"/>
              </w:rPr>
            </w:pPr>
            <w:r w:rsidRPr="00CF77C1">
              <w:rPr>
                <w:lang w:val="sr-Cyrl-RS"/>
              </w:rPr>
              <w:t>2018. година</w:t>
            </w:r>
          </w:p>
        </w:tc>
        <w:tc>
          <w:tcPr>
            <w:tcW w:w="1857" w:type="dxa"/>
            <w:vAlign w:val="center"/>
          </w:tcPr>
          <w:p w14:paraId="64159A5C" w14:textId="0055FD72" w:rsidR="004734DB" w:rsidRPr="00CF77C1" w:rsidRDefault="004734DB" w:rsidP="004C1311">
            <w:pPr>
              <w:jc w:val="left"/>
              <w:rPr>
                <w:lang w:val="sr-Cyrl-RS"/>
              </w:rPr>
            </w:pPr>
            <w:r w:rsidRPr="00CF77C1">
              <w:rPr>
                <w:lang w:val="sr-Cyrl-RS"/>
              </w:rPr>
              <w:t xml:space="preserve">Мера бр. </w:t>
            </w:r>
            <w:r w:rsidR="004C1311" w:rsidRPr="00CF77C1">
              <w:rPr>
                <w:lang w:val="sr-Cyrl-RS"/>
              </w:rPr>
              <w:fldChar w:fldCharType="begin"/>
            </w:r>
            <w:r w:rsidR="004C1311" w:rsidRPr="00CF77C1">
              <w:rPr>
                <w:lang w:val="sr-Cyrl-RS"/>
              </w:rPr>
              <w:instrText xml:space="preserve"> REF OEI_Mera_9_broj \h </w:instrText>
            </w:r>
            <w:r w:rsidR="007838AB"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9.</w:t>
            </w:r>
            <w:r w:rsidR="004C1311" w:rsidRPr="00CF77C1">
              <w:rPr>
                <w:lang w:val="sr-Cyrl-RS"/>
              </w:rPr>
              <w:fldChar w:fldCharType="end"/>
            </w:r>
          </w:p>
        </w:tc>
      </w:tr>
      <w:tr w:rsidR="004734DB" w:rsidRPr="00CF77C1" w14:paraId="0ADF3295" w14:textId="77777777" w:rsidTr="000B77FC">
        <w:trPr>
          <w:cantSplit/>
          <w:trHeight w:val="20"/>
        </w:trPr>
        <w:tc>
          <w:tcPr>
            <w:tcW w:w="895" w:type="dxa"/>
            <w:vAlign w:val="center"/>
          </w:tcPr>
          <w:p w14:paraId="77857C0A" w14:textId="356EDD4C" w:rsidR="004734DB" w:rsidRPr="00CF77C1" w:rsidRDefault="00E41D32" w:rsidP="0080044B">
            <w:pPr>
              <w:jc w:val="center"/>
              <w:rPr>
                <w:lang w:val="sr-Cyrl-RS"/>
              </w:rPr>
            </w:pPr>
            <w:r w:rsidRPr="00CF77C1">
              <w:rPr>
                <w:lang w:val="sr-Cyrl-RS"/>
              </w:rPr>
              <w:t>17</w:t>
            </w:r>
            <w:r w:rsidR="004734DB" w:rsidRPr="00CF77C1">
              <w:rPr>
                <w:lang w:val="sr-Cyrl-RS"/>
              </w:rPr>
              <w:t>.</w:t>
            </w:r>
          </w:p>
        </w:tc>
        <w:tc>
          <w:tcPr>
            <w:tcW w:w="4180" w:type="dxa"/>
            <w:vAlign w:val="center"/>
          </w:tcPr>
          <w:p w14:paraId="56F47129" w14:textId="18CF4B72" w:rsidR="004734DB" w:rsidRPr="00CF77C1" w:rsidRDefault="004734DB" w:rsidP="00DD7B2C">
            <w:pPr>
              <w:jc w:val="left"/>
              <w:rPr>
                <w:lang w:val="sr-Cyrl-RS"/>
              </w:rPr>
            </w:pPr>
            <w:r w:rsidRPr="00CF77C1">
              <w:rPr>
                <w:lang w:val="sr-Cyrl-RS"/>
              </w:rPr>
              <w:t>Израда студије са предлогом оптималног решења уклапања потрошње електричних возила у дневне дијаграме производње електричне енергије са анализом ефеката интеграције електричног транспорта у национални енергетски систем која може послужити као основ за увођење подстицаја и за израду прописа.</w:t>
            </w:r>
          </w:p>
        </w:tc>
        <w:tc>
          <w:tcPr>
            <w:tcW w:w="2835" w:type="dxa"/>
            <w:vAlign w:val="center"/>
          </w:tcPr>
          <w:p w14:paraId="7AA61087" w14:textId="7BAEC58D" w:rsidR="004734DB" w:rsidRPr="00CF77C1" w:rsidRDefault="004734DB" w:rsidP="0080044B">
            <w:pPr>
              <w:jc w:val="center"/>
              <w:rPr>
                <w:lang w:val="sr-Cyrl-RS"/>
              </w:rPr>
            </w:pPr>
            <w:r w:rsidRPr="00CF77C1">
              <w:rPr>
                <w:lang w:val="sr-Cyrl-RS"/>
              </w:rPr>
              <w:t>Оператор дистрибутивног система, ЕПС</w:t>
            </w:r>
          </w:p>
        </w:tc>
        <w:tc>
          <w:tcPr>
            <w:tcW w:w="3147" w:type="dxa"/>
            <w:vAlign w:val="center"/>
          </w:tcPr>
          <w:p w14:paraId="4FD4F4B1" w14:textId="0E6DC3F1" w:rsidR="004734DB" w:rsidRPr="00CF77C1" w:rsidRDefault="004734DB" w:rsidP="0080044B">
            <w:pPr>
              <w:jc w:val="center"/>
              <w:rPr>
                <w:lang w:val="sr-Cyrl-RS"/>
              </w:rPr>
            </w:pPr>
            <w:r w:rsidRPr="00CF77C1">
              <w:rPr>
                <w:lang w:val="sr-Cyrl-RS"/>
              </w:rPr>
              <w:t>Израђена студија са предлогом оптималног решења уклапања потрошње електричних возила у дневне дијаграме производње електричне енергије</w:t>
            </w:r>
          </w:p>
        </w:tc>
        <w:tc>
          <w:tcPr>
            <w:tcW w:w="1800" w:type="dxa"/>
            <w:vAlign w:val="center"/>
          </w:tcPr>
          <w:p w14:paraId="37BC08A3" w14:textId="2402B1EB" w:rsidR="004734DB" w:rsidRPr="00CF77C1" w:rsidRDefault="004734DB" w:rsidP="0080044B">
            <w:pPr>
              <w:jc w:val="center"/>
              <w:rPr>
                <w:lang w:val="sr-Cyrl-RS"/>
              </w:rPr>
            </w:pPr>
            <w:r w:rsidRPr="00CF77C1">
              <w:rPr>
                <w:lang w:val="sr-Cyrl-RS"/>
              </w:rPr>
              <w:t>2019. година</w:t>
            </w:r>
          </w:p>
        </w:tc>
        <w:tc>
          <w:tcPr>
            <w:tcW w:w="1857" w:type="dxa"/>
            <w:vAlign w:val="center"/>
          </w:tcPr>
          <w:p w14:paraId="43A422FE" w14:textId="67C6BC38" w:rsidR="004734DB" w:rsidRPr="00CF77C1" w:rsidRDefault="004734DB" w:rsidP="004734DB">
            <w:pPr>
              <w:jc w:val="left"/>
              <w:rPr>
                <w:lang w:val="sr-Cyrl-RS"/>
              </w:rPr>
            </w:pPr>
            <w:r w:rsidRPr="00CF77C1">
              <w:rPr>
                <w:lang w:val="sr-Cyrl-RS"/>
              </w:rPr>
              <w:t xml:space="preserve">Мера бр. </w:t>
            </w:r>
            <w:r w:rsidR="004C1311" w:rsidRPr="00CF77C1">
              <w:rPr>
                <w:lang w:val="sr-Cyrl-RS"/>
              </w:rPr>
              <w:fldChar w:fldCharType="begin"/>
            </w:r>
            <w:r w:rsidR="004C1311" w:rsidRPr="00CF77C1">
              <w:rPr>
                <w:lang w:val="sr-Cyrl-RS"/>
              </w:rPr>
              <w:instrText xml:space="preserve"> REF OEI_Mera_9_broj \h </w:instrText>
            </w:r>
            <w:r w:rsidR="007838AB"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9.</w:t>
            </w:r>
            <w:r w:rsidR="004C1311" w:rsidRPr="00CF77C1">
              <w:rPr>
                <w:lang w:val="sr-Cyrl-RS"/>
              </w:rPr>
              <w:fldChar w:fldCharType="end"/>
            </w:r>
          </w:p>
        </w:tc>
      </w:tr>
      <w:tr w:rsidR="004734DB" w:rsidRPr="00CF77C1" w14:paraId="648265D4" w14:textId="77777777" w:rsidTr="000B77FC">
        <w:trPr>
          <w:cantSplit/>
          <w:trHeight w:val="20"/>
        </w:trPr>
        <w:tc>
          <w:tcPr>
            <w:tcW w:w="895" w:type="dxa"/>
            <w:vAlign w:val="center"/>
          </w:tcPr>
          <w:p w14:paraId="588C3B42" w14:textId="0DB088E1" w:rsidR="004734DB" w:rsidRPr="00CF77C1" w:rsidRDefault="00E41D32" w:rsidP="0080044B">
            <w:pPr>
              <w:jc w:val="center"/>
              <w:rPr>
                <w:lang w:val="sr-Cyrl-RS"/>
              </w:rPr>
            </w:pPr>
            <w:r w:rsidRPr="00CF77C1">
              <w:rPr>
                <w:lang w:val="sr-Cyrl-RS"/>
              </w:rPr>
              <w:t>18</w:t>
            </w:r>
            <w:r w:rsidR="004734DB" w:rsidRPr="00CF77C1">
              <w:rPr>
                <w:lang w:val="sr-Cyrl-RS"/>
              </w:rPr>
              <w:t>.</w:t>
            </w:r>
          </w:p>
        </w:tc>
        <w:tc>
          <w:tcPr>
            <w:tcW w:w="4180" w:type="dxa"/>
            <w:vAlign w:val="center"/>
          </w:tcPr>
          <w:p w14:paraId="16CA2AF2" w14:textId="2C7D1CA9" w:rsidR="004734DB" w:rsidRPr="00CF77C1" w:rsidRDefault="004734DB" w:rsidP="00DD7B2C">
            <w:pPr>
              <w:jc w:val="left"/>
              <w:rPr>
                <w:lang w:val="sr-Cyrl-RS"/>
              </w:rPr>
            </w:pPr>
            <w:r w:rsidRPr="00CF77C1">
              <w:rPr>
                <w:lang w:val="sr-Cyrl-RS"/>
              </w:rPr>
              <w:t>Оснивање радне групе са задатком да сагледа могућност и предложи начин увођења наставе у школске програме у области ОИЕ, медијске промоције значаја ОИЕ и научних открића у области ОИЕ.</w:t>
            </w:r>
          </w:p>
        </w:tc>
        <w:tc>
          <w:tcPr>
            <w:tcW w:w="2835" w:type="dxa"/>
            <w:vAlign w:val="center"/>
          </w:tcPr>
          <w:p w14:paraId="64DE42D4" w14:textId="3201BE62" w:rsidR="004734DB" w:rsidRPr="00CF77C1" w:rsidRDefault="00AC627E" w:rsidP="0080044B">
            <w:pPr>
              <w:jc w:val="center"/>
              <w:rPr>
                <w:lang w:val="sr-Cyrl-RS"/>
              </w:rPr>
            </w:pPr>
            <w:r w:rsidRPr="00CF77C1">
              <w:rPr>
                <w:lang w:val="sr-Cyrl-RS"/>
              </w:rPr>
              <w:t>м</w:t>
            </w:r>
            <w:r w:rsidR="004734DB" w:rsidRPr="00CF77C1">
              <w:rPr>
                <w:lang w:val="sr-Cyrl-RS"/>
              </w:rPr>
              <w:t>инистарство надлежно за послове рударства и енергетике, министарство надлежно за послове просвете, науке и технолошког развоја, минис</w:t>
            </w:r>
            <w:r w:rsidR="00B65C3A">
              <w:rPr>
                <w:lang w:val="sr-Cyrl-RS"/>
              </w:rPr>
              <w:t>тарство надлежно за послове кул</w:t>
            </w:r>
            <w:r w:rsidR="004734DB" w:rsidRPr="00CF77C1">
              <w:rPr>
                <w:lang w:val="sr-Cyrl-RS"/>
              </w:rPr>
              <w:t>туре и информисања</w:t>
            </w:r>
          </w:p>
        </w:tc>
        <w:tc>
          <w:tcPr>
            <w:tcW w:w="3147" w:type="dxa"/>
            <w:vAlign w:val="center"/>
          </w:tcPr>
          <w:p w14:paraId="3DB6B2B5" w14:textId="55568264" w:rsidR="004734DB" w:rsidRPr="00CF77C1" w:rsidRDefault="004734DB" w:rsidP="0080044B">
            <w:pPr>
              <w:jc w:val="center"/>
              <w:rPr>
                <w:lang w:val="sr-Cyrl-RS"/>
              </w:rPr>
            </w:pPr>
            <w:r w:rsidRPr="00CF77C1">
              <w:rPr>
                <w:lang w:val="sr-Cyrl-RS"/>
              </w:rPr>
              <w:t>Основана радна група</w:t>
            </w:r>
          </w:p>
        </w:tc>
        <w:tc>
          <w:tcPr>
            <w:tcW w:w="1800" w:type="dxa"/>
            <w:vAlign w:val="center"/>
          </w:tcPr>
          <w:p w14:paraId="24F28E9D" w14:textId="24AC0BEF" w:rsidR="004734DB" w:rsidRPr="00CF77C1" w:rsidRDefault="004734DB" w:rsidP="0080044B">
            <w:pPr>
              <w:jc w:val="center"/>
              <w:rPr>
                <w:lang w:val="sr-Cyrl-RS"/>
              </w:rPr>
            </w:pPr>
            <w:r w:rsidRPr="00CF77C1">
              <w:rPr>
                <w:lang w:val="sr-Cyrl-RS"/>
              </w:rPr>
              <w:t>2018. година</w:t>
            </w:r>
          </w:p>
        </w:tc>
        <w:tc>
          <w:tcPr>
            <w:tcW w:w="1857" w:type="dxa"/>
            <w:vAlign w:val="center"/>
          </w:tcPr>
          <w:p w14:paraId="0855F41B" w14:textId="3F9E4F25" w:rsidR="004734DB" w:rsidRPr="00CF77C1" w:rsidRDefault="004734DB" w:rsidP="004C1311">
            <w:pPr>
              <w:jc w:val="left"/>
              <w:rPr>
                <w:lang w:val="sr-Cyrl-RS"/>
              </w:rPr>
            </w:pPr>
            <w:r w:rsidRPr="00CF77C1">
              <w:rPr>
                <w:lang w:val="sr-Cyrl-RS"/>
              </w:rPr>
              <w:t xml:space="preserve">Мера бр. </w:t>
            </w:r>
            <w:r w:rsidR="004C1311" w:rsidRPr="00CF77C1">
              <w:rPr>
                <w:lang w:val="sr-Cyrl-RS"/>
              </w:rPr>
              <w:fldChar w:fldCharType="begin"/>
            </w:r>
            <w:r w:rsidR="004C1311" w:rsidRPr="00CF77C1">
              <w:rPr>
                <w:lang w:val="sr-Cyrl-RS"/>
              </w:rPr>
              <w:instrText xml:space="preserve"> REF OEI_Mera_10_broj \h </w:instrText>
            </w:r>
            <w:r w:rsidR="00D04CF1"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10.</w:t>
            </w:r>
            <w:r w:rsidR="004C1311" w:rsidRPr="00CF77C1">
              <w:rPr>
                <w:lang w:val="sr-Cyrl-RS"/>
              </w:rPr>
              <w:fldChar w:fldCharType="end"/>
            </w:r>
          </w:p>
        </w:tc>
      </w:tr>
      <w:tr w:rsidR="004734DB" w:rsidRPr="00CF77C1" w14:paraId="297E8805" w14:textId="77777777" w:rsidTr="000B77FC">
        <w:trPr>
          <w:cantSplit/>
          <w:trHeight w:val="20"/>
        </w:trPr>
        <w:tc>
          <w:tcPr>
            <w:tcW w:w="895" w:type="dxa"/>
            <w:vAlign w:val="center"/>
          </w:tcPr>
          <w:p w14:paraId="798974CB" w14:textId="03D6F693" w:rsidR="004734DB" w:rsidRPr="00CF77C1" w:rsidRDefault="00E41D32" w:rsidP="0080044B">
            <w:pPr>
              <w:jc w:val="center"/>
              <w:rPr>
                <w:lang w:val="sr-Cyrl-RS"/>
              </w:rPr>
            </w:pPr>
            <w:r w:rsidRPr="00CF77C1">
              <w:rPr>
                <w:lang w:val="sr-Cyrl-RS"/>
              </w:rPr>
              <w:t>19</w:t>
            </w:r>
            <w:r w:rsidR="004734DB" w:rsidRPr="00CF77C1">
              <w:rPr>
                <w:lang w:val="sr-Cyrl-RS"/>
              </w:rPr>
              <w:t>.</w:t>
            </w:r>
          </w:p>
        </w:tc>
        <w:tc>
          <w:tcPr>
            <w:tcW w:w="4180" w:type="dxa"/>
            <w:vAlign w:val="center"/>
          </w:tcPr>
          <w:p w14:paraId="29527679" w14:textId="4E91B7A3" w:rsidR="004734DB" w:rsidRPr="00CF77C1" w:rsidRDefault="004734DB" w:rsidP="0080044B">
            <w:pPr>
              <w:jc w:val="left"/>
              <w:rPr>
                <w:lang w:val="sr-Cyrl-RS"/>
              </w:rPr>
            </w:pPr>
            <w:r w:rsidRPr="00CF77C1">
              <w:rPr>
                <w:lang w:val="sr-Cyrl-RS"/>
              </w:rPr>
              <w:t>Припрема националне интернет платформе о ОИЕ у</w:t>
            </w:r>
            <w:r w:rsidR="00185B50" w:rsidRPr="00CF77C1">
              <w:rPr>
                <w:lang w:val="sr-Cyrl-RS"/>
              </w:rPr>
              <w:t xml:space="preserve"> Републици</w:t>
            </w:r>
            <w:r w:rsidRPr="00CF77C1">
              <w:rPr>
                <w:lang w:val="sr-Cyrl-RS"/>
              </w:rPr>
              <w:t xml:space="preserve"> Србији са апликацијом за мобилне телефоне</w:t>
            </w:r>
          </w:p>
        </w:tc>
        <w:tc>
          <w:tcPr>
            <w:tcW w:w="2835" w:type="dxa"/>
            <w:vAlign w:val="center"/>
          </w:tcPr>
          <w:p w14:paraId="5B97DAFE" w14:textId="37D1E76B" w:rsidR="004734DB" w:rsidRPr="00CF77C1" w:rsidRDefault="004734DB" w:rsidP="004F45A1">
            <w:pPr>
              <w:jc w:val="center"/>
              <w:rPr>
                <w:lang w:val="sr-Cyrl-RS"/>
              </w:rPr>
            </w:pPr>
            <w:r w:rsidRPr="00CF77C1">
              <w:rPr>
                <w:lang w:val="sr-Cyrl-RS"/>
              </w:rPr>
              <w:t>Привредна комора Србије, министарство надлежно за послове рударства и енергетике</w:t>
            </w:r>
          </w:p>
        </w:tc>
        <w:tc>
          <w:tcPr>
            <w:tcW w:w="3147" w:type="dxa"/>
            <w:vAlign w:val="center"/>
          </w:tcPr>
          <w:p w14:paraId="6BB936B6" w14:textId="547007F2" w:rsidR="004734DB" w:rsidRPr="00CF77C1" w:rsidRDefault="004734DB" w:rsidP="0080044B">
            <w:pPr>
              <w:tabs>
                <w:tab w:val="left" w:pos="2552"/>
              </w:tabs>
              <w:jc w:val="center"/>
              <w:rPr>
                <w:lang w:val="sr-Cyrl-RS"/>
              </w:rPr>
            </w:pPr>
            <w:r w:rsidRPr="00CF77C1">
              <w:rPr>
                <w:lang w:val="sr-Cyrl-RS"/>
              </w:rPr>
              <w:t>Постављена национална интернет платформа о ОИЕ (Зелени портал)</w:t>
            </w:r>
          </w:p>
        </w:tc>
        <w:tc>
          <w:tcPr>
            <w:tcW w:w="1800" w:type="dxa"/>
            <w:vAlign w:val="center"/>
          </w:tcPr>
          <w:p w14:paraId="3B74C84C" w14:textId="2E324865" w:rsidR="004734DB" w:rsidRPr="00CF77C1" w:rsidRDefault="004734DB" w:rsidP="0080044B">
            <w:pPr>
              <w:tabs>
                <w:tab w:val="left" w:pos="2552"/>
              </w:tabs>
              <w:jc w:val="center"/>
              <w:rPr>
                <w:lang w:val="sr-Cyrl-RS"/>
              </w:rPr>
            </w:pPr>
            <w:r w:rsidRPr="00CF77C1">
              <w:rPr>
                <w:lang w:val="sr-Cyrl-RS"/>
              </w:rPr>
              <w:t>2018. година</w:t>
            </w:r>
          </w:p>
        </w:tc>
        <w:tc>
          <w:tcPr>
            <w:tcW w:w="1857" w:type="dxa"/>
            <w:vAlign w:val="center"/>
          </w:tcPr>
          <w:p w14:paraId="0A34DFE8" w14:textId="599390A8" w:rsidR="004734DB" w:rsidRPr="00CF77C1" w:rsidRDefault="004734DB" w:rsidP="0080044B">
            <w:pPr>
              <w:jc w:val="left"/>
              <w:rPr>
                <w:lang w:val="sr-Cyrl-RS"/>
              </w:rPr>
            </w:pPr>
            <w:r w:rsidRPr="00CF77C1">
              <w:rPr>
                <w:lang w:val="sr-Cyrl-RS"/>
              </w:rPr>
              <w:t xml:space="preserve">Мера бр. </w:t>
            </w:r>
            <w:r w:rsidR="004C1311" w:rsidRPr="00CF77C1">
              <w:rPr>
                <w:lang w:val="sr-Cyrl-RS"/>
              </w:rPr>
              <w:fldChar w:fldCharType="begin"/>
            </w:r>
            <w:r w:rsidR="004C1311" w:rsidRPr="00CF77C1">
              <w:rPr>
                <w:lang w:val="sr-Cyrl-RS"/>
              </w:rPr>
              <w:instrText xml:space="preserve"> REF OEI_Mera_10_broj \h </w:instrText>
            </w:r>
            <w:r w:rsidR="007838AB"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10.</w:t>
            </w:r>
            <w:r w:rsidR="004C1311" w:rsidRPr="00CF77C1">
              <w:rPr>
                <w:lang w:val="sr-Cyrl-RS"/>
              </w:rPr>
              <w:fldChar w:fldCharType="end"/>
            </w:r>
          </w:p>
        </w:tc>
      </w:tr>
      <w:tr w:rsidR="004734DB" w:rsidRPr="00CF77C1" w14:paraId="32BCD3BF" w14:textId="77777777" w:rsidTr="000B77FC">
        <w:trPr>
          <w:cantSplit/>
          <w:trHeight w:val="20"/>
        </w:trPr>
        <w:tc>
          <w:tcPr>
            <w:tcW w:w="895" w:type="dxa"/>
            <w:vAlign w:val="center"/>
          </w:tcPr>
          <w:p w14:paraId="7634FF41" w14:textId="58D6BF62" w:rsidR="004734DB" w:rsidRPr="00CF77C1" w:rsidRDefault="00E41D32" w:rsidP="0080044B">
            <w:pPr>
              <w:jc w:val="center"/>
              <w:rPr>
                <w:lang w:val="sr-Cyrl-RS"/>
              </w:rPr>
            </w:pPr>
            <w:r w:rsidRPr="00CF77C1">
              <w:rPr>
                <w:lang w:val="sr-Cyrl-RS"/>
              </w:rPr>
              <w:t>20</w:t>
            </w:r>
            <w:r w:rsidR="004734DB" w:rsidRPr="00CF77C1">
              <w:rPr>
                <w:lang w:val="sr-Cyrl-RS"/>
              </w:rPr>
              <w:t>.</w:t>
            </w:r>
          </w:p>
        </w:tc>
        <w:tc>
          <w:tcPr>
            <w:tcW w:w="4180" w:type="dxa"/>
            <w:vAlign w:val="center"/>
          </w:tcPr>
          <w:p w14:paraId="6A315FD7" w14:textId="37A12F3A" w:rsidR="004734DB" w:rsidRPr="00CF77C1" w:rsidRDefault="004734DB" w:rsidP="0080044B">
            <w:pPr>
              <w:jc w:val="left"/>
              <w:rPr>
                <w:lang w:val="sr-Cyrl-RS"/>
              </w:rPr>
            </w:pPr>
            <w:r w:rsidRPr="00CF77C1">
              <w:rPr>
                <w:lang w:val="sr-Cyrl-RS"/>
              </w:rPr>
              <w:t>Припрема Водича за грађане о значају ОИЕ и могућностима њиховог инвестирања у ОИЕ</w:t>
            </w:r>
          </w:p>
        </w:tc>
        <w:tc>
          <w:tcPr>
            <w:tcW w:w="2835" w:type="dxa"/>
            <w:vAlign w:val="center"/>
          </w:tcPr>
          <w:p w14:paraId="0336A56F" w14:textId="0818214B" w:rsidR="004734DB" w:rsidRPr="00CF77C1" w:rsidRDefault="00AC627E" w:rsidP="00A876FF">
            <w:pPr>
              <w:jc w:val="center"/>
              <w:rPr>
                <w:lang w:val="sr-Cyrl-RS"/>
              </w:rPr>
            </w:pPr>
            <w:r w:rsidRPr="00CF77C1">
              <w:rPr>
                <w:lang w:val="sr-Cyrl-RS"/>
              </w:rPr>
              <w:t>м</w:t>
            </w:r>
            <w:r w:rsidR="004734DB" w:rsidRPr="00CF77C1">
              <w:rPr>
                <w:lang w:val="sr-Cyrl-RS"/>
              </w:rPr>
              <w:t>инистарство надлежно за послове рударства и енергетике</w:t>
            </w:r>
          </w:p>
        </w:tc>
        <w:tc>
          <w:tcPr>
            <w:tcW w:w="3147" w:type="dxa"/>
            <w:vAlign w:val="center"/>
          </w:tcPr>
          <w:p w14:paraId="62753D22" w14:textId="24672FCF" w:rsidR="004734DB" w:rsidRPr="00CF77C1" w:rsidRDefault="004734DB" w:rsidP="0080044B">
            <w:pPr>
              <w:tabs>
                <w:tab w:val="left" w:pos="2552"/>
              </w:tabs>
              <w:jc w:val="center"/>
              <w:rPr>
                <w:lang w:val="sr-Cyrl-RS"/>
              </w:rPr>
            </w:pPr>
            <w:r w:rsidRPr="00CF77C1">
              <w:rPr>
                <w:lang w:val="sr-Cyrl-RS"/>
              </w:rPr>
              <w:t>Припремљени Водичи за грађане</w:t>
            </w:r>
          </w:p>
        </w:tc>
        <w:tc>
          <w:tcPr>
            <w:tcW w:w="1800" w:type="dxa"/>
            <w:vAlign w:val="center"/>
          </w:tcPr>
          <w:p w14:paraId="46B728D4" w14:textId="4BAD9668" w:rsidR="004734DB" w:rsidRPr="00CF77C1" w:rsidRDefault="004734DB" w:rsidP="0080044B">
            <w:pPr>
              <w:jc w:val="center"/>
              <w:rPr>
                <w:lang w:val="sr-Cyrl-RS"/>
              </w:rPr>
            </w:pPr>
            <w:r w:rsidRPr="00CF77C1">
              <w:rPr>
                <w:lang w:val="sr-Cyrl-RS"/>
              </w:rPr>
              <w:t>2019. година</w:t>
            </w:r>
          </w:p>
        </w:tc>
        <w:tc>
          <w:tcPr>
            <w:tcW w:w="1857" w:type="dxa"/>
            <w:vAlign w:val="center"/>
          </w:tcPr>
          <w:p w14:paraId="7BA637EF" w14:textId="5EE01839" w:rsidR="004734DB" w:rsidRPr="00CF77C1" w:rsidRDefault="004734DB" w:rsidP="004734DB">
            <w:pPr>
              <w:jc w:val="left"/>
              <w:rPr>
                <w:lang w:val="sr-Cyrl-RS"/>
              </w:rPr>
            </w:pPr>
            <w:r w:rsidRPr="00CF77C1">
              <w:rPr>
                <w:lang w:val="sr-Cyrl-RS"/>
              </w:rPr>
              <w:t xml:space="preserve">Мера бр. </w:t>
            </w:r>
            <w:r w:rsidR="004C1311" w:rsidRPr="00CF77C1">
              <w:rPr>
                <w:lang w:val="sr-Cyrl-RS"/>
              </w:rPr>
              <w:fldChar w:fldCharType="begin"/>
            </w:r>
            <w:r w:rsidR="004C1311" w:rsidRPr="00CF77C1">
              <w:rPr>
                <w:lang w:val="sr-Cyrl-RS"/>
              </w:rPr>
              <w:instrText xml:space="preserve"> REF OEI_Mera_10_broj \h </w:instrText>
            </w:r>
            <w:r w:rsidR="007838AB"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10.</w:t>
            </w:r>
            <w:r w:rsidR="004C1311" w:rsidRPr="00CF77C1">
              <w:rPr>
                <w:lang w:val="sr-Cyrl-RS"/>
              </w:rPr>
              <w:fldChar w:fldCharType="end"/>
            </w:r>
          </w:p>
        </w:tc>
      </w:tr>
      <w:tr w:rsidR="004734DB" w:rsidRPr="00CF77C1" w14:paraId="1412F296" w14:textId="77777777" w:rsidTr="000B77FC">
        <w:trPr>
          <w:cantSplit/>
          <w:trHeight w:val="20"/>
        </w:trPr>
        <w:tc>
          <w:tcPr>
            <w:tcW w:w="895" w:type="dxa"/>
            <w:vAlign w:val="center"/>
          </w:tcPr>
          <w:p w14:paraId="11140D0C" w14:textId="5E0F99DC" w:rsidR="004734DB" w:rsidRPr="00CF77C1" w:rsidRDefault="00E41D32" w:rsidP="0080044B">
            <w:pPr>
              <w:jc w:val="center"/>
              <w:rPr>
                <w:lang w:val="sr-Cyrl-RS"/>
              </w:rPr>
            </w:pPr>
            <w:r w:rsidRPr="00CF77C1">
              <w:rPr>
                <w:lang w:val="sr-Cyrl-RS"/>
              </w:rPr>
              <w:t>21</w:t>
            </w:r>
            <w:r w:rsidR="004734DB" w:rsidRPr="00CF77C1">
              <w:rPr>
                <w:lang w:val="sr-Cyrl-RS"/>
              </w:rPr>
              <w:t>.</w:t>
            </w:r>
          </w:p>
        </w:tc>
        <w:tc>
          <w:tcPr>
            <w:tcW w:w="4180" w:type="dxa"/>
            <w:vAlign w:val="center"/>
          </w:tcPr>
          <w:p w14:paraId="494543D9" w14:textId="5567A132" w:rsidR="004734DB" w:rsidRPr="00CF77C1" w:rsidRDefault="004734DB" w:rsidP="00DD7B2C">
            <w:pPr>
              <w:jc w:val="left"/>
              <w:rPr>
                <w:lang w:val="sr-Cyrl-RS"/>
              </w:rPr>
            </w:pPr>
            <w:r w:rsidRPr="00CF77C1">
              <w:rPr>
                <w:lang w:val="sr-Cyrl-RS"/>
              </w:rPr>
              <w:t>Оснивање радне групе са задатком да испита могућности и ограничења за финансирање иновација и промотивних пројеката у области ОИЕ и изради предлог конкретног модела финансијске подршке иновационим и промотивним пројектима</w:t>
            </w:r>
          </w:p>
        </w:tc>
        <w:tc>
          <w:tcPr>
            <w:tcW w:w="2835" w:type="dxa"/>
            <w:vAlign w:val="center"/>
          </w:tcPr>
          <w:p w14:paraId="0148C868" w14:textId="11AE5483" w:rsidR="004734DB" w:rsidRPr="00CF77C1" w:rsidRDefault="00AC627E" w:rsidP="0080044B">
            <w:pPr>
              <w:jc w:val="center"/>
              <w:rPr>
                <w:lang w:val="sr-Cyrl-RS"/>
              </w:rPr>
            </w:pPr>
            <w:r w:rsidRPr="00CF77C1">
              <w:rPr>
                <w:lang w:val="sr-Cyrl-RS"/>
              </w:rPr>
              <w:t>м</w:t>
            </w:r>
            <w:r w:rsidR="004734DB" w:rsidRPr="00CF77C1">
              <w:rPr>
                <w:lang w:val="sr-Cyrl-RS"/>
              </w:rPr>
              <w:t>инистарство надлежно за послове рударства и енергетике, министарство надлежно за послове просвете, науке и технолошког развоја</w:t>
            </w:r>
          </w:p>
        </w:tc>
        <w:tc>
          <w:tcPr>
            <w:tcW w:w="3147" w:type="dxa"/>
            <w:vAlign w:val="center"/>
          </w:tcPr>
          <w:p w14:paraId="603CF8D3" w14:textId="09EE6C5F" w:rsidR="004734DB" w:rsidRPr="00CF77C1" w:rsidRDefault="004734DB" w:rsidP="0080044B">
            <w:pPr>
              <w:jc w:val="center"/>
              <w:rPr>
                <w:lang w:val="sr-Cyrl-RS"/>
              </w:rPr>
            </w:pPr>
            <w:r w:rsidRPr="00CF77C1">
              <w:rPr>
                <w:lang w:val="sr-Cyrl-RS"/>
              </w:rPr>
              <w:t>Основана радна група</w:t>
            </w:r>
          </w:p>
        </w:tc>
        <w:tc>
          <w:tcPr>
            <w:tcW w:w="1800" w:type="dxa"/>
            <w:vAlign w:val="center"/>
          </w:tcPr>
          <w:p w14:paraId="1E229597" w14:textId="2EC8C866" w:rsidR="004734DB" w:rsidRPr="00CF77C1" w:rsidRDefault="004734DB" w:rsidP="0080044B">
            <w:pPr>
              <w:jc w:val="center"/>
              <w:rPr>
                <w:lang w:val="sr-Cyrl-RS"/>
              </w:rPr>
            </w:pPr>
            <w:r w:rsidRPr="00CF77C1">
              <w:rPr>
                <w:lang w:val="sr-Cyrl-RS"/>
              </w:rPr>
              <w:t>2018. година</w:t>
            </w:r>
          </w:p>
        </w:tc>
        <w:tc>
          <w:tcPr>
            <w:tcW w:w="1857" w:type="dxa"/>
            <w:vAlign w:val="center"/>
          </w:tcPr>
          <w:p w14:paraId="2FD1861E" w14:textId="6B5446DA" w:rsidR="004734DB" w:rsidRPr="00CF77C1" w:rsidRDefault="004734DB" w:rsidP="004C1311">
            <w:pPr>
              <w:jc w:val="left"/>
            </w:pPr>
            <w:r w:rsidRPr="00CF77C1">
              <w:rPr>
                <w:lang w:val="sr-Cyrl-RS"/>
              </w:rPr>
              <w:t xml:space="preserve">Мера бр. </w:t>
            </w:r>
            <w:r w:rsidR="004C1311" w:rsidRPr="00CF77C1">
              <w:rPr>
                <w:lang w:val="sr-Cyrl-RS"/>
              </w:rPr>
              <w:fldChar w:fldCharType="begin"/>
            </w:r>
            <w:r w:rsidR="004C1311" w:rsidRPr="00CF77C1">
              <w:rPr>
                <w:lang w:val="sr-Cyrl-RS"/>
              </w:rPr>
              <w:instrText xml:space="preserve"> REF OEI_Mera_11_broj \h </w:instrText>
            </w:r>
            <w:r w:rsidR="007838AB"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11.</w:t>
            </w:r>
            <w:r w:rsidR="004C1311" w:rsidRPr="00CF77C1">
              <w:rPr>
                <w:lang w:val="sr-Cyrl-RS"/>
              </w:rPr>
              <w:fldChar w:fldCharType="end"/>
            </w:r>
            <w:r w:rsidR="004C1311" w:rsidRPr="00CF77C1">
              <w:t xml:space="preserve"> </w:t>
            </w:r>
          </w:p>
        </w:tc>
      </w:tr>
      <w:tr w:rsidR="004734DB" w:rsidRPr="00CF77C1" w14:paraId="25E7A9CD" w14:textId="77777777" w:rsidTr="000B77FC">
        <w:trPr>
          <w:cantSplit/>
          <w:trHeight w:val="20"/>
        </w:trPr>
        <w:tc>
          <w:tcPr>
            <w:tcW w:w="895" w:type="dxa"/>
            <w:vAlign w:val="center"/>
          </w:tcPr>
          <w:p w14:paraId="35F1151F" w14:textId="33F7A62F" w:rsidR="004734DB" w:rsidRPr="00CF77C1" w:rsidRDefault="00E41D32" w:rsidP="0080044B">
            <w:pPr>
              <w:jc w:val="center"/>
              <w:rPr>
                <w:lang w:val="sr-Cyrl-RS"/>
              </w:rPr>
            </w:pPr>
            <w:r w:rsidRPr="00CF77C1">
              <w:rPr>
                <w:lang w:val="sr-Cyrl-RS"/>
              </w:rPr>
              <w:t>22</w:t>
            </w:r>
            <w:r w:rsidR="004734DB" w:rsidRPr="00CF77C1">
              <w:rPr>
                <w:lang w:val="sr-Cyrl-RS"/>
              </w:rPr>
              <w:t>.</w:t>
            </w:r>
          </w:p>
        </w:tc>
        <w:tc>
          <w:tcPr>
            <w:tcW w:w="4180" w:type="dxa"/>
            <w:vAlign w:val="center"/>
          </w:tcPr>
          <w:p w14:paraId="7CC41BAD" w14:textId="5568CF94" w:rsidR="004734DB" w:rsidRPr="00CF77C1" w:rsidRDefault="004734DB" w:rsidP="00A876FF">
            <w:pPr>
              <w:tabs>
                <w:tab w:val="left" w:pos="2552"/>
              </w:tabs>
              <w:jc w:val="left"/>
              <w:rPr>
                <w:lang w:val="sr-Cyrl-RS"/>
              </w:rPr>
            </w:pPr>
            <w:r w:rsidRPr="00CF77C1">
              <w:rPr>
                <w:lang w:val="sr-Cyrl-RS"/>
              </w:rPr>
              <w:t>Оснивање радне групе са задатком да идентификује проблеме у вези спровођења административних процедура у области ОИЕ и размотри могућност примене електронске услуге портала Е-управе</w:t>
            </w:r>
          </w:p>
        </w:tc>
        <w:tc>
          <w:tcPr>
            <w:tcW w:w="2835" w:type="dxa"/>
            <w:vAlign w:val="center"/>
          </w:tcPr>
          <w:p w14:paraId="0A66BEC0" w14:textId="298B994C" w:rsidR="004734DB" w:rsidRPr="00CF77C1" w:rsidRDefault="00AC627E" w:rsidP="0080044B">
            <w:pPr>
              <w:jc w:val="center"/>
              <w:rPr>
                <w:lang w:val="sr-Cyrl-RS"/>
              </w:rPr>
            </w:pPr>
            <w:r w:rsidRPr="00CF77C1">
              <w:rPr>
                <w:lang w:val="sr-Cyrl-RS"/>
              </w:rPr>
              <w:t>м</w:t>
            </w:r>
            <w:r w:rsidR="004734DB" w:rsidRPr="00CF77C1">
              <w:rPr>
                <w:lang w:val="sr-Cyrl-RS"/>
              </w:rPr>
              <w:t>инистарство надлежно за послове рударства и енергетике, министарство надлежно за послове грађевинарства, саобраћаја и инфраструктуре, министарство надлежно за послове државне управе и локалне самоуправе</w:t>
            </w:r>
          </w:p>
        </w:tc>
        <w:tc>
          <w:tcPr>
            <w:tcW w:w="3147" w:type="dxa"/>
            <w:vAlign w:val="center"/>
          </w:tcPr>
          <w:p w14:paraId="22B08BD1" w14:textId="02AD7486" w:rsidR="004734DB" w:rsidRPr="00CF77C1" w:rsidRDefault="004734DB" w:rsidP="0080044B">
            <w:pPr>
              <w:tabs>
                <w:tab w:val="left" w:pos="2552"/>
              </w:tabs>
              <w:jc w:val="center"/>
              <w:rPr>
                <w:lang w:val="sr-Cyrl-RS"/>
              </w:rPr>
            </w:pPr>
            <w:r w:rsidRPr="00CF77C1">
              <w:rPr>
                <w:lang w:val="sr-Cyrl-RS"/>
              </w:rPr>
              <w:t>Основана радна група</w:t>
            </w:r>
          </w:p>
        </w:tc>
        <w:tc>
          <w:tcPr>
            <w:tcW w:w="1800" w:type="dxa"/>
            <w:vAlign w:val="center"/>
          </w:tcPr>
          <w:p w14:paraId="69F09003" w14:textId="47ED9917" w:rsidR="004734DB" w:rsidRPr="00CF77C1" w:rsidRDefault="004734DB" w:rsidP="0080044B">
            <w:pPr>
              <w:tabs>
                <w:tab w:val="left" w:pos="2552"/>
              </w:tabs>
              <w:jc w:val="center"/>
              <w:rPr>
                <w:lang w:val="sr-Cyrl-RS"/>
              </w:rPr>
            </w:pPr>
            <w:r w:rsidRPr="00CF77C1">
              <w:rPr>
                <w:lang w:val="sr-Cyrl-RS"/>
              </w:rPr>
              <w:t>2018. година</w:t>
            </w:r>
          </w:p>
        </w:tc>
        <w:tc>
          <w:tcPr>
            <w:tcW w:w="1857" w:type="dxa"/>
            <w:vAlign w:val="center"/>
          </w:tcPr>
          <w:p w14:paraId="4CD1C10B" w14:textId="42726FDE" w:rsidR="004734DB" w:rsidRPr="00CF77C1" w:rsidRDefault="004734DB" w:rsidP="004C1311">
            <w:pPr>
              <w:jc w:val="left"/>
              <w:rPr>
                <w:lang w:val="sr-Cyrl-RS"/>
              </w:rPr>
            </w:pPr>
            <w:r w:rsidRPr="00CF77C1">
              <w:rPr>
                <w:lang w:val="sr-Cyrl-RS"/>
              </w:rPr>
              <w:t xml:space="preserve">Мера бр. </w:t>
            </w:r>
            <w:r w:rsidR="004C1311" w:rsidRPr="00CF77C1">
              <w:rPr>
                <w:lang w:val="sr-Cyrl-RS"/>
              </w:rPr>
              <w:fldChar w:fldCharType="begin"/>
            </w:r>
            <w:r w:rsidR="004C1311" w:rsidRPr="00CF77C1">
              <w:rPr>
                <w:lang w:val="sr-Cyrl-RS"/>
              </w:rPr>
              <w:instrText xml:space="preserve"> REF OEI_Mera_12_broj \h </w:instrText>
            </w:r>
            <w:r w:rsidR="00D04CF1"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12.</w:t>
            </w:r>
            <w:r w:rsidR="004C1311" w:rsidRPr="00CF77C1">
              <w:rPr>
                <w:lang w:val="sr-Cyrl-RS"/>
              </w:rPr>
              <w:fldChar w:fldCharType="end"/>
            </w:r>
            <w:r w:rsidRPr="00CF77C1">
              <w:rPr>
                <w:lang w:val="sr-Cyrl-RS"/>
              </w:rPr>
              <w:t xml:space="preserve"> </w:t>
            </w:r>
          </w:p>
        </w:tc>
      </w:tr>
      <w:tr w:rsidR="004734DB" w:rsidRPr="00CF77C1" w14:paraId="59EDF0A8" w14:textId="77777777" w:rsidTr="000B77FC">
        <w:trPr>
          <w:cantSplit/>
          <w:trHeight w:val="20"/>
        </w:trPr>
        <w:tc>
          <w:tcPr>
            <w:tcW w:w="895" w:type="dxa"/>
            <w:vAlign w:val="center"/>
          </w:tcPr>
          <w:p w14:paraId="4369D90A" w14:textId="7ECD6B8F" w:rsidR="004734DB" w:rsidRPr="00CF77C1" w:rsidRDefault="00E41D32" w:rsidP="0080044B">
            <w:pPr>
              <w:jc w:val="center"/>
              <w:rPr>
                <w:lang w:val="sr-Cyrl-RS"/>
              </w:rPr>
            </w:pPr>
            <w:r w:rsidRPr="00CF77C1">
              <w:rPr>
                <w:lang w:val="sr-Cyrl-RS"/>
              </w:rPr>
              <w:t>23</w:t>
            </w:r>
            <w:r w:rsidR="004734DB" w:rsidRPr="00CF77C1">
              <w:rPr>
                <w:lang w:val="sr-Cyrl-RS"/>
              </w:rPr>
              <w:t>.</w:t>
            </w:r>
          </w:p>
        </w:tc>
        <w:tc>
          <w:tcPr>
            <w:tcW w:w="4180" w:type="dxa"/>
            <w:vAlign w:val="center"/>
          </w:tcPr>
          <w:p w14:paraId="4EB83DFB" w14:textId="57E0A6B7" w:rsidR="004734DB" w:rsidRPr="00CF77C1" w:rsidRDefault="004734DB" w:rsidP="001304DE">
            <w:pPr>
              <w:jc w:val="left"/>
              <w:rPr>
                <w:lang w:val="sr-Cyrl-RS"/>
              </w:rPr>
            </w:pPr>
            <w:r w:rsidRPr="00CF77C1">
              <w:rPr>
                <w:lang w:val="sr-Cyrl-RS"/>
              </w:rPr>
              <w:t>Припрема подлога за израду НАПОИЕ на основу предлога и резултата анализа добијени</w:t>
            </w:r>
            <w:r w:rsidR="001304DE">
              <w:rPr>
                <w:lang w:val="sr-Cyrl-RS"/>
              </w:rPr>
              <w:t xml:space="preserve">х из активности </w:t>
            </w:r>
            <w:r w:rsidR="0024482A">
              <w:rPr>
                <w:lang w:val="sr-Cyrl-RS"/>
              </w:rPr>
              <w:t>ред.</w:t>
            </w:r>
            <w:r w:rsidR="001304DE">
              <w:rPr>
                <w:lang w:val="sr-Cyrl-RS"/>
              </w:rPr>
              <w:t xml:space="preserve"> бр. 1-21</w:t>
            </w:r>
            <w:r w:rsidRPr="00CF77C1">
              <w:rPr>
                <w:lang w:val="sr-Cyrl-RS"/>
              </w:rPr>
              <w:t xml:space="preserve"> </w:t>
            </w:r>
            <w:r w:rsidR="001304DE">
              <w:rPr>
                <w:lang w:val="sr-Cyrl-RS"/>
              </w:rPr>
              <w:t>ове табеле</w:t>
            </w:r>
          </w:p>
        </w:tc>
        <w:tc>
          <w:tcPr>
            <w:tcW w:w="2835" w:type="dxa"/>
            <w:vAlign w:val="center"/>
          </w:tcPr>
          <w:p w14:paraId="0D2EAEDD" w14:textId="5DAD17F7" w:rsidR="004734DB" w:rsidRPr="00CF77C1" w:rsidRDefault="00AC627E" w:rsidP="0080044B">
            <w:pPr>
              <w:jc w:val="center"/>
              <w:rPr>
                <w:lang w:val="sr-Cyrl-RS"/>
              </w:rPr>
            </w:pPr>
            <w:r w:rsidRPr="00CF77C1">
              <w:rPr>
                <w:lang w:val="sr-Cyrl-RS"/>
              </w:rPr>
              <w:t>Влада</w:t>
            </w:r>
            <w:r w:rsidR="004734DB" w:rsidRPr="00CF77C1">
              <w:rPr>
                <w:lang w:val="sr-Cyrl-RS"/>
              </w:rPr>
              <w:t>, министарство надлежно за послове рударства и енергетике</w:t>
            </w:r>
          </w:p>
        </w:tc>
        <w:tc>
          <w:tcPr>
            <w:tcW w:w="3147" w:type="dxa"/>
            <w:vAlign w:val="center"/>
          </w:tcPr>
          <w:p w14:paraId="52F6FE3F" w14:textId="5A00288C" w:rsidR="004734DB" w:rsidRPr="00CF77C1" w:rsidRDefault="004734DB" w:rsidP="0080044B">
            <w:pPr>
              <w:tabs>
                <w:tab w:val="left" w:pos="2552"/>
              </w:tabs>
              <w:jc w:val="center"/>
              <w:rPr>
                <w:lang w:val="sr-Cyrl-RS"/>
              </w:rPr>
            </w:pPr>
            <w:r w:rsidRPr="00CF77C1">
              <w:rPr>
                <w:lang w:val="sr-Cyrl-RS"/>
              </w:rPr>
              <w:t>Усвојен НАПОИЕ</w:t>
            </w:r>
          </w:p>
        </w:tc>
        <w:tc>
          <w:tcPr>
            <w:tcW w:w="1800" w:type="dxa"/>
            <w:vAlign w:val="center"/>
          </w:tcPr>
          <w:p w14:paraId="688485EF" w14:textId="20091D3B" w:rsidR="004734DB" w:rsidRPr="00CF77C1" w:rsidRDefault="004734DB" w:rsidP="0080044B">
            <w:pPr>
              <w:tabs>
                <w:tab w:val="left" w:pos="2552"/>
              </w:tabs>
              <w:jc w:val="center"/>
              <w:rPr>
                <w:lang w:val="sr-Cyrl-RS"/>
              </w:rPr>
            </w:pPr>
            <w:r w:rsidRPr="00CF77C1">
              <w:rPr>
                <w:lang w:val="sr-Cyrl-RS"/>
              </w:rPr>
              <w:t>2020. година</w:t>
            </w:r>
          </w:p>
        </w:tc>
        <w:tc>
          <w:tcPr>
            <w:tcW w:w="1857" w:type="dxa"/>
            <w:vAlign w:val="center"/>
          </w:tcPr>
          <w:p w14:paraId="3F1313DE" w14:textId="43343315" w:rsidR="004734DB" w:rsidRPr="00CF77C1" w:rsidRDefault="004734DB" w:rsidP="00710C5E">
            <w:pPr>
              <w:jc w:val="left"/>
              <w:rPr>
                <w:lang w:val="sr-Cyrl-RS"/>
              </w:rPr>
            </w:pPr>
            <w:r w:rsidRPr="00CF77C1">
              <w:rPr>
                <w:lang w:val="sr-Cyrl-RS"/>
              </w:rPr>
              <w:t xml:space="preserve">Мере бр. </w:t>
            </w:r>
            <w:r w:rsidR="00710C5E">
              <w:rPr>
                <w:lang w:val="sr-Cyrl-RS"/>
              </w:rPr>
              <w:t xml:space="preserve">1 </w:t>
            </w:r>
            <w:r w:rsidRPr="00CF77C1">
              <w:rPr>
                <w:lang w:val="sr-Cyrl-RS"/>
              </w:rPr>
              <w:t xml:space="preserve">- </w:t>
            </w:r>
            <w:r w:rsidR="004C1311" w:rsidRPr="00CF77C1">
              <w:rPr>
                <w:lang w:val="sr-Cyrl-RS"/>
              </w:rPr>
              <w:fldChar w:fldCharType="begin"/>
            </w:r>
            <w:r w:rsidR="004C1311" w:rsidRPr="00CF77C1">
              <w:rPr>
                <w:lang w:val="sr-Cyrl-RS"/>
              </w:rPr>
              <w:instrText xml:space="preserve"> REF OEI_Mera_13_broj \h </w:instrText>
            </w:r>
            <w:r w:rsidR="007838AB"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13.</w:t>
            </w:r>
            <w:r w:rsidR="004C1311" w:rsidRPr="00CF77C1">
              <w:rPr>
                <w:lang w:val="sr-Cyrl-RS"/>
              </w:rPr>
              <w:fldChar w:fldCharType="end"/>
            </w:r>
          </w:p>
        </w:tc>
      </w:tr>
      <w:tr w:rsidR="004734DB" w:rsidRPr="00CF77C1" w14:paraId="753B0B71" w14:textId="77777777" w:rsidTr="000B77FC">
        <w:trPr>
          <w:cantSplit/>
          <w:trHeight w:val="20"/>
        </w:trPr>
        <w:tc>
          <w:tcPr>
            <w:tcW w:w="895" w:type="dxa"/>
            <w:vAlign w:val="center"/>
          </w:tcPr>
          <w:p w14:paraId="1836420A" w14:textId="3020CD07" w:rsidR="004734DB" w:rsidRPr="00CF77C1" w:rsidRDefault="00E41D32" w:rsidP="0080044B">
            <w:pPr>
              <w:jc w:val="center"/>
              <w:rPr>
                <w:lang w:val="sr-Cyrl-RS"/>
              </w:rPr>
            </w:pPr>
            <w:r w:rsidRPr="00CF77C1">
              <w:rPr>
                <w:lang w:val="sr-Cyrl-RS"/>
              </w:rPr>
              <w:t>24</w:t>
            </w:r>
            <w:r w:rsidR="004734DB" w:rsidRPr="00CF77C1">
              <w:rPr>
                <w:lang w:val="sr-Cyrl-RS"/>
              </w:rPr>
              <w:t>.</w:t>
            </w:r>
          </w:p>
        </w:tc>
        <w:tc>
          <w:tcPr>
            <w:tcW w:w="4180" w:type="dxa"/>
            <w:vAlign w:val="center"/>
          </w:tcPr>
          <w:p w14:paraId="74902769" w14:textId="78C2D4C6" w:rsidR="004734DB" w:rsidRPr="00CF77C1" w:rsidRDefault="004734DB" w:rsidP="00323095">
            <w:pPr>
              <w:jc w:val="left"/>
              <w:rPr>
                <w:lang w:val="sr-Cyrl-RS"/>
              </w:rPr>
            </w:pPr>
            <w:r w:rsidRPr="00CF77C1">
              <w:rPr>
                <w:lang w:val="sr-Cyrl-RS"/>
              </w:rPr>
              <w:t>Израда нацрта прописа којим се мењају постојећи прописи у области ОИЕ</w:t>
            </w:r>
          </w:p>
        </w:tc>
        <w:tc>
          <w:tcPr>
            <w:tcW w:w="2835" w:type="dxa"/>
            <w:vAlign w:val="center"/>
          </w:tcPr>
          <w:p w14:paraId="5944E6AC" w14:textId="1ED61534" w:rsidR="004734DB" w:rsidRPr="00CF77C1" w:rsidRDefault="00AC627E" w:rsidP="0080044B">
            <w:pPr>
              <w:jc w:val="center"/>
              <w:rPr>
                <w:lang w:val="sr-Cyrl-RS"/>
              </w:rPr>
            </w:pPr>
            <w:r w:rsidRPr="00CF77C1">
              <w:rPr>
                <w:lang w:val="sr-Cyrl-RS"/>
              </w:rPr>
              <w:t>Влада</w:t>
            </w:r>
            <w:r w:rsidR="004734DB" w:rsidRPr="00CF77C1">
              <w:rPr>
                <w:lang w:val="sr-Cyrl-RS"/>
              </w:rPr>
              <w:t>, министарство надлежно за послове рударства и енергетике и друга министарства у зависности од надлежности</w:t>
            </w:r>
          </w:p>
        </w:tc>
        <w:tc>
          <w:tcPr>
            <w:tcW w:w="3147" w:type="dxa"/>
            <w:vAlign w:val="center"/>
          </w:tcPr>
          <w:p w14:paraId="43523451" w14:textId="1F60BF16" w:rsidR="004734DB" w:rsidRPr="00CF77C1" w:rsidRDefault="004734DB" w:rsidP="00323095">
            <w:pPr>
              <w:jc w:val="center"/>
              <w:rPr>
                <w:lang w:val="sr-Cyrl-RS"/>
              </w:rPr>
            </w:pPr>
            <w:r w:rsidRPr="00CF77C1">
              <w:rPr>
                <w:lang w:val="sr-Cyrl-RS"/>
              </w:rPr>
              <w:t>Измењени прописи у области ОИЕ на основу резултата свеобухватних анализа</w:t>
            </w:r>
          </w:p>
        </w:tc>
        <w:tc>
          <w:tcPr>
            <w:tcW w:w="1800" w:type="dxa"/>
            <w:vAlign w:val="center"/>
          </w:tcPr>
          <w:p w14:paraId="43ADED7A" w14:textId="189EC54B" w:rsidR="004734DB" w:rsidRPr="00CF77C1" w:rsidRDefault="004734DB" w:rsidP="0080044B">
            <w:pPr>
              <w:tabs>
                <w:tab w:val="left" w:pos="2552"/>
              </w:tabs>
              <w:jc w:val="center"/>
              <w:rPr>
                <w:lang w:val="sr-Cyrl-RS"/>
              </w:rPr>
            </w:pPr>
            <w:r w:rsidRPr="00CF77C1">
              <w:rPr>
                <w:lang w:val="sr-Cyrl-RS"/>
              </w:rPr>
              <w:t>Континуално у складу са другим активностима</w:t>
            </w:r>
          </w:p>
        </w:tc>
        <w:tc>
          <w:tcPr>
            <w:tcW w:w="1857" w:type="dxa"/>
            <w:vAlign w:val="center"/>
          </w:tcPr>
          <w:p w14:paraId="027C4A4D" w14:textId="28ED2C78" w:rsidR="004734DB" w:rsidRPr="00CF77C1" w:rsidRDefault="004734DB" w:rsidP="00710C5E">
            <w:pPr>
              <w:jc w:val="left"/>
              <w:rPr>
                <w:lang w:val="sr-Cyrl-RS"/>
              </w:rPr>
            </w:pPr>
            <w:r w:rsidRPr="00CF77C1">
              <w:rPr>
                <w:lang w:val="sr-Cyrl-RS"/>
              </w:rPr>
              <w:t xml:space="preserve">Мере бр. </w:t>
            </w:r>
            <w:r w:rsidR="00710C5E">
              <w:rPr>
                <w:lang w:val="sr-Cyrl-RS"/>
              </w:rPr>
              <w:t xml:space="preserve">1 </w:t>
            </w:r>
            <w:r w:rsidRPr="00CF77C1">
              <w:rPr>
                <w:lang w:val="sr-Cyrl-RS"/>
              </w:rPr>
              <w:t xml:space="preserve">- </w:t>
            </w:r>
            <w:r w:rsidR="004C1311" w:rsidRPr="00CF77C1">
              <w:rPr>
                <w:lang w:val="sr-Cyrl-RS"/>
              </w:rPr>
              <w:fldChar w:fldCharType="begin"/>
            </w:r>
            <w:r w:rsidR="004C1311" w:rsidRPr="00CF77C1">
              <w:rPr>
                <w:lang w:val="sr-Cyrl-RS"/>
              </w:rPr>
              <w:instrText xml:space="preserve"> REF OEI_Mera_13_broj \h </w:instrText>
            </w:r>
            <w:r w:rsidR="00E75CA8" w:rsidRPr="00CF77C1">
              <w:rPr>
                <w:lang w:val="sr-Cyrl-RS"/>
              </w:rPr>
              <w:instrText xml:space="preserve"> \* MERGEFORMAT </w:instrText>
            </w:r>
            <w:r w:rsidR="004C1311" w:rsidRPr="00CF77C1">
              <w:rPr>
                <w:lang w:val="sr-Cyrl-RS"/>
              </w:rPr>
            </w:r>
            <w:r w:rsidR="004C1311" w:rsidRPr="00CF77C1">
              <w:rPr>
                <w:lang w:val="sr-Cyrl-RS"/>
              </w:rPr>
              <w:fldChar w:fldCharType="separate"/>
            </w:r>
            <w:r w:rsidR="002D5918" w:rsidRPr="00CF77C1">
              <w:rPr>
                <w:lang w:val="sr-Cyrl-RS"/>
              </w:rPr>
              <w:t>13.</w:t>
            </w:r>
            <w:r w:rsidR="004C1311" w:rsidRPr="00CF77C1">
              <w:rPr>
                <w:lang w:val="sr-Cyrl-RS"/>
              </w:rPr>
              <w:fldChar w:fldCharType="end"/>
            </w:r>
            <w:r w:rsidRPr="00CF77C1">
              <w:rPr>
                <w:lang w:val="sr-Cyrl-RS"/>
              </w:rPr>
              <w:t xml:space="preserve"> </w:t>
            </w:r>
          </w:p>
        </w:tc>
      </w:tr>
    </w:tbl>
    <w:p w14:paraId="4ADB7CD7" w14:textId="77777777" w:rsidR="00D24347" w:rsidRPr="00CF77C1" w:rsidRDefault="00D24347" w:rsidP="0080044B">
      <w:pPr>
        <w:rPr>
          <w:lang w:val="sr-Cyrl-RS"/>
        </w:rPr>
      </w:pPr>
    </w:p>
    <w:p w14:paraId="615119D2" w14:textId="77777777" w:rsidR="0075721A" w:rsidRPr="00CF77C1" w:rsidRDefault="0075721A" w:rsidP="0080044B">
      <w:pPr>
        <w:rPr>
          <w:lang w:val="sr-Cyrl-RS"/>
        </w:rPr>
        <w:sectPr w:rsidR="0075721A" w:rsidRPr="00CF77C1" w:rsidSect="00017454">
          <w:headerReference w:type="default" r:id="rId60"/>
          <w:footerReference w:type="even" r:id="rId61"/>
          <w:footerReference w:type="default" r:id="rId62"/>
          <w:pgSz w:w="16839" w:h="11907" w:orient="landscape" w:code="9"/>
          <w:pgMar w:top="1418" w:right="1134" w:bottom="1134" w:left="1134" w:header="1004" w:footer="720" w:gutter="0"/>
          <w:cols w:space="720"/>
          <w:docGrid w:linePitch="360"/>
        </w:sectPr>
      </w:pPr>
    </w:p>
    <w:p w14:paraId="7F5885B2" w14:textId="176D67F1" w:rsidR="00D640C0" w:rsidRPr="00CF77C1" w:rsidRDefault="00141BA0" w:rsidP="00141BA0">
      <w:pPr>
        <w:pStyle w:val="Heading3"/>
        <w:numPr>
          <w:ilvl w:val="0"/>
          <w:numId w:val="0"/>
        </w:numPr>
        <w:ind w:firstLine="720"/>
        <w:rPr>
          <w:b w:val="0"/>
          <w:lang w:val="sr-Cyrl-RS"/>
        </w:rPr>
      </w:pPr>
      <w:bookmarkStart w:id="105" w:name="_Toc484260297"/>
      <w:r w:rsidRPr="00CF77C1">
        <w:rPr>
          <w:b w:val="0"/>
          <w:lang w:val="sr-Cyrl-RS"/>
        </w:rPr>
        <w:t xml:space="preserve">3.3.3. </w:t>
      </w:r>
      <w:r w:rsidR="00D640C0" w:rsidRPr="00CF77C1">
        <w:rPr>
          <w:b w:val="0"/>
          <w:lang w:val="sr-Cyrl-RS"/>
        </w:rPr>
        <w:t>Листа пројеката у области обновљивих извора енергије</w:t>
      </w:r>
      <w:bookmarkEnd w:id="105"/>
      <w:r w:rsidRPr="00CF77C1">
        <w:rPr>
          <w:b w:val="0"/>
          <w:lang w:val="sr-Cyrl-RS"/>
        </w:rPr>
        <w:t xml:space="preserve"> </w:t>
      </w:r>
    </w:p>
    <w:p w14:paraId="0CE22B36" w14:textId="5C0E5EAC" w:rsidR="000818D0" w:rsidRPr="00CF77C1" w:rsidRDefault="000818D0" w:rsidP="00FC1656">
      <w:pPr>
        <w:ind w:right="180" w:firstLine="720"/>
        <w:rPr>
          <w:lang w:val="sr-Cyrl-RS"/>
        </w:rPr>
      </w:pPr>
      <w:r w:rsidRPr="00CF77C1">
        <w:rPr>
          <w:lang w:val="sr-Cyrl-RS"/>
        </w:rPr>
        <w:t xml:space="preserve">Област ОИЕ је карактеристична због веома разнолике листе субјеката који реализују појединачне пројекте у овој области, а </w:t>
      </w:r>
      <w:r w:rsidR="00221656" w:rsidRPr="00CF77C1">
        <w:rPr>
          <w:lang w:val="sr-Cyrl-RS"/>
        </w:rPr>
        <w:t>захваљујући којима</w:t>
      </w:r>
      <w:r w:rsidRPr="00CF77C1">
        <w:rPr>
          <w:lang w:val="sr-Cyrl-RS"/>
        </w:rPr>
        <w:t xml:space="preserve"> се остварују национални циљеви.</w:t>
      </w:r>
    </w:p>
    <w:p w14:paraId="5BA05E8D" w14:textId="2DEE9987" w:rsidR="000818D0" w:rsidRPr="00CF77C1" w:rsidRDefault="000818D0" w:rsidP="00FC1656">
      <w:pPr>
        <w:ind w:firstLine="539"/>
        <w:rPr>
          <w:lang w:val="sr-Cyrl-RS"/>
        </w:rPr>
      </w:pPr>
      <w:r w:rsidRPr="00CF77C1">
        <w:rPr>
          <w:lang w:val="sr-Cyrl-RS"/>
        </w:rPr>
        <w:t xml:space="preserve">Будући да су углавном у питању приватни инвеститори који реализују појединачне пројекте, не могу се обезбедити комплетне информације (извор средстава, статус припреме пројекта, недостајућа планска и техничка документација) у вези са појединачним пројектима као у случају осталих сектора. Из тог разлога овде се наводе само највећи пројекти. Већина пројеката </w:t>
      </w:r>
      <w:r w:rsidR="00221656" w:rsidRPr="00CF77C1">
        <w:rPr>
          <w:lang w:val="sr-Cyrl-RS"/>
        </w:rPr>
        <w:t>набројаних</w:t>
      </w:r>
      <w:r w:rsidRPr="00CF77C1">
        <w:rPr>
          <w:lang w:val="sr-Cyrl-RS"/>
        </w:rPr>
        <w:t xml:space="preserve"> у оквиру овог поглавља наведени су и у поглављима која се односе на област електричне енергије и област топлотне енергије, у складу са природом сваког пројекта и циљевима у наведеним областима чијем остварењу доприносе.</w:t>
      </w:r>
      <w:r w:rsidR="00141BA0" w:rsidRPr="00CF77C1">
        <w:rPr>
          <w:lang w:val="sr-Cyrl-RS"/>
        </w:rPr>
        <w:t xml:space="preserve"> </w:t>
      </w:r>
    </w:p>
    <w:p w14:paraId="315199B8" w14:textId="6A5B36AD" w:rsidR="00D640C0" w:rsidRPr="00CF77C1" w:rsidRDefault="00141BA0" w:rsidP="00141BA0">
      <w:pPr>
        <w:pStyle w:val="Heading3"/>
        <w:numPr>
          <w:ilvl w:val="0"/>
          <w:numId w:val="0"/>
        </w:numPr>
        <w:ind w:firstLine="720"/>
        <w:rPr>
          <w:b w:val="0"/>
          <w:lang w:val="sr-Cyrl-RS"/>
        </w:rPr>
      </w:pPr>
      <w:bookmarkStart w:id="106" w:name="_Ref476806050"/>
      <w:r w:rsidRPr="00CF77C1">
        <w:rPr>
          <w:b w:val="0"/>
          <w:lang w:val="sr-Cyrl-RS"/>
        </w:rPr>
        <w:t xml:space="preserve">П. 15. </w:t>
      </w:r>
      <w:r w:rsidR="00D640C0" w:rsidRPr="00CF77C1">
        <w:rPr>
          <w:b w:val="0"/>
          <w:lang w:val="sr-Cyrl-RS"/>
        </w:rPr>
        <w:t xml:space="preserve">Пројекат изградње нових ветроелектрана </w:t>
      </w:r>
      <w:r w:rsidR="00A96A47" w:rsidRPr="00CF77C1">
        <w:rPr>
          <w:b w:val="0"/>
          <w:lang w:val="sr-Cyrl-RS"/>
        </w:rPr>
        <w:t>на подручју Републике Србије за које су издати статуси привремених повлашћених произвођача укупне снаге до 500 MW</w:t>
      </w:r>
      <w:bookmarkEnd w:id="106"/>
    </w:p>
    <w:p w14:paraId="2282F10D" w14:textId="34D18E20" w:rsidR="00D640C0" w:rsidRPr="00CF77C1" w:rsidRDefault="00D640C0" w:rsidP="00141BA0">
      <w:pPr>
        <w:ind w:firstLine="720"/>
        <w:rPr>
          <w:lang w:val="sr-Latn-CS"/>
        </w:rPr>
      </w:pPr>
      <w:r w:rsidRPr="00CF77C1">
        <w:rPr>
          <w:lang w:val="sr-Cyrl-RS"/>
        </w:rPr>
        <w:t>Пројекат обухвата изградњу следећих објеката у периоду 2017-2023. година:</w:t>
      </w:r>
      <w:r w:rsidR="00FC1656" w:rsidRPr="00CF77C1">
        <w:rPr>
          <w:lang w:val="sr-Latn-CS"/>
        </w:rPr>
        <w:t xml:space="preserve"> </w:t>
      </w:r>
    </w:p>
    <w:p w14:paraId="146644F6" w14:textId="28B56327" w:rsidR="00D640C0" w:rsidRPr="00CF77C1" w:rsidRDefault="004D5F73" w:rsidP="003E39B4">
      <w:pPr>
        <w:pStyle w:val="ListParagraph"/>
        <w:numPr>
          <w:ilvl w:val="0"/>
          <w:numId w:val="29"/>
        </w:numPr>
        <w:spacing w:before="60" w:after="60"/>
        <w:ind w:left="0" w:firstLine="720"/>
        <w:contextualSpacing w:val="0"/>
        <w:rPr>
          <w:lang w:val="sr-Cyrl-RS"/>
        </w:rPr>
      </w:pPr>
      <w:r w:rsidRPr="00CF77C1">
        <w:rPr>
          <w:lang w:val="sr-Cyrl-RS"/>
        </w:rPr>
        <w:t>в</w:t>
      </w:r>
      <w:r w:rsidR="00D640C0" w:rsidRPr="00CF77C1">
        <w:rPr>
          <w:lang w:val="sr-Cyrl-RS"/>
        </w:rPr>
        <w:t>етро</w:t>
      </w:r>
      <w:r w:rsidR="004D5112" w:rsidRPr="00CF77C1">
        <w:rPr>
          <w:lang w:val="sr-Cyrl-RS"/>
        </w:rPr>
        <w:t>електрана</w:t>
      </w:r>
      <w:r w:rsidR="00D640C0" w:rsidRPr="00CF77C1">
        <w:rPr>
          <w:lang w:val="sr-Cyrl-RS"/>
        </w:rPr>
        <w:t xml:space="preserve"> Алибунар, до краја фебруара 2018. године, инсталисане снаге 42 MW, процењене годишње производње 100,8 GWh;</w:t>
      </w:r>
    </w:p>
    <w:p w14:paraId="32703E8D" w14:textId="2A99CEF2" w:rsidR="00D640C0" w:rsidRPr="00CF77C1" w:rsidRDefault="004D5F73" w:rsidP="003E39B4">
      <w:pPr>
        <w:pStyle w:val="ListParagraph"/>
        <w:numPr>
          <w:ilvl w:val="0"/>
          <w:numId w:val="29"/>
        </w:numPr>
        <w:spacing w:before="60" w:after="60"/>
        <w:ind w:left="0" w:firstLine="720"/>
        <w:contextualSpacing w:val="0"/>
        <w:rPr>
          <w:lang w:val="sr-Cyrl-RS"/>
        </w:rPr>
      </w:pPr>
      <w:r w:rsidRPr="00CF77C1">
        <w:rPr>
          <w:lang w:val="sr-Cyrl-RS"/>
        </w:rPr>
        <w:t>в</w:t>
      </w:r>
      <w:r w:rsidR="004D5112" w:rsidRPr="00CF77C1">
        <w:rPr>
          <w:lang w:val="sr-Cyrl-RS"/>
        </w:rPr>
        <w:t>етроелектрана</w:t>
      </w:r>
      <w:r w:rsidR="00D640C0" w:rsidRPr="00CF77C1">
        <w:rPr>
          <w:lang w:val="sr-Cyrl-RS"/>
        </w:rPr>
        <w:t xml:space="preserve"> Малибунар, до краја априла 2018. године, инсталисане снаге 8 MW, процењене годишње производње 19,2 GWh;</w:t>
      </w:r>
    </w:p>
    <w:p w14:paraId="171C6F02" w14:textId="1F8804B7" w:rsidR="00D640C0" w:rsidRPr="00CF77C1" w:rsidRDefault="004D5F73" w:rsidP="003E39B4">
      <w:pPr>
        <w:pStyle w:val="ListParagraph"/>
        <w:numPr>
          <w:ilvl w:val="0"/>
          <w:numId w:val="29"/>
        </w:numPr>
        <w:spacing w:before="60" w:after="60"/>
        <w:ind w:left="0" w:firstLine="720"/>
        <w:contextualSpacing w:val="0"/>
        <w:rPr>
          <w:lang w:val="sr-Cyrl-RS"/>
        </w:rPr>
      </w:pPr>
      <w:r w:rsidRPr="00CF77C1">
        <w:rPr>
          <w:lang w:val="sr-Cyrl-RS"/>
        </w:rPr>
        <w:t>в</w:t>
      </w:r>
      <w:r w:rsidR="004D5112" w:rsidRPr="00CF77C1">
        <w:rPr>
          <w:lang w:val="sr-Cyrl-RS"/>
        </w:rPr>
        <w:t>етроелектрана</w:t>
      </w:r>
      <w:r w:rsidR="00D640C0" w:rsidRPr="00CF77C1">
        <w:rPr>
          <w:lang w:val="sr-Cyrl-RS"/>
        </w:rPr>
        <w:t xml:space="preserve"> Пландиште 1, до краја новембра 2018. године, инсталисане снаге 102 MW, процењене годишње производње 244,8 GWh;</w:t>
      </w:r>
    </w:p>
    <w:p w14:paraId="38DB53A7" w14:textId="203DD08F" w:rsidR="00D640C0" w:rsidRPr="00CF77C1" w:rsidRDefault="004D5F73" w:rsidP="003E39B4">
      <w:pPr>
        <w:pStyle w:val="ListParagraph"/>
        <w:numPr>
          <w:ilvl w:val="0"/>
          <w:numId w:val="29"/>
        </w:numPr>
        <w:spacing w:before="60" w:after="60"/>
        <w:ind w:left="0" w:firstLine="720"/>
        <w:contextualSpacing w:val="0"/>
        <w:rPr>
          <w:lang w:val="sr-Cyrl-RS"/>
        </w:rPr>
      </w:pPr>
      <w:r w:rsidRPr="00CF77C1">
        <w:rPr>
          <w:lang w:val="sr-Cyrl-RS"/>
        </w:rPr>
        <w:t>в</w:t>
      </w:r>
      <w:r w:rsidR="004D5112" w:rsidRPr="00CF77C1">
        <w:rPr>
          <w:lang w:val="sr-Cyrl-RS"/>
        </w:rPr>
        <w:t>етроелектрана</w:t>
      </w:r>
      <w:r w:rsidR="00D640C0" w:rsidRPr="00CF77C1">
        <w:rPr>
          <w:lang w:val="sr-Cyrl-RS"/>
        </w:rPr>
        <w:t xml:space="preserve"> Ковачица, до краја новембра 2018. године, инсталисане снаге 104,5 MW, процењене годишње производње 250,8 GWh;</w:t>
      </w:r>
    </w:p>
    <w:p w14:paraId="512502C9" w14:textId="7EAE203D" w:rsidR="00D640C0" w:rsidRPr="00CF77C1" w:rsidRDefault="004D5F73" w:rsidP="003E39B4">
      <w:pPr>
        <w:pStyle w:val="ListParagraph"/>
        <w:numPr>
          <w:ilvl w:val="0"/>
          <w:numId w:val="29"/>
        </w:numPr>
        <w:spacing w:before="60" w:after="60"/>
        <w:ind w:left="0" w:firstLine="720"/>
        <w:contextualSpacing w:val="0"/>
        <w:rPr>
          <w:lang w:val="sr-Cyrl-RS"/>
        </w:rPr>
      </w:pPr>
      <w:r w:rsidRPr="00CF77C1">
        <w:rPr>
          <w:lang w:val="sr-Cyrl-RS"/>
        </w:rPr>
        <w:t>в</w:t>
      </w:r>
      <w:r w:rsidR="004D5112" w:rsidRPr="00CF77C1">
        <w:rPr>
          <w:lang w:val="sr-Cyrl-RS"/>
        </w:rPr>
        <w:t>етроелектрана</w:t>
      </w:r>
      <w:r w:rsidR="00D640C0" w:rsidRPr="00CF77C1">
        <w:rPr>
          <w:lang w:val="sr-Cyrl-RS"/>
        </w:rPr>
        <w:t xml:space="preserve"> Чибук, до краја новембра 2018. године, инсталисане снаге 158,46 MW, процењене годишње производње 380,3 GWh;</w:t>
      </w:r>
    </w:p>
    <w:p w14:paraId="13E8C00D" w14:textId="6D87A556" w:rsidR="00D640C0" w:rsidRPr="00CF77C1" w:rsidRDefault="004D5F73" w:rsidP="003E39B4">
      <w:pPr>
        <w:pStyle w:val="ListParagraph"/>
        <w:numPr>
          <w:ilvl w:val="0"/>
          <w:numId w:val="29"/>
        </w:numPr>
        <w:spacing w:before="60" w:after="60"/>
        <w:ind w:left="0" w:firstLine="720"/>
        <w:contextualSpacing w:val="0"/>
        <w:rPr>
          <w:lang w:val="sr-Cyrl-RS"/>
        </w:rPr>
      </w:pPr>
      <w:r w:rsidRPr="00CF77C1">
        <w:rPr>
          <w:lang w:val="sr-Cyrl-RS"/>
        </w:rPr>
        <w:t>в</w:t>
      </w:r>
      <w:r w:rsidR="004D5112" w:rsidRPr="00CF77C1">
        <w:rPr>
          <w:lang w:val="sr-Cyrl-RS"/>
        </w:rPr>
        <w:t>етроелектрана</w:t>
      </w:r>
      <w:r w:rsidR="00D640C0" w:rsidRPr="00CF77C1">
        <w:rPr>
          <w:lang w:val="sr-Cyrl-RS"/>
        </w:rPr>
        <w:t xml:space="preserve"> Кошава, до краја априла 2019. године, инсталисане снаге 68 MW, процењене годишње производње 163,2 GWh;</w:t>
      </w:r>
    </w:p>
    <w:p w14:paraId="631C5CD5" w14:textId="0B14C636" w:rsidR="00FE0D9D" w:rsidRPr="00CF77C1" w:rsidRDefault="004D5F73" w:rsidP="003E39B4">
      <w:pPr>
        <w:pStyle w:val="ListParagraph"/>
        <w:numPr>
          <w:ilvl w:val="0"/>
          <w:numId w:val="29"/>
        </w:numPr>
        <w:spacing w:before="60" w:after="60"/>
        <w:ind w:left="0" w:firstLine="720"/>
        <w:contextualSpacing w:val="0"/>
        <w:rPr>
          <w:lang w:val="sr-Cyrl-RS"/>
        </w:rPr>
      </w:pPr>
      <w:r w:rsidRPr="00CF77C1">
        <w:rPr>
          <w:lang w:val="sr-Cyrl-RS"/>
        </w:rPr>
        <w:t>в</w:t>
      </w:r>
      <w:r w:rsidR="004D5112" w:rsidRPr="00CF77C1">
        <w:rPr>
          <w:lang w:val="sr-Cyrl-RS"/>
        </w:rPr>
        <w:t>етроелектрана</w:t>
      </w:r>
      <w:r w:rsidR="00FE0D9D" w:rsidRPr="00CF77C1">
        <w:rPr>
          <w:lang w:val="sr-Cyrl-RS"/>
        </w:rPr>
        <w:t xml:space="preserve"> Костолац, до краја 2020. године, инсталисане снаге </w:t>
      </w:r>
      <w:r w:rsidR="00AC3724" w:rsidRPr="00CF77C1">
        <w:rPr>
          <w:lang w:val="sr-Cyrl-RS"/>
        </w:rPr>
        <w:t>6</w:t>
      </w:r>
      <w:r w:rsidR="000D63E1" w:rsidRPr="00CF77C1">
        <w:rPr>
          <w:lang w:val="sr-Cyrl-RS"/>
        </w:rPr>
        <w:t>6</w:t>
      </w:r>
      <w:r w:rsidR="00FE0D9D" w:rsidRPr="00CF77C1">
        <w:rPr>
          <w:lang w:val="sr-Cyrl-RS"/>
        </w:rPr>
        <w:t xml:space="preserve"> MW, процењене годишње производње </w:t>
      </w:r>
      <w:r w:rsidR="00AC3724" w:rsidRPr="00CF77C1">
        <w:rPr>
          <w:lang w:val="sr-Cyrl-RS"/>
        </w:rPr>
        <w:t>14</w:t>
      </w:r>
      <w:r w:rsidR="000D63E1" w:rsidRPr="00CF77C1">
        <w:rPr>
          <w:lang w:val="sr-Cyrl-RS"/>
        </w:rPr>
        <w:t>5</w:t>
      </w:r>
      <w:r w:rsidR="00FE0D9D" w:rsidRPr="00CF77C1">
        <w:rPr>
          <w:lang w:val="sr-Cyrl-RS"/>
        </w:rPr>
        <w:t xml:space="preserve"> GWh</w:t>
      </w:r>
      <w:r w:rsidR="00DA62A5" w:rsidRPr="00CF77C1">
        <w:rPr>
          <w:lang w:val="sr-Cyrl-RS"/>
        </w:rPr>
        <w:t xml:space="preserve"> (овај пројекат је укључен у Јединствену листу приоритетних инфраструктурних пројеката у области енергетике заједно</w:t>
      </w:r>
      <w:r w:rsidR="000D63E1" w:rsidRPr="00CF77C1">
        <w:rPr>
          <w:lang w:val="sr-Cyrl-RS"/>
        </w:rPr>
        <w:t xml:space="preserve"> са соларно</w:t>
      </w:r>
      <w:r w:rsidR="00765A75" w:rsidRPr="00CF77C1">
        <w:rPr>
          <w:lang w:val="sr-Cyrl-RS"/>
        </w:rPr>
        <w:t xml:space="preserve">м </w:t>
      </w:r>
      <w:r w:rsidR="000D63E1" w:rsidRPr="00CF77C1">
        <w:rPr>
          <w:lang w:val="sr-Cyrl-RS"/>
        </w:rPr>
        <w:t>електраном Петка у Костолцу, инсталисане снаге 9,9 MW, процењене годишње производње 13 GWh</w:t>
      </w:r>
      <w:r w:rsidR="00765A75" w:rsidRPr="00CF77C1">
        <w:rPr>
          <w:lang w:val="sr-Cyrl-RS"/>
        </w:rPr>
        <w:t>. Јединствена листа приоритетних инфраструктурних пројеката у области енергетике је листа за чије је формирање била задужена Канцеларија за европске интеграц</w:t>
      </w:r>
      <w:r w:rsidR="00185B50" w:rsidRPr="00CF77C1">
        <w:rPr>
          <w:lang w:val="sr-Cyrl-RS"/>
        </w:rPr>
        <w:t>ије</w:t>
      </w:r>
      <w:r w:rsidR="00765A75" w:rsidRPr="00CF77C1">
        <w:rPr>
          <w:lang w:val="sr-Cyrl-RS"/>
        </w:rPr>
        <w:t xml:space="preserve">, а која се формира према посебним правилима које одобрава Влада и доступна је на интернет адреси: </w:t>
      </w:r>
      <w:hyperlink r:id="rId63" w:history="1">
        <w:r w:rsidR="00765A75" w:rsidRPr="00CF77C1">
          <w:t>http://www.mre.gov.rs/doc/medjunarodna-saradnja/Revidirana%20Jedinstvena%20lista%20prioritetnih%20infrastrukturnih%20projekata%20u%20oblasti%20energetike_srb.pdf</w:t>
        </w:r>
      </w:hyperlink>
      <w:r w:rsidR="00765A75" w:rsidRPr="00CF77C1">
        <w:rPr>
          <w:lang w:val="sr-Cyrl-RS"/>
        </w:rPr>
        <w:t>);</w:t>
      </w:r>
    </w:p>
    <w:p w14:paraId="5222345D" w14:textId="4BA4B527" w:rsidR="00D640C0" w:rsidRPr="00CF77C1" w:rsidRDefault="00D640C0" w:rsidP="00FC1656">
      <w:pPr>
        <w:ind w:firstLine="539"/>
        <w:rPr>
          <w:lang w:val="sr-Cyrl-RS"/>
        </w:rPr>
      </w:pPr>
      <w:r w:rsidRPr="00CF77C1">
        <w:rPr>
          <w:lang w:val="sr-Cyrl-RS"/>
        </w:rPr>
        <w:t xml:space="preserve">Укупна вредност инвестиција у </w:t>
      </w:r>
      <w:r w:rsidR="00A96A47" w:rsidRPr="00CF77C1">
        <w:rPr>
          <w:lang w:val="sr-Cyrl-RS"/>
        </w:rPr>
        <w:t>изградњу нових</w:t>
      </w:r>
      <w:r w:rsidRPr="00CF77C1">
        <w:rPr>
          <w:lang w:val="sr-Cyrl-RS"/>
        </w:rPr>
        <w:t xml:space="preserve"> ветрое</w:t>
      </w:r>
      <w:r w:rsidR="00A96A47" w:rsidRPr="00CF77C1">
        <w:rPr>
          <w:lang w:val="sr-Cyrl-RS"/>
        </w:rPr>
        <w:t>лектрана</w:t>
      </w:r>
      <w:r w:rsidR="00AC3724" w:rsidRPr="00CF77C1">
        <w:rPr>
          <w:lang w:val="sr-Cyrl-RS"/>
        </w:rPr>
        <w:t xml:space="preserve"> процењује се на око </w:t>
      </w:r>
      <w:r w:rsidR="009119B4" w:rsidRPr="00CF77C1">
        <w:rPr>
          <w:lang w:val="sr-Cyrl-RS"/>
        </w:rPr>
        <w:t>706</w:t>
      </w:r>
      <w:r w:rsidRPr="00CF77C1">
        <w:rPr>
          <w:lang w:val="sr-Cyrl-RS"/>
        </w:rPr>
        <w:t xml:space="preserve"> милиона €, а укупна годишња произв</w:t>
      </w:r>
      <w:r w:rsidR="00FE0D9D" w:rsidRPr="00CF77C1">
        <w:rPr>
          <w:lang w:val="sr-Cyrl-RS"/>
        </w:rPr>
        <w:t xml:space="preserve">одња наведених електрана </w:t>
      </w:r>
      <w:r w:rsidR="00AC0429" w:rsidRPr="00CF77C1">
        <w:rPr>
          <w:lang w:val="sr-Cyrl-RS"/>
        </w:rPr>
        <w:t xml:space="preserve">процењује се на </w:t>
      </w:r>
      <w:r w:rsidR="00FE0D9D" w:rsidRPr="00CF77C1">
        <w:rPr>
          <w:lang w:val="sr-Cyrl-RS"/>
        </w:rPr>
        <w:t xml:space="preserve">око </w:t>
      </w:r>
      <w:r w:rsidR="009119B4" w:rsidRPr="00CF77C1">
        <w:rPr>
          <w:lang w:val="sr-Cyrl-RS"/>
        </w:rPr>
        <w:t>1</w:t>
      </w:r>
      <w:r w:rsidR="007A162B" w:rsidRPr="00CF77C1">
        <w:rPr>
          <w:lang w:val="sr-Cyrl-RS"/>
        </w:rPr>
        <w:t>.</w:t>
      </w:r>
      <w:r w:rsidR="009119B4" w:rsidRPr="00CF77C1">
        <w:rPr>
          <w:lang w:val="sr-Cyrl-RS"/>
        </w:rPr>
        <w:t>303</w:t>
      </w:r>
      <w:r w:rsidRPr="00CF77C1">
        <w:rPr>
          <w:lang w:val="sr-Cyrl-RS"/>
        </w:rPr>
        <w:t xml:space="preserve"> GWh. </w:t>
      </w:r>
      <w:r w:rsidR="009119B4" w:rsidRPr="00CF77C1">
        <w:rPr>
          <w:lang w:val="sr-Cyrl-RS"/>
        </w:rPr>
        <w:t>Ове електране са својом производњом треба да обезбеде значајних 1,</w:t>
      </w:r>
      <w:r w:rsidR="00D90483" w:rsidRPr="00CF77C1">
        <w:rPr>
          <w:lang w:val="sr-Cyrl-RS"/>
        </w:rPr>
        <w:t>2</w:t>
      </w:r>
      <w:r w:rsidR="009119B4" w:rsidRPr="00CF77C1">
        <w:rPr>
          <w:lang w:val="sr-Cyrl-RS"/>
        </w:rPr>
        <w:t>% БФПЕ Републике Србије.</w:t>
      </w:r>
    </w:p>
    <w:p w14:paraId="053FBD96" w14:textId="1600B313" w:rsidR="00346C53" w:rsidRPr="00C62ABB" w:rsidRDefault="00141BA0" w:rsidP="00141BA0">
      <w:pPr>
        <w:keepNext/>
        <w:ind w:left="720"/>
        <w:rPr>
          <w:lang w:val="sr-Latn-CS"/>
        </w:rPr>
      </w:pPr>
      <w:bookmarkStart w:id="107" w:name="_Ref476806061"/>
      <w:r w:rsidRPr="00CF77C1">
        <w:rPr>
          <w:lang w:val="sr-Cyrl-RS"/>
        </w:rPr>
        <w:t xml:space="preserve">П. 16. </w:t>
      </w:r>
      <w:r w:rsidR="00346C53" w:rsidRPr="00CF77C1">
        <w:rPr>
          <w:lang w:val="sr-Cyrl-RS"/>
        </w:rPr>
        <w:t xml:space="preserve">Пројекат преласка </w:t>
      </w:r>
      <w:r w:rsidR="00E37537" w:rsidRPr="00CF77C1">
        <w:rPr>
          <w:lang w:val="sr-Cyrl-RS"/>
        </w:rPr>
        <w:t>котларница на биомасу</w:t>
      </w:r>
      <w:bookmarkEnd w:id="107"/>
    </w:p>
    <w:p w14:paraId="1C850EFE" w14:textId="5B2062FC" w:rsidR="000818D0" w:rsidRPr="00CF77C1" w:rsidRDefault="000818D0" w:rsidP="00FC1656">
      <w:pPr>
        <w:ind w:firstLine="720"/>
        <w:rPr>
          <w:lang w:val="sr-Cyrl-RS"/>
        </w:rPr>
      </w:pPr>
      <w:r w:rsidRPr="00CF77C1">
        <w:rPr>
          <w:lang w:val="sr-Cyrl-RS"/>
        </w:rPr>
        <w:t>Ради реализације циљева у вези са грејањем на биомасу у припреми је више пројеката увођења биомасе или коришћења ге</w:t>
      </w:r>
      <w:r w:rsidR="007A162B" w:rsidRPr="00CF77C1">
        <w:rPr>
          <w:lang w:val="sr-Cyrl-RS"/>
        </w:rPr>
        <w:t>о</w:t>
      </w:r>
      <w:r w:rsidRPr="00CF77C1">
        <w:rPr>
          <w:lang w:val="sr-Cyrl-RS"/>
        </w:rPr>
        <w:t>термалне енергије као енергента у топланама, очекиване укупне снаге око 105 MW, односно годишње производње 21.000 тен. Наведени циљеви реализоваће се кроз активности у оквиру пројекта „Подстицање коришћења обновљивих извора енергије - развој тржишта биомасе</w:t>
      </w:r>
      <w:r w:rsidR="00AD5740" w:rsidRPr="00CF77C1">
        <w:rPr>
          <w:lang w:val="sr-Cyrl-RS"/>
        </w:rPr>
        <w:t>”</w:t>
      </w:r>
      <w:r w:rsidRPr="00CF77C1">
        <w:rPr>
          <w:lang w:val="sr-Cyrl-RS"/>
        </w:rPr>
        <w:t>, као и кроз појединачне комерцијалне пројекте.</w:t>
      </w:r>
      <w:r w:rsidR="00F0139B" w:rsidRPr="00CF77C1">
        <w:rPr>
          <w:lang w:val="sr-Cyrl-RS"/>
        </w:rPr>
        <w:t xml:space="preserve"> Дакле, пројекат припада групи пројеката за која су алоцирана средства у оквиру више рунди билатералних преговора између Влада Немачке и </w:t>
      </w:r>
      <w:r w:rsidR="00A1249F" w:rsidRPr="00094C27">
        <w:rPr>
          <w:lang w:val="sr-Cyrl-RS"/>
        </w:rPr>
        <w:t xml:space="preserve">Владе </w:t>
      </w:r>
      <w:r w:rsidR="00F0139B" w:rsidRPr="00094C27">
        <w:rPr>
          <w:lang w:val="sr-Cyrl-RS"/>
        </w:rPr>
        <w:t>Републике Србије.</w:t>
      </w:r>
      <w:r w:rsidRPr="00094C27">
        <w:rPr>
          <w:lang w:val="sr-Cyrl-RS"/>
        </w:rPr>
        <w:t xml:space="preserve"> Информације о појединим пројектима детаљније су наведене у </w:t>
      </w:r>
      <w:r w:rsidR="00094C27">
        <w:rPr>
          <w:lang w:val="sr-Cyrl-RS"/>
        </w:rPr>
        <w:t>одељку</w:t>
      </w:r>
      <w:r w:rsidR="00094C27" w:rsidRPr="00094C27">
        <w:rPr>
          <w:lang w:val="sr-Cyrl-RS"/>
        </w:rPr>
        <w:t xml:space="preserve"> </w:t>
      </w:r>
      <w:r w:rsidR="00094C27">
        <w:rPr>
          <w:lang w:val="sr-Cyrl-RS"/>
        </w:rPr>
        <w:t>3.2. овог поглавља</w:t>
      </w:r>
      <w:r w:rsidRPr="00094C27">
        <w:rPr>
          <w:lang w:val="sr-Cyrl-RS"/>
        </w:rPr>
        <w:t xml:space="preserve"> која</w:t>
      </w:r>
      <w:r w:rsidRPr="00CF77C1">
        <w:rPr>
          <w:lang w:val="sr-Cyrl-RS"/>
        </w:rPr>
        <w:t xml:space="preserve"> се односи на област топлотне енергије.</w:t>
      </w:r>
    </w:p>
    <w:p w14:paraId="379CE849" w14:textId="15274B10" w:rsidR="000818D0" w:rsidRPr="00CF77C1" w:rsidRDefault="000818D0" w:rsidP="000818D0">
      <w:pPr>
        <w:rPr>
          <w:lang w:val="sr-Cyrl-RS"/>
        </w:rPr>
      </w:pPr>
      <w:r w:rsidRPr="00CF77C1">
        <w:rPr>
          <w:lang w:val="sr-Cyrl-RS"/>
        </w:rPr>
        <w:t xml:space="preserve">Укупна улагања у реализацију пројеката износе </w:t>
      </w:r>
      <w:r w:rsidR="00246C17" w:rsidRPr="00CF77C1">
        <w:rPr>
          <w:lang w:val="sr-Cyrl-RS"/>
        </w:rPr>
        <w:t>100</w:t>
      </w:r>
      <w:r w:rsidRPr="00CF77C1">
        <w:rPr>
          <w:lang w:val="sr-Cyrl-RS"/>
        </w:rPr>
        <w:t xml:space="preserve"> милиона €</w:t>
      </w:r>
      <w:r w:rsidR="00246C17" w:rsidRPr="00CF77C1">
        <w:rPr>
          <w:lang w:val="sr-Cyrl-RS"/>
        </w:rPr>
        <w:t xml:space="preserve"> (20 милиона € у првој фази, а 80 милиона € у другој фази)</w:t>
      </w:r>
      <w:r w:rsidRPr="00CF77C1">
        <w:rPr>
          <w:lang w:val="sr-Cyrl-RS"/>
        </w:rPr>
        <w:t xml:space="preserve">, а планирано је да се пројекти реализују у периоду 2017-2021. </w:t>
      </w:r>
      <w:r w:rsidR="007A162B" w:rsidRPr="00CF77C1">
        <w:rPr>
          <w:lang w:val="sr-Cyrl-RS"/>
        </w:rPr>
        <w:t>година</w:t>
      </w:r>
      <w:r w:rsidRPr="00CF77C1">
        <w:rPr>
          <w:lang w:val="sr-Cyrl-RS"/>
        </w:rPr>
        <w:t>. Укупна процењена производња топлотне енергије из биомасе износи око 244 GWh (21 хиљада тен), што обезбеђује 0,2% БФПЕ Републике Ср</w:t>
      </w:r>
      <w:r w:rsidR="00A96A47" w:rsidRPr="00CF77C1">
        <w:rPr>
          <w:lang w:val="sr-Cyrl-RS"/>
        </w:rPr>
        <w:t>бије.</w:t>
      </w:r>
    </w:p>
    <w:p w14:paraId="3331E9E2" w14:textId="26CEB153" w:rsidR="00A96A47" w:rsidRPr="00CF77C1" w:rsidRDefault="00141BA0" w:rsidP="00141BA0">
      <w:pPr>
        <w:keepNext/>
        <w:ind w:firstLine="720"/>
        <w:rPr>
          <w:lang w:val="sr-Cyrl-RS"/>
        </w:rPr>
      </w:pPr>
      <w:bookmarkStart w:id="108" w:name="_Ref476806062"/>
      <w:r w:rsidRPr="00CF77C1">
        <w:rPr>
          <w:lang w:val="sr-Cyrl-RS"/>
        </w:rPr>
        <w:t xml:space="preserve">П. 17. </w:t>
      </w:r>
      <w:r w:rsidR="001741AC" w:rsidRPr="00CF77C1">
        <w:rPr>
          <w:lang w:val="sr-Cyrl-RS"/>
        </w:rPr>
        <w:t>Пројекти ЕПС</w:t>
      </w:r>
      <w:r w:rsidR="00A96A47" w:rsidRPr="00CF77C1">
        <w:rPr>
          <w:lang w:val="sr-Cyrl-RS"/>
        </w:rPr>
        <w:t xml:space="preserve"> који се реализују на основу закључених меморандума и споразума</w:t>
      </w:r>
      <w:bookmarkEnd w:id="108"/>
      <w:r w:rsidRPr="00CF77C1">
        <w:rPr>
          <w:lang w:val="sr-Cyrl-RS"/>
        </w:rPr>
        <w:t xml:space="preserve"> </w:t>
      </w:r>
    </w:p>
    <w:p w14:paraId="333A212C" w14:textId="7DD3F211" w:rsidR="000818D0" w:rsidRPr="00CF77C1" w:rsidRDefault="00A96A47" w:rsidP="00FC1656">
      <w:pPr>
        <w:ind w:firstLine="720"/>
        <w:rPr>
          <w:lang w:val="sr-Cyrl-RS"/>
        </w:rPr>
      </w:pPr>
      <w:r w:rsidRPr="00CF77C1">
        <w:rPr>
          <w:lang w:val="sr-Cyrl-RS"/>
        </w:rPr>
        <w:t>У</w:t>
      </w:r>
      <w:r w:rsidR="006C729D">
        <w:rPr>
          <w:lang w:val="sr-Cyrl-RS"/>
        </w:rPr>
        <w:t xml:space="preserve"> току реализације ПОС</w:t>
      </w:r>
      <w:r w:rsidR="000818D0" w:rsidRPr="00CF77C1">
        <w:rPr>
          <w:lang w:val="sr-Cyrl-RS"/>
        </w:rPr>
        <w:t xml:space="preserve"> наставиће се са пројектом реконстру</w:t>
      </w:r>
      <w:r w:rsidR="001741AC" w:rsidRPr="00CF77C1">
        <w:rPr>
          <w:lang w:val="sr-Cyrl-RS"/>
        </w:rPr>
        <w:t>кције малих хидроелектрана ЕПС</w:t>
      </w:r>
      <w:r w:rsidR="000818D0" w:rsidRPr="00CF77C1">
        <w:rPr>
          <w:lang w:val="sr-Cyrl-RS"/>
        </w:rPr>
        <w:t xml:space="preserve"> прикључених на дистрибутивну електроенергетску мрежу уз обнављање производње на пројектованом нивоу </w:t>
      </w:r>
      <w:r w:rsidR="00D864CB" w:rsidRPr="00CF77C1">
        <w:rPr>
          <w:lang w:val="sr-Cyrl-RS"/>
        </w:rPr>
        <w:t>(хидроелектране Радаљска Бања, Врело, Турица, Под Градом, Моравица, Сељашница, Кратовска Река, Рашка, Јелашница</w:t>
      </w:r>
      <w:r w:rsidR="00746EA7" w:rsidRPr="00CF77C1">
        <w:rPr>
          <w:lang w:val="sr-Cyrl-RS"/>
        </w:rPr>
        <w:t>,</w:t>
      </w:r>
      <w:r w:rsidR="00D864CB" w:rsidRPr="00CF77C1">
        <w:rPr>
          <w:lang w:val="sr-Cyrl-RS"/>
        </w:rPr>
        <w:t xml:space="preserve"> Вучје, Сићево, Света Петка, Темац, Соколовица и Гамзиград) </w:t>
      </w:r>
      <w:r w:rsidR="000818D0" w:rsidRPr="00CF77C1">
        <w:rPr>
          <w:lang w:val="sr-Cyrl-RS"/>
        </w:rPr>
        <w:t>и наставиће се активности на изградњи две мале хидроелектране на водопривредним објектима (МХЕ Ровни и МХЕ Ћелије)</w:t>
      </w:r>
      <w:r w:rsidR="00353EBD" w:rsidRPr="00CF77C1">
        <w:rPr>
          <w:lang w:val="sr-Cyrl-RS"/>
        </w:rPr>
        <w:t xml:space="preserve">. Сви наведени пројекти се финансирају из кредита ЕБРД </w:t>
      </w:r>
      <w:r w:rsidR="00DC3336">
        <w:rPr>
          <w:lang w:val="sr-Cyrl-RS"/>
        </w:rPr>
        <w:t>на основу Закона о потврђивању У</w:t>
      </w:r>
      <w:r w:rsidR="00353EBD" w:rsidRPr="00CF77C1">
        <w:rPr>
          <w:lang w:val="sr-Cyrl-RS"/>
        </w:rPr>
        <w:t>говора о гаранцији (ЕПС пројекат за мале хидроелектране) између Републике Србије и Европске банке за обнову и развој („Службени гласник РС - Међународни уговори</w:t>
      </w:r>
      <w:r w:rsidR="00DC3336">
        <w:rPr>
          <w:lang w:val="sr-Cyrl-RS"/>
        </w:rPr>
        <w:t>ˮ</w:t>
      </w:r>
      <w:r w:rsidR="00B1663A">
        <w:rPr>
          <w:lang w:val="sr-Cyrl-RS"/>
        </w:rPr>
        <w:t>,</w:t>
      </w:r>
      <w:r w:rsidR="00353EBD" w:rsidRPr="00CF77C1">
        <w:rPr>
          <w:lang w:val="sr-Cyrl-RS"/>
        </w:rPr>
        <w:t xml:space="preserve"> број 1/12).</w:t>
      </w:r>
    </w:p>
    <w:p w14:paraId="581757AC" w14:textId="32293CD5" w:rsidR="000818D0" w:rsidRPr="00CF77C1" w:rsidRDefault="00323095" w:rsidP="00516845">
      <w:pPr>
        <w:ind w:firstLine="720"/>
        <w:rPr>
          <w:lang w:val="sr-Cyrl-RS"/>
        </w:rPr>
      </w:pPr>
      <w:r w:rsidRPr="00CF77C1">
        <w:rPr>
          <w:lang w:val="sr-Cyrl-RS"/>
        </w:rPr>
        <w:t>На основу закључених меморандума и споразума у наредном периоду ће се анализирати изводљивост наставка реализације следећих започетих пројеката:</w:t>
      </w:r>
    </w:p>
    <w:p w14:paraId="128B454B" w14:textId="685F0B78" w:rsidR="000818D0" w:rsidRPr="00CF77C1" w:rsidRDefault="000818D0" w:rsidP="003E39B4">
      <w:pPr>
        <w:pStyle w:val="ListParagraph"/>
        <w:numPr>
          <w:ilvl w:val="3"/>
          <w:numId w:val="65"/>
        </w:numPr>
        <w:spacing w:before="60" w:after="60"/>
        <w:ind w:left="0" w:firstLine="720"/>
        <w:contextualSpacing w:val="0"/>
        <w:rPr>
          <w:lang w:val="sr-Cyrl-RS"/>
        </w:rPr>
      </w:pPr>
      <w:r w:rsidRPr="00CF77C1">
        <w:rPr>
          <w:lang w:val="sr-Cyrl-RS"/>
        </w:rPr>
        <w:t>десет каскадних ХЕ на реци Ибар</w:t>
      </w:r>
      <w:r w:rsidR="007A162B" w:rsidRPr="00CF77C1">
        <w:rPr>
          <w:lang w:val="sr-Cyrl-RS"/>
        </w:rPr>
        <w:t>,</w:t>
      </w:r>
      <w:r w:rsidRPr="00CF77C1">
        <w:rPr>
          <w:lang w:val="sr-Cyrl-RS"/>
        </w:rPr>
        <w:t xml:space="preserve"> укупне снаге 120 MW</w:t>
      </w:r>
      <w:r w:rsidR="00D864CB" w:rsidRPr="00CF77C1">
        <w:rPr>
          <w:lang w:val="sr-Cyrl-RS"/>
        </w:rPr>
        <w:t xml:space="preserve"> (локације Бојанићи, Гокчаница, Ушће, Главица, Церје, Градина, Бела Глава, Добре Стране, Маглич и Лакат)</w:t>
      </w:r>
      <w:r w:rsidRPr="00CF77C1">
        <w:rPr>
          <w:lang w:val="sr-Cyrl-RS"/>
        </w:rPr>
        <w:t>, годишње производње 451 GWh и укупне инвестиционе</w:t>
      </w:r>
      <w:r w:rsidR="00323095" w:rsidRPr="00CF77C1">
        <w:rPr>
          <w:lang w:val="sr-Cyrl-RS"/>
        </w:rPr>
        <w:t xml:space="preserve"> вредности од око 350 милиона €, на основу Закона о потврђивању Споразума између Владе Републике Србије и Владе Републике Италије о сарадњи у области </w:t>
      </w:r>
      <w:r w:rsidR="005C1238">
        <w:rPr>
          <w:lang w:val="sr-Cyrl-RS"/>
        </w:rPr>
        <w:t>енергетике</w:t>
      </w:r>
      <w:r w:rsidR="00323095" w:rsidRPr="00CF77C1">
        <w:rPr>
          <w:lang w:val="sr-Cyrl-RS"/>
        </w:rPr>
        <w:t>;</w:t>
      </w:r>
    </w:p>
    <w:p w14:paraId="03EDFFA1" w14:textId="509222A2" w:rsidR="000818D0" w:rsidRPr="00CF77C1" w:rsidRDefault="000818D0" w:rsidP="003E39B4">
      <w:pPr>
        <w:pStyle w:val="ListParagraph"/>
        <w:numPr>
          <w:ilvl w:val="3"/>
          <w:numId w:val="65"/>
        </w:numPr>
        <w:spacing w:before="60" w:after="60"/>
        <w:ind w:left="0" w:firstLine="720"/>
        <w:contextualSpacing w:val="0"/>
        <w:rPr>
          <w:lang w:val="sr-Cyrl-RS"/>
        </w:rPr>
      </w:pPr>
      <w:r w:rsidRPr="00CF77C1">
        <w:rPr>
          <w:lang w:val="sr-Cyrl-RS"/>
        </w:rPr>
        <w:t>систем ХЕ на реци Велика Морава</w:t>
      </w:r>
      <w:r w:rsidR="007A162B" w:rsidRPr="00CF77C1">
        <w:rPr>
          <w:lang w:val="sr-Cyrl-RS"/>
        </w:rPr>
        <w:t>,</w:t>
      </w:r>
      <w:r w:rsidRPr="00CF77C1">
        <w:rPr>
          <w:lang w:val="sr-Cyrl-RS"/>
        </w:rPr>
        <w:t xml:space="preserve"> укупне снаге 150 MW</w:t>
      </w:r>
      <w:r w:rsidR="00D864CB" w:rsidRPr="00CF77C1">
        <w:rPr>
          <w:lang w:val="sr-Cyrl-RS"/>
        </w:rPr>
        <w:t xml:space="preserve"> (локације Љубичево, Трновче, Свилајнац, Мијатовац и Варварин)</w:t>
      </w:r>
      <w:r w:rsidRPr="00CF77C1">
        <w:rPr>
          <w:lang w:val="sr-Cyrl-RS"/>
        </w:rPr>
        <w:t>,</w:t>
      </w:r>
      <w:r w:rsidR="00E62843" w:rsidRPr="00CF77C1">
        <w:rPr>
          <w:lang w:val="sr-Cyrl-RS"/>
        </w:rPr>
        <w:t xml:space="preserve"> </w:t>
      </w:r>
      <w:r w:rsidRPr="00CF77C1">
        <w:rPr>
          <w:lang w:val="sr-Cyrl-RS"/>
        </w:rPr>
        <w:t>годишње производње 650</w:t>
      </w:r>
      <w:r w:rsidR="00A96A47" w:rsidRPr="00CF77C1">
        <w:rPr>
          <w:lang w:val="sr-Cyrl-RS"/>
        </w:rPr>
        <w:t> </w:t>
      </w:r>
      <w:r w:rsidRPr="00CF77C1">
        <w:rPr>
          <w:lang w:val="sr-Cyrl-RS"/>
        </w:rPr>
        <w:t>GWh и укупна инвестиционе вредности од око 350 милиона €</w:t>
      </w:r>
      <w:r w:rsidR="00323095" w:rsidRPr="00CF77C1">
        <w:rPr>
          <w:lang w:val="sr-Cyrl-RS"/>
        </w:rPr>
        <w:t>, на основу Споразума o сарадњи закљученог између ЈП „Електропривреда Србије</w:t>
      </w:r>
      <w:r w:rsidR="00AD5740" w:rsidRPr="00CF77C1">
        <w:rPr>
          <w:szCs w:val="24"/>
          <w:lang w:val="sr-Cyrl-RS"/>
        </w:rPr>
        <w:t>”</w:t>
      </w:r>
      <w:r w:rsidR="00323095" w:rsidRPr="00CF77C1">
        <w:rPr>
          <w:lang w:val="sr-Cyrl-RS"/>
        </w:rPr>
        <w:t>, Београд и RWE AG, Opernplatz 1, Esen, Немачка од 14.7.2010. године и Меморандума о разумевању о стратешком партнерству између ЈП „Електропривреда Србије</w:t>
      </w:r>
      <w:r w:rsidR="00AD5740" w:rsidRPr="00CF77C1">
        <w:rPr>
          <w:szCs w:val="24"/>
          <w:lang w:val="sr-Cyrl-RS"/>
        </w:rPr>
        <w:t>”</w:t>
      </w:r>
      <w:r w:rsidR="00323095" w:rsidRPr="00CF77C1">
        <w:rPr>
          <w:lang w:val="sr-Cyrl-RS"/>
        </w:rPr>
        <w:t>, Београд и RWE AG, Opernplatz 1, Esen, Немачка којег представља RWE Innogy GmbH, Gildehofstrasse 1, Esen, Немачка RWE I</w:t>
      </w:r>
      <w:r w:rsidR="00686616">
        <w:rPr>
          <w:lang w:val="sr-Cyrl-RS"/>
        </w:rPr>
        <w:t>nnogy Serbia d.o.o., Beograd, F</w:t>
      </w:r>
      <w:r w:rsidR="00323095" w:rsidRPr="00CF77C1">
        <w:rPr>
          <w:lang w:val="sr-Cyrl-RS"/>
        </w:rPr>
        <w:t>rancuska 27, RWE Technology GmbH, Huyssenallee 12-14, Esen, Немачка одобреног закључком Владе 05 Број: 018-5850/2012-1 од 8.</w:t>
      </w:r>
      <w:r w:rsidR="00A1249F">
        <w:rPr>
          <w:lang w:val="sr-Cyrl-RS"/>
        </w:rPr>
        <w:t xml:space="preserve"> септембра</w:t>
      </w:r>
      <w:r w:rsidR="00323095" w:rsidRPr="00CF77C1">
        <w:rPr>
          <w:lang w:val="sr-Cyrl-RS"/>
        </w:rPr>
        <w:t xml:space="preserve"> 2012. године</w:t>
      </w:r>
      <w:r w:rsidR="00A1249F">
        <w:rPr>
          <w:lang w:val="sr-Cyrl-RS"/>
        </w:rPr>
        <w:t>.</w:t>
      </w:r>
    </w:p>
    <w:p w14:paraId="290434BA" w14:textId="69A46063" w:rsidR="00323095" w:rsidRPr="00CF77C1" w:rsidRDefault="00A96A47" w:rsidP="0041379B">
      <w:pPr>
        <w:ind w:firstLine="720"/>
        <w:rPr>
          <w:lang w:val="sr-Cyrl-RS"/>
        </w:rPr>
      </w:pPr>
      <w:r w:rsidRPr="00CF77C1">
        <w:rPr>
          <w:lang w:val="sr-Cyrl-RS"/>
        </w:rPr>
        <w:t>Набројани</w:t>
      </w:r>
      <w:r w:rsidR="00323095" w:rsidRPr="00CF77C1">
        <w:rPr>
          <w:lang w:val="sr-Cyrl-RS"/>
        </w:rPr>
        <w:t xml:space="preserve"> пројекти ће се реализовати у складу са наведеним актима док су исти н</w:t>
      </w:r>
      <w:r w:rsidR="00071265">
        <w:rPr>
          <w:lang w:val="sr-Cyrl-RS"/>
        </w:rPr>
        <w:t>а снази, односно док се не ставе</w:t>
      </w:r>
      <w:r w:rsidR="00323095" w:rsidRPr="00CF77C1">
        <w:rPr>
          <w:lang w:val="sr-Cyrl-RS"/>
        </w:rPr>
        <w:t xml:space="preserve"> ван снаге, откажу или окончају.</w:t>
      </w:r>
    </w:p>
    <w:p w14:paraId="33203825" w14:textId="60D9B6CD" w:rsidR="00A96A47" w:rsidRPr="00CF77C1" w:rsidRDefault="00141BA0" w:rsidP="00141BA0">
      <w:pPr>
        <w:pStyle w:val="ListParagraph"/>
        <w:keepNext/>
        <w:contextualSpacing w:val="0"/>
        <w:rPr>
          <w:lang w:val="sr-Cyrl-RS"/>
        </w:rPr>
      </w:pPr>
      <w:bookmarkStart w:id="109" w:name="_Toc484260298"/>
      <w:r w:rsidRPr="00CF77C1">
        <w:rPr>
          <w:lang w:val="sr-Cyrl-RS"/>
        </w:rPr>
        <w:t xml:space="preserve">3.3.3.1. </w:t>
      </w:r>
      <w:r w:rsidR="00A96A47" w:rsidRPr="00CF77C1">
        <w:rPr>
          <w:lang w:val="sr-Cyrl-RS"/>
        </w:rPr>
        <w:t>Остали пројекти у области ОИЕ</w:t>
      </w:r>
      <w:bookmarkEnd w:id="109"/>
    </w:p>
    <w:p w14:paraId="145A836A" w14:textId="77777777" w:rsidR="000818D0" w:rsidRPr="00CF77C1" w:rsidRDefault="000818D0" w:rsidP="00FC1656">
      <w:pPr>
        <w:ind w:firstLine="720"/>
        <w:rPr>
          <w:lang w:val="sr-Cyrl-RS"/>
        </w:rPr>
      </w:pPr>
      <w:r w:rsidRPr="00CF77C1">
        <w:rPr>
          <w:lang w:val="sr-Cyrl-RS"/>
        </w:rPr>
        <w:t>У Јединствену листу приоритетних инфраструктурних пројеката у области енергетике, поред поменутих пројеката изградње ветроелектране и соларне електране у Костолцу укључено је још неколико пројеката у вези са обновљивим изворима енергије:</w:t>
      </w:r>
    </w:p>
    <w:p w14:paraId="6F7043AF" w14:textId="2A10457F" w:rsidR="000818D0" w:rsidRPr="00CF77C1" w:rsidRDefault="004D5F73" w:rsidP="003E39B4">
      <w:pPr>
        <w:pStyle w:val="ListParagraph"/>
        <w:numPr>
          <w:ilvl w:val="0"/>
          <w:numId w:val="48"/>
        </w:numPr>
        <w:spacing w:before="60" w:after="60"/>
        <w:ind w:left="0" w:firstLine="720"/>
        <w:contextualSpacing w:val="0"/>
        <w:rPr>
          <w:lang w:val="sr-Cyrl-RS"/>
        </w:rPr>
      </w:pPr>
      <w:r w:rsidRPr="00CF77C1">
        <w:rPr>
          <w:lang w:val="sr-Cyrl-RS"/>
        </w:rPr>
        <w:t>к</w:t>
      </w:r>
      <w:r w:rsidR="000818D0" w:rsidRPr="00CF77C1">
        <w:rPr>
          <w:lang w:val="sr-Cyrl-RS"/>
        </w:rPr>
        <w:t>оришћење геотермалне енергије у Богатићу - вредност пројекта је 2,7 милиона € - још није јасно дефинисан термин реализације пројекта;</w:t>
      </w:r>
    </w:p>
    <w:p w14:paraId="40E18A09" w14:textId="0AE8665D" w:rsidR="000818D0" w:rsidRPr="00CF77C1" w:rsidRDefault="004D5F73" w:rsidP="003E39B4">
      <w:pPr>
        <w:pStyle w:val="ListParagraph"/>
        <w:numPr>
          <w:ilvl w:val="0"/>
          <w:numId w:val="48"/>
        </w:numPr>
        <w:spacing w:before="60" w:after="60"/>
        <w:ind w:left="0" w:firstLine="720"/>
        <w:contextualSpacing w:val="0"/>
        <w:rPr>
          <w:lang w:val="sr-Cyrl-RS"/>
        </w:rPr>
      </w:pPr>
      <w:r w:rsidRPr="00CF77C1">
        <w:rPr>
          <w:lang w:val="sr-Cyrl-RS"/>
        </w:rPr>
        <w:t>е</w:t>
      </w:r>
      <w:r w:rsidR="000818D0" w:rsidRPr="00CF77C1">
        <w:rPr>
          <w:lang w:val="sr-Cyrl-RS"/>
        </w:rPr>
        <w:t>лектрана за комбиновану производњу електричне и топлотне енергије која користи комунални отпад у Шапцу - вредност пројекта је 30 милиона € - још није јасно дефинисан термин реализације пројекта;</w:t>
      </w:r>
    </w:p>
    <w:p w14:paraId="27793FAE" w14:textId="259E0368" w:rsidR="000818D0" w:rsidRPr="00CF77C1" w:rsidRDefault="004D5F73" w:rsidP="003E39B4">
      <w:pPr>
        <w:pStyle w:val="ListParagraph"/>
        <w:numPr>
          <w:ilvl w:val="0"/>
          <w:numId w:val="48"/>
        </w:numPr>
        <w:spacing w:before="60" w:after="60"/>
        <w:ind w:left="0" w:firstLine="720"/>
        <w:contextualSpacing w:val="0"/>
        <w:rPr>
          <w:lang w:val="sr-Cyrl-RS"/>
        </w:rPr>
      </w:pPr>
      <w:r w:rsidRPr="00CF77C1">
        <w:rPr>
          <w:lang w:val="sr-Cyrl-RS"/>
        </w:rPr>
        <w:t>п</w:t>
      </w:r>
      <w:r w:rsidR="000818D0" w:rsidRPr="00CF77C1">
        <w:rPr>
          <w:lang w:val="sr-Cyrl-RS"/>
        </w:rPr>
        <w:t>ромоција обновљивих извора енергије</w:t>
      </w:r>
      <w:r w:rsidR="00441307" w:rsidRPr="00CF77C1">
        <w:rPr>
          <w:lang w:val="sr-Cyrl-RS"/>
        </w:rPr>
        <w:t xml:space="preserve"> </w:t>
      </w:r>
      <w:r w:rsidR="000818D0" w:rsidRPr="00CF77C1">
        <w:rPr>
          <w:lang w:val="sr-Cyrl-RS"/>
        </w:rPr>
        <w:t>- развијање тржишта биомасе у Србији, компонента I - вредност пројекта је 20 милиона € - још није јасно дефинисан термин реализације пројекта;</w:t>
      </w:r>
    </w:p>
    <w:p w14:paraId="718CC9D4" w14:textId="211E0CE4" w:rsidR="000818D0" w:rsidRPr="00CF77C1" w:rsidRDefault="004D5F73" w:rsidP="003E39B4">
      <w:pPr>
        <w:pStyle w:val="ListParagraph"/>
        <w:numPr>
          <w:ilvl w:val="0"/>
          <w:numId w:val="48"/>
        </w:numPr>
        <w:spacing w:before="60" w:after="60"/>
        <w:ind w:left="0" w:firstLine="720"/>
        <w:contextualSpacing w:val="0"/>
        <w:rPr>
          <w:lang w:val="sr-Cyrl-RS"/>
        </w:rPr>
      </w:pPr>
      <w:r w:rsidRPr="00CF77C1">
        <w:rPr>
          <w:lang w:val="sr-Cyrl-RS"/>
        </w:rPr>
        <w:t>и</w:t>
      </w:r>
      <w:r w:rsidR="00CD182C" w:rsidRPr="00CF77C1">
        <w:rPr>
          <w:lang w:val="sr-Cyrl-RS"/>
        </w:rPr>
        <w:t>нсталирање котла на биомасу 2x1,25MW у Тиволу у Руми</w:t>
      </w:r>
      <w:r w:rsidR="000818D0" w:rsidRPr="00CF77C1">
        <w:rPr>
          <w:lang w:val="sr-Cyrl-RS"/>
        </w:rPr>
        <w:t xml:space="preserve"> - вредност пројекта је 1,6 милиона € - још није јасно дефинисан термин реализације пројекта;</w:t>
      </w:r>
    </w:p>
    <w:p w14:paraId="4127BF21" w14:textId="507A48CC" w:rsidR="000818D0" w:rsidRPr="00CF77C1" w:rsidRDefault="004D5F73" w:rsidP="003E39B4">
      <w:pPr>
        <w:pStyle w:val="ListParagraph"/>
        <w:numPr>
          <w:ilvl w:val="0"/>
          <w:numId w:val="48"/>
        </w:numPr>
        <w:spacing w:before="60" w:after="60"/>
        <w:ind w:left="0" w:firstLine="720"/>
        <w:contextualSpacing w:val="0"/>
        <w:rPr>
          <w:lang w:val="sr-Cyrl-RS"/>
        </w:rPr>
      </w:pPr>
      <w:r w:rsidRPr="00CF77C1">
        <w:rPr>
          <w:lang w:val="sr-Cyrl-RS"/>
        </w:rPr>
        <w:t>е</w:t>
      </w:r>
      <w:r w:rsidR="000818D0" w:rsidRPr="00CF77C1">
        <w:rPr>
          <w:lang w:val="sr-Cyrl-RS"/>
        </w:rPr>
        <w:t>лектрана за комбиновану производњу електричне и топлотне енергије на биомасу у Шапцу - вредност пројекта је 17 милиона € - још није јасно дефинисан термин реализације пројекта;</w:t>
      </w:r>
    </w:p>
    <w:p w14:paraId="2CDC2B3B" w14:textId="3EA930EE" w:rsidR="000818D0" w:rsidRPr="00CF77C1" w:rsidRDefault="004D5F73" w:rsidP="003E39B4">
      <w:pPr>
        <w:pStyle w:val="ListParagraph"/>
        <w:numPr>
          <w:ilvl w:val="0"/>
          <w:numId w:val="48"/>
        </w:numPr>
        <w:spacing w:before="60" w:after="60"/>
        <w:ind w:left="0" w:firstLine="720"/>
        <w:contextualSpacing w:val="0"/>
        <w:rPr>
          <w:lang w:val="sr-Cyrl-RS"/>
        </w:rPr>
      </w:pPr>
      <w:r w:rsidRPr="00CF77C1">
        <w:rPr>
          <w:lang w:val="sr-Cyrl-RS"/>
        </w:rPr>
        <w:t>и</w:t>
      </w:r>
      <w:r w:rsidR="00CD182C" w:rsidRPr="00CF77C1">
        <w:rPr>
          <w:lang w:val="sr-Cyrl-RS"/>
        </w:rPr>
        <w:t>зградња постројења за комбиновану производњу електричне и топлотне енергије</w:t>
      </w:r>
      <w:r w:rsidR="000818D0" w:rsidRPr="00CF77C1">
        <w:rPr>
          <w:lang w:val="sr-Cyrl-RS"/>
        </w:rPr>
        <w:t xml:space="preserve"> на биомасу 4,0 MW у Пећинцима - вредност пројекта је 9 милиона € - још није јасно дефинисан термин реализације пројекта;</w:t>
      </w:r>
    </w:p>
    <w:p w14:paraId="157352E6" w14:textId="6D61CFA6" w:rsidR="000818D0" w:rsidRPr="00CF77C1" w:rsidRDefault="004D5F73" w:rsidP="003E39B4">
      <w:pPr>
        <w:pStyle w:val="ListParagraph"/>
        <w:numPr>
          <w:ilvl w:val="0"/>
          <w:numId w:val="48"/>
        </w:numPr>
        <w:spacing w:before="60" w:after="60"/>
        <w:ind w:left="0" w:firstLine="720"/>
        <w:contextualSpacing w:val="0"/>
        <w:rPr>
          <w:lang w:val="sr-Cyrl-RS"/>
        </w:rPr>
      </w:pPr>
      <w:r w:rsidRPr="00CF77C1">
        <w:rPr>
          <w:lang w:val="sr-Cyrl-RS"/>
        </w:rPr>
        <w:t>у</w:t>
      </w:r>
      <w:r w:rsidR="00CD182C" w:rsidRPr="00CF77C1">
        <w:rPr>
          <w:lang w:val="sr-Cyrl-RS"/>
        </w:rPr>
        <w:t>напређење енергетске ефикасности и веће коришћење обновљивих извора енергије у основним школама и јавним зградама у Краљеву</w:t>
      </w:r>
      <w:r w:rsidR="000818D0" w:rsidRPr="00CF77C1">
        <w:rPr>
          <w:lang w:val="sr-Cyrl-RS"/>
        </w:rPr>
        <w:t xml:space="preserve"> - вредност пројекта је 1 милион € - још није јасно дефинисан термин реализац</w:t>
      </w:r>
      <w:r w:rsidRPr="00CF77C1">
        <w:rPr>
          <w:lang w:val="sr-Cyrl-RS"/>
        </w:rPr>
        <w:t>ије пројекта.</w:t>
      </w:r>
    </w:p>
    <w:p w14:paraId="043FFA94" w14:textId="57F7CF03" w:rsidR="000818D0" w:rsidRPr="00CF77C1" w:rsidRDefault="000818D0" w:rsidP="00FC1656">
      <w:pPr>
        <w:ind w:firstLine="720"/>
        <w:rPr>
          <w:lang w:val="sr-Cyrl-RS"/>
        </w:rPr>
      </w:pPr>
      <w:r w:rsidRPr="00CF77C1">
        <w:rPr>
          <w:lang w:val="sr-Cyrl-RS"/>
        </w:rPr>
        <w:t>Поред наведених пројеката обновљивих извора енергије, министарство надлежно за послове рударства и енергетике је у сарадњи са Сталном конференцијом градова и општина уредило део информационе базе података - SLAP базе (</w:t>
      </w:r>
      <w:hyperlink r:id="rId64" w:history="1">
        <w:r w:rsidRPr="00CF77C1">
          <w:rPr>
            <w:rStyle w:val="Hyperlink"/>
            <w:lang w:val="sr-Cyrl-RS"/>
          </w:rPr>
          <w:t>www.slap.skgo.org</w:t>
        </w:r>
      </w:hyperlink>
      <w:r w:rsidRPr="00CF77C1">
        <w:rPr>
          <w:lang w:val="sr-Cyrl-RS"/>
        </w:rPr>
        <w:t xml:space="preserve">) која је у употреби од 2009. године, и у коју могу бити унети предлози пројеката који се односе на повећање енергетске ефикасности и употребе </w:t>
      </w:r>
      <w:r w:rsidR="00A96A47" w:rsidRPr="00CF77C1">
        <w:rPr>
          <w:lang w:val="sr-Cyrl-RS"/>
        </w:rPr>
        <w:t>ОИЕ</w:t>
      </w:r>
      <w:r w:rsidRPr="00CF77C1">
        <w:rPr>
          <w:lang w:val="sr-Cyrl-RS"/>
        </w:rPr>
        <w:t xml:space="preserve"> у објектима који су у надлежности локалних самоуправа. Овом базом подстичу се управљачке структуре, али и сви запослени у јавном сектору да предложе пројекте који се односе на њихове објекте, а </w:t>
      </w:r>
      <w:r w:rsidR="007A162B" w:rsidRPr="00CF77C1">
        <w:rPr>
          <w:lang w:val="sr-Cyrl-RS"/>
        </w:rPr>
        <w:t xml:space="preserve">који би </w:t>
      </w:r>
      <w:r w:rsidRPr="00CF77C1">
        <w:rPr>
          <w:lang w:val="sr-Cyrl-RS"/>
        </w:rPr>
        <w:t>могли да допринесу већој употреби ОИЕ.</w:t>
      </w:r>
    </w:p>
    <w:p w14:paraId="257CBC03" w14:textId="08EDB77F" w:rsidR="000818D0" w:rsidRPr="00CF77C1" w:rsidRDefault="000818D0" w:rsidP="00FC1656">
      <w:pPr>
        <w:ind w:firstLine="720"/>
        <w:rPr>
          <w:lang w:val="sr-Cyrl-RS"/>
        </w:rPr>
      </w:pPr>
      <w:r w:rsidRPr="00CF77C1">
        <w:rPr>
          <w:lang w:val="sr-Cyrl-RS"/>
        </w:rPr>
        <w:t xml:space="preserve">Предложени пројекти у </w:t>
      </w:r>
      <w:r w:rsidR="007A162B" w:rsidRPr="00CF77C1">
        <w:rPr>
          <w:lang w:val="sr-Cyrl-RS"/>
        </w:rPr>
        <w:t>оквиру</w:t>
      </w:r>
      <w:r w:rsidRPr="00CF77C1">
        <w:rPr>
          <w:lang w:val="sr-Cyrl-RS"/>
        </w:rPr>
        <w:t xml:space="preserve"> SLAP базе служе Министарству да стекне увид у обим и природу могућих инвестиција у наредном периоду. Такође, прикупљене информације ће омогућити да се потенцијалним донаторима и финансијерима предложе пројекти за даље унапређење и реализацију.</w:t>
      </w:r>
    </w:p>
    <w:p w14:paraId="16400CEB" w14:textId="3DB4837C" w:rsidR="009066EB" w:rsidRPr="00CF77C1" w:rsidRDefault="000818D0" w:rsidP="00FC1656">
      <w:pPr>
        <w:ind w:firstLine="720"/>
        <w:rPr>
          <w:lang w:val="sr-Cyrl-RS"/>
        </w:rPr>
      </w:pPr>
      <w:r w:rsidRPr="00CF77C1">
        <w:rPr>
          <w:lang w:val="sr-Cyrl-RS"/>
        </w:rPr>
        <w:t xml:space="preserve">Реализација ових пројеката је у различитим фазама, а извештавање по збирним ефектима ових пројеката (будући да је углавном реч о мањим </w:t>
      </w:r>
      <w:r w:rsidR="00A96A47" w:rsidRPr="00CF77C1">
        <w:rPr>
          <w:lang w:val="sr-Cyrl-RS"/>
        </w:rPr>
        <w:t>инвестицијама</w:t>
      </w:r>
      <w:r w:rsidRPr="00CF77C1">
        <w:rPr>
          <w:lang w:val="sr-Cyrl-RS"/>
        </w:rPr>
        <w:t>, нпр. увођења биомасе као енергента у болницама или школама, који су просторно дистрибуирани по локалним самоуправама) биће део извештаја о реализацији НАПОИЕ.</w:t>
      </w:r>
      <w:bookmarkStart w:id="110" w:name="_Toc463001122"/>
    </w:p>
    <w:p w14:paraId="4F4DD54A" w14:textId="6C9A9F43" w:rsidR="003F3DB8" w:rsidRPr="00CF77C1" w:rsidRDefault="00141BA0" w:rsidP="00141BA0">
      <w:pPr>
        <w:pStyle w:val="Heading2"/>
        <w:numPr>
          <w:ilvl w:val="0"/>
          <w:numId w:val="0"/>
        </w:numPr>
        <w:ind w:left="720"/>
        <w:rPr>
          <w:rFonts w:ascii="Times New Roman" w:hAnsi="Times New Roman"/>
          <w:b w:val="0"/>
          <w:lang w:val="sr-Cyrl-RS"/>
        </w:rPr>
      </w:pPr>
      <w:bookmarkStart w:id="111" w:name="_Toc484260299"/>
      <w:r w:rsidRPr="00CF77C1">
        <w:rPr>
          <w:rFonts w:ascii="Times New Roman" w:hAnsi="Times New Roman"/>
          <w:b w:val="0"/>
          <w:lang w:val="sr-Cyrl-RS"/>
        </w:rPr>
        <w:t xml:space="preserve">3.4. </w:t>
      </w:r>
      <w:r w:rsidR="003F3DB8" w:rsidRPr="00CF77C1">
        <w:rPr>
          <w:rFonts w:ascii="Times New Roman" w:hAnsi="Times New Roman"/>
          <w:b w:val="0"/>
          <w:lang w:val="sr-Cyrl-RS"/>
        </w:rPr>
        <w:t>Област нафте</w:t>
      </w:r>
      <w:bookmarkEnd w:id="111"/>
    </w:p>
    <w:p w14:paraId="77FC5910" w14:textId="77777777" w:rsidR="003F3DB8" w:rsidRPr="00CF77C1" w:rsidRDefault="003F3DB8" w:rsidP="00FC1656">
      <w:pPr>
        <w:ind w:firstLine="720"/>
        <w:rPr>
          <w:szCs w:val="24"/>
          <w:lang w:val="sr-Cyrl-RS"/>
        </w:rPr>
      </w:pPr>
      <w:r w:rsidRPr="00CF77C1">
        <w:rPr>
          <w:szCs w:val="24"/>
          <w:lang w:val="sr-Cyrl-RS"/>
        </w:rPr>
        <w:t>Постизање стратешких циљева у области нафтног сектора остварује се применом мера и реализацијом пројеката који су дефинисани тако да омогуће остваривање једног или истовремено више циљева датих у Стратегији развоја енергетике Републике Србије до 2025. са пројекцијама до 2030. године. Ради се o комплексним мерама које обухватају регулаторне, организационе, техничке, технолошке и друге активности, као и капиталне инвестиционе пројекте. Усвојени стратешки циљеви у области нафтног сектора су:</w:t>
      </w:r>
    </w:p>
    <w:p w14:paraId="26F1AB35" w14:textId="6313E2BC" w:rsidR="003F3DB8" w:rsidRPr="00CF77C1" w:rsidRDefault="00410E22" w:rsidP="003E39B4">
      <w:pPr>
        <w:pStyle w:val="ListParagraph"/>
        <w:numPr>
          <w:ilvl w:val="0"/>
          <w:numId w:val="39"/>
        </w:numPr>
        <w:spacing w:before="60" w:after="60"/>
        <w:ind w:left="0" w:firstLine="720"/>
        <w:contextualSpacing w:val="0"/>
        <w:rPr>
          <w:szCs w:val="24"/>
          <w:lang w:val="sr-Cyrl-RS"/>
        </w:rPr>
      </w:pPr>
      <w:r w:rsidRPr="00CF77C1">
        <w:rPr>
          <w:spacing w:val="-3"/>
          <w:szCs w:val="24"/>
          <w:lang w:val="sr-Cyrl-RS"/>
        </w:rPr>
        <w:t>о</w:t>
      </w:r>
      <w:r w:rsidR="003F3DB8" w:rsidRPr="00CF77C1">
        <w:rPr>
          <w:spacing w:val="-3"/>
          <w:szCs w:val="24"/>
          <w:lang w:val="sr-Cyrl-RS"/>
        </w:rPr>
        <w:t>безбеђењ</w:t>
      </w:r>
      <w:r w:rsidR="003F3DB8" w:rsidRPr="00CF77C1">
        <w:rPr>
          <w:szCs w:val="24"/>
          <w:lang w:val="sr-Cyrl-RS"/>
        </w:rPr>
        <w:t>е</w:t>
      </w:r>
      <w:r w:rsidR="003F3DB8" w:rsidRPr="00CF77C1">
        <w:rPr>
          <w:spacing w:val="-5"/>
          <w:szCs w:val="24"/>
          <w:lang w:val="sr-Cyrl-RS"/>
        </w:rPr>
        <w:t xml:space="preserve"> </w:t>
      </w:r>
      <w:r w:rsidR="003F3DB8" w:rsidRPr="00CF77C1">
        <w:rPr>
          <w:spacing w:val="-3"/>
          <w:szCs w:val="24"/>
          <w:lang w:val="sr-Cyrl-RS"/>
        </w:rPr>
        <w:t>си</w:t>
      </w:r>
      <w:r w:rsidR="003F3DB8" w:rsidRPr="00CF77C1">
        <w:rPr>
          <w:szCs w:val="24"/>
          <w:lang w:val="sr-Cyrl-RS"/>
        </w:rPr>
        <w:t>г</w:t>
      </w:r>
      <w:r w:rsidR="003F3DB8" w:rsidRPr="00CF77C1">
        <w:rPr>
          <w:spacing w:val="-3"/>
          <w:szCs w:val="24"/>
          <w:lang w:val="sr-Cyrl-RS"/>
        </w:rPr>
        <w:t>урно</w:t>
      </w:r>
      <w:r w:rsidR="003F3DB8" w:rsidRPr="00CF77C1">
        <w:rPr>
          <w:szCs w:val="24"/>
          <w:lang w:val="sr-Cyrl-RS"/>
        </w:rPr>
        <w:t>г</w:t>
      </w:r>
      <w:r w:rsidR="003F3DB8" w:rsidRPr="00CF77C1">
        <w:rPr>
          <w:spacing w:val="-5"/>
          <w:szCs w:val="24"/>
          <w:lang w:val="sr-Cyrl-RS"/>
        </w:rPr>
        <w:t xml:space="preserve"> </w:t>
      </w:r>
      <w:r w:rsidR="003F3DB8" w:rsidRPr="00CF77C1">
        <w:rPr>
          <w:spacing w:val="-3"/>
          <w:szCs w:val="24"/>
          <w:lang w:val="sr-Cyrl-RS"/>
        </w:rPr>
        <w:t>сна</w:t>
      </w:r>
      <w:r w:rsidR="003F3DB8" w:rsidRPr="00CF77C1">
        <w:rPr>
          <w:spacing w:val="-4"/>
          <w:szCs w:val="24"/>
          <w:lang w:val="sr-Cyrl-RS"/>
        </w:rPr>
        <w:t>б</w:t>
      </w:r>
      <w:r w:rsidR="003F3DB8" w:rsidRPr="00CF77C1">
        <w:rPr>
          <w:spacing w:val="-3"/>
          <w:szCs w:val="24"/>
          <w:lang w:val="sr-Cyrl-RS"/>
        </w:rPr>
        <w:t>девања дом</w:t>
      </w:r>
      <w:r w:rsidR="003F3DB8" w:rsidRPr="00CF77C1">
        <w:rPr>
          <w:spacing w:val="-4"/>
          <w:szCs w:val="24"/>
          <w:lang w:val="sr-Cyrl-RS"/>
        </w:rPr>
        <w:t>а</w:t>
      </w:r>
      <w:r w:rsidR="003F3DB8" w:rsidRPr="00CF77C1">
        <w:rPr>
          <w:spacing w:val="-3"/>
          <w:szCs w:val="24"/>
          <w:lang w:val="sr-Cyrl-RS"/>
        </w:rPr>
        <w:t>ће</w:t>
      </w:r>
      <w:r w:rsidR="003F3DB8" w:rsidRPr="00CF77C1">
        <w:rPr>
          <w:szCs w:val="24"/>
          <w:lang w:val="sr-Cyrl-RS"/>
        </w:rPr>
        <w:t>г</w:t>
      </w:r>
      <w:r w:rsidR="003F3DB8" w:rsidRPr="00CF77C1">
        <w:rPr>
          <w:spacing w:val="-5"/>
          <w:szCs w:val="24"/>
          <w:lang w:val="sr-Cyrl-RS"/>
        </w:rPr>
        <w:t xml:space="preserve"> </w:t>
      </w:r>
      <w:r w:rsidR="003F3DB8" w:rsidRPr="00CF77C1">
        <w:rPr>
          <w:spacing w:val="-4"/>
          <w:szCs w:val="24"/>
          <w:lang w:val="sr-Cyrl-RS"/>
        </w:rPr>
        <w:t>тр</w:t>
      </w:r>
      <w:r w:rsidR="003F3DB8" w:rsidRPr="00CF77C1">
        <w:rPr>
          <w:spacing w:val="-3"/>
          <w:szCs w:val="24"/>
          <w:lang w:val="sr-Cyrl-RS"/>
        </w:rPr>
        <w:t>жиш</w:t>
      </w:r>
      <w:r w:rsidR="003F3DB8" w:rsidRPr="00CF77C1">
        <w:rPr>
          <w:spacing w:val="-5"/>
          <w:szCs w:val="24"/>
          <w:lang w:val="sr-Cyrl-RS"/>
        </w:rPr>
        <w:t>т</w:t>
      </w:r>
      <w:r w:rsidR="003F3DB8" w:rsidRPr="00CF77C1">
        <w:rPr>
          <w:szCs w:val="24"/>
          <w:lang w:val="sr-Cyrl-RS"/>
        </w:rPr>
        <w:t>а</w:t>
      </w:r>
      <w:r w:rsidR="003F3DB8" w:rsidRPr="00CF77C1">
        <w:rPr>
          <w:spacing w:val="-5"/>
          <w:szCs w:val="24"/>
          <w:lang w:val="sr-Cyrl-RS"/>
        </w:rPr>
        <w:t xml:space="preserve"> </w:t>
      </w:r>
      <w:r w:rsidR="003F3DB8" w:rsidRPr="00CF77C1">
        <w:rPr>
          <w:spacing w:val="-3"/>
          <w:szCs w:val="24"/>
          <w:lang w:val="sr-Cyrl-RS"/>
        </w:rPr>
        <w:t>наф</w:t>
      </w:r>
      <w:r w:rsidR="003F3DB8" w:rsidRPr="00CF77C1">
        <w:rPr>
          <w:spacing w:val="-4"/>
          <w:szCs w:val="24"/>
          <w:lang w:val="sr-Cyrl-RS"/>
        </w:rPr>
        <w:t>т</w:t>
      </w:r>
      <w:r w:rsidR="003F3DB8" w:rsidRPr="00CF77C1">
        <w:rPr>
          <w:spacing w:val="-3"/>
          <w:szCs w:val="24"/>
          <w:lang w:val="sr-Cyrl-RS"/>
        </w:rPr>
        <w:t>ним дерив</w:t>
      </w:r>
      <w:r w:rsidR="003F3DB8" w:rsidRPr="00CF77C1">
        <w:rPr>
          <w:spacing w:val="-4"/>
          <w:szCs w:val="24"/>
          <w:lang w:val="sr-Cyrl-RS"/>
        </w:rPr>
        <w:t>ат</w:t>
      </w:r>
      <w:r w:rsidR="003F3DB8" w:rsidRPr="00CF77C1">
        <w:rPr>
          <w:spacing w:val="-3"/>
          <w:szCs w:val="24"/>
          <w:lang w:val="sr-Cyrl-RS"/>
        </w:rPr>
        <w:t>им</w:t>
      </w:r>
      <w:r w:rsidR="003F3DB8" w:rsidRPr="00CF77C1">
        <w:rPr>
          <w:szCs w:val="24"/>
          <w:lang w:val="sr-Cyrl-RS"/>
        </w:rPr>
        <w:t>а</w:t>
      </w:r>
      <w:r w:rsidR="003F3DB8" w:rsidRPr="00CF77C1">
        <w:rPr>
          <w:spacing w:val="-5"/>
          <w:szCs w:val="24"/>
          <w:lang w:val="sr-Cyrl-RS"/>
        </w:rPr>
        <w:t xml:space="preserve"> </w:t>
      </w:r>
      <w:r w:rsidR="003F3DB8" w:rsidRPr="00CF77C1">
        <w:rPr>
          <w:spacing w:val="-3"/>
          <w:szCs w:val="24"/>
          <w:lang w:val="sr-Cyrl-RS"/>
        </w:rPr>
        <w:t>ч</w:t>
      </w:r>
      <w:r w:rsidR="003F3DB8" w:rsidRPr="00CF77C1">
        <w:rPr>
          <w:spacing w:val="-4"/>
          <w:szCs w:val="24"/>
          <w:lang w:val="sr-Cyrl-RS"/>
        </w:rPr>
        <w:t>и</w:t>
      </w:r>
      <w:r w:rsidR="003F3DB8" w:rsidRPr="00CF77C1">
        <w:rPr>
          <w:spacing w:val="-3"/>
          <w:szCs w:val="24"/>
          <w:lang w:val="sr-Cyrl-RS"/>
        </w:rPr>
        <w:t>ј</w:t>
      </w:r>
      <w:r w:rsidR="003F3DB8" w:rsidRPr="00CF77C1">
        <w:rPr>
          <w:szCs w:val="24"/>
          <w:lang w:val="sr-Cyrl-RS"/>
        </w:rPr>
        <w:t>и</w:t>
      </w:r>
      <w:r w:rsidR="003F3DB8" w:rsidRPr="00CF77C1">
        <w:rPr>
          <w:spacing w:val="-5"/>
          <w:szCs w:val="24"/>
          <w:lang w:val="sr-Cyrl-RS"/>
        </w:rPr>
        <w:t xml:space="preserve"> </w:t>
      </w:r>
      <w:r w:rsidR="003F3DB8" w:rsidRPr="00CF77C1">
        <w:rPr>
          <w:spacing w:val="-3"/>
          <w:szCs w:val="24"/>
          <w:lang w:val="sr-Cyrl-RS"/>
        </w:rPr>
        <w:t>кв</w:t>
      </w:r>
      <w:r w:rsidR="003F3DB8" w:rsidRPr="00CF77C1">
        <w:rPr>
          <w:spacing w:val="-1"/>
          <w:szCs w:val="24"/>
          <w:lang w:val="sr-Cyrl-RS"/>
        </w:rPr>
        <w:t>а</w:t>
      </w:r>
      <w:r w:rsidR="003F3DB8" w:rsidRPr="00CF77C1">
        <w:rPr>
          <w:spacing w:val="-3"/>
          <w:szCs w:val="24"/>
          <w:lang w:val="sr-Cyrl-RS"/>
        </w:rPr>
        <w:t>ли</w:t>
      </w:r>
      <w:r w:rsidR="003F3DB8" w:rsidRPr="00CF77C1">
        <w:rPr>
          <w:spacing w:val="-6"/>
          <w:szCs w:val="24"/>
          <w:lang w:val="sr-Cyrl-RS"/>
        </w:rPr>
        <w:t>т</w:t>
      </w:r>
      <w:r w:rsidR="003F3DB8" w:rsidRPr="00CF77C1">
        <w:rPr>
          <w:spacing w:val="-3"/>
          <w:szCs w:val="24"/>
          <w:lang w:val="sr-Cyrl-RS"/>
        </w:rPr>
        <w:t>е</w:t>
      </w:r>
      <w:r w:rsidR="003F3DB8" w:rsidRPr="00CF77C1">
        <w:rPr>
          <w:szCs w:val="24"/>
          <w:lang w:val="sr-Cyrl-RS"/>
        </w:rPr>
        <w:t>т</w:t>
      </w:r>
      <w:r w:rsidR="003F3DB8" w:rsidRPr="00CF77C1">
        <w:rPr>
          <w:spacing w:val="-5"/>
          <w:szCs w:val="24"/>
          <w:lang w:val="sr-Cyrl-RS"/>
        </w:rPr>
        <w:t xml:space="preserve"> </w:t>
      </w:r>
      <w:r w:rsidR="003F3DB8" w:rsidRPr="00CF77C1">
        <w:rPr>
          <w:spacing w:val="-4"/>
          <w:szCs w:val="24"/>
          <w:lang w:val="sr-Cyrl-RS"/>
        </w:rPr>
        <w:t>о</w:t>
      </w:r>
      <w:r w:rsidR="003F3DB8" w:rsidRPr="00CF77C1">
        <w:rPr>
          <w:spacing w:val="-3"/>
          <w:szCs w:val="24"/>
          <w:lang w:val="sr-Cyrl-RS"/>
        </w:rPr>
        <w:t>д</w:t>
      </w:r>
      <w:r w:rsidR="003F3DB8" w:rsidRPr="00CF77C1">
        <w:rPr>
          <w:spacing w:val="-6"/>
          <w:szCs w:val="24"/>
          <w:lang w:val="sr-Cyrl-RS"/>
        </w:rPr>
        <w:t>г</w:t>
      </w:r>
      <w:r w:rsidR="003F3DB8" w:rsidRPr="00CF77C1">
        <w:rPr>
          <w:spacing w:val="-3"/>
          <w:szCs w:val="24"/>
          <w:lang w:val="sr-Cyrl-RS"/>
        </w:rPr>
        <w:t xml:space="preserve">овара </w:t>
      </w:r>
      <w:r w:rsidR="003F3DB8" w:rsidRPr="00CF77C1">
        <w:rPr>
          <w:szCs w:val="24"/>
          <w:lang w:val="sr-Cyrl-RS"/>
        </w:rPr>
        <w:t>н</w:t>
      </w:r>
      <w:r w:rsidR="003F3DB8" w:rsidRPr="00CF77C1">
        <w:rPr>
          <w:spacing w:val="-4"/>
          <w:szCs w:val="24"/>
          <w:lang w:val="sr-Cyrl-RS"/>
        </w:rPr>
        <w:t>а</w:t>
      </w:r>
      <w:r w:rsidR="003F3DB8" w:rsidRPr="00CF77C1">
        <w:rPr>
          <w:szCs w:val="24"/>
          <w:lang w:val="sr-Cyrl-RS"/>
        </w:rPr>
        <w:t>јвишим</w:t>
      </w:r>
      <w:r w:rsidR="003F3DB8" w:rsidRPr="00CF77C1">
        <w:rPr>
          <w:spacing w:val="-4"/>
          <w:szCs w:val="24"/>
          <w:lang w:val="sr-Cyrl-RS"/>
        </w:rPr>
        <w:t xml:space="preserve"> </w:t>
      </w:r>
      <w:r w:rsidR="003F3DB8" w:rsidRPr="00CF77C1">
        <w:rPr>
          <w:spacing w:val="-1"/>
          <w:szCs w:val="24"/>
          <w:lang w:val="sr-Cyrl-RS"/>
        </w:rPr>
        <w:t>Е</w:t>
      </w:r>
      <w:r w:rsidR="003F3DB8" w:rsidRPr="00CF77C1">
        <w:rPr>
          <w:szCs w:val="24"/>
          <w:lang w:val="sr-Cyrl-RS"/>
        </w:rPr>
        <w:t>У</w:t>
      </w:r>
      <w:r w:rsidR="003F3DB8" w:rsidRPr="00CF77C1">
        <w:rPr>
          <w:spacing w:val="-4"/>
          <w:szCs w:val="24"/>
          <w:lang w:val="sr-Cyrl-RS"/>
        </w:rPr>
        <w:t xml:space="preserve"> </w:t>
      </w:r>
      <w:r w:rsidR="003F3DB8" w:rsidRPr="00CF77C1">
        <w:rPr>
          <w:spacing w:val="1"/>
          <w:szCs w:val="24"/>
          <w:lang w:val="sr-Cyrl-RS"/>
        </w:rPr>
        <w:t>с</w:t>
      </w:r>
      <w:r w:rsidR="003F3DB8" w:rsidRPr="00CF77C1">
        <w:rPr>
          <w:spacing w:val="-5"/>
          <w:szCs w:val="24"/>
          <w:lang w:val="sr-Cyrl-RS"/>
        </w:rPr>
        <w:t>т</w:t>
      </w:r>
      <w:r w:rsidR="003F3DB8" w:rsidRPr="00CF77C1">
        <w:rPr>
          <w:szCs w:val="24"/>
          <w:lang w:val="sr-Cyrl-RS"/>
        </w:rPr>
        <w:t>анда</w:t>
      </w:r>
      <w:r w:rsidR="003F3DB8" w:rsidRPr="00CF77C1">
        <w:rPr>
          <w:spacing w:val="-4"/>
          <w:szCs w:val="24"/>
          <w:lang w:val="sr-Cyrl-RS"/>
        </w:rPr>
        <w:t>р</w:t>
      </w:r>
      <w:r w:rsidR="003F3DB8" w:rsidRPr="00CF77C1">
        <w:rPr>
          <w:szCs w:val="24"/>
          <w:lang w:val="sr-Cyrl-RS"/>
        </w:rPr>
        <w:t>дима;</w:t>
      </w:r>
    </w:p>
    <w:p w14:paraId="2041D56A" w14:textId="2883BE34" w:rsidR="003F3DB8" w:rsidRPr="00CF77C1" w:rsidRDefault="00410E22" w:rsidP="003E39B4">
      <w:pPr>
        <w:pStyle w:val="ListParagraph"/>
        <w:numPr>
          <w:ilvl w:val="0"/>
          <w:numId w:val="39"/>
        </w:numPr>
        <w:spacing w:before="60" w:after="60"/>
        <w:ind w:left="0" w:firstLine="720"/>
        <w:contextualSpacing w:val="0"/>
        <w:rPr>
          <w:spacing w:val="-3"/>
          <w:szCs w:val="24"/>
          <w:lang w:val="sr-Cyrl-RS"/>
        </w:rPr>
      </w:pPr>
      <w:r w:rsidRPr="00CF77C1">
        <w:rPr>
          <w:spacing w:val="-3"/>
          <w:szCs w:val="24"/>
          <w:lang w:val="sr-Cyrl-RS"/>
        </w:rPr>
        <w:t>с</w:t>
      </w:r>
      <w:r w:rsidR="003F3DB8" w:rsidRPr="00CF77C1">
        <w:rPr>
          <w:spacing w:val="-3"/>
          <w:szCs w:val="24"/>
          <w:lang w:val="sr-Cyrl-RS"/>
        </w:rPr>
        <w:t>мањење увозне зависности;</w:t>
      </w:r>
    </w:p>
    <w:p w14:paraId="18A51016" w14:textId="6B00D1E4" w:rsidR="003F3DB8" w:rsidRPr="00CF77C1" w:rsidRDefault="00410E22" w:rsidP="003E39B4">
      <w:pPr>
        <w:pStyle w:val="ListParagraph"/>
        <w:numPr>
          <w:ilvl w:val="0"/>
          <w:numId w:val="39"/>
        </w:numPr>
        <w:spacing w:before="60" w:after="60"/>
        <w:ind w:left="0" w:firstLine="720"/>
        <w:contextualSpacing w:val="0"/>
        <w:rPr>
          <w:spacing w:val="-3"/>
          <w:szCs w:val="24"/>
          <w:lang w:val="sr-Cyrl-RS"/>
        </w:rPr>
      </w:pPr>
      <w:r w:rsidRPr="00CF77C1">
        <w:rPr>
          <w:spacing w:val="-3"/>
          <w:szCs w:val="24"/>
          <w:lang w:val="sr-Cyrl-RS"/>
        </w:rPr>
        <w:t>о</w:t>
      </w:r>
      <w:r w:rsidR="003F3DB8" w:rsidRPr="00CF77C1">
        <w:rPr>
          <w:spacing w:val="-3"/>
          <w:szCs w:val="24"/>
          <w:lang w:val="sr-Cyrl-RS"/>
        </w:rPr>
        <w:t>безбеђење нових праваца снабдевања сировом нафтом.</w:t>
      </w:r>
    </w:p>
    <w:p w14:paraId="0F66E7E6" w14:textId="71B1C26A" w:rsidR="003F3DB8" w:rsidRPr="00CF77C1" w:rsidRDefault="00410E22" w:rsidP="003E39B4">
      <w:pPr>
        <w:pStyle w:val="ListParagraph"/>
        <w:numPr>
          <w:ilvl w:val="0"/>
          <w:numId w:val="39"/>
        </w:numPr>
        <w:spacing w:before="60" w:after="60"/>
        <w:ind w:left="0" w:firstLine="720"/>
        <w:contextualSpacing w:val="0"/>
        <w:rPr>
          <w:spacing w:val="-3"/>
          <w:szCs w:val="24"/>
          <w:lang w:val="sr-Cyrl-RS"/>
        </w:rPr>
      </w:pPr>
      <w:r w:rsidRPr="00CF77C1">
        <w:rPr>
          <w:spacing w:val="-3"/>
          <w:szCs w:val="24"/>
          <w:lang w:val="sr-Cyrl-RS"/>
        </w:rPr>
        <w:t>с</w:t>
      </w:r>
      <w:r w:rsidR="003F3DB8" w:rsidRPr="00CF77C1">
        <w:rPr>
          <w:spacing w:val="-3"/>
          <w:szCs w:val="24"/>
          <w:lang w:val="sr-Cyrl-RS"/>
        </w:rPr>
        <w:t>тепен реализације појединих стратешких циљева пратиће се индикаторима датим у</w:t>
      </w:r>
      <w:r w:rsidR="00BE586B" w:rsidRPr="00CF77C1">
        <w:rPr>
          <w:spacing w:val="-3"/>
          <w:szCs w:val="24"/>
          <w:lang w:val="sr-Cyrl-RS"/>
        </w:rPr>
        <w:t xml:space="preserve"> </w:t>
      </w:r>
      <w:r w:rsidR="0092145E" w:rsidRPr="00CF77C1">
        <w:rPr>
          <w:spacing w:val="-3"/>
          <w:szCs w:val="24"/>
          <w:lang w:val="sr-Cyrl-RS"/>
        </w:rPr>
        <w:fldChar w:fldCharType="begin"/>
      </w:r>
      <w:r w:rsidR="00BE586B" w:rsidRPr="00CF77C1">
        <w:rPr>
          <w:spacing w:val="-3"/>
          <w:szCs w:val="24"/>
          <w:lang w:val="sr-Cyrl-RS"/>
        </w:rPr>
        <w:instrText xml:space="preserve"> REF _Ref475611066 \h </w:instrText>
      </w:r>
      <w:r w:rsidR="002158C6" w:rsidRPr="00CF77C1">
        <w:rPr>
          <w:spacing w:val="-3"/>
          <w:szCs w:val="24"/>
          <w:lang w:val="sr-Cyrl-RS"/>
        </w:rPr>
        <w:instrText xml:space="preserve"> \* MERGEFORMAT </w:instrText>
      </w:r>
      <w:r w:rsidR="0092145E" w:rsidRPr="00CF77C1">
        <w:rPr>
          <w:spacing w:val="-3"/>
          <w:szCs w:val="24"/>
          <w:lang w:val="sr-Cyrl-RS"/>
        </w:rPr>
      </w:r>
      <w:r w:rsidR="0092145E" w:rsidRPr="00CF77C1">
        <w:rPr>
          <w:spacing w:val="-3"/>
          <w:szCs w:val="24"/>
          <w:lang w:val="sr-Cyrl-RS"/>
        </w:rPr>
        <w:fldChar w:fldCharType="separate"/>
      </w:r>
      <w:r w:rsidR="002D5918" w:rsidRPr="002D5918">
        <w:rPr>
          <w:spacing w:val="-3"/>
          <w:szCs w:val="24"/>
          <w:lang w:val="sr-Cyrl-RS"/>
        </w:rPr>
        <w:t>таб. 36</w:t>
      </w:r>
      <w:r w:rsidR="0092145E" w:rsidRPr="00CF77C1">
        <w:rPr>
          <w:spacing w:val="-3"/>
          <w:szCs w:val="24"/>
          <w:lang w:val="sr-Cyrl-RS"/>
        </w:rPr>
        <w:fldChar w:fldCharType="end"/>
      </w:r>
      <w:r w:rsidR="003F3DB8" w:rsidRPr="00CF77C1">
        <w:rPr>
          <w:spacing w:val="-3"/>
          <w:szCs w:val="24"/>
          <w:lang w:val="sr-Cyrl-RS"/>
        </w:rPr>
        <w:t>.</w:t>
      </w:r>
    </w:p>
    <w:p w14:paraId="79DB161A" w14:textId="07325514" w:rsidR="003F3DB8" w:rsidRPr="00CF77C1" w:rsidRDefault="00141BA0" w:rsidP="00141BA0">
      <w:pPr>
        <w:pStyle w:val="Heading3"/>
        <w:numPr>
          <w:ilvl w:val="0"/>
          <w:numId w:val="0"/>
        </w:numPr>
        <w:ind w:left="720"/>
        <w:rPr>
          <w:b w:val="0"/>
          <w:lang w:val="sr-Cyrl-RS"/>
        </w:rPr>
      </w:pPr>
      <w:bookmarkStart w:id="112" w:name="_Toc471730786"/>
      <w:bookmarkStart w:id="113" w:name="_Toc484260300"/>
      <w:r w:rsidRPr="00CF77C1">
        <w:rPr>
          <w:b w:val="0"/>
          <w:lang w:val="sr-Cyrl-RS"/>
        </w:rPr>
        <w:t xml:space="preserve">3.4.1. </w:t>
      </w:r>
      <w:r w:rsidR="003F3DB8" w:rsidRPr="00CF77C1">
        <w:rPr>
          <w:b w:val="0"/>
          <w:lang w:val="sr-Cyrl-RS"/>
        </w:rPr>
        <w:t>Мере у области нафтног сектора</w:t>
      </w:r>
      <w:bookmarkEnd w:id="112"/>
      <w:bookmarkEnd w:id="113"/>
    </w:p>
    <w:p w14:paraId="64EBE272" w14:textId="77777777" w:rsidR="003F3DB8" w:rsidRPr="00CF77C1" w:rsidRDefault="003F3DB8" w:rsidP="00FC1656">
      <w:pPr>
        <w:ind w:firstLine="720"/>
        <w:rPr>
          <w:lang w:val="sr-Cyrl-RS"/>
        </w:rPr>
      </w:pPr>
      <w:r w:rsidRPr="00CF77C1">
        <w:rPr>
          <w:lang w:val="sr-Cyrl-RS"/>
        </w:rPr>
        <w:t>Мере у области нафтног сектора примарно усмерене ка обезбеђењу остваривања стратешких циљева обухватају:</w:t>
      </w:r>
    </w:p>
    <w:p w14:paraId="485B2B1F" w14:textId="158FF44C" w:rsidR="003F3DB8" w:rsidRPr="00CF77C1" w:rsidRDefault="00C62ABB" w:rsidP="00C62ABB">
      <w:pPr>
        <w:pStyle w:val="ListParagraph"/>
        <w:spacing w:before="60" w:after="60"/>
        <w:ind w:left="0" w:firstLine="720"/>
        <w:contextualSpacing w:val="0"/>
        <w:rPr>
          <w:szCs w:val="24"/>
          <w:lang w:val="sr-Cyrl-RS"/>
        </w:rPr>
      </w:pPr>
      <w:r>
        <w:rPr>
          <w:szCs w:val="24"/>
          <w:lang w:val="sr-Latn-CS"/>
        </w:rPr>
        <w:t xml:space="preserve">1. </w:t>
      </w:r>
      <w:r w:rsidR="003F3DB8" w:rsidRPr="00CF77C1">
        <w:rPr>
          <w:szCs w:val="24"/>
          <w:lang w:val="sr-Cyrl-RS"/>
        </w:rPr>
        <w:t>Усклађивање националног законодавног оквира са правним тековинама ЕУ и прописима ЕЗ. Скуп активности коjи пратe ову меру односи се на доношење нових или хармонизацију постојећих закона и подзаконских аката са Директивама и препорукама ЕУ, као и одлукама и препорукама Енергетске заједнице и дат је у</w:t>
      </w:r>
      <w:r w:rsidR="00BE586B" w:rsidRPr="00CF77C1">
        <w:rPr>
          <w:szCs w:val="24"/>
          <w:lang w:val="sr-Cyrl-RS"/>
        </w:rPr>
        <w:t xml:space="preserve"> </w:t>
      </w:r>
      <w:r w:rsidR="0092145E" w:rsidRPr="00CF77C1">
        <w:rPr>
          <w:lang w:val="sr-Cyrl-RS"/>
        </w:rPr>
        <w:fldChar w:fldCharType="begin"/>
      </w:r>
      <w:r w:rsidR="00BE586B" w:rsidRPr="00CF77C1">
        <w:rPr>
          <w:szCs w:val="24"/>
          <w:lang w:val="sr-Cyrl-RS"/>
        </w:rPr>
        <w:instrText xml:space="preserve"> REF _Ref475611086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таб. 37</w:t>
      </w:r>
      <w:r w:rsidR="0092145E" w:rsidRPr="00CF77C1">
        <w:rPr>
          <w:lang w:val="sr-Cyrl-RS"/>
        </w:rPr>
        <w:fldChar w:fldCharType="end"/>
      </w:r>
      <w:r w:rsidR="003F3DB8" w:rsidRPr="00CF77C1">
        <w:rPr>
          <w:szCs w:val="24"/>
          <w:lang w:val="sr-Cyrl-RS"/>
        </w:rPr>
        <w:t>.</w:t>
      </w:r>
    </w:p>
    <w:p w14:paraId="6C9219D4" w14:textId="02334744" w:rsidR="003F3DB8" w:rsidRPr="00CF77C1" w:rsidRDefault="00C62ABB" w:rsidP="00C62ABB">
      <w:pPr>
        <w:pStyle w:val="ListParagraph"/>
        <w:spacing w:before="60" w:after="60"/>
        <w:ind w:left="0" w:firstLine="720"/>
        <w:contextualSpacing w:val="0"/>
        <w:rPr>
          <w:szCs w:val="24"/>
          <w:lang w:val="sr-Cyrl-RS"/>
        </w:rPr>
      </w:pPr>
      <w:r>
        <w:rPr>
          <w:szCs w:val="24"/>
          <w:lang w:val="sr-Latn-CS"/>
        </w:rPr>
        <w:t xml:space="preserve">2. </w:t>
      </w:r>
      <w:r w:rsidR="003F3DB8" w:rsidRPr="00C62ABB">
        <w:rPr>
          <w:szCs w:val="24"/>
          <w:lang w:val="sr-Latn-CS"/>
        </w:rPr>
        <w:t>Мере</w:t>
      </w:r>
      <w:r w:rsidR="003F3DB8" w:rsidRPr="00CF77C1">
        <w:rPr>
          <w:szCs w:val="24"/>
          <w:lang w:val="sr-Cyrl-RS"/>
        </w:rPr>
        <w:t xml:space="preserve"> у подобласти нафтног сектора - истраживање и производња су:</w:t>
      </w:r>
    </w:p>
    <w:p w14:paraId="3BF5C47D" w14:textId="29B563E0" w:rsidR="003F3DB8" w:rsidRPr="00CF77C1" w:rsidRDefault="00410E22" w:rsidP="003E39B4">
      <w:pPr>
        <w:pStyle w:val="ListParagraph"/>
        <w:numPr>
          <w:ilvl w:val="0"/>
          <w:numId w:val="39"/>
        </w:numPr>
        <w:spacing w:before="60" w:after="60"/>
        <w:ind w:firstLine="0"/>
        <w:contextualSpacing w:val="0"/>
        <w:rPr>
          <w:szCs w:val="24"/>
          <w:lang w:val="sr-Cyrl-RS"/>
        </w:rPr>
      </w:pPr>
      <w:r w:rsidRPr="00CF77C1">
        <w:rPr>
          <w:szCs w:val="24"/>
          <w:lang w:val="sr-Cyrl-RS"/>
        </w:rPr>
        <w:t>п</w:t>
      </w:r>
      <w:r w:rsidR="003F3DB8" w:rsidRPr="00CF77C1">
        <w:rPr>
          <w:szCs w:val="24"/>
          <w:lang w:val="sr-Cyrl-RS"/>
        </w:rPr>
        <w:t>oвeћaњe рeсурснe бaзe и производње</w:t>
      </w:r>
      <w:r w:rsidRPr="00CF77C1">
        <w:rPr>
          <w:szCs w:val="24"/>
          <w:lang w:val="sr-Cyrl-RS"/>
        </w:rPr>
        <w:t>;</w:t>
      </w:r>
    </w:p>
    <w:p w14:paraId="5E7FCD98" w14:textId="0C3E3A7F" w:rsidR="003F3DB8" w:rsidRPr="00CF77C1" w:rsidRDefault="00410E22" w:rsidP="003E39B4">
      <w:pPr>
        <w:pStyle w:val="ListParagraph"/>
        <w:numPr>
          <w:ilvl w:val="0"/>
          <w:numId w:val="39"/>
        </w:numPr>
        <w:spacing w:before="60" w:after="60"/>
        <w:ind w:firstLine="0"/>
        <w:contextualSpacing w:val="0"/>
        <w:rPr>
          <w:szCs w:val="24"/>
          <w:lang w:val="sr-Cyrl-RS"/>
        </w:rPr>
      </w:pPr>
      <w:r w:rsidRPr="00CF77C1">
        <w:rPr>
          <w:szCs w:val="24"/>
          <w:lang w:val="sr-Cyrl-RS"/>
        </w:rPr>
        <w:t>о</w:t>
      </w:r>
      <w:r w:rsidR="003F3DB8" w:rsidRPr="00CF77C1">
        <w:rPr>
          <w:szCs w:val="24"/>
          <w:lang w:val="sr-Cyrl-RS"/>
        </w:rPr>
        <w:t>стваривање планираног обима производње (</w:t>
      </w:r>
      <w:r w:rsidR="00DB6984" w:rsidRPr="00CF77C1">
        <w:rPr>
          <w:szCs w:val="24"/>
          <w:lang w:val="sr-Cyrl-RS"/>
        </w:rPr>
        <w:fldChar w:fldCharType="begin"/>
      </w:r>
      <w:r w:rsidR="00DB6984" w:rsidRPr="00CF77C1">
        <w:rPr>
          <w:szCs w:val="24"/>
          <w:lang w:val="sr-Cyrl-RS"/>
        </w:rPr>
        <w:instrText xml:space="preserve"> REF _Ref475611186 \h </w:instrText>
      </w:r>
      <w:r w:rsidR="0077363A" w:rsidRPr="00CF77C1">
        <w:rPr>
          <w:szCs w:val="24"/>
          <w:lang w:val="sr-Cyrl-RS"/>
        </w:rPr>
        <w:instrText xml:space="preserve"> \* MERGEFORMAT </w:instrText>
      </w:r>
      <w:r w:rsidR="00DB6984" w:rsidRPr="00CF77C1">
        <w:rPr>
          <w:szCs w:val="24"/>
          <w:lang w:val="sr-Cyrl-RS"/>
        </w:rPr>
      </w:r>
      <w:r w:rsidR="00DB6984" w:rsidRPr="00CF77C1">
        <w:rPr>
          <w:szCs w:val="24"/>
          <w:lang w:val="sr-Cyrl-RS"/>
        </w:rPr>
        <w:fldChar w:fldCharType="separate"/>
      </w:r>
      <w:r w:rsidR="002D5918" w:rsidRPr="002D5918">
        <w:rPr>
          <w:szCs w:val="24"/>
          <w:lang w:val="sr-Cyrl-RS"/>
        </w:rPr>
        <w:t>таб. 39</w:t>
      </w:r>
      <w:r w:rsidR="00DB6984" w:rsidRPr="00CF77C1">
        <w:rPr>
          <w:szCs w:val="24"/>
          <w:lang w:val="sr-Cyrl-RS"/>
        </w:rPr>
        <w:fldChar w:fldCharType="end"/>
      </w:r>
      <w:r w:rsidR="003F3DB8" w:rsidRPr="00CF77C1">
        <w:rPr>
          <w:szCs w:val="24"/>
          <w:lang w:val="sr-Cyrl-RS"/>
        </w:rPr>
        <w:t>) повећањем искоришћења постојећих лежишта и мерама за смањење губитака у производњи</w:t>
      </w:r>
      <w:r w:rsidRPr="00CF77C1">
        <w:rPr>
          <w:szCs w:val="24"/>
          <w:lang w:val="sr-Cyrl-RS"/>
        </w:rPr>
        <w:t>;</w:t>
      </w:r>
    </w:p>
    <w:p w14:paraId="67FF266B" w14:textId="78B0A85B" w:rsidR="003F3DB8" w:rsidRPr="00CF77C1" w:rsidRDefault="00410E22" w:rsidP="003E39B4">
      <w:pPr>
        <w:pStyle w:val="ListParagraph"/>
        <w:numPr>
          <w:ilvl w:val="0"/>
          <w:numId w:val="39"/>
        </w:numPr>
        <w:spacing w:before="60" w:after="60"/>
        <w:ind w:firstLine="0"/>
        <w:contextualSpacing w:val="0"/>
        <w:rPr>
          <w:szCs w:val="24"/>
          <w:lang w:val="sr-Cyrl-RS"/>
        </w:rPr>
      </w:pPr>
      <w:r w:rsidRPr="00CF77C1">
        <w:rPr>
          <w:szCs w:val="24"/>
          <w:lang w:val="sr-Cyrl-RS"/>
        </w:rPr>
        <w:t>е</w:t>
      </w:r>
      <w:r w:rsidR="003F3DB8" w:rsidRPr="00CF77C1">
        <w:rPr>
          <w:szCs w:val="24"/>
          <w:lang w:val="sr-Cyrl-RS"/>
        </w:rPr>
        <w:t>ксплоатација нeкoнвeнционалних нафтних рeсурсa - уљних шкриљаца (уљних шејлова)</w:t>
      </w:r>
      <w:r w:rsidRPr="00CF77C1">
        <w:rPr>
          <w:szCs w:val="24"/>
          <w:lang w:val="sr-Cyrl-RS"/>
        </w:rPr>
        <w:t>.</w:t>
      </w:r>
    </w:p>
    <w:p w14:paraId="4271CDC8" w14:textId="7FD0C4D2" w:rsidR="003F3DB8" w:rsidRPr="00CF77C1" w:rsidRDefault="003F3DB8" w:rsidP="00FC1656">
      <w:pPr>
        <w:ind w:firstLine="720"/>
        <w:rPr>
          <w:szCs w:val="24"/>
          <w:lang w:val="sr-Cyrl-RS"/>
        </w:rPr>
      </w:pPr>
      <w:r w:rsidRPr="00CF77C1">
        <w:rPr>
          <w:szCs w:val="24"/>
          <w:lang w:val="sr-Cyrl-RS"/>
        </w:rPr>
        <w:t xml:space="preserve">Скуп активности које прати ове мере приказан је у </w:t>
      </w:r>
      <w:r w:rsidR="0092145E" w:rsidRPr="00CF77C1">
        <w:rPr>
          <w:lang w:val="sr-Cyrl-RS"/>
        </w:rPr>
        <w:fldChar w:fldCharType="begin"/>
      </w:r>
      <w:r w:rsidR="00BE586B" w:rsidRPr="00CF77C1">
        <w:rPr>
          <w:szCs w:val="24"/>
          <w:lang w:val="sr-Cyrl-RS"/>
        </w:rPr>
        <w:instrText xml:space="preserve"> REF _Ref475611109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38</w:t>
      </w:r>
      <w:r w:rsidR="0092145E" w:rsidRPr="00CF77C1">
        <w:rPr>
          <w:lang w:val="sr-Cyrl-RS"/>
        </w:rPr>
        <w:fldChar w:fldCharType="end"/>
      </w:r>
      <w:r w:rsidRPr="00CF77C1">
        <w:rPr>
          <w:szCs w:val="24"/>
          <w:lang w:val="sr-Cyrl-RS"/>
        </w:rPr>
        <w:t>.</w:t>
      </w:r>
    </w:p>
    <w:p w14:paraId="22F0559D" w14:textId="77777777" w:rsidR="003F3DB8" w:rsidRPr="00CF77C1" w:rsidRDefault="003F3DB8" w:rsidP="0080044B">
      <w:pPr>
        <w:rPr>
          <w:lang w:val="sr-Cyrl-RS"/>
        </w:rPr>
      </w:pPr>
    </w:p>
    <w:p w14:paraId="79112759" w14:textId="77777777" w:rsidR="003F3DB8" w:rsidRPr="00CF77C1" w:rsidRDefault="003F3DB8" w:rsidP="0080044B">
      <w:pPr>
        <w:rPr>
          <w:lang w:val="sr-Cyrl-RS"/>
        </w:rPr>
        <w:sectPr w:rsidR="003F3DB8" w:rsidRPr="00CF77C1" w:rsidSect="00FC1656">
          <w:headerReference w:type="default" r:id="rId65"/>
          <w:footerReference w:type="default" r:id="rId66"/>
          <w:pgSz w:w="11907" w:h="16839" w:code="9"/>
          <w:pgMar w:top="1134" w:right="1287" w:bottom="1134" w:left="1350" w:header="720" w:footer="720" w:gutter="0"/>
          <w:cols w:space="720"/>
          <w:docGrid w:linePitch="360"/>
        </w:sectPr>
      </w:pPr>
    </w:p>
    <w:p w14:paraId="221F6DD5" w14:textId="7A770180" w:rsidR="003F3DB8" w:rsidRPr="00CF77C1" w:rsidRDefault="003F3DB8" w:rsidP="00FC1656">
      <w:pPr>
        <w:pStyle w:val="Caption"/>
        <w:ind w:firstLine="720"/>
        <w:rPr>
          <w:b w:val="0"/>
          <w:lang w:val="sr-Cyrl-RS"/>
        </w:rPr>
      </w:pPr>
      <w:bookmarkStart w:id="114" w:name="_Ref475611066"/>
      <w:r w:rsidRPr="00CF77C1">
        <w:rPr>
          <w:b w:val="0"/>
          <w:lang w:val="sr-Cyrl-RS"/>
        </w:rPr>
        <w:t>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36</w:t>
      </w:r>
      <w:r w:rsidR="0092145E" w:rsidRPr="00CF77C1">
        <w:rPr>
          <w:b w:val="0"/>
          <w:noProof/>
          <w:lang w:val="sr-Cyrl-RS"/>
        </w:rPr>
        <w:fldChar w:fldCharType="end"/>
      </w:r>
      <w:bookmarkEnd w:id="114"/>
      <w:r w:rsidRPr="00CF77C1">
        <w:rPr>
          <w:b w:val="0"/>
          <w:lang w:val="sr-Cyrl-RS"/>
        </w:rPr>
        <w:t>: Индикатори за праћење ефеката примене мера и реализације пројеката у нафтном сектору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1984"/>
        <w:gridCol w:w="3119"/>
        <w:gridCol w:w="4678"/>
        <w:gridCol w:w="1275"/>
        <w:gridCol w:w="1560"/>
      </w:tblGrid>
      <w:tr w:rsidR="003F3DB8" w:rsidRPr="00CF77C1" w14:paraId="17F89621" w14:textId="77777777" w:rsidTr="003F3DB8">
        <w:trPr>
          <w:cantSplit/>
          <w:tblHeader/>
        </w:trPr>
        <w:tc>
          <w:tcPr>
            <w:tcW w:w="2093" w:type="dxa"/>
            <w:vAlign w:val="center"/>
          </w:tcPr>
          <w:p w14:paraId="2AC53875" w14:textId="77777777" w:rsidR="003F3DB8" w:rsidRPr="00CF77C1" w:rsidRDefault="003F3DB8" w:rsidP="0080044B">
            <w:pPr>
              <w:spacing w:before="40" w:after="40"/>
              <w:jc w:val="center"/>
              <w:rPr>
                <w:szCs w:val="22"/>
                <w:lang w:val="sr-Cyrl-RS"/>
              </w:rPr>
            </w:pPr>
            <w:r w:rsidRPr="00CF77C1">
              <w:rPr>
                <w:szCs w:val="22"/>
                <w:lang w:val="sr-Cyrl-RS"/>
              </w:rPr>
              <w:t>Стратешки циљ</w:t>
            </w:r>
          </w:p>
        </w:tc>
        <w:tc>
          <w:tcPr>
            <w:tcW w:w="1984" w:type="dxa"/>
            <w:vAlign w:val="center"/>
          </w:tcPr>
          <w:p w14:paraId="6B139D32" w14:textId="77777777" w:rsidR="003F3DB8" w:rsidRPr="00CF77C1" w:rsidRDefault="003F3DB8" w:rsidP="0080044B">
            <w:pPr>
              <w:spacing w:before="40" w:after="40"/>
              <w:jc w:val="center"/>
              <w:rPr>
                <w:szCs w:val="22"/>
                <w:lang w:val="sr-Cyrl-RS"/>
              </w:rPr>
            </w:pPr>
            <w:r w:rsidRPr="00CF77C1">
              <w:rPr>
                <w:szCs w:val="22"/>
                <w:lang w:val="sr-Cyrl-RS"/>
              </w:rPr>
              <w:t>Индикатор</w:t>
            </w:r>
          </w:p>
        </w:tc>
        <w:tc>
          <w:tcPr>
            <w:tcW w:w="3119" w:type="dxa"/>
            <w:vAlign w:val="center"/>
          </w:tcPr>
          <w:p w14:paraId="6A8265F2" w14:textId="77777777" w:rsidR="003F3DB8" w:rsidRPr="00CF77C1" w:rsidRDefault="003F3DB8" w:rsidP="0080044B">
            <w:pPr>
              <w:spacing w:before="40" w:after="40"/>
              <w:jc w:val="center"/>
              <w:rPr>
                <w:szCs w:val="22"/>
                <w:lang w:val="sr-Cyrl-RS"/>
              </w:rPr>
            </w:pPr>
            <w:r w:rsidRPr="00CF77C1">
              <w:rPr>
                <w:szCs w:val="22"/>
                <w:lang w:val="sr-Cyrl-RS"/>
              </w:rPr>
              <w:t>Опис</w:t>
            </w:r>
          </w:p>
        </w:tc>
        <w:tc>
          <w:tcPr>
            <w:tcW w:w="4678" w:type="dxa"/>
            <w:vAlign w:val="center"/>
          </w:tcPr>
          <w:p w14:paraId="278DEC94" w14:textId="77777777" w:rsidR="003F3DB8" w:rsidRPr="00CF77C1" w:rsidRDefault="003F3DB8" w:rsidP="0080044B">
            <w:pPr>
              <w:spacing w:before="40" w:after="40"/>
              <w:jc w:val="center"/>
              <w:rPr>
                <w:szCs w:val="22"/>
                <w:lang w:val="sr-Cyrl-RS"/>
              </w:rPr>
            </w:pPr>
            <w:r w:rsidRPr="00CF77C1">
              <w:rPr>
                <w:szCs w:val="22"/>
                <w:lang w:val="sr-Cyrl-RS"/>
              </w:rPr>
              <w:t>Начин рачунања</w:t>
            </w:r>
          </w:p>
        </w:tc>
        <w:tc>
          <w:tcPr>
            <w:tcW w:w="1275" w:type="dxa"/>
            <w:vAlign w:val="center"/>
          </w:tcPr>
          <w:p w14:paraId="0AB9A051" w14:textId="77777777" w:rsidR="003F3DB8" w:rsidRPr="00CF77C1" w:rsidRDefault="003F3DB8" w:rsidP="0080044B">
            <w:pPr>
              <w:spacing w:before="40" w:after="40"/>
              <w:jc w:val="center"/>
              <w:rPr>
                <w:szCs w:val="22"/>
                <w:lang w:val="sr-Cyrl-RS"/>
              </w:rPr>
            </w:pPr>
            <w:r w:rsidRPr="00CF77C1">
              <w:rPr>
                <w:szCs w:val="22"/>
                <w:lang w:val="sr-Cyrl-RS"/>
              </w:rPr>
              <w:t>Вредност у 2016. години</w:t>
            </w:r>
          </w:p>
        </w:tc>
        <w:tc>
          <w:tcPr>
            <w:tcW w:w="1560" w:type="dxa"/>
            <w:vAlign w:val="center"/>
          </w:tcPr>
          <w:p w14:paraId="0E47FFE5" w14:textId="77777777" w:rsidR="003F3DB8" w:rsidRPr="00CF77C1" w:rsidRDefault="003F3DB8" w:rsidP="0080044B">
            <w:pPr>
              <w:spacing w:before="40" w:after="40"/>
              <w:jc w:val="center"/>
              <w:rPr>
                <w:szCs w:val="22"/>
                <w:lang w:val="sr-Cyrl-RS"/>
              </w:rPr>
            </w:pPr>
            <w:r w:rsidRPr="00CF77C1">
              <w:rPr>
                <w:szCs w:val="22"/>
                <w:lang w:val="sr-Cyrl-RS"/>
              </w:rPr>
              <w:t>Циљна/</w:t>
            </w:r>
          </w:p>
          <w:p w14:paraId="7B30BE11" w14:textId="77777777" w:rsidR="003F3DB8" w:rsidRPr="00CF77C1" w:rsidRDefault="003F3DB8" w:rsidP="0080044B">
            <w:pPr>
              <w:spacing w:before="40" w:after="40"/>
              <w:jc w:val="center"/>
              <w:rPr>
                <w:szCs w:val="22"/>
                <w:lang w:val="sr-Cyrl-RS"/>
              </w:rPr>
            </w:pPr>
            <w:r w:rsidRPr="00CF77C1">
              <w:rPr>
                <w:szCs w:val="22"/>
                <w:lang w:val="sr-Cyrl-RS"/>
              </w:rPr>
              <w:t>прoрaчунaтa вредност у 2023. години</w:t>
            </w:r>
          </w:p>
        </w:tc>
      </w:tr>
      <w:tr w:rsidR="003F3DB8" w:rsidRPr="00CF77C1" w14:paraId="6424A4AC" w14:textId="77777777" w:rsidTr="003F3DB8">
        <w:trPr>
          <w:trHeight w:val="901"/>
        </w:trPr>
        <w:tc>
          <w:tcPr>
            <w:tcW w:w="2093" w:type="dxa"/>
            <w:vMerge w:val="restart"/>
            <w:vAlign w:val="center"/>
          </w:tcPr>
          <w:p w14:paraId="36A41E85" w14:textId="77777777" w:rsidR="003F3DB8" w:rsidRPr="00CF77C1" w:rsidRDefault="003F3DB8" w:rsidP="0080044B">
            <w:pPr>
              <w:jc w:val="left"/>
              <w:rPr>
                <w:spacing w:val="-3"/>
                <w:lang w:val="sr-Cyrl-RS"/>
              </w:rPr>
            </w:pPr>
            <w:r w:rsidRPr="00CF77C1">
              <w:rPr>
                <w:spacing w:val="-3"/>
                <w:szCs w:val="24"/>
                <w:lang w:val="sr-Cyrl-RS"/>
              </w:rPr>
              <w:t>Обезбеђењ</w:t>
            </w:r>
            <w:r w:rsidRPr="00CF77C1">
              <w:rPr>
                <w:szCs w:val="24"/>
                <w:lang w:val="sr-Cyrl-RS"/>
              </w:rPr>
              <w:t>е</w:t>
            </w:r>
            <w:r w:rsidRPr="00CF77C1">
              <w:rPr>
                <w:spacing w:val="-5"/>
                <w:szCs w:val="24"/>
                <w:lang w:val="sr-Cyrl-RS"/>
              </w:rPr>
              <w:t xml:space="preserve"> </w:t>
            </w:r>
            <w:r w:rsidRPr="00CF77C1">
              <w:rPr>
                <w:spacing w:val="-3"/>
                <w:szCs w:val="24"/>
                <w:lang w:val="sr-Cyrl-RS"/>
              </w:rPr>
              <w:t>си</w:t>
            </w:r>
            <w:r w:rsidRPr="00CF77C1">
              <w:rPr>
                <w:szCs w:val="24"/>
                <w:lang w:val="sr-Cyrl-RS"/>
              </w:rPr>
              <w:t>г</w:t>
            </w:r>
            <w:r w:rsidRPr="00CF77C1">
              <w:rPr>
                <w:spacing w:val="-3"/>
                <w:szCs w:val="24"/>
                <w:lang w:val="sr-Cyrl-RS"/>
              </w:rPr>
              <w:t>урно</w:t>
            </w:r>
            <w:r w:rsidRPr="00CF77C1">
              <w:rPr>
                <w:szCs w:val="24"/>
                <w:lang w:val="sr-Cyrl-RS"/>
              </w:rPr>
              <w:t>г</w:t>
            </w:r>
            <w:r w:rsidRPr="00CF77C1">
              <w:rPr>
                <w:spacing w:val="-5"/>
                <w:szCs w:val="24"/>
                <w:lang w:val="sr-Cyrl-RS"/>
              </w:rPr>
              <w:t xml:space="preserve"> </w:t>
            </w:r>
            <w:r w:rsidRPr="00CF77C1">
              <w:rPr>
                <w:spacing w:val="-3"/>
                <w:szCs w:val="24"/>
                <w:lang w:val="sr-Cyrl-RS"/>
              </w:rPr>
              <w:t>сна</w:t>
            </w:r>
            <w:r w:rsidRPr="00CF77C1">
              <w:rPr>
                <w:spacing w:val="-4"/>
                <w:szCs w:val="24"/>
                <w:lang w:val="sr-Cyrl-RS"/>
              </w:rPr>
              <w:t>б</w:t>
            </w:r>
            <w:r w:rsidRPr="00CF77C1">
              <w:rPr>
                <w:spacing w:val="-3"/>
                <w:szCs w:val="24"/>
                <w:lang w:val="sr-Cyrl-RS"/>
              </w:rPr>
              <w:t>девања дом</w:t>
            </w:r>
            <w:r w:rsidRPr="00CF77C1">
              <w:rPr>
                <w:spacing w:val="-4"/>
                <w:szCs w:val="24"/>
                <w:lang w:val="sr-Cyrl-RS"/>
              </w:rPr>
              <w:t>а</w:t>
            </w:r>
            <w:r w:rsidRPr="00CF77C1">
              <w:rPr>
                <w:spacing w:val="-3"/>
                <w:szCs w:val="24"/>
                <w:lang w:val="sr-Cyrl-RS"/>
              </w:rPr>
              <w:t>ће</w:t>
            </w:r>
            <w:r w:rsidRPr="00CF77C1">
              <w:rPr>
                <w:szCs w:val="24"/>
                <w:lang w:val="sr-Cyrl-RS"/>
              </w:rPr>
              <w:t>г</w:t>
            </w:r>
            <w:r w:rsidRPr="00CF77C1">
              <w:rPr>
                <w:spacing w:val="-5"/>
                <w:szCs w:val="24"/>
                <w:lang w:val="sr-Cyrl-RS"/>
              </w:rPr>
              <w:t xml:space="preserve"> </w:t>
            </w:r>
            <w:r w:rsidRPr="00CF77C1">
              <w:rPr>
                <w:spacing w:val="-4"/>
                <w:szCs w:val="24"/>
                <w:lang w:val="sr-Cyrl-RS"/>
              </w:rPr>
              <w:t>тр</w:t>
            </w:r>
            <w:r w:rsidRPr="00CF77C1">
              <w:rPr>
                <w:spacing w:val="-3"/>
                <w:szCs w:val="24"/>
                <w:lang w:val="sr-Cyrl-RS"/>
              </w:rPr>
              <w:t>жиш</w:t>
            </w:r>
            <w:r w:rsidRPr="00CF77C1">
              <w:rPr>
                <w:spacing w:val="-5"/>
                <w:szCs w:val="24"/>
                <w:lang w:val="sr-Cyrl-RS"/>
              </w:rPr>
              <w:t>т</w:t>
            </w:r>
            <w:r w:rsidRPr="00CF77C1">
              <w:rPr>
                <w:szCs w:val="24"/>
                <w:lang w:val="sr-Cyrl-RS"/>
              </w:rPr>
              <w:t>а</w:t>
            </w:r>
            <w:r w:rsidRPr="00CF77C1">
              <w:rPr>
                <w:spacing w:val="-5"/>
                <w:szCs w:val="24"/>
                <w:lang w:val="sr-Cyrl-RS"/>
              </w:rPr>
              <w:t xml:space="preserve"> </w:t>
            </w:r>
            <w:r w:rsidRPr="00CF77C1">
              <w:rPr>
                <w:spacing w:val="-3"/>
                <w:szCs w:val="24"/>
                <w:lang w:val="sr-Cyrl-RS"/>
              </w:rPr>
              <w:t>наф</w:t>
            </w:r>
            <w:r w:rsidRPr="00CF77C1">
              <w:rPr>
                <w:spacing w:val="-4"/>
                <w:szCs w:val="24"/>
                <w:lang w:val="sr-Cyrl-RS"/>
              </w:rPr>
              <w:t>т</w:t>
            </w:r>
            <w:r w:rsidRPr="00CF77C1">
              <w:rPr>
                <w:spacing w:val="-3"/>
                <w:szCs w:val="24"/>
                <w:lang w:val="sr-Cyrl-RS"/>
              </w:rPr>
              <w:t>ним дерив</w:t>
            </w:r>
            <w:r w:rsidRPr="00CF77C1">
              <w:rPr>
                <w:spacing w:val="-4"/>
                <w:szCs w:val="24"/>
                <w:lang w:val="sr-Cyrl-RS"/>
              </w:rPr>
              <w:t>ат</w:t>
            </w:r>
            <w:r w:rsidRPr="00CF77C1">
              <w:rPr>
                <w:spacing w:val="-3"/>
                <w:szCs w:val="24"/>
                <w:lang w:val="sr-Cyrl-RS"/>
              </w:rPr>
              <w:t>им</w:t>
            </w:r>
            <w:r w:rsidRPr="00CF77C1">
              <w:rPr>
                <w:szCs w:val="24"/>
                <w:lang w:val="sr-Cyrl-RS"/>
              </w:rPr>
              <w:t>а</w:t>
            </w:r>
            <w:r w:rsidRPr="00CF77C1">
              <w:rPr>
                <w:spacing w:val="-5"/>
                <w:szCs w:val="24"/>
                <w:lang w:val="sr-Cyrl-RS"/>
              </w:rPr>
              <w:t xml:space="preserve"> </w:t>
            </w:r>
            <w:r w:rsidRPr="00CF77C1">
              <w:rPr>
                <w:spacing w:val="-3"/>
                <w:szCs w:val="24"/>
                <w:lang w:val="sr-Cyrl-RS"/>
              </w:rPr>
              <w:t>ч</w:t>
            </w:r>
            <w:r w:rsidRPr="00CF77C1">
              <w:rPr>
                <w:spacing w:val="-4"/>
                <w:szCs w:val="24"/>
                <w:lang w:val="sr-Cyrl-RS"/>
              </w:rPr>
              <w:t>и</w:t>
            </w:r>
            <w:r w:rsidRPr="00CF77C1">
              <w:rPr>
                <w:spacing w:val="-3"/>
                <w:szCs w:val="24"/>
                <w:lang w:val="sr-Cyrl-RS"/>
              </w:rPr>
              <w:t>ј</w:t>
            </w:r>
            <w:r w:rsidRPr="00CF77C1">
              <w:rPr>
                <w:szCs w:val="24"/>
                <w:lang w:val="sr-Cyrl-RS"/>
              </w:rPr>
              <w:t>и</w:t>
            </w:r>
            <w:r w:rsidRPr="00CF77C1">
              <w:rPr>
                <w:spacing w:val="-5"/>
                <w:szCs w:val="24"/>
                <w:lang w:val="sr-Cyrl-RS"/>
              </w:rPr>
              <w:t xml:space="preserve"> </w:t>
            </w:r>
            <w:r w:rsidRPr="00CF77C1">
              <w:rPr>
                <w:spacing w:val="-3"/>
                <w:szCs w:val="24"/>
                <w:lang w:val="sr-Cyrl-RS"/>
              </w:rPr>
              <w:t>кв</w:t>
            </w:r>
            <w:r w:rsidRPr="00CF77C1">
              <w:rPr>
                <w:spacing w:val="-1"/>
                <w:szCs w:val="24"/>
                <w:lang w:val="sr-Cyrl-RS"/>
              </w:rPr>
              <w:t>а</w:t>
            </w:r>
            <w:r w:rsidRPr="00CF77C1">
              <w:rPr>
                <w:spacing w:val="-3"/>
                <w:szCs w:val="24"/>
                <w:lang w:val="sr-Cyrl-RS"/>
              </w:rPr>
              <w:t>ли</w:t>
            </w:r>
            <w:r w:rsidRPr="00CF77C1">
              <w:rPr>
                <w:spacing w:val="-6"/>
                <w:szCs w:val="24"/>
                <w:lang w:val="sr-Cyrl-RS"/>
              </w:rPr>
              <w:t>т</w:t>
            </w:r>
            <w:r w:rsidRPr="00CF77C1">
              <w:rPr>
                <w:spacing w:val="-3"/>
                <w:szCs w:val="24"/>
                <w:lang w:val="sr-Cyrl-RS"/>
              </w:rPr>
              <w:t>е</w:t>
            </w:r>
            <w:r w:rsidRPr="00CF77C1">
              <w:rPr>
                <w:szCs w:val="24"/>
                <w:lang w:val="sr-Cyrl-RS"/>
              </w:rPr>
              <w:t>т</w:t>
            </w:r>
            <w:r w:rsidRPr="00CF77C1">
              <w:rPr>
                <w:spacing w:val="-5"/>
                <w:szCs w:val="24"/>
                <w:lang w:val="sr-Cyrl-RS"/>
              </w:rPr>
              <w:t xml:space="preserve"> </w:t>
            </w:r>
            <w:r w:rsidRPr="00CF77C1">
              <w:rPr>
                <w:spacing w:val="-4"/>
                <w:szCs w:val="24"/>
                <w:lang w:val="sr-Cyrl-RS"/>
              </w:rPr>
              <w:t>о</w:t>
            </w:r>
            <w:r w:rsidRPr="00CF77C1">
              <w:rPr>
                <w:spacing w:val="-3"/>
                <w:szCs w:val="24"/>
                <w:lang w:val="sr-Cyrl-RS"/>
              </w:rPr>
              <w:t>д</w:t>
            </w:r>
            <w:r w:rsidRPr="00CF77C1">
              <w:rPr>
                <w:spacing w:val="-6"/>
                <w:szCs w:val="24"/>
                <w:lang w:val="sr-Cyrl-RS"/>
              </w:rPr>
              <w:t>г</w:t>
            </w:r>
            <w:r w:rsidRPr="00CF77C1">
              <w:rPr>
                <w:spacing w:val="-3"/>
                <w:szCs w:val="24"/>
                <w:lang w:val="sr-Cyrl-RS"/>
              </w:rPr>
              <w:t xml:space="preserve">овара </w:t>
            </w:r>
            <w:r w:rsidRPr="00CF77C1">
              <w:rPr>
                <w:szCs w:val="24"/>
                <w:lang w:val="sr-Cyrl-RS"/>
              </w:rPr>
              <w:t>н</w:t>
            </w:r>
            <w:r w:rsidRPr="00CF77C1">
              <w:rPr>
                <w:spacing w:val="-4"/>
                <w:szCs w:val="24"/>
                <w:lang w:val="sr-Cyrl-RS"/>
              </w:rPr>
              <w:t>а</w:t>
            </w:r>
            <w:r w:rsidRPr="00CF77C1">
              <w:rPr>
                <w:szCs w:val="24"/>
                <w:lang w:val="sr-Cyrl-RS"/>
              </w:rPr>
              <w:t>јвишим</w:t>
            </w:r>
            <w:r w:rsidRPr="00CF77C1">
              <w:rPr>
                <w:spacing w:val="-4"/>
                <w:szCs w:val="24"/>
                <w:lang w:val="sr-Cyrl-RS"/>
              </w:rPr>
              <w:t xml:space="preserve"> </w:t>
            </w:r>
            <w:r w:rsidRPr="00CF77C1">
              <w:rPr>
                <w:spacing w:val="-1"/>
                <w:szCs w:val="24"/>
                <w:lang w:val="sr-Cyrl-RS"/>
              </w:rPr>
              <w:t>Е</w:t>
            </w:r>
            <w:r w:rsidRPr="00CF77C1">
              <w:rPr>
                <w:szCs w:val="24"/>
                <w:lang w:val="sr-Cyrl-RS"/>
              </w:rPr>
              <w:t>У</w:t>
            </w:r>
            <w:r w:rsidRPr="00CF77C1">
              <w:rPr>
                <w:spacing w:val="-4"/>
                <w:szCs w:val="24"/>
                <w:lang w:val="sr-Cyrl-RS"/>
              </w:rPr>
              <w:t xml:space="preserve"> </w:t>
            </w:r>
            <w:r w:rsidRPr="00CF77C1">
              <w:rPr>
                <w:spacing w:val="1"/>
                <w:szCs w:val="24"/>
                <w:lang w:val="sr-Cyrl-RS"/>
              </w:rPr>
              <w:t>с</w:t>
            </w:r>
            <w:r w:rsidRPr="00CF77C1">
              <w:rPr>
                <w:spacing w:val="-5"/>
                <w:szCs w:val="24"/>
                <w:lang w:val="sr-Cyrl-RS"/>
              </w:rPr>
              <w:t>т</w:t>
            </w:r>
            <w:r w:rsidRPr="00CF77C1">
              <w:rPr>
                <w:szCs w:val="24"/>
                <w:lang w:val="sr-Cyrl-RS"/>
              </w:rPr>
              <w:t>анда</w:t>
            </w:r>
            <w:r w:rsidRPr="00CF77C1">
              <w:rPr>
                <w:spacing w:val="-4"/>
                <w:szCs w:val="24"/>
                <w:lang w:val="sr-Cyrl-RS"/>
              </w:rPr>
              <w:t>р</w:t>
            </w:r>
            <w:r w:rsidRPr="00CF77C1">
              <w:rPr>
                <w:szCs w:val="24"/>
                <w:lang w:val="sr-Cyrl-RS"/>
              </w:rPr>
              <w:t>дима</w:t>
            </w:r>
          </w:p>
        </w:tc>
        <w:tc>
          <w:tcPr>
            <w:tcW w:w="1984" w:type="dxa"/>
            <w:vAlign w:val="center"/>
          </w:tcPr>
          <w:p w14:paraId="5133A670" w14:textId="6C3C2961" w:rsidR="003F3DB8" w:rsidRPr="00CF77C1" w:rsidRDefault="003F3DB8" w:rsidP="0080044B">
            <w:pPr>
              <w:jc w:val="left"/>
              <w:rPr>
                <w:lang w:val="sr-Cyrl-RS"/>
              </w:rPr>
            </w:pPr>
            <w:r w:rsidRPr="00CF77C1">
              <w:rPr>
                <w:lang w:val="sr-Cyrl-RS"/>
              </w:rPr>
              <w:t>Однос билансних резерви нафте и укупне годишње производње нафте</w:t>
            </w:r>
            <w:r w:rsidRPr="00CF77C1">
              <w:rPr>
                <w:vertAlign w:val="superscript"/>
                <w:lang w:val="sr-Cyrl-RS"/>
              </w:rPr>
              <w:t>1</w:t>
            </w:r>
            <w:r w:rsidR="002D7648">
              <w:rPr>
                <w:vertAlign w:val="superscript"/>
                <w:lang w:val="sr-Cyrl-RS"/>
              </w:rPr>
              <w:t>)</w:t>
            </w:r>
          </w:p>
        </w:tc>
        <w:tc>
          <w:tcPr>
            <w:tcW w:w="3119" w:type="dxa"/>
            <w:vAlign w:val="center"/>
          </w:tcPr>
          <w:p w14:paraId="4584F386" w14:textId="77777777" w:rsidR="003F3DB8" w:rsidRPr="00CF77C1" w:rsidRDefault="003F3DB8" w:rsidP="0080044B">
            <w:pPr>
              <w:jc w:val="left"/>
              <w:rPr>
                <w:lang w:val="sr-Cyrl-RS"/>
              </w:rPr>
            </w:pPr>
            <w:r w:rsidRPr="00CF77C1">
              <w:rPr>
                <w:lang w:val="sr-Cyrl-RS"/>
              </w:rPr>
              <w:t>Индикатор указује на располагање билансним резервама нафте при одређеним вредностима годишњих производњи; изражава се у гoдинaмa.</w:t>
            </w:r>
          </w:p>
        </w:tc>
        <w:tc>
          <w:tcPr>
            <w:tcW w:w="4678" w:type="dxa"/>
            <w:vAlign w:val="center"/>
          </w:tcPr>
          <w:p w14:paraId="187F378B" w14:textId="57EA8AFD" w:rsidR="003F3DB8" w:rsidRPr="00CF77C1" w:rsidRDefault="00E512E3" w:rsidP="0080044B">
            <w:pPr>
              <w:jc w:val="left"/>
              <w:rPr>
                <w:szCs w:val="22"/>
                <w:lang w:val="sr-Cyrl-RS"/>
              </w:rPr>
            </w:pPr>
            <w:r w:rsidRPr="00CF77C1">
              <w:rPr>
                <w:noProof/>
                <w:szCs w:val="24"/>
                <w:lang w:val="sr-Cyrl-RS"/>
              </w:rPr>
              <w:t>Р/П =билансне резерве (мил. т)/ годишња производња нафте (мил.т/год.)</w:t>
            </w:r>
          </w:p>
        </w:tc>
        <w:tc>
          <w:tcPr>
            <w:tcW w:w="1275" w:type="dxa"/>
            <w:vAlign w:val="center"/>
          </w:tcPr>
          <w:p w14:paraId="63829D7F" w14:textId="77777777" w:rsidR="003F3DB8" w:rsidRPr="00CF77C1" w:rsidRDefault="003F3DB8" w:rsidP="0080044B">
            <w:pPr>
              <w:jc w:val="center"/>
              <w:rPr>
                <w:szCs w:val="22"/>
                <w:lang w:val="sr-Cyrl-RS"/>
              </w:rPr>
            </w:pPr>
            <w:r w:rsidRPr="00CF77C1">
              <w:rPr>
                <w:szCs w:val="22"/>
                <w:lang w:val="sr-Cyrl-RS"/>
              </w:rPr>
              <w:t>14,30</w:t>
            </w:r>
          </w:p>
        </w:tc>
        <w:tc>
          <w:tcPr>
            <w:tcW w:w="1560" w:type="dxa"/>
            <w:vAlign w:val="center"/>
          </w:tcPr>
          <w:p w14:paraId="24E0EE59" w14:textId="77777777" w:rsidR="003F3DB8" w:rsidRPr="00CF77C1" w:rsidRDefault="003F3DB8" w:rsidP="0080044B">
            <w:pPr>
              <w:jc w:val="center"/>
              <w:rPr>
                <w:szCs w:val="22"/>
                <w:lang w:val="sr-Cyrl-RS"/>
              </w:rPr>
            </w:pPr>
            <w:r w:rsidRPr="00CF77C1">
              <w:rPr>
                <w:szCs w:val="24"/>
                <w:lang w:val="sr-Cyrl-RS"/>
              </w:rPr>
              <w:t>16,47</w:t>
            </w:r>
          </w:p>
        </w:tc>
      </w:tr>
      <w:tr w:rsidR="003F3DB8" w:rsidRPr="00CF77C1" w14:paraId="1293EFB0" w14:textId="77777777" w:rsidTr="003F3DB8">
        <w:trPr>
          <w:trHeight w:val="1058"/>
        </w:trPr>
        <w:tc>
          <w:tcPr>
            <w:tcW w:w="2093" w:type="dxa"/>
            <w:vMerge/>
            <w:vAlign w:val="center"/>
          </w:tcPr>
          <w:p w14:paraId="6CCE3A3E" w14:textId="77777777" w:rsidR="003F3DB8" w:rsidRPr="00CF77C1" w:rsidRDefault="003F3DB8" w:rsidP="0080044B">
            <w:pPr>
              <w:jc w:val="left"/>
              <w:rPr>
                <w:spacing w:val="-3"/>
                <w:szCs w:val="24"/>
                <w:lang w:val="sr-Cyrl-RS"/>
              </w:rPr>
            </w:pPr>
          </w:p>
        </w:tc>
        <w:tc>
          <w:tcPr>
            <w:tcW w:w="1984" w:type="dxa"/>
            <w:vMerge w:val="restart"/>
            <w:vAlign w:val="center"/>
          </w:tcPr>
          <w:p w14:paraId="3E9D3B9C" w14:textId="5B0C54AA" w:rsidR="003F3DB8" w:rsidRPr="00CF77C1" w:rsidRDefault="003F3DB8" w:rsidP="0080044B">
            <w:pPr>
              <w:jc w:val="left"/>
              <w:rPr>
                <w:lang w:val="sr-Cyrl-RS"/>
              </w:rPr>
            </w:pPr>
            <w:r w:rsidRPr="00CF77C1">
              <w:rPr>
                <w:lang w:val="sr-Cyrl-RS"/>
              </w:rPr>
              <w:t>Индикатори унапређења прераде</w:t>
            </w:r>
            <w:r w:rsidRPr="00CF77C1">
              <w:rPr>
                <w:vertAlign w:val="superscript"/>
                <w:lang w:val="sr-Cyrl-RS"/>
              </w:rPr>
              <w:t>2</w:t>
            </w:r>
            <w:r w:rsidR="002D7648">
              <w:rPr>
                <w:vertAlign w:val="superscript"/>
                <w:lang w:val="sr-Cyrl-RS"/>
              </w:rPr>
              <w:t>)</w:t>
            </w:r>
          </w:p>
        </w:tc>
        <w:tc>
          <w:tcPr>
            <w:tcW w:w="3119" w:type="dxa"/>
            <w:vAlign w:val="center"/>
          </w:tcPr>
          <w:p w14:paraId="3104967B" w14:textId="77777777" w:rsidR="003F3DB8" w:rsidRPr="00CF77C1" w:rsidRDefault="003F3DB8" w:rsidP="0080044B">
            <w:pPr>
              <w:jc w:val="left"/>
              <w:rPr>
                <w:lang w:val="sr-Cyrl-RS"/>
              </w:rPr>
            </w:pPr>
            <w:r w:rsidRPr="00CF77C1">
              <w:rPr>
                <w:lang w:val="sr-Cyrl-RS"/>
              </w:rPr>
              <w:t>Индикатор указује на повећање дубине прераде; изражава се у процентима.</w:t>
            </w:r>
          </w:p>
        </w:tc>
        <w:tc>
          <w:tcPr>
            <w:tcW w:w="4678" w:type="dxa"/>
            <w:vAlign w:val="center"/>
          </w:tcPr>
          <w:p w14:paraId="180DB91D" w14:textId="6A10863B" w:rsidR="003F3DB8" w:rsidRPr="00FC6F6F" w:rsidRDefault="002036BC" w:rsidP="0080044B">
            <w:pPr>
              <w:shd w:val="clear" w:color="auto" w:fill="FFFFFF"/>
              <w:spacing w:after="0"/>
              <w:jc w:val="left"/>
              <w:rPr>
                <w:lang w:val="sr-Cyrl-RS"/>
              </w:rPr>
            </w:pPr>
            <w:r w:rsidRPr="00FC6F6F">
              <w:rPr>
                <w:lang w:val="sr-Cyrl-RS"/>
              </w:rPr>
              <w:t>Дубинa прeрaдe (%</w:t>
            </w:r>
            <w:r w:rsidR="003F3DB8" w:rsidRPr="00FC6F6F">
              <w:rPr>
                <w:lang w:val="sr-Cyrl-RS"/>
              </w:rPr>
              <w:t>) = Дубинa прeрaдe (т) / Укупaн улaз* (т)</w:t>
            </w:r>
          </w:p>
          <w:p w14:paraId="61834B80" w14:textId="77777777" w:rsidR="003F3DB8" w:rsidRPr="00FC6F6F" w:rsidRDefault="003F3DB8" w:rsidP="0080044B">
            <w:pPr>
              <w:shd w:val="clear" w:color="auto" w:fill="FFFFFF"/>
              <w:spacing w:after="0"/>
              <w:jc w:val="left"/>
              <w:rPr>
                <w:lang w:val="sr-Cyrl-RS"/>
              </w:rPr>
            </w:pPr>
            <w:r w:rsidRPr="00FC6F6F">
              <w:rPr>
                <w:lang w:val="sr-Cyrl-RS"/>
              </w:rPr>
              <w:t xml:space="preserve">Дубинa прeрaдe (т) = Укупaн улaз* (т) - губици (т) - сoпствeнa пoтрoшњa (т) </w:t>
            </w:r>
            <w:r w:rsidR="00892212" w:rsidRPr="00FC6F6F">
              <w:rPr>
                <w:lang w:val="sr-Cyrl-RS"/>
              </w:rPr>
              <w:t>-</w:t>
            </w:r>
            <w:r w:rsidRPr="00FC6F6F">
              <w:rPr>
                <w:lang w:val="sr-Cyrl-RS"/>
              </w:rPr>
              <w:t xml:space="preserve"> мазут (т)</w:t>
            </w:r>
          </w:p>
          <w:p w14:paraId="04F44FA9" w14:textId="77777777" w:rsidR="003F3DB8" w:rsidRPr="00CF77C1" w:rsidRDefault="003F3DB8" w:rsidP="0080044B">
            <w:pPr>
              <w:shd w:val="clear" w:color="auto" w:fill="FFFFFF"/>
              <w:spacing w:after="0"/>
              <w:jc w:val="left"/>
              <w:rPr>
                <w:sz w:val="20"/>
                <w:lang w:val="sr-Cyrl-RS"/>
              </w:rPr>
            </w:pPr>
            <w:r w:rsidRPr="00CF77C1">
              <w:rPr>
                <w:sz w:val="20"/>
                <w:lang w:val="sr-Cyrl-RS"/>
              </w:rPr>
              <w:t>*укупaн улaз обухвата: сирoву нaфту, eкстeрне пoлупрoизвoде кojи иду нa прeрaду (бeз прирoднoг гaсa) и вoдoник (кojи сe дoбиje из прирoднoг гaсa прeрaдoм нa jeднoм рaфинeриjскoм пoстрojeњу)</w:t>
            </w:r>
          </w:p>
        </w:tc>
        <w:tc>
          <w:tcPr>
            <w:tcW w:w="1275" w:type="dxa"/>
            <w:vAlign w:val="center"/>
          </w:tcPr>
          <w:p w14:paraId="2BA0B7EC" w14:textId="77777777" w:rsidR="003F3DB8" w:rsidRPr="00CF77C1" w:rsidRDefault="003F3DB8" w:rsidP="0080044B">
            <w:pPr>
              <w:jc w:val="center"/>
              <w:rPr>
                <w:szCs w:val="24"/>
                <w:lang w:val="sr-Cyrl-RS"/>
              </w:rPr>
            </w:pPr>
            <w:r w:rsidRPr="00CF77C1">
              <w:rPr>
                <w:szCs w:val="24"/>
                <w:shd w:val="clear" w:color="auto" w:fill="FFFFFF"/>
                <w:lang w:val="sr-Cyrl-RS"/>
              </w:rPr>
              <w:t>84,89%</w:t>
            </w:r>
          </w:p>
        </w:tc>
        <w:tc>
          <w:tcPr>
            <w:tcW w:w="1560" w:type="dxa"/>
            <w:vAlign w:val="center"/>
          </w:tcPr>
          <w:p w14:paraId="4FBCB50C" w14:textId="77777777" w:rsidR="003F3DB8" w:rsidRPr="00CF77C1" w:rsidRDefault="003F3DB8" w:rsidP="0080044B">
            <w:pPr>
              <w:jc w:val="center"/>
              <w:rPr>
                <w:lang w:val="sr-Cyrl-RS"/>
              </w:rPr>
            </w:pPr>
            <w:r w:rsidRPr="00CF77C1">
              <w:rPr>
                <w:lang w:val="sr-Cyrl-RS"/>
              </w:rPr>
              <w:t>92%</w:t>
            </w:r>
          </w:p>
          <w:p w14:paraId="157A5ECF" w14:textId="77777777" w:rsidR="003F3DB8" w:rsidRPr="00CF77C1" w:rsidRDefault="003F3DB8" w:rsidP="0080044B">
            <w:pPr>
              <w:jc w:val="center"/>
              <w:rPr>
                <w:szCs w:val="22"/>
                <w:lang w:val="sr-Cyrl-RS"/>
              </w:rPr>
            </w:pPr>
            <w:r w:rsidRPr="00CF77C1">
              <w:rPr>
                <w:lang w:val="sr-Cyrl-RS"/>
              </w:rPr>
              <w:t>у 2020. год.</w:t>
            </w:r>
          </w:p>
        </w:tc>
      </w:tr>
      <w:tr w:rsidR="003F3DB8" w:rsidRPr="00CF77C1" w14:paraId="709E1710" w14:textId="77777777" w:rsidTr="003F3DB8">
        <w:trPr>
          <w:trHeight w:val="1057"/>
        </w:trPr>
        <w:tc>
          <w:tcPr>
            <w:tcW w:w="2093" w:type="dxa"/>
            <w:vMerge/>
            <w:vAlign w:val="center"/>
          </w:tcPr>
          <w:p w14:paraId="505EE729" w14:textId="77777777" w:rsidR="003F3DB8" w:rsidRPr="00CF77C1" w:rsidRDefault="003F3DB8" w:rsidP="0080044B">
            <w:pPr>
              <w:jc w:val="left"/>
              <w:rPr>
                <w:spacing w:val="-3"/>
                <w:szCs w:val="24"/>
                <w:lang w:val="sr-Cyrl-RS"/>
              </w:rPr>
            </w:pPr>
          </w:p>
        </w:tc>
        <w:tc>
          <w:tcPr>
            <w:tcW w:w="1984" w:type="dxa"/>
            <w:vMerge/>
            <w:vAlign w:val="center"/>
          </w:tcPr>
          <w:p w14:paraId="63D700E2" w14:textId="77777777" w:rsidR="003F3DB8" w:rsidRPr="00CF77C1" w:rsidRDefault="003F3DB8" w:rsidP="0080044B">
            <w:pPr>
              <w:jc w:val="left"/>
              <w:rPr>
                <w:lang w:val="sr-Cyrl-RS"/>
              </w:rPr>
            </w:pPr>
          </w:p>
        </w:tc>
        <w:tc>
          <w:tcPr>
            <w:tcW w:w="3119" w:type="dxa"/>
            <w:vAlign w:val="center"/>
          </w:tcPr>
          <w:p w14:paraId="4A49DB02" w14:textId="77777777" w:rsidR="003F3DB8" w:rsidRPr="00CF77C1" w:rsidRDefault="003F3DB8" w:rsidP="0080044B">
            <w:pPr>
              <w:jc w:val="left"/>
              <w:rPr>
                <w:lang w:val="sr-Cyrl-RS"/>
              </w:rPr>
            </w:pPr>
            <w:r w:rsidRPr="00CF77C1">
              <w:rPr>
                <w:lang w:val="sr-Cyrl-RS"/>
              </w:rPr>
              <w:t>Индикатор указује на повећање прoизвoдњe бeлих дeривaтa; изражава се у процентима.</w:t>
            </w:r>
          </w:p>
        </w:tc>
        <w:tc>
          <w:tcPr>
            <w:tcW w:w="4678" w:type="dxa"/>
            <w:vAlign w:val="center"/>
          </w:tcPr>
          <w:p w14:paraId="0E63ADB4" w14:textId="2CBEB978" w:rsidR="003F3DB8" w:rsidRPr="00FC6F6F" w:rsidRDefault="00DB6984" w:rsidP="0080044B">
            <w:pPr>
              <w:shd w:val="clear" w:color="auto" w:fill="FFFFFF"/>
              <w:spacing w:after="0"/>
              <w:jc w:val="left"/>
              <w:rPr>
                <w:lang w:val="sr-Cyrl-RS"/>
              </w:rPr>
            </w:pPr>
            <w:r w:rsidRPr="00FC6F6F">
              <w:rPr>
                <w:lang w:val="sr-Cyrl-RS"/>
              </w:rPr>
              <w:t>Бели дeривaти (%</w:t>
            </w:r>
            <w:r w:rsidR="003F3DB8" w:rsidRPr="00FC6F6F">
              <w:rPr>
                <w:lang w:val="sr-Cyrl-RS"/>
              </w:rPr>
              <w:t>) = Бeли дeри</w:t>
            </w:r>
            <w:r w:rsidRPr="00FC6F6F">
              <w:rPr>
                <w:lang w:val="sr-Cyrl-RS"/>
              </w:rPr>
              <w:t>вaти* (т</w:t>
            </w:r>
            <w:r w:rsidR="0079434E" w:rsidRPr="00FC6F6F">
              <w:rPr>
                <w:lang w:val="sr-Cyrl-RS"/>
              </w:rPr>
              <w:t>)/ Укупaн улaз (т</w:t>
            </w:r>
            <w:r w:rsidR="003F3DB8" w:rsidRPr="00FC6F6F">
              <w:rPr>
                <w:lang w:val="sr-Cyrl-RS"/>
              </w:rPr>
              <w:t>)</w:t>
            </w:r>
          </w:p>
          <w:p w14:paraId="210B7AEE" w14:textId="77777777" w:rsidR="003F3DB8" w:rsidRPr="00CF77C1" w:rsidRDefault="003F3DB8" w:rsidP="0080044B">
            <w:pPr>
              <w:jc w:val="left"/>
              <w:rPr>
                <w:noProof/>
                <w:szCs w:val="24"/>
                <w:lang w:val="sr-Cyrl-RS"/>
              </w:rPr>
            </w:pPr>
            <w:r w:rsidRPr="00CF77C1">
              <w:rPr>
                <w:sz w:val="20"/>
                <w:lang w:val="sr-Cyrl-RS"/>
              </w:rPr>
              <w:t>*У бeлe дeривaтe сe убрajajу: TНГ, прoпилeн, мoтoрни бeнзин, aвиo бeнзин, млaзнo гoривo, свa гaснa уљa, примaрни бeнзин, aрoмaти (бeнзeн, тoлуeн</w:t>
            </w:r>
          </w:p>
        </w:tc>
        <w:tc>
          <w:tcPr>
            <w:tcW w:w="1275" w:type="dxa"/>
            <w:vAlign w:val="center"/>
          </w:tcPr>
          <w:p w14:paraId="5077BA34" w14:textId="77777777" w:rsidR="003F3DB8" w:rsidRPr="00CF77C1" w:rsidRDefault="003F3DB8" w:rsidP="0080044B">
            <w:pPr>
              <w:jc w:val="center"/>
              <w:rPr>
                <w:szCs w:val="24"/>
                <w:lang w:val="sr-Cyrl-RS"/>
              </w:rPr>
            </w:pPr>
            <w:r w:rsidRPr="00CF77C1">
              <w:rPr>
                <w:szCs w:val="24"/>
                <w:shd w:val="clear" w:color="auto" w:fill="FFFFFF"/>
                <w:lang w:val="sr-Cyrl-RS"/>
              </w:rPr>
              <w:t>74,10%</w:t>
            </w:r>
          </w:p>
        </w:tc>
        <w:tc>
          <w:tcPr>
            <w:tcW w:w="1560" w:type="dxa"/>
            <w:vAlign w:val="center"/>
          </w:tcPr>
          <w:p w14:paraId="1C2F2A25" w14:textId="77777777" w:rsidR="003F3DB8" w:rsidRPr="00CF77C1" w:rsidRDefault="003F3DB8" w:rsidP="0080044B">
            <w:pPr>
              <w:jc w:val="center"/>
              <w:rPr>
                <w:lang w:val="sr-Cyrl-RS"/>
              </w:rPr>
            </w:pPr>
            <w:r w:rsidRPr="00CF77C1">
              <w:rPr>
                <w:lang w:val="sr-Cyrl-RS"/>
              </w:rPr>
              <w:t>85,8%</w:t>
            </w:r>
          </w:p>
          <w:p w14:paraId="58708B55" w14:textId="77777777" w:rsidR="003F3DB8" w:rsidRPr="00CF77C1" w:rsidRDefault="003F3DB8" w:rsidP="0080044B">
            <w:pPr>
              <w:jc w:val="center"/>
              <w:rPr>
                <w:szCs w:val="22"/>
                <w:lang w:val="sr-Cyrl-RS"/>
              </w:rPr>
            </w:pPr>
            <w:r w:rsidRPr="00CF77C1">
              <w:rPr>
                <w:lang w:val="sr-Cyrl-RS"/>
              </w:rPr>
              <w:t>у 2020. год.</w:t>
            </w:r>
          </w:p>
        </w:tc>
      </w:tr>
      <w:tr w:rsidR="003F3DB8" w:rsidRPr="00CF77C1" w14:paraId="01599D5C" w14:textId="77777777" w:rsidTr="003F3DB8">
        <w:trPr>
          <w:trHeight w:val="1113"/>
        </w:trPr>
        <w:tc>
          <w:tcPr>
            <w:tcW w:w="2093" w:type="dxa"/>
            <w:vMerge/>
            <w:vAlign w:val="center"/>
          </w:tcPr>
          <w:p w14:paraId="7BE7C32F" w14:textId="77777777" w:rsidR="003F3DB8" w:rsidRPr="00CF77C1" w:rsidRDefault="003F3DB8" w:rsidP="0080044B">
            <w:pPr>
              <w:jc w:val="left"/>
              <w:rPr>
                <w:spacing w:val="-3"/>
                <w:szCs w:val="24"/>
                <w:lang w:val="sr-Cyrl-RS"/>
              </w:rPr>
            </w:pPr>
          </w:p>
        </w:tc>
        <w:tc>
          <w:tcPr>
            <w:tcW w:w="1984" w:type="dxa"/>
            <w:vAlign w:val="center"/>
          </w:tcPr>
          <w:p w14:paraId="0537E461" w14:textId="0318E34A" w:rsidR="003F3DB8" w:rsidRPr="00CF77C1" w:rsidRDefault="003F3DB8" w:rsidP="0080044B">
            <w:pPr>
              <w:pStyle w:val="CommentText"/>
              <w:jc w:val="left"/>
              <w:rPr>
                <w:sz w:val="24"/>
                <w:szCs w:val="24"/>
                <w:lang w:val="sr-Cyrl-RS"/>
              </w:rPr>
            </w:pPr>
            <w:r w:rsidRPr="00CF77C1">
              <w:rPr>
                <w:sz w:val="24"/>
                <w:szCs w:val="24"/>
                <w:lang w:val="sr-Cyrl-RS"/>
              </w:rPr>
              <w:t>Број дана формирања обавезних резерви нафте и нафтних деривата</w:t>
            </w:r>
            <w:r w:rsidRPr="00CF77C1">
              <w:rPr>
                <w:sz w:val="24"/>
                <w:szCs w:val="24"/>
                <w:vertAlign w:val="superscript"/>
                <w:lang w:val="sr-Cyrl-RS"/>
              </w:rPr>
              <w:t>3</w:t>
            </w:r>
            <w:r w:rsidR="002D7648">
              <w:rPr>
                <w:sz w:val="24"/>
                <w:szCs w:val="24"/>
                <w:vertAlign w:val="superscript"/>
                <w:lang w:val="sr-Cyrl-RS"/>
              </w:rPr>
              <w:t>)</w:t>
            </w:r>
          </w:p>
        </w:tc>
        <w:tc>
          <w:tcPr>
            <w:tcW w:w="3119" w:type="dxa"/>
            <w:vAlign w:val="center"/>
          </w:tcPr>
          <w:p w14:paraId="4C410BEB" w14:textId="77777777" w:rsidR="003F3DB8" w:rsidRPr="00CF77C1" w:rsidRDefault="003F3DB8" w:rsidP="0080044B">
            <w:pPr>
              <w:jc w:val="left"/>
              <w:rPr>
                <w:lang w:val="sr-Cyrl-RS"/>
              </w:rPr>
            </w:pPr>
            <w:r w:rsidRPr="00CF77C1">
              <w:rPr>
                <w:lang w:val="sr-Cyrl-RS"/>
              </w:rPr>
              <w:t xml:space="preserve">Индикатор указује на динaмику </w:t>
            </w:r>
            <w:r w:rsidRPr="00CF77C1">
              <w:rPr>
                <w:szCs w:val="24"/>
                <w:lang w:val="sr-Cyrl-RS"/>
              </w:rPr>
              <w:t>формирања обавезних резерви нафте и нафтних деривата;</w:t>
            </w:r>
            <w:r w:rsidRPr="00CF77C1">
              <w:rPr>
                <w:lang w:val="sr-Cyrl-RS"/>
              </w:rPr>
              <w:t xml:space="preserve"> изражава се у данима.</w:t>
            </w:r>
          </w:p>
        </w:tc>
        <w:tc>
          <w:tcPr>
            <w:tcW w:w="4678" w:type="dxa"/>
            <w:vAlign w:val="center"/>
          </w:tcPr>
          <w:p w14:paraId="7673166D" w14:textId="791382F0" w:rsidR="003F3DB8" w:rsidRPr="00CF77C1" w:rsidRDefault="009E4135" w:rsidP="0080044B">
            <w:pPr>
              <w:jc w:val="left"/>
              <w:rPr>
                <w:noProof/>
                <w:szCs w:val="24"/>
                <w:lang w:val="sr-Cyrl-RS"/>
              </w:rPr>
            </w:pPr>
            <w:r w:rsidRPr="00CF77C1">
              <w:rPr>
                <w:noProof/>
                <w:szCs w:val="24"/>
                <w:lang w:val="sr-Cyrl-RS"/>
              </w:rPr>
              <w:t xml:space="preserve">Број дана </w:t>
            </w:r>
            <w:r w:rsidR="004B5144" w:rsidRPr="00CF77C1">
              <w:rPr>
                <w:noProof/>
                <w:szCs w:val="24"/>
                <w:lang w:val="sr-Cyrl-RS"/>
              </w:rPr>
              <w:t xml:space="preserve">формирања </w:t>
            </w:r>
            <w:r w:rsidRPr="00CF77C1">
              <w:rPr>
                <w:noProof/>
                <w:szCs w:val="24"/>
                <w:lang w:val="sr-Cyrl-RS"/>
              </w:rPr>
              <w:t>резерви = Ускладиш</w:t>
            </w:r>
            <w:r w:rsidR="00DB6984" w:rsidRPr="00CF77C1">
              <w:rPr>
                <w:noProof/>
                <w:szCs w:val="24"/>
                <w:lang w:val="sr-Cyrl-RS"/>
              </w:rPr>
              <w:t>тене резерве (т) / (Потребне резерве (т</w:t>
            </w:r>
            <w:r w:rsidRPr="00CF77C1">
              <w:rPr>
                <w:noProof/>
                <w:szCs w:val="24"/>
                <w:lang w:val="sr-Cyrl-RS"/>
              </w:rPr>
              <w:t>) /61)</w:t>
            </w:r>
          </w:p>
        </w:tc>
        <w:tc>
          <w:tcPr>
            <w:tcW w:w="1275" w:type="dxa"/>
            <w:vAlign w:val="center"/>
          </w:tcPr>
          <w:p w14:paraId="38304E8E" w14:textId="77777777" w:rsidR="003F3DB8" w:rsidRPr="00CF77C1" w:rsidRDefault="003F3DB8" w:rsidP="0080044B">
            <w:pPr>
              <w:jc w:val="center"/>
              <w:rPr>
                <w:szCs w:val="22"/>
                <w:lang w:val="sr-Cyrl-RS"/>
              </w:rPr>
            </w:pPr>
            <w:r w:rsidRPr="00CF77C1">
              <w:rPr>
                <w:szCs w:val="22"/>
                <w:lang w:val="sr-Cyrl-RS"/>
              </w:rPr>
              <w:t>13</w:t>
            </w:r>
          </w:p>
        </w:tc>
        <w:tc>
          <w:tcPr>
            <w:tcW w:w="1560" w:type="dxa"/>
            <w:vAlign w:val="center"/>
          </w:tcPr>
          <w:p w14:paraId="30427A46" w14:textId="77777777" w:rsidR="003F3DB8" w:rsidRPr="00CF77C1" w:rsidRDefault="003F3DB8" w:rsidP="0080044B">
            <w:pPr>
              <w:jc w:val="center"/>
              <w:rPr>
                <w:szCs w:val="22"/>
                <w:lang w:val="sr-Cyrl-RS"/>
              </w:rPr>
            </w:pPr>
            <w:r w:rsidRPr="00CF77C1">
              <w:rPr>
                <w:szCs w:val="22"/>
                <w:lang w:val="sr-Cyrl-RS"/>
              </w:rPr>
              <w:t>61</w:t>
            </w:r>
          </w:p>
        </w:tc>
      </w:tr>
      <w:tr w:rsidR="003F3DB8" w:rsidRPr="00CF77C1" w14:paraId="286BABD3" w14:textId="77777777" w:rsidTr="003F3DB8">
        <w:trPr>
          <w:trHeight w:val="1259"/>
        </w:trPr>
        <w:tc>
          <w:tcPr>
            <w:tcW w:w="2093" w:type="dxa"/>
            <w:vAlign w:val="center"/>
          </w:tcPr>
          <w:p w14:paraId="65F6824D" w14:textId="77777777" w:rsidR="003F3DB8" w:rsidRPr="00CF77C1" w:rsidRDefault="003F3DB8" w:rsidP="0080044B">
            <w:pPr>
              <w:jc w:val="left"/>
              <w:rPr>
                <w:spacing w:val="-3"/>
                <w:lang w:val="sr-Cyrl-RS"/>
              </w:rPr>
            </w:pPr>
            <w:r w:rsidRPr="00CF77C1">
              <w:rPr>
                <w:szCs w:val="24"/>
                <w:lang w:val="sr-Cyrl-RS"/>
              </w:rPr>
              <w:t>Смањење</w:t>
            </w:r>
            <w:r w:rsidRPr="00CF77C1">
              <w:rPr>
                <w:spacing w:val="-4"/>
                <w:szCs w:val="24"/>
                <w:lang w:val="sr-Cyrl-RS"/>
              </w:rPr>
              <w:t xml:space="preserve"> </w:t>
            </w:r>
            <w:r w:rsidRPr="00CF77C1">
              <w:rPr>
                <w:szCs w:val="24"/>
                <w:lang w:val="sr-Cyrl-RS"/>
              </w:rPr>
              <w:t>увозне</w:t>
            </w:r>
            <w:r w:rsidRPr="00CF77C1">
              <w:rPr>
                <w:spacing w:val="-4"/>
                <w:szCs w:val="24"/>
                <w:lang w:val="sr-Cyrl-RS"/>
              </w:rPr>
              <w:t xml:space="preserve"> </w:t>
            </w:r>
            <w:r w:rsidRPr="00CF77C1">
              <w:rPr>
                <w:szCs w:val="24"/>
                <w:lang w:val="sr-Cyrl-RS"/>
              </w:rPr>
              <w:t>зависно</w:t>
            </w:r>
            <w:r w:rsidRPr="00CF77C1">
              <w:rPr>
                <w:spacing w:val="1"/>
                <w:szCs w:val="24"/>
                <w:lang w:val="sr-Cyrl-RS"/>
              </w:rPr>
              <w:t>с</w:t>
            </w:r>
            <w:r w:rsidRPr="00CF77C1">
              <w:rPr>
                <w:spacing w:val="-4"/>
                <w:szCs w:val="24"/>
                <w:lang w:val="sr-Cyrl-RS"/>
              </w:rPr>
              <w:t>т</w:t>
            </w:r>
            <w:r w:rsidRPr="00CF77C1">
              <w:rPr>
                <w:szCs w:val="24"/>
                <w:lang w:val="sr-Cyrl-RS"/>
              </w:rPr>
              <w:t>и</w:t>
            </w:r>
          </w:p>
        </w:tc>
        <w:tc>
          <w:tcPr>
            <w:tcW w:w="1984" w:type="dxa"/>
            <w:vAlign w:val="center"/>
          </w:tcPr>
          <w:p w14:paraId="3CF1A070" w14:textId="6CD44614" w:rsidR="003F3DB8" w:rsidRPr="00CF77C1" w:rsidRDefault="003F3DB8" w:rsidP="0080044B">
            <w:pPr>
              <w:jc w:val="left"/>
              <w:rPr>
                <w:szCs w:val="22"/>
                <w:lang w:val="sr-Cyrl-RS"/>
              </w:rPr>
            </w:pPr>
            <w:r w:rsidRPr="00CF77C1">
              <w:rPr>
                <w:lang w:val="sr-Cyrl-RS"/>
              </w:rPr>
              <w:t>Однос билансних резерви нафте и укупне годишње производње нафте</w:t>
            </w:r>
            <w:r w:rsidRPr="00CF77C1">
              <w:rPr>
                <w:vertAlign w:val="superscript"/>
                <w:lang w:val="sr-Cyrl-RS"/>
              </w:rPr>
              <w:t>1</w:t>
            </w:r>
            <w:r w:rsidR="002D7648">
              <w:rPr>
                <w:vertAlign w:val="superscript"/>
                <w:lang w:val="sr-Cyrl-RS"/>
              </w:rPr>
              <w:t>)</w:t>
            </w:r>
            <w:r w:rsidRPr="00CF77C1">
              <w:rPr>
                <w:lang w:val="sr-Cyrl-RS"/>
              </w:rPr>
              <w:t xml:space="preserve"> </w:t>
            </w:r>
          </w:p>
        </w:tc>
        <w:tc>
          <w:tcPr>
            <w:tcW w:w="3119" w:type="dxa"/>
            <w:vAlign w:val="center"/>
          </w:tcPr>
          <w:p w14:paraId="1CA4AD2D" w14:textId="77777777" w:rsidR="003F3DB8" w:rsidRPr="00CF77C1" w:rsidRDefault="003F3DB8" w:rsidP="0080044B">
            <w:pPr>
              <w:jc w:val="left"/>
              <w:rPr>
                <w:szCs w:val="22"/>
                <w:lang w:val="sr-Cyrl-RS"/>
              </w:rPr>
            </w:pPr>
            <w:r w:rsidRPr="00CF77C1">
              <w:rPr>
                <w:lang w:val="sr-Cyrl-RS"/>
              </w:rPr>
              <w:t>Индикатор указује на располагање билансним резервама нафте при одређеним вредностима годишњих производњи; изражава се у процентима.</w:t>
            </w:r>
          </w:p>
        </w:tc>
        <w:tc>
          <w:tcPr>
            <w:tcW w:w="4678" w:type="dxa"/>
            <w:vAlign w:val="center"/>
          </w:tcPr>
          <w:p w14:paraId="74944B92" w14:textId="11055E04" w:rsidR="003F3DB8" w:rsidRPr="00CF77C1" w:rsidRDefault="00E512E3" w:rsidP="0080044B">
            <w:pPr>
              <w:jc w:val="left"/>
              <w:rPr>
                <w:szCs w:val="22"/>
                <w:lang w:val="sr-Cyrl-RS"/>
              </w:rPr>
            </w:pPr>
            <w:r w:rsidRPr="00CF77C1">
              <w:rPr>
                <w:noProof/>
                <w:szCs w:val="24"/>
                <w:lang w:val="sr-Cyrl-RS"/>
              </w:rPr>
              <w:t>Р/П =билансне резерве (мил. т)/ годишња производња нафте (мил.т/год.)</w:t>
            </w:r>
          </w:p>
        </w:tc>
        <w:tc>
          <w:tcPr>
            <w:tcW w:w="1275" w:type="dxa"/>
            <w:vAlign w:val="center"/>
          </w:tcPr>
          <w:p w14:paraId="78241107" w14:textId="77777777" w:rsidR="003F3DB8" w:rsidRPr="00CF77C1" w:rsidRDefault="003F3DB8" w:rsidP="0080044B">
            <w:pPr>
              <w:jc w:val="center"/>
              <w:rPr>
                <w:szCs w:val="22"/>
                <w:lang w:val="sr-Cyrl-RS"/>
              </w:rPr>
            </w:pPr>
            <w:r w:rsidRPr="00CF77C1">
              <w:rPr>
                <w:szCs w:val="22"/>
                <w:lang w:val="sr-Cyrl-RS"/>
              </w:rPr>
              <w:t>14,30</w:t>
            </w:r>
          </w:p>
        </w:tc>
        <w:tc>
          <w:tcPr>
            <w:tcW w:w="1560" w:type="dxa"/>
            <w:vAlign w:val="center"/>
          </w:tcPr>
          <w:p w14:paraId="1AAE3673" w14:textId="77777777" w:rsidR="003F3DB8" w:rsidRPr="00CF77C1" w:rsidRDefault="003F3DB8" w:rsidP="0080044B">
            <w:pPr>
              <w:jc w:val="center"/>
              <w:rPr>
                <w:szCs w:val="22"/>
                <w:lang w:val="sr-Cyrl-RS"/>
              </w:rPr>
            </w:pPr>
            <w:r w:rsidRPr="00CF77C1">
              <w:rPr>
                <w:szCs w:val="24"/>
                <w:lang w:val="sr-Cyrl-RS"/>
              </w:rPr>
              <w:t>16,47</w:t>
            </w:r>
          </w:p>
        </w:tc>
      </w:tr>
    </w:tbl>
    <w:p w14:paraId="45AB9385" w14:textId="77777777" w:rsidR="003F3DB8" w:rsidRPr="00CF77C1" w:rsidRDefault="003F3DB8" w:rsidP="003E39B4">
      <w:pPr>
        <w:numPr>
          <w:ilvl w:val="0"/>
          <w:numId w:val="59"/>
        </w:numPr>
        <w:ind w:left="0" w:firstLine="720"/>
        <w:rPr>
          <w:lang w:val="sr-Cyrl-RS"/>
        </w:rPr>
      </w:pPr>
      <w:r w:rsidRPr="00CF77C1">
        <w:rPr>
          <w:lang w:val="sr-Cyrl-RS"/>
        </w:rPr>
        <w:t xml:space="preserve">Енергетски индикатор одрживог развоја-економска димензија, извор: Energy Indicators For Sustainable Development: Guidelines And Methodologies, International Atomic Energy Agency, United Nations Department Of Economic And Social Affairs, International Energy Agency, Eurostat And European Environment Agency, 2005, </w:t>
      </w:r>
      <w:hyperlink r:id="rId67" w:history="1">
        <w:r w:rsidRPr="00CF77C1">
          <w:rPr>
            <w:rStyle w:val="Hyperlink"/>
            <w:color w:val="auto"/>
            <w:lang w:val="sr-Cyrl-RS"/>
          </w:rPr>
          <w:t>http://www.unosd.org/content/documents/1237Pub1222_web%20EISD.pdf</w:t>
        </w:r>
      </w:hyperlink>
      <w:r w:rsidRPr="00CF77C1">
        <w:rPr>
          <w:lang w:val="sr-Cyrl-RS"/>
        </w:rPr>
        <w:t>; извор података: НИС.а.д.</w:t>
      </w:r>
    </w:p>
    <w:p w14:paraId="6247354C" w14:textId="77777777" w:rsidR="003F3DB8" w:rsidRPr="00CF77C1" w:rsidRDefault="003F3DB8" w:rsidP="00FC1656">
      <w:pPr>
        <w:ind w:left="360" w:firstLine="360"/>
        <w:rPr>
          <w:lang w:val="sr-Cyrl-RS"/>
        </w:rPr>
      </w:pPr>
      <w:r w:rsidRPr="00CF77C1">
        <w:rPr>
          <w:lang w:val="sr-Cyrl-RS"/>
        </w:rPr>
        <w:t>Напомена: Треба узети у обзир да је вредност параметра резерви у овом индикатору променљива величина због утицаја бројних фактора као што су открића нових лежишта, примена нових технологија, кao и променa економских услова.</w:t>
      </w:r>
    </w:p>
    <w:p w14:paraId="60D49899" w14:textId="77777777" w:rsidR="003F3DB8" w:rsidRPr="00CF77C1" w:rsidRDefault="003F3DB8" w:rsidP="003E39B4">
      <w:pPr>
        <w:numPr>
          <w:ilvl w:val="0"/>
          <w:numId w:val="59"/>
        </w:numPr>
        <w:ind w:left="0" w:firstLine="720"/>
        <w:rPr>
          <w:lang w:val="sr-Cyrl-RS"/>
        </w:rPr>
      </w:pPr>
      <w:r w:rsidRPr="00CF77C1">
        <w:rPr>
          <w:lang w:val="sr-Cyrl-RS"/>
        </w:rPr>
        <w:t>Енергетски индикатор одрживог развоја-економска димензија, извор: НИС.а.д.</w:t>
      </w:r>
    </w:p>
    <w:p w14:paraId="56EF0650" w14:textId="77777777" w:rsidR="003F3DB8" w:rsidRPr="00CF77C1" w:rsidRDefault="003F3DB8" w:rsidP="003E39B4">
      <w:pPr>
        <w:numPr>
          <w:ilvl w:val="0"/>
          <w:numId w:val="59"/>
        </w:numPr>
        <w:ind w:left="0" w:firstLine="720"/>
        <w:rPr>
          <w:lang w:val="sr-Cyrl-RS"/>
        </w:rPr>
      </w:pPr>
      <w:r w:rsidRPr="00CF77C1">
        <w:rPr>
          <w:lang w:val="sr-Cyrl-RS"/>
        </w:rPr>
        <w:t xml:space="preserve">Енергетски индикатор одрживог развоја-економска димензија, дефинисан у складу са: Energy Indicators For Sustainable Development: Guidelines And Methodologies, International Atomic Energy Agency, United Nations Department Of Economic And Social Affairs, International Energy Agency, Eurostat And European Environment Agency, 2005, </w:t>
      </w:r>
      <w:hyperlink r:id="rId68" w:history="1">
        <w:r w:rsidRPr="00CF77C1">
          <w:t>http://www.unosd.org/content/documents/1237Pub1222_web%20EISD.pdf</w:t>
        </w:r>
      </w:hyperlink>
      <w:r w:rsidRPr="00CF77C1">
        <w:rPr>
          <w:lang w:val="sr-Cyrl-RS"/>
        </w:rPr>
        <w:t xml:space="preserve">; извор података: ЈП Транснафта, Републичка дирекција за робне резерве и </w:t>
      </w:r>
      <w:r w:rsidR="005C650D" w:rsidRPr="00CF77C1">
        <w:rPr>
          <w:lang w:val="sr-Cyrl-RS"/>
        </w:rPr>
        <w:t>министарство надлежно за послове</w:t>
      </w:r>
      <w:r w:rsidRPr="00CF77C1">
        <w:rPr>
          <w:lang w:val="sr-Cyrl-RS"/>
        </w:rPr>
        <w:t xml:space="preserve"> рударства и енергетике.</w:t>
      </w:r>
    </w:p>
    <w:p w14:paraId="2AD21803" w14:textId="77777777" w:rsidR="003F3DB8" w:rsidRPr="00CF77C1" w:rsidRDefault="003F3DB8" w:rsidP="00FC1656">
      <w:pPr>
        <w:ind w:left="720"/>
        <w:rPr>
          <w:lang w:val="sr-Cyrl-RS"/>
        </w:rPr>
      </w:pPr>
    </w:p>
    <w:p w14:paraId="58EFE29C" w14:textId="101931EA" w:rsidR="003F3DB8" w:rsidRPr="00CF77C1" w:rsidRDefault="003F3DB8" w:rsidP="00FC1656">
      <w:pPr>
        <w:pStyle w:val="Caption"/>
        <w:pageBreakBefore/>
        <w:ind w:firstLine="720"/>
        <w:rPr>
          <w:b w:val="0"/>
          <w:lang w:val="sr-Cyrl-RS"/>
        </w:rPr>
      </w:pPr>
      <w:bookmarkStart w:id="115" w:name="_Ref475611086"/>
      <w:r w:rsidRPr="00CF77C1">
        <w:rPr>
          <w:b w:val="0"/>
          <w:lang w:val="sr-Cyrl-RS"/>
        </w:rPr>
        <w:t>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37</w:t>
      </w:r>
      <w:r w:rsidR="0092145E" w:rsidRPr="00CF77C1">
        <w:rPr>
          <w:b w:val="0"/>
          <w:noProof/>
          <w:lang w:val="sr-Cyrl-RS"/>
        </w:rPr>
        <w:fldChar w:fldCharType="end"/>
      </w:r>
      <w:bookmarkEnd w:id="115"/>
      <w:r w:rsidRPr="00CF77C1">
        <w:rPr>
          <w:b w:val="0"/>
          <w:lang w:val="sr-Cyrl-RS"/>
        </w:rPr>
        <w:t>: Активности за усклађивање националног законодавног оквира са правним тековинама ЕУ и прописима ЕЗ</w:t>
      </w:r>
    </w:p>
    <w:tbl>
      <w:tblPr>
        <w:tblW w:w="14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04"/>
        <w:gridCol w:w="3000"/>
        <w:gridCol w:w="2587"/>
        <w:gridCol w:w="2954"/>
      </w:tblGrid>
      <w:tr w:rsidR="003F3DB8" w:rsidRPr="00CF77C1" w14:paraId="37FF9A31" w14:textId="77777777" w:rsidTr="003F3DB8">
        <w:trPr>
          <w:cantSplit/>
          <w:tblHeader/>
        </w:trPr>
        <w:tc>
          <w:tcPr>
            <w:tcW w:w="6204" w:type="dxa"/>
            <w:vAlign w:val="center"/>
          </w:tcPr>
          <w:p w14:paraId="05D56B5E" w14:textId="77777777" w:rsidR="003F3DB8" w:rsidRPr="00CF77C1" w:rsidRDefault="003F3DB8" w:rsidP="0080044B">
            <w:pPr>
              <w:keepNext/>
              <w:keepLines/>
              <w:jc w:val="center"/>
              <w:rPr>
                <w:szCs w:val="24"/>
                <w:lang w:val="sr-Cyrl-RS"/>
              </w:rPr>
            </w:pPr>
            <w:r w:rsidRPr="00CF77C1">
              <w:rPr>
                <w:szCs w:val="24"/>
                <w:lang w:val="sr-Cyrl-RS"/>
              </w:rPr>
              <w:t>Активност</w:t>
            </w:r>
          </w:p>
        </w:tc>
        <w:tc>
          <w:tcPr>
            <w:tcW w:w="3000" w:type="dxa"/>
            <w:vAlign w:val="center"/>
          </w:tcPr>
          <w:p w14:paraId="6784AFD1" w14:textId="77777777" w:rsidR="003F3DB8" w:rsidRPr="00CF77C1" w:rsidRDefault="003F3DB8" w:rsidP="0080044B">
            <w:pPr>
              <w:keepNext/>
              <w:keepLines/>
              <w:jc w:val="center"/>
              <w:rPr>
                <w:szCs w:val="24"/>
                <w:lang w:val="sr-Cyrl-RS"/>
              </w:rPr>
            </w:pPr>
            <w:r w:rsidRPr="00CF77C1">
              <w:rPr>
                <w:szCs w:val="24"/>
                <w:lang w:val="sr-Cyrl-RS"/>
              </w:rPr>
              <w:t>Назив ЕУ прописа према којем се врши усклађивање</w:t>
            </w:r>
          </w:p>
        </w:tc>
        <w:tc>
          <w:tcPr>
            <w:tcW w:w="2587" w:type="dxa"/>
            <w:vAlign w:val="center"/>
          </w:tcPr>
          <w:p w14:paraId="6859C761" w14:textId="77777777" w:rsidR="003F3DB8" w:rsidRPr="00CF77C1" w:rsidRDefault="003F3DB8" w:rsidP="0080044B">
            <w:pPr>
              <w:keepNext/>
              <w:keepLines/>
              <w:jc w:val="center"/>
              <w:rPr>
                <w:szCs w:val="24"/>
                <w:lang w:val="sr-Cyrl-RS"/>
              </w:rPr>
            </w:pPr>
            <w:r w:rsidRPr="00CF77C1">
              <w:rPr>
                <w:szCs w:val="24"/>
                <w:lang w:val="sr-Cyrl-RS"/>
              </w:rPr>
              <w:t>Рок доношења</w:t>
            </w:r>
          </w:p>
        </w:tc>
        <w:tc>
          <w:tcPr>
            <w:tcW w:w="2954" w:type="dxa"/>
            <w:vAlign w:val="center"/>
          </w:tcPr>
          <w:p w14:paraId="5742C800" w14:textId="761F2A66" w:rsidR="003F3DB8" w:rsidRPr="00CF77C1" w:rsidRDefault="003F3DB8" w:rsidP="0080044B">
            <w:pPr>
              <w:keepNext/>
              <w:keepLines/>
              <w:jc w:val="center"/>
              <w:rPr>
                <w:szCs w:val="24"/>
                <w:lang w:val="sr-Cyrl-RS"/>
              </w:rPr>
            </w:pPr>
            <w:r w:rsidRPr="00CF77C1">
              <w:rPr>
                <w:szCs w:val="24"/>
                <w:lang w:val="sr-Cyrl-RS"/>
              </w:rPr>
              <w:t>Одговорне институције</w:t>
            </w:r>
            <w:r w:rsidR="005D23BE">
              <w:rPr>
                <w:szCs w:val="24"/>
                <w:lang w:val="sr-Cyrl-RS"/>
              </w:rPr>
              <w:t>.</w:t>
            </w:r>
          </w:p>
        </w:tc>
      </w:tr>
      <w:tr w:rsidR="005259F9" w:rsidRPr="00CF77C1" w14:paraId="193614A6" w14:textId="77777777" w:rsidTr="000B5EDC">
        <w:trPr>
          <w:cantSplit/>
        </w:trPr>
        <w:tc>
          <w:tcPr>
            <w:tcW w:w="6204" w:type="dxa"/>
            <w:vAlign w:val="center"/>
          </w:tcPr>
          <w:p w14:paraId="63CB1CBF" w14:textId="56092AE0" w:rsidR="005259F9" w:rsidRPr="00CF77C1" w:rsidRDefault="005259F9" w:rsidP="0080044B">
            <w:pPr>
              <w:keepLines/>
              <w:jc w:val="left"/>
              <w:rPr>
                <w:szCs w:val="24"/>
                <w:lang w:val="sr-Cyrl-RS"/>
              </w:rPr>
            </w:pPr>
            <w:r w:rsidRPr="00CF77C1">
              <w:rPr>
                <w:szCs w:val="24"/>
                <w:lang w:val="sr-Cyrl-RS"/>
              </w:rPr>
              <w:t>Усвајање акционог плана усаглашавања са правним тековинама о минималним резервама нафте и деривата нафте</w:t>
            </w:r>
            <w:r w:rsidR="00057FA9">
              <w:rPr>
                <w:szCs w:val="24"/>
                <w:lang w:val="sr-Cyrl-RS"/>
              </w:rPr>
              <w:t>.</w:t>
            </w:r>
          </w:p>
        </w:tc>
        <w:tc>
          <w:tcPr>
            <w:tcW w:w="3000" w:type="dxa"/>
            <w:vAlign w:val="center"/>
          </w:tcPr>
          <w:p w14:paraId="021AA827" w14:textId="77777777" w:rsidR="005259F9" w:rsidRPr="00CF77C1" w:rsidRDefault="005259F9" w:rsidP="0080044B">
            <w:pPr>
              <w:keepLines/>
              <w:jc w:val="left"/>
              <w:rPr>
                <w:szCs w:val="24"/>
                <w:lang w:val="sr-Cyrl-RS"/>
              </w:rPr>
            </w:pPr>
            <w:r w:rsidRPr="00CF77C1">
              <w:rPr>
                <w:szCs w:val="24"/>
                <w:lang w:val="sr-Cyrl-RS"/>
              </w:rPr>
              <w:t>Директива 119/2009/ЕЗ</w:t>
            </w:r>
          </w:p>
        </w:tc>
        <w:tc>
          <w:tcPr>
            <w:tcW w:w="2587" w:type="dxa"/>
            <w:vAlign w:val="center"/>
          </w:tcPr>
          <w:p w14:paraId="53B18EB3" w14:textId="77777777" w:rsidR="005259F9" w:rsidRPr="00CF77C1" w:rsidRDefault="005259F9" w:rsidP="000B5EDC">
            <w:pPr>
              <w:keepLines/>
              <w:jc w:val="center"/>
              <w:rPr>
                <w:szCs w:val="24"/>
                <w:lang w:val="sr-Cyrl-RS"/>
              </w:rPr>
            </w:pPr>
            <w:r w:rsidRPr="00CF77C1">
              <w:rPr>
                <w:szCs w:val="24"/>
                <w:lang w:val="sr-Cyrl-RS"/>
              </w:rPr>
              <w:t>У фази израде</w:t>
            </w:r>
          </w:p>
        </w:tc>
        <w:tc>
          <w:tcPr>
            <w:tcW w:w="2954" w:type="dxa"/>
            <w:vMerge w:val="restart"/>
            <w:vAlign w:val="center"/>
          </w:tcPr>
          <w:p w14:paraId="5DBC3B26" w14:textId="24AA7BD3" w:rsidR="005259F9" w:rsidRPr="00CF77C1" w:rsidRDefault="00AC627E" w:rsidP="0080044B">
            <w:pPr>
              <w:keepLines/>
              <w:jc w:val="left"/>
              <w:rPr>
                <w:szCs w:val="24"/>
                <w:lang w:val="sr-Cyrl-RS"/>
              </w:rPr>
            </w:pPr>
            <w:r w:rsidRPr="00CF77C1">
              <w:rPr>
                <w:szCs w:val="24"/>
                <w:lang w:val="sr-Cyrl-RS"/>
              </w:rPr>
              <w:t>м</w:t>
            </w:r>
            <w:r w:rsidR="005259F9" w:rsidRPr="00CF77C1">
              <w:rPr>
                <w:szCs w:val="24"/>
                <w:lang w:val="sr-Cyrl-RS"/>
              </w:rPr>
              <w:t>инистарство надлежно за послове рударства и енергетике (Сектор за нафту и гас и Сектор за геологију и рударство), Управа за резерве енергената као орган у саставу Министарства рударства и енергетике</w:t>
            </w:r>
            <w:r w:rsidR="005D23BE">
              <w:rPr>
                <w:szCs w:val="24"/>
                <w:lang w:val="sr-Cyrl-RS"/>
              </w:rPr>
              <w:t>.</w:t>
            </w:r>
          </w:p>
        </w:tc>
      </w:tr>
      <w:tr w:rsidR="005259F9" w:rsidRPr="00CF77C1" w14:paraId="3C28DC4B" w14:textId="77777777" w:rsidTr="000B5EDC">
        <w:trPr>
          <w:cantSplit/>
        </w:trPr>
        <w:tc>
          <w:tcPr>
            <w:tcW w:w="6204" w:type="dxa"/>
            <w:vAlign w:val="center"/>
          </w:tcPr>
          <w:p w14:paraId="4AC2D0BD" w14:textId="38BEB29C" w:rsidR="005259F9" w:rsidRPr="00CF77C1" w:rsidRDefault="005259F9" w:rsidP="0080044B">
            <w:pPr>
              <w:keepLines/>
              <w:jc w:val="left"/>
              <w:rPr>
                <w:szCs w:val="24"/>
                <w:lang w:val="sr-Cyrl-RS"/>
              </w:rPr>
            </w:pPr>
            <w:r w:rsidRPr="00CF77C1">
              <w:rPr>
                <w:szCs w:val="24"/>
                <w:lang w:val="sr-Cyrl-RS"/>
              </w:rPr>
              <w:t>Усвајање Правилника о роковима, садржају и начину достављања података о набавци и продаји нафте, деривата нафте, биогорива и компримованог природног гаса и података о ценама деривата нафте и биогорива са и без акциза и пореза</w:t>
            </w:r>
            <w:r w:rsidR="00057FA9">
              <w:rPr>
                <w:szCs w:val="24"/>
                <w:lang w:val="sr-Cyrl-RS"/>
              </w:rPr>
              <w:t>.</w:t>
            </w:r>
          </w:p>
        </w:tc>
        <w:tc>
          <w:tcPr>
            <w:tcW w:w="3000" w:type="dxa"/>
            <w:vAlign w:val="center"/>
          </w:tcPr>
          <w:p w14:paraId="2ECEB17C" w14:textId="77777777" w:rsidR="005259F9" w:rsidRPr="00CF77C1" w:rsidRDefault="005259F9" w:rsidP="0080044B">
            <w:pPr>
              <w:keepLines/>
              <w:jc w:val="left"/>
              <w:rPr>
                <w:szCs w:val="24"/>
                <w:lang w:val="sr-Cyrl-RS"/>
              </w:rPr>
            </w:pPr>
            <w:r w:rsidRPr="00CF77C1">
              <w:rPr>
                <w:szCs w:val="24"/>
                <w:lang w:val="sr-Cyrl-RS"/>
              </w:rPr>
              <w:t>Одлука Савета 99/280/ЕЗ и Уредба Савета 2964/95</w:t>
            </w:r>
          </w:p>
        </w:tc>
        <w:tc>
          <w:tcPr>
            <w:tcW w:w="2587" w:type="dxa"/>
            <w:vAlign w:val="center"/>
          </w:tcPr>
          <w:p w14:paraId="4A7BBF2F" w14:textId="73EB56CB" w:rsidR="005259F9" w:rsidRPr="00FC6F6F" w:rsidRDefault="002E3E16" w:rsidP="000B5EDC">
            <w:pPr>
              <w:keepLines/>
              <w:jc w:val="center"/>
              <w:rPr>
                <w:szCs w:val="24"/>
                <w:lang w:val="sr-Cyrl-RS"/>
              </w:rPr>
            </w:pPr>
            <w:r w:rsidRPr="00FC6F6F">
              <w:rPr>
                <w:szCs w:val="24"/>
                <w:lang w:val="sr-Cyrl-RS"/>
              </w:rPr>
              <w:t>IV квартал 2018</w:t>
            </w:r>
            <w:r w:rsidR="005259F9" w:rsidRPr="00FC6F6F">
              <w:rPr>
                <w:szCs w:val="24"/>
                <w:lang w:val="sr-Cyrl-RS"/>
              </w:rPr>
              <w:t>. године</w:t>
            </w:r>
          </w:p>
        </w:tc>
        <w:tc>
          <w:tcPr>
            <w:tcW w:w="2954" w:type="dxa"/>
            <w:vMerge/>
            <w:vAlign w:val="center"/>
          </w:tcPr>
          <w:p w14:paraId="08623F73" w14:textId="77777777" w:rsidR="005259F9" w:rsidRPr="00CF77C1" w:rsidRDefault="005259F9" w:rsidP="0080044B">
            <w:pPr>
              <w:keepLines/>
              <w:jc w:val="left"/>
              <w:rPr>
                <w:szCs w:val="24"/>
                <w:lang w:val="sr-Cyrl-RS"/>
              </w:rPr>
            </w:pPr>
          </w:p>
        </w:tc>
      </w:tr>
      <w:tr w:rsidR="005259F9" w:rsidRPr="00CF77C1" w14:paraId="58435CB8" w14:textId="77777777" w:rsidTr="000B5EDC">
        <w:trPr>
          <w:cantSplit/>
        </w:trPr>
        <w:tc>
          <w:tcPr>
            <w:tcW w:w="6204" w:type="dxa"/>
            <w:vAlign w:val="center"/>
          </w:tcPr>
          <w:p w14:paraId="069807F6" w14:textId="06D6DF58" w:rsidR="005259F9" w:rsidRPr="00CF77C1" w:rsidRDefault="005259F9" w:rsidP="0080044B">
            <w:pPr>
              <w:keepLines/>
              <w:jc w:val="left"/>
              <w:rPr>
                <w:szCs w:val="24"/>
                <w:lang w:val="sr-Cyrl-RS"/>
              </w:rPr>
            </w:pPr>
            <w:r w:rsidRPr="00CF77C1">
              <w:rPr>
                <w:szCs w:val="24"/>
                <w:lang w:val="sr-Cyrl-RS"/>
              </w:rPr>
              <w:t>Доношење Уредбе о програму мера за стављање обавезних резерви нафте и деривата нафте на тржиште у случају када је угрожена сигурност снабдевања енергијом и енергентима - Кризни план</w:t>
            </w:r>
            <w:r w:rsidR="00057FA9">
              <w:rPr>
                <w:szCs w:val="24"/>
                <w:lang w:val="sr-Cyrl-RS"/>
              </w:rPr>
              <w:t>.</w:t>
            </w:r>
          </w:p>
        </w:tc>
        <w:tc>
          <w:tcPr>
            <w:tcW w:w="3000" w:type="dxa"/>
            <w:vAlign w:val="center"/>
          </w:tcPr>
          <w:p w14:paraId="11760C43" w14:textId="77777777" w:rsidR="005259F9" w:rsidRPr="00CF77C1" w:rsidRDefault="005259F9" w:rsidP="0080044B">
            <w:pPr>
              <w:keepLines/>
              <w:jc w:val="left"/>
              <w:rPr>
                <w:szCs w:val="24"/>
                <w:lang w:val="sr-Cyrl-RS"/>
              </w:rPr>
            </w:pPr>
            <w:r w:rsidRPr="00CF77C1">
              <w:rPr>
                <w:szCs w:val="24"/>
                <w:lang w:val="sr-Cyrl-RS"/>
              </w:rPr>
              <w:t>Директива 119/2009/ЕЗ</w:t>
            </w:r>
          </w:p>
        </w:tc>
        <w:tc>
          <w:tcPr>
            <w:tcW w:w="2587" w:type="dxa"/>
            <w:vAlign w:val="center"/>
          </w:tcPr>
          <w:p w14:paraId="78C11A0A" w14:textId="0E63B9CD" w:rsidR="005259F9" w:rsidRPr="00FC6F6F" w:rsidRDefault="002E3E16" w:rsidP="000B5EDC">
            <w:pPr>
              <w:keepLines/>
              <w:jc w:val="center"/>
              <w:rPr>
                <w:szCs w:val="24"/>
                <w:lang w:val="sr-Cyrl-RS"/>
              </w:rPr>
            </w:pPr>
            <w:r w:rsidRPr="00FC6F6F">
              <w:rPr>
                <w:szCs w:val="24"/>
                <w:lang w:val="sr-Cyrl-RS"/>
              </w:rPr>
              <w:t>IV квартал 2018</w:t>
            </w:r>
            <w:r w:rsidR="005259F9" w:rsidRPr="00FC6F6F">
              <w:rPr>
                <w:szCs w:val="24"/>
                <w:lang w:val="sr-Cyrl-RS"/>
              </w:rPr>
              <w:t>. године</w:t>
            </w:r>
          </w:p>
        </w:tc>
        <w:tc>
          <w:tcPr>
            <w:tcW w:w="2954" w:type="dxa"/>
            <w:vMerge/>
            <w:vAlign w:val="center"/>
          </w:tcPr>
          <w:p w14:paraId="2310D836" w14:textId="77777777" w:rsidR="005259F9" w:rsidRPr="00CF77C1" w:rsidRDefault="005259F9" w:rsidP="0080044B">
            <w:pPr>
              <w:keepLines/>
              <w:jc w:val="left"/>
              <w:rPr>
                <w:szCs w:val="24"/>
                <w:lang w:val="sr-Cyrl-RS"/>
              </w:rPr>
            </w:pPr>
          </w:p>
        </w:tc>
      </w:tr>
      <w:tr w:rsidR="005259F9" w:rsidRPr="00CF77C1" w14:paraId="63D4144D" w14:textId="77777777" w:rsidTr="000B5EDC">
        <w:trPr>
          <w:cantSplit/>
        </w:trPr>
        <w:tc>
          <w:tcPr>
            <w:tcW w:w="6204" w:type="dxa"/>
            <w:vAlign w:val="center"/>
          </w:tcPr>
          <w:p w14:paraId="2B48D52A" w14:textId="7C42F02F" w:rsidR="005259F9" w:rsidRPr="00CF77C1" w:rsidRDefault="005259F9" w:rsidP="0080044B">
            <w:pPr>
              <w:keepLines/>
              <w:jc w:val="left"/>
              <w:rPr>
                <w:szCs w:val="24"/>
                <w:lang w:val="sr-Cyrl-RS"/>
              </w:rPr>
            </w:pPr>
            <w:r w:rsidRPr="00CF77C1">
              <w:rPr>
                <w:szCs w:val="24"/>
                <w:lang w:val="sr-Cyrl-RS"/>
              </w:rPr>
              <w:t>Tрaнспoнoвање Дирeктиве 94/22/EЗ у склaду сa другим рeвидирaним Нaциoнaлним прoгрaмoм зa усвajaњe прaвних тeкoвинa EУ (НПAA), усвојеним у новембру 2016. гoдинe</w:t>
            </w:r>
            <w:r w:rsidR="00057FA9">
              <w:rPr>
                <w:szCs w:val="24"/>
                <w:lang w:val="sr-Cyrl-RS"/>
              </w:rPr>
              <w:t>.</w:t>
            </w:r>
          </w:p>
        </w:tc>
        <w:tc>
          <w:tcPr>
            <w:tcW w:w="3000" w:type="dxa"/>
            <w:vAlign w:val="center"/>
          </w:tcPr>
          <w:p w14:paraId="24266954" w14:textId="77777777" w:rsidR="005259F9" w:rsidRPr="00CF77C1" w:rsidRDefault="005259F9" w:rsidP="0080044B">
            <w:pPr>
              <w:keepLines/>
              <w:jc w:val="left"/>
              <w:rPr>
                <w:szCs w:val="24"/>
                <w:lang w:val="sr-Cyrl-RS"/>
              </w:rPr>
            </w:pPr>
            <w:r w:rsidRPr="00CF77C1">
              <w:rPr>
                <w:szCs w:val="24"/>
                <w:lang w:val="sr-Cyrl-RS"/>
              </w:rPr>
              <w:t>Директива 94/22/EЗ</w:t>
            </w:r>
          </w:p>
        </w:tc>
        <w:tc>
          <w:tcPr>
            <w:tcW w:w="2587" w:type="dxa"/>
            <w:vAlign w:val="center"/>
          </w:tcPr>
          <w:p w14:paraId="70A3706A" w14:textId="77777777" w:rsidR="005259F9" w:rsidRPr="00CF77C1" w:rsidRDefault="005259F9" w:rsidP="000B5EDC">
            <w:pPr>
              <w:keepLines/>
              <w:jc w:val="center"/>
              <w:rPr>
                <w:szCs w:val="24"/>
                <w:lang w:val="sr-Cyrl-RS"/>
              </w:rPr>
            </w:pPr>
            <w:r w:rsidRPr="00CF77C1">
              <w:rPr>
                <w:szCs w:val="24"/>
                <w:lang w:val="sr-Cyrl-RS"/>
              </w:rPr>
              <w:t>IV квартал 2018. године</w:t>
            </w:r>
          </w:p>
        </w:tc>
        <w:tc>
          <w:tcPr>
            <w:tcW w:w="2954" w:type="dxa"/>
            <w:vAlign w:val="center"/>
          </w:tcPr>
          <w:p w14:paraId="491C757D" w14:textId="3B5D0F5D" w:rsidR="005259F9" w:rsidRPr="00CF77C1" w:rsidRDefault="00AC627E" w:rsidP="0080044B">
            <w:pPr>
              <w:keepLines/>
              <w:jc w:val="left"/>
              <w:rPr>
                <w:szCs w:val="24"/>
                <w:lang w:val="sr-Cyrl-RS"/>
              </w:rPr>
            </w:pPr>
            <w:r w:rsidRPr="00CF77C1">
              <w:rPr>
                <w:szCs w:val="24"/>
                <w:lang w:val="sr-Cyrl-RS"/>
              </w:rPr>
              <w:t>м</w:t>
            </w:r>
            <w:r w:rsidR="005259F9" w:rsidRPr="00CF77C1">
              <w:rPr>
                <w:szCs w:val="24"/>
                <w:lang w:val="sr-Cyrl-RS"/>
              </w:rPr>
              <w:t>инистарство надлежно за послове рударства и енергетике (Сектор за нафту и гас и Сектор за геологију и рударство)</w:t>
            </w:r>
            <w:r w:rsidR="005D23BE">
              <w:rPr>
                <w:szCs w:val="24"/>
                <w:lang w:val="sr-Cyrl-RS"/>
              </w:rPr>
              <w:t>.</w:t>
            </w:r>
          </w:p>
        </w:tc>
      </w:tr>
      <w:tr w:rsidR="005259F9" w:rsidRPr="00CF77C1" w14:paraId="0E2E8282" w14:textId="77777777" w:rsidTr="000B5EDC">
        <w:trPr>
          <w:cantSplit/>
        </w:trPr>
        <w:tc>
          <w:tcPr>
            <w:tcW w:w="6204" w:type="dxa"/>
            <w:vAlign w:val="center"/>
          </w:tcPr>
          <w:p w14:paraId="5A1BAA48" w14:textId="2F052446" w:rsidR="005259F9" w:rsidRPr="00CF77C1" w:rsidRDefault="005259F9" w:rsidP="0080044B">
            <w:pPr>
              <w:keepLines/>
              <w:jc w:val="left"/>
              <w:rPr>
                <w:szCs w:val="24"/>
                <w:lang w:val="sr-Cyrl-RS"/>
              </w:rPr>
            </w:pPr>
            <w:r w:rsidRPr="00CF77C1">
              <w:rPr>
                <w:szCs w:val="24"/>
                <w:lang w:val="sr-Cyrl-RS"/>
              </w:rPr>
              <w:t>Усвајање Правилника о извештају о пословању компанија која врше истраживања и експлоатацију нафте и гаса</w:t>
            </w:r>
            <w:r w:rsidR="00057FA9">
              <w:rPr>
                <w:szCs w:val="24"/>
                <w:lang w:val="sr-Cyrl-RS"/>
              </w:rPr>
              <w:t>.</w:t>
            </w:r>
          </w:p>
        </w:tc>
        <w:tc>
          <w:tcPr>
            <w:tcW w:w="3000" w:type="dxa"/>
            <w:vAlign w:val="center"/>
          </w:tcPr>
          <w:p w14:paraId="726083F7" w14:textId="73C6DDB3" w:rsidR="005259F9" w:rsidRPr="00CF77C1" w:rsidRDefault="002A36AE" w:rsidP="0080044B">
            <w:pPr>
              <w:keepLines/>
              <w:jc w:val="left"/>
              <w:rPr>
                <w:szCs w:val="24"/>
                <w:lang w:val="sr-Cyrl-RS"/>
              </w:rPr>
            </w:pPr>
            <w:r w:rsidRPr="00CF77C1">
              <w:rPr>
                <w:szCs w:val="24"/>
                <w:lang w:val="sr-Cyrl-RS"/>
              </w:rPr>
              <w:t>Директива 2013/30/EУ – чл.</w:t>
            </w:r>
            <w:r w:rsidR="005259F9" w:rsidRPr="00CF77C1">
              <w:rPr>
                <w:szCs w:val="24"/>
                <w:lang w:val="sr-Cyrl-RS"/>
              </w:rPr>
              <w:t xml:space="preserve"> 20-22.</w:t>
            </w:r>
          </w:p>
        </w:tc>
        <w:tc>
          <w:tcPr>
            <w:tcW w:w="2587" w:type="dxa"/>
            <w:vAlign w:val="center"/>
          </w:tcPr>
          <w:p w14:paraId="7BB38593" w14:textId="77777777" w:rsidR="005259F9" w:rsidRPr="00CF77C1" w:rsidRDefault="005259F9" w:rsidP="000B5EDC">
            <w:pPr>
              <w:keepLines/>
              <w:jc w:val="center"/>
              <w:rPr>
                <w:szCs w:val="24"/>
                <w:lang w:val="sr-Cyrl-RS"/>
              </w:rPr>
            </w:pPr>
            <w:r w:rsidRPr="00CF77C1">
              <w:rPr>
                <w:szCs w:val="24"/>
                <w:lang w:val="sr-Cyrl-RS"/>
              </w:rPr>
              <w:t>IV квартал 2018. године</w:t>
            </w:r>
          </w:p>
        </w:tc>
        <w:tc>
          <w:tcPr>
            <w:tcW w:w="2954" w:type="dxa"/>
            <w:vAlign w:val="center"/>
          </w:tcPr>
          <w:p w14:paraId="31185981" w14:textId="7C234816" w:rsidR="005259F9" w:rsidRPr="00CF77C1" w:rsidRDefault="00AC627E" w:rsidP="0080044B">
            <w:pPr>
              <w:keepLines/>
              <w:jc w:val="left"/>
              <w:rPr>
                <w:szCs w:val="24"/>
                <w:lang w:val="sr-Cyrl-RS"/>
              </w:rPr>
            </w:pPr>
            <w:r w:rsidRPr="00CF77C1">
              <w:rPr>
                <w:szCs w:val="24"/>
                <w:lang w:val="sr-Cyrl-RS"/>
              </w:rPr>
              <w:t>м</w:t>
            </w:r>
            <w:r w:rsidR="005259F9" w:rsidRPr="00CF77C1">
              <w:rPr>
                <w:szCs w:val="24"/>
                <w:lang w:val="sr-Cyrl-RS"/>
              </w:rPr>
              <w:t>инистарство надлежно за послове рударства и енергетике (Сектор за нафту и гас и Сектор за геологију и рударство)</w:t>
            </w:r>
            <w:r w:rsidR="005D23BE">
              <w:rPr>
                <w:szCs w:val="24"/>
                <w:lang w:val="sr-Cyrl-RS"/>
              </w:rPr>
              <w:t>.</w:t>
            </w:r>
          </w:p>
        </w:tc>
      </w:tr>
      <w:tr w:rsidR="003F3DB8" w:rsidRPr="00CF77C1" w14:paraId="5917E424" w14:textId="77777777" w:rsidTr="000B5EDC">
        <w:trPr>
          <w:cantSplit/>
        </w:trPr>
        <w:tc>
          <w:tcPr>
            <w:tcW w:w="6204" w:type="dxa"/>
            <w:vAlign w:val="center"/>
          </w:tcPr>
          <w:p w14:paraId="29516422" w14:textId="11CD45B8" w:rsidR="003F3DB8" w:rsidRPr="00CF77C1" w:rsidRDefault="005259F9" w:rsidP="005259F9">
            <w:pPr>
              <w:keepLines/>
              <w:jc w:val="left"/>
              <w:rPr>
                <w:szCs w:val="24"/>
                <w:lang w:val="sr-Cyrl-RS"/>
              </w:rPr>
            </w:pPr>
            <w:r w:rsidRPr="00CF77C1">
              <w:rPr>
                <w:szCs w:val="24"/>
                <w:lang w:val="sr-Cyrl-RS"/>
              </w:rPr>
              <w:t>Анализа одредби Закона о рударству и геолошким истраживањима као основа за транспоновање Директиве 94/22/ЕЗ у склaду сa другим рeвидирaним Нaциoнaлним прoгрaмoм зa усвajaњe прaвних тeкoвинa EУ (НПAA), усвојеним у новембру 2016. гoдинe</w:t>
            </w:r>
            <w:r w:rsidR="007577D9">
              <w:rPr>
                <w:szCs w:val="24"/>
                <w:lang w:val="sr-Cyrl-RS"/>
              </w:rPr>
              <w:t>.</w:t>
            </w:r>
          </w:p>
        </w:tc>
        <w:tc>
          <w:tcPr>
            <w:tcW w:w="3000" w:type="dxa"/>
            <w:vAlign w:val="center"/>
          </w:tcPr>
          <w:p w14:paraId="327B3AF4" w14:textId="34BBAC53" w:rsidR="003F3DB8" w:rsidRPr="00CF77C1" w:rsidRDefault="005965A6" w:rsidP="0080044B">
            <w:pPr>
              <w:keepLines/>
              <w:jc w:val="left"/>
              <w:rPr>
                <w:szCs w:val="24"/>
                <w:lang w:val="sr-Cyrl-RS"/>
              </w:rPr>
            </w:pPr>
            <w:r>
              <w:rPr>
                <w:szCs w:val="24"/>
                <w:lang w:val="sr-Cyrl-RS"/>
              </w:rPr>
              <w:t>Директива бр.</w:t>
            </w:r>
            <w:r w:rsidR="003F3DB8" w:rsidRPr="00CF77C1">
              <w:rPr>
                <w:szCs w:val="24"/>
                <w:lang w:val="sr-Cyrl-RS"/>
              </w:rPr>
              <w:t xml:space="preserve"> 94/22/EЗ</w:t>
            </w:r>
          </w:p>
        </w:tc>
        <w:tc>
          <w:tcPr>
            <w:tcW w:w="2587" w:type="dxa"/>
            <w:vAlign w:val="center"/>
          </w:tcPr>
          <w:p w14:paraId="3C916ADF" w14:textId="77777777" w:rsidR="003F3DB8" w:rsidRPr="00CF77C1" w:rsidRDefault="003F3DB8" w:rsidP="000B5EDC">
            <w:pPr>
              <w:keepLines/>
              <w:jc w:val="center"/>
              <w:rPr>
                <w:szCs w:val="24"/>
                <w:lang w:val="sr-Cyrl-RS"/>
              </w:rPr>
            </w:pPr>
            <w:r w:rsidRPr="00CF77C1">
              <w:rPr>
                <w:szCs w:val="24"/>
                <w:lang w:val="sr-Cyrl-RS"/>
              </w:rPr>
              <w:t>2017-2018. године</w:t>
            </w:r>
          </w:p>
        </w:tc>
        <w:tc>
          <w:tcPr>
            <w:tcW w:w="2954" w:type="dxa"/>
            <w:vAlign w:val="center"/>
          </w:tcPr>
          <w:p w14:paraId="31BDCAC0" w14:textId="035EA194" w:rsidR="003F3DB8" w:rsidRPr="00CF77C1" w:rsidRDefault="00AC627E" w:rsidP="0080044B">
            <w:pPr>
              <w:keepLines/>
              <w:jc w:val="left"/>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рударства и енергетике (Сектор за геологију и рударство)</w:t>
            </w:r>
            <w:r w:rsidR="007577D9">
              <w:rPr>
                <w:szCs w:val="24"/>
                <w:lang w:val="sr-Cyrl-RS"/>
              </w:rPr>
              <w:t>.</w:t>
            </w:r>
          </w:p>
        </w:tc>
      </w:tr>
      <w:tr w:rsidR="003F3DB8" w:rsidRPr="00CF77C1" w14:paraId="40659B91" w14:textId="77777777" w:rsidTr="000B5EDC">
        <w:trPr>
          <w:cantSplit/>
        </w:trPr>
        <w:tc>
          <w:tcPr>
            <w:tcW w:w="6204" w:type="dxa"/>
            <w:vAlign w:val="center"/>
          </w:tcPr>
          <w:p w14:paraId="0498225B" w14:textId="77777777" w:rsidR="003F3DB8" w:rsidRPr="00CF77C1" w:rsidRDefault="003F3DB8" w:rsidP="0080044B">
            <w:pPr>
              <w:keepLines/>
              <w:jc w:val="left"/>
              <w:rPr>
                <w:szCs w:val="24"/>
                <w:lang w:val="sr-Cyrl-RS"/>
              </w:rPr>
            </w:pPr>
            <w:r w:rsidRPr="00CF77C1">
              <w:rPr>
                <w:szCs w:val="24"/>
                <w:lang w:val="sr-Cyrl-RS"/>
              </w:rPr>
              <w:t>Усвајање</w:t>
            </w:r>
            <w:r w:rsidRPr="00CF77C1">
              <w:rPr>
                <w:szCs w:val="24"/>
                <w:shd w:val="clear" w:color="auto" w:fill="FFFFFF"/>
                <w:lang w:val="sr-Cyrl-RS"/>
              </w:rPr>
              <w:t xml:space="preserve"> подзаконских акaтa</w:t>
            </w:r>
            <w:r w:rsidRPr="00CF77C1">
              <w:rPr>
                <w:szCs w:val="24"/>
                <w:lang w:val="sr-Cyrl-RS"/>
              </w:rPr>
              <w:t xml:space="preserve"> Закона о рударству и геолошким истраживањима</w:t>
            </w:r>
            <w:r w:rsidRPr="00CF77C1">
              <w:rPr>
                <w:szCs w:val="24"/>
                <w:shd w:val="clear" w:color="auto" w:fill="FFFFFF"/>
                <w:lang w:val="sr-Cyrl-RS"/>
              </w:rPr>
              <w:t xml:space="preserve"> којимa ћe сe регулисати питања у вези са одлагањем и управљањем рударским отпадом односно услови, критеријуми и поступак издавања дозволе за управљање отпадом. </w:t>
            </w:r>
          </w:p>
        </w:tc>
        <w:tc>
          <w:tcPr>
            <w:tcW w:w="3000" w:type="dxa"/>
            <w:vAlign w:val="center"/>
          </w:tcPr>
          <w:p w14:paraId="5B6AB867" w14:textId="15A299B4" w:rsidR="003F3DB8" w:rsidRPr="00CF77C1" w:rsidRDefault="003F3DB8" w:rsidP="0080044B">
            <w:pPr>
              <w:keepLines/>
              <w:jc w:val="left"/>
              <w:rPr>
                <w:szCs w:val="24"/>
                <w:lang w:val="sr-Cyrl-RS"/>
              </w:rPr>
            </w:pPr>
            <w:r w:rsidRPr="00CF77C1">
              <w:rPr>
                <w:szCs w:val="24"/>
                <w:shd w:val="clear" w:color="auto" w:fill="FFFFFF"/>
                <w:lang w:val="sr-Cyrl-RS"/>
              </w:rPr>
              <w:t>Директивa</w:t>
            </w:r>
            <w:r w:rsidRPr="00CF77C1">
              <w:rPr>
                <w:rStyle w:val="apple-converted-space"/>
                <w:szCs w:val="24"/>
                <w:shd w:val="clear" w:color="auto" w:fill="FFFFFF"/>
                <w:lang w:val="sr-Cyrl-RS"/>
              </w:rPr>
              <w:t> </w:t>
            </w:r>
            <w:r w:rsidR="005965A6">
              <w:rPr>
                <w:szCs w:val="24"/>
                <w:shd w:val="clear" w:color="auto" w:fill="FFFFFF"/>
                <w:lang w:val="sr-Cyrl-RS"/>
              </w:rPr>
              <w:t>бр.</w:t>
            </w:r>
            <w:r w:rsidRPr="00CF77C1">
              <w:rPr>
                <w:szCs w:val="24"/>
                <w:shd w:val="clear" w:color="auto" w:fill="FFFFFF"/>
                <w:lang w:val="sr-Cyrl-RS"/>
              </w:rPr>
              <w:t xml:space="preserve"> 2006/21/EЗ</w:t>
            </w:r>
            <w:r w:rsidRPr="00CF77C1">
              <w:rPr>
                <w:rStyle w:val="apple-converted-space"/>
                <w:szCs w:val="24"/>
                <w:shd w:val="clear" w:color="auto" w:fill="FFFFFF"/>
                <w:lang w:val="sr-Cyrl-RS"/>
              </w:rPr>
              <w:t> </w:t>
            </w:r>
          </w:p>
        </w:tc>
        <w:tc>
          <w:tcPr>
            <w:tcW w:w="2587" w:type="dxa"/>
            <w:vAlign w:val="center"/>
          </w:tcPr>
          <w:p w14:paraId="28311BDD" w14:textId="77777777" w:rsidR="003F3DB8" w:rsidRPr="00CF77C1" w:rsidRDefault="003F3DB8" w:rsidP="000B5EDC">
            <w:pPr>
              <w:keepLines/>
              <w:jc w:val="center"/>
              <w:rPr>
                <w:szCs w:val="24"/>
                <w:lang w:val="sr-Cyrl-RS"/>
              </w:rPr>
            </w:pPr>
            <w:r w:rsidRPr="00CF77C1">
              <w:rPr>
                <w:szCs w:val="24"/>
                <w:lang w:val="sr-Cyrl-RS"/>
              </w:rPr>
              <w:t>У фази израде</w:t>
            </w:r>
          </w:p>
        </w:tc>
        <w:tc>
          <w:tcPr>
            <w:tcW w:w="2954" w:type="dxa"/>
            <w:vAlign w:val="center"/>
          </w:tcPr>
          <w:p w14:paraId="7F06BBF5" w14:textId="606957CC" w:rsidR="003F3DB8" w:rsidRPr="00CF77C1" w:rsidRDefault="00AC627E" w:rsidP="0080044B">
            <w:pPr>
              <w:keepLines/>
              <w:jc w:val="left"/>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рударства и енергетике</w:t>
            </w:r>
            <w:r w:rsidR="007577D9">
              <w:rPr>
                <w:szCs w:val="24"/>
                <w:lang w:val="sr-Cyrl-RS"/>
              </w:rPr>
              <w:t>.</w:t>
            </w:r>
          </w:p>
        </w:tc>
      </w:tr>
      <w:tr w:rsidR="003F3DB8" w:rsidRPr="00CF77C1" w14:paraId="6C737AB9" w14:textId="77777777" w:rsidTr="000B5EDC">
        <w:trPr>
          <w:cantSplit/>
        </w:trPr>
        <w:tc>
          <w:tcPr>
            <w:tcW w:w="6204" w:type="dxa"/>
            <w:vAlign w:val="center"/>
          </w:tcPr>
          <w:p w14:paraId="150DE35E" w14:textId="0AF86004" w:rsidR="003F3DB8" w:rsidRPr="00CF77C1" w:rsidRDefault="003F3DB8" w:rsidP="0080044B">
            <w:pPr>
              <w:keepLines/>
              <w:jc w:val="left"/>
              <w:rPr>
                <w:szCs w:val="24"/>
                <w:lang w:val="sr-Cyrl-RS"/>
              </w:rPr>
            </w:pPr>
            <w:r w:rsidRPr="00CF77C1">
              <w:rPr>
                <w:szCs w:val="24"/>
                <w:lang w:val="sr-Cyrl-RS"/>
              </w:rPr>
              <w:t>Успостављање или јачање институционалне структуре и административних капацитета у циљу спровођења и примене прописа, односно спровођења поступка јавног тендера за издавање и коришћење овлашћења за проспекцију и производњу угљоводоника</w:t>
            </w:r>
            <w:r w:rsidR="007577D9">
              <w:rPr>
                <w:szCs w:val="24"/>
                <w:lang w:val="sr-Cyrl-RS"/>
              </w:rPr>
              <w:t>.</w:t>
            </w:r>
          </w:p>
        </w:tc>
        <w:tc>
          <w:tcPr>
            <w:tcW w:w="3000" w:type="dxa"/>
            <w:vAlign w:val="center"/>
          </w:tcPr>
          <w:p w14:paraId="50D850E2" w14:textId="5F8E3D7B" w:rsidR="003F3DB8" w:rsidRPr="00CF77C1" w:rsidRDefault="00965EBA" w:rsidP="00965EBA">
            <w:pPr>
              <w:keepLines/>
              <w:jc w:val="center"/>
              <w:rPr>
                <w:szCs w:val="24"/>
                <w:lang w:val="sr-Cyrl-RS"/>
              </w:rPr>
            </w:pPr>
            <w:r w:rsidRPr="00CF77C1">
              <w:rPr>
                <w:szCs w:val="24"/>
                <w:lang w:val="sr-Cyrl-RS"/>
              </w:rPr>
              <w:t>-</w:t>
            </w:r>
          </w:p>
        </w:tc>
        <w:tc>
          <w:tcPr>
            <w:tcW w:w="2587" w:type="dxa"/>
            <w:vAlign w:val="center"/>
          </w:tcPr>
          <w:p w14:paraId="15A3CFBC" w14:textId="77777777" w:rsidR="003F3DB8" w:rsidRPr="00CF77C1" w:rsidRDefault="003F3DB8" w:rsidP="000B5EDC">
            <w:pPr>
              <w:keepLines/>
              <w:jc w:val="center"/>
              <w:rPr>
                <w:szCs w:val="24"/>
                <w:lang w:val="sr-Cyrl-RS"/>
              </w:rPr>
            </w:pPr>
            <w:r w:rsidRPr="00CF77C1">
              <w:rPr>
                <w:szCs w:val="24"/>
                <w:lang w:val="sr-Cyrl-RS"/>
              </w:rPr>
              <w:t>2019-2021. године</w:t>
            </w:r>
          </w:p>
        </w:tc>
        <w:tc>
          <w:tcPr>
            <w:tcW w:w="2954" w:type="dxa"/>
            <w:vAlign w:val="center"/>
          </w:tcPr>
          <w:p w14:paraId="48652CC6" w14:textId="445A0D51" w:rsidR="003F3DB8" w:rsidRPr="00CF77C1" w:rsidRDefault="00AC627E" w:rsidP="0080044B">
            <w:pPr>
              <w:keepLines/>
              <w:jc w:val="left"/>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рударства и енергетике (Сектор за геологију и рударство)</w:t>
            </w:r>
            <w:r w:rsidR="007577D9">
              <w:rPr>
                <w:szCs w:val="24"/>
                <w:lang w:val="sr-Cyrl-RS"/>
              </w:rPr>
              <w:t>.</w:t>
            </w:r>
          </w:p>
        </w:tc>
      </w:tr>
      <w:tr w:rsidR="003F3DB8" w:rsidRPr="00CF77C1" w14:paraId="3AF6F2EC" w14:textId="77777777" w:rsidTr="000B5EDC">
        <w:trPr>
          <w:cantSplit/>
        </w:trPr>
        <w:tc>
          <w:tcPr>
            <w:tcW w:w="6204" w:type="dxa"/>
            <w:vAlign w:val="center"/>
          </w:tcPr>
          <w:p w14:paraId="25380066" w14:textId="75882775" w:rsidR="003F3DB8" w:rsidRPr="00CF77C1" w:rsidRDefault="003F3DB8" w:rsidP="0080044B">
            <w:pPr>
              <w:keepLines/>
              <w:jc w:val="left"/>
              <w:rPr>
                <w:szCs w:val="24"/>
                <w:lang w:val="sr-Cyrl-RS"/>
              </w:rPr>
            </w:pPr>
            <w:r w:rsidRPr="00CF77C1">
              <w:rPr>
                <w:szCs w:val="24"/>
                <w:lang w:val="sr-Cyrl-RS"/>
              </w:rPr>
              <w:t>Успостављање или јачање институционалне структуре и административних капацитета у циљу праћења испуњења обавезе достављања пријаве околности сваке веће несреће у којој су укључене компаније које су регистроване на својој територији за истраживање и/или експлоатацију нафте и гаса, а сами или преко зависних предузећа, изводе офшор активности на истраживању или експлоатацији нафте и гаса изван територија ЕУ</w:t>
            </w:r>
            <w:r w:rsidR="007577D9">
              <w:rPr>
                <w:szCs w:val="24"/>
                <w:lang w:val="sr-Cyrl-RS"/>
              </w:rPr>
              <w:t>.</w:t>
            </w:r>
          </w:p>
        </w:tc>
        <w:tc>
          <w:tcPr>
            <w:tcW w:w="3000" w:type="dxa"/>
            <w:vAlign w:val="center"/>
          </w:tcPr>
          <w:p w14:paraId="7073FFD3" w14:textId="6ED98873" w:rsidR="003F3DB8" w:rsidRPr="00CF77C1" w:rsidRDefault="00965EBA" w:rsidP="00965EBA">
            <w:pPr>
              <w:keepLines/>
              <w:jc w:val="center"/>
              <w:rPr>
                <w:szCs w:val="24"/>
                <w:lang w:val="sr-Cyrl-RS"/>
              </w:rPr>
            </w:pPr>
            <w:r w:rsidRPr="00CF77C1">
              <w:rPr>
                <w:szCs w:val="24"/>
                <w:lang w:val="sr-Cyrl-RS"/>
              </w:rPr>
              <w:t>-</w:t>
            </w:r>
          </w:p>
        </w:tc>
        <w:tc>
          <w:tcPr>
            <w:tcW w:w="2587" w:type="dxa"/>
            <w:vAlign w:val="center"/>
          </w:tcPr>
          <w:p w14:paraId="2D2A3964" w14:textId="77777777" w:rsidR="003F3DB8" w:rsidRPr="00CF77C1" w:rsidRDefault="003F3DB8" w:rsidP="000B5EDC">
            <w:pPr>
              <w:keepLines/>
              <w:jc w:val="center"/>
              <w:rPr>
                <w:szCs w:val="24"/>
                <w:lang w:val="sr-Cyrl-RS"/>
              </w:rPr>
            </w:pPr>
            <w:r w:rsidRPr="00CF77C1">
              <w:rPr>
                <w:szCs w:val="24"/>
                <w:lang w:val="sr-Cyrl-RS"/>
              </w:rPr>
              <w:t>2019-2021. године</w:t>
            </w:r>
          </w:p>
        </w:tc>
        <w:tc>
          <w:tcPr>
            <w:tcW w:w="2954" w:type="dxa"/>
            <w:vAlign w:val="center"/>
          </w:tcPr>
          <w:p w14:paraId="47E86EFE" w14:textId="4DBDBEF5" w:rsidR="003F3DB8" w:rsidRPr="00CF77C1" w:rsidRDefault="00AC627E" w:rsidP="0080044B">
            <w:pPr>
              <w:keepLines/>
              <w:jc w:val="left"/>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рударства и енергетике (Сектор за геологију и рударство)</w:t>
            </w:r>
            <w:r w:rsidR="007577D9">
              <w:rPr>
                <w:szCs w:val="24"/>
                <w:lang w:val="sr-Cyrl-RS"/>
              </w:rPr>
              <w:t>.</w:t>
            </w:r>
          </w:p>
        </w:tc>
      </w:tr>
      <w:tr w:rsidR="003F3DB8" w:rsidRPr="00CF77C1" w14:paraId="6D78555E" w14:textId="77777777" w:rsidTr="000B5EDC">
        <w:trPr>
          <w:cantSplit/>
        </w:trPr>
        <w:tc>
          <w:tcPr>
            <w:tcW w:w="6204" w:type="dxa"/>
            <w:vAlign w:val="center"/>
          </w:tcPr>
          <w:p w14:paraId="2ED209BF" w14:textId="571CF28F" w:rsidR="003F3DB8" w:rsidRPr="00CF77C1" w:rsidRDefault="003F3DB8" w:rsidP="0080044B">
            <w:pPr>
              <w:keepLines/>
              <w:jc w:val="left"/>
              <w:rPr>
                <w:szCs w:val="24"/>
                <w:lang w:val="sr-Cyrl-RS"/>
              </w:rPr>
            </w:pPr>
            <w:r w:rsidRPr="00CF77C1">
              <w:rPr>
                <w:szCs w:val="24"/>
                <w:lang w:val="sr-Cyrl-RS"/>
              </w:rPr>
              <w:t>Реализација планиране динамике постепеног повећавања количине обавезних резерви нафте и/или деривата нафте</w:t>
            </w:r>
            <w:r w:rsidR="00394A69">
              <w:rPr>
                <w:szCs w:val="24"/>
                <w:lang w:val="sr-Cyrl-RS"/>
              </w:rPr>
              <w:t>.</w:t>
            </w:r>
          </w:p>
        </w:tc>
        <w:tc>
          <w:tcPr>
            <w:tcW w:w="3000" w:type="dxa"/>
            <w:vAlign w:val="center"/>
          </w:tcPr>
          <w:p w14:paraId="4ACCBF33" w14:textId="77777777" w:rsidR="003F3DB8" w:rsidRPr="00CF77C1" w:rsidRDefault="003F3DB8" w:rsidP="0080044B">
            <w:pPr>
              <w:keepLines/>
              <w:jc w:val="left"/>
              <w:rPr>
                <w:szCs w:val="24"/>
                <w:lang w:val="sr-Cyrl-RS"/>
              </w:rPr>
            </w:pPr>
            <w:r w:rsidRPr="00CF77C1">
              <w:rPr>
                <w:szCs w:val="24"/>
                <w:lang w:val="sr-Cyrl-RS"/>
              </w:rPr>
              <w:t>Директива 119/2009/ЕЗ о успостављању обавезних резерви нафте и/или деривата нафте у минималној количини која је једнака деведесетодневном нето увозу или шездесетједнодневној домаћој потрошњи</w:t>
            </w:r>
          </w:p>
        </w:tc>
        <w:tc>
          <w:tcPr>
            <w:tcW w:w="2587" w:type="dxa"/>
            <w:vAlign w:val="center"/>
          </w:tcPr>
          <w:p w14:paraId="2BCFE710" w14:textId="581FF826" w:rsidR="003F3DB8" w:rsidRPr="00CF77C1" w:rsidRDefault="00C0652E" w:rsidP="000B5EDC">
            <w:pPr>
              <w:keepLines/>
              <w:jc w:val="center"/>
              <w:rPr>
                <w:szCs w:val="24"/>
                <w:lang w:val="sr-Cyrl-RS"/>
              </w:rPr>
            </w:pPr>
            <w:r w:rsidRPr="00CF77C1">
              <w:rPr>
                <w:szCs w:val="24"/>
                <w:lang w:val="sr-Cyrl-RS"/>
              </w:rPr>
              <w:t xml:space="preserve">2021-31. децембар </w:t>
            </w:r>
            <w:r w:rsidR="003F3DB8" w:rsidRPr="00CF77C1">
              <w:rPr>
                <w:szCs w:val="24"/>
                <w:lang w:val="sr-Cyrl-RS"/>
              </w:rPr>
              <w:t>2022. године</w:t>
            </w:r>
          </w:p>
        </w:tc>
        <w:tc>
          <w:tcPr>
            <w:tcW w:w="2954" w:type="dxa"/>
            <w:vAlign w:val="center"/>
          </w:tcPr>
          <w:p w14:paraId="61E01AFD" w14:textId="2F66C165" w:rsidR="003F3DB8" w:rsidRPr="00CF77C1" w:rsidRDefault="003F3DB8" w:rsidP="0080044B">
            <w:pPr>
              <w:keepLines/>
              <w:jc w:val="left"/>
              <w:rPr>
                <w:szCs w:val="24"/>
                <w:lang w:val="sr-Cyrl-RS"/>
              </w:rPr>
            </w:pPr>
            <w:r w:rsidRPr="00CF77C1">
              <w:rPr>
                <w:szCs w:val="24"/>
                <w:lang w:val="sr-Cyrl-RS"/>
              </w:rPr>
              <w:t>Управа за резерве енергената као орган у саставу Мини</w:t>
            </w:r>
            <w:r w:rsidR="00394A69">
              <w:rPr>
                <w:szCs w:val="24"/>
                <w:lang w:val="sr-Cyrl-RS"/>
              </w:rPr>
              <w:t>старства рударства и енергетике.</w:t>
            </w:r>
          </w:p>
        </w:tc>
      </w:tr>
      <w:tr w:rsidR="00965EBA" w:rsidRPr="00CF77C1" w14:paraId="320CB883" w14:textId="77777777" w:rsidTr="000B5EDC">
        <w:trPr>
          <w:cantSplit/>
        </w:trPr>
        <w:tc>
          <w:tcPr>
            <w:tcW w:w="6204" w:type="dxa"/>
            <w:vAlign w:val="center"/>
          </w:tcPr>
          <w:p w14:paraId="391C01CC" w14:textId="0C924E31" w:rsidR="00965EBA" w:rsidRPr="00CF77C1" w:rsidRDefault="00965EBA" w:rsidP="00965EBA">
            <w:pPr>
              <w:keepLines/>
              <w:jc w:val="left"/>
              <w:rPr>
                <w:szCs w:val="24"/>
                <w:lang w:val="sr-Cyrl-RS"/>
              </w:rPr>
            </w:pPr>
            <w:r w:rsidRPr="00CF77C1">
              <w:rPr>
                <w:lang w:val="sr-Cyrl-RS"/>
              </w:rPr>
              <w:t>Укључивање поступка издавања енергетске дозволе за изградњу објеката за производњу деривата нафте, нафтовода и и продуктовода, објеката за складиштење нафте, деривата нафте,биогорива, компримованог природног гаса и утечњеног природног гаса укупног резервоарског простора већег од 10 m</w:t>
            </w:r>
            <w:r w:rsidRPr="00CF77C1">
              <w:rPr>
                <w:vertAlign w:val="superscript"/>
                <w:lang w:val="sr-Cyrl-RS"/>
              </w:rPr>
              <w:t>3</w:t>
            </w:r>
            <w:r w:rsidRPr="00CF77C1">
              <w:rPr>
                <w:lang w:val="sr-Cyrl-RS"/>
              </w:rPr>
              <w:t xml:space="preserve"> у електронске услуге Е-портала</w:t>
            </w:r>
            <w:r w:rsidR="00394A69">
              <w:rPr>
                <w:lang w:val="sr-Cyrl-RS"/>
              </w:rPr>
              <w:t>.</w:t>
            </w:r>
          </w:p>
        </w:tc>
        <w:tc>
          <w:tcPr>
            <w:tcW w:w="3000" w:type="dxa"/>
            <w:vAlign w:val="center"/>
          </w:tcPr>
          <w:p w14:paraId="027DB7A5" w14:textId="02FA835D" w:rsidR="00965EBA" w:rsidRPr="00CF77C1" w:rsidRDefault="00965EBA" w:rsidP="00965EBA">
            <w:pPr>
              <w:keepLines/>
              <w:jc w:val="center"/>
              <w:rPr>
                <w:szCs w:val="24"/>
                <w:lang w:val="sr-Cyrl-RS"/>
              </w:rPr>
            </w:pPr>
            <w:r w:rsidRPr="00CF77C1">
              <w:rPr>
                <w:szCs w:val="24"/>
                <w:lang w:val="sr-Cyrl-RS"/>
              </w:rPr>
              <w:t>-</w:t>
            </w:r>
          </w:p>
        </w:tc>
        <w:tc>
          <w:tcPr>
            <w:tcW w:w="2587" w:type="dxa"/>
            <w:vAlign w:val="center"/>
          </w:tcPr>
          <w:p w14:paraId="2BFAE1D3" w14:textId="1F971B2E" w:rsidR="00965EBA" w:rsidRPr="00CF77C1" w:rsidRDefault="00965EBA" w:rsidP="000B5EDC">
            <w:pPr>
              <w:keepLines/>
              <w:jc w:val="center"/>
              <w:rPr>
                <w:szCs w:val="24"/>
                <w:lang w:val="sr-Cyrl-RS"/>
              </w:rPr>
            </w:pPr>
            <w:r w:rsidRPr="00CF77C1">
              <w:rPr>
                <w:lang w:val="sr-Cyrl-RS"/>
              </w:rPr>
              <w:t>2018. година</w:t>
            </w:r>
          </w:p>
        </w:tc>
        <w:tc>
          <w:tcPr>
            <w:tcW w:w="2954" w:type="dxa"/>
            <w:vAlign w:val="center"/>
          </w:tcPr>
          <w:p w14:paraId="52B62DED" w14:textId="1416138A" w:rsidR="00965EBA" w:rsidRPr="00CF77C1" w:rsidRDefault="00AC627E" w:rsidP="0080044B">
            <w:pPr>
              <w:keepLines/>
              <w:jc w:val="left"/>
              <w:rPr>
                <w:szCs w:val="24"/>
                <w:lang w:val="sr-Cyrl-RS"/>
              </w:rPr>
            </w:pPr>
            <w:r w:rsidRPr="00CF77C1">
              <w:rPr>
                <w:lang w:val="sr-Cyrl-RS"/>
              </w:rPr>
              <w:t>м</w:t>
            </w:r>
            <w:r w:rsidR="00965EBA" w:rsidRPr="00CF77C1">
              <w:rPr>
                <w:lang w:val="sr-Cyrl-RS"/>
              </w:rPr>
              <w:t xml:space="preserve">инистарство надлежно за послове рударства и енергетике, </w:t>
            </w:r>
            <w:r w:rsidR="00D41EC7" w:rsidRPr="00CF77C1">
              <w:rPr>
                <w:lang w:val="sr-Cyrl-RS"/>
              </w:rPr>
              <w:t xml:space="preserve">Канцеларија за информационе технологије и електронску управу, </w:t>
            </w:r>
            <w:r w:rsidR="00965EBA" w:rsidRPr="00CF77C1">
              <w:rPr>
                <w:lang w:val="sr-Cyrl-RS"/>
              </w:rPr>
              <w:t>Привредна комора Србије</w:t>
            </w:r>
            <w:r w:rsidR="00394A69">
              <w:rPr>
                <w:lang w:val="sr-Cyrl-RS"/>
              </w:rPr>
              <w:t>.</w:t>
            </w:r>
          </w:p>
        </w:tc>
      </w:tr>
    </w:tbl>
    <w:p w14:paraId="3C6FE1D9" w14:textId="1BA9A208" w:rsidR="003F3DB8" w:rsidRPr="00CF77C1" w:rsidRDefault="003F3DB8" w:rsidP="00FC1656">
      <w:pPr>
        <w:pStyle w:val="Caption"/>
        <w:ind w:firstLine="720"/>
        <w:rPr>
          <w:b w:val="0"/>
          <w:bCs/>
          <w:szCs w:val="24"/>
          <w:lang w:val="sr-Cyrl-RS"/>
        </w:rPr>
      </w:pPr>
      <w:bookmarkStart w:id="116" w:name="_Ref475611109"/>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38</w:t>
      </w:r>
      <w:r w:rsidR="0092145E" w:rsidRPr="00CF77C1">
        <w:rPr>
          <w:b w:val="0"/>
          <w:noProof/>
          <w:lang w:val="sr-Cyrl-RS"/>
        </w:rPr>
        <w:fldChar w:fldCharType="end"/>
      </w:r>
      <w:bookmarkEnd w:id="116"/>
      <w:r w:rsidRPr="00CF77C1">
        <w:rPr>
          <w:b w:val="0"/>
          <w:lang w:val="sr-Cyrl-RS"/>
        </w:rPr>
        <w:t>:</w:t>
      </w:r>
      <w:r w:rsidRPr="00CF77C1">
        <w:rPr>
          <w:b w:val="0"/>
          <w:bCs/>
          <w:szCs w:val="24"/>
          <w:lang w:val="sr-Cyrl-RS"/>
        </w:rPr>
        <w:t xml:space="preserve"> Активности у подобласти нафтног сектора - истраживање и производња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3085"/>
        <w:gridCol w:w="7329"/>
        <w:gridCol w:w="2258"/>
        <w:gridCol w:w="2037"/>
      </w:tblGrid>
      <w:tr w:rsidR="003F3DB8" w:rsidRPr="00CF77C1" w14:paraId="5931092D" w14:textId="77777777" w:rsidTr="003F3DB8">
        <w:trPr>
          <w:tblHeader/>
        </w:trPr>
        <w:tc>
          <w:tcPr>
            <w:tcW w:w="3085" w:type="dxa"/>
            <w:tcMar>
              <w:top w:w="0" w:type="dxa"/>
              <w:left w:w="108" w:type="dxa"/>
              <w:bottom w:w="0" w:type="dxa"/>
              <w:right w:w="108" w:type="dxa"/>
            </w:tcMar>
            <w:vAlign w:val="center"/>
          </w:tcPr>
          <w:p w14:paraId="2B380E7C"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Мера</w:t>
            </w:r>
          </w:p>
        </w:tc>
        <w:tc>
          <w:tcPr>
            <w:tcW w:w="7329" w:type="dxa"/>
            <w:tcMar>
              <w:top w:w="0" w:type="dxa"/>
              <w:left w:w="108" w:type="dxa"/>
              <w:bottom w:w="0" w:type="dxa"/>
              <w:right w:w="108" w:type="dxa"/>
            </w:tcMar>
            <w:vAlign w:val="center"/>
          </w:tcPr>
          <w:p w14:paraId="20907DEB"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Активност</w:t>
            </w:r>
          </w:p>
        </w:tc>
        <w:tc>
          <w:tcPr>
            <w:tcW w:w="2258" w:type="dxa"/>
            <w:tcMar>
              <w:top w:w="0" w:type="dxa"/>
              <w:left w:w="108" w:type="dxa"/>
              <w:bottom w:w="0" w:type="dxa"/>
              <w:right w:w="108" w:type="dxa"/>
            </w:tcMar>
            <w:vAlign w:val="center"/>
          </w:tcPr>
          <w:p w14:paraId="623B762A"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Рок за извршење</w:t>
            </w:r>
          </w:p>
        </w:tc>
        <w:tc>
          <w:tcPr>
            <w:tcW w:w="2037" w:type="dxa"/>
            <w:tcMar>
              <w:top w:w="0" w:type="dxa"/>
              <w:left w:w="108" w:type="dxa"/>
              <w:bottom w:w="0" w:type="dxa"/>
              <w:right w:w="108" w:type="dxa"/>
            </w:tcMar>
            <w:vAlign w:val="center"/>
          </w:tcPr>
          <w:p w14:paraId="1E310246" w14:textId="77777777" w:rsidR="003F3DB8" w:rsidRPr="00CF77C1" w:rsidRDefault="009E4135" w:rsidP="009E4135">
            <w:pPr>
              <w:framePr w:hSpace="181" w:wrap="notBeside" w:vAnchor="text" w:hAnchor="text" w:y="1"/>
              <w:jc w:val="center"/>
              <w:rPr>
                <w:szCs w:val="24"/>
                <w:lang w:val="sr-Cyrl-RS"/>
              </w:rPr>
            </w:pPr>
            <w:r w:rsidRPr="00CF77C1">
              <w:rPr>
                <w:szCs w:val="24"/>
                <w:lang w:val="sr-Cyrl-RS"/>
              </w:rPr>
              <w:t>Одговорни</w:t>
            </w:r>
            <w:r w:rsidR="003F3DB8" w:rsidRPr="00CF77C1">
              <w:rPr>
                <w:szCs w:val="24"/>
                <w:lang w:val="sr-Cyrl-RS"/>
              </w:rPr>
              <w:t xml:space="preserve"> </w:t>
            </w:r>
            <w:r w:rsidRPr="00CF77C1">
              <w:rPr>
                <w:szCs w:val="24"/>
                <w:lang w:val="sr-Cyrl-RS"/>
              </w:rPr>
              <w:t>субјекат</w:t>
            </w:r>
          </w:p>
        </w:tc>
      </w:tr>
      <w:tr w:rsidR="003F3DB8" w:rsidRPr="00CF77C1" w14:paraId="2F396410" w14:textId="77777777" w:rsidTr="000B5EDC">
        <w:trPr>
          <w:trHeight w:val="575"/>
        </w:trPr>
        <w:tc>
          <w:tcPr>
            <w:tcW w:w="3085" w:type="dxa"/>
            <w:vMerge w:val="restart"/>
            <w:tcMar>
              <w:top w:w="0" w:type="dxa"/>
              <w:left w:w="108" w:type="dxa"/>
              <w:bottom w:w="0" w:type="dxa"/>
              <w:right w:w="108" w:type="dxa"/>
            </w:tcMar>
            <w:vAlign w:val="center"/>
          </w:tcPr>
          <w:p w14:paraId="4939E3B5"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Пoвeћaњe рeсурснe бaзe и производње</w:t>
            </w:r>
          </w:p>
        </w:tc>
        <w:tc>
          <w:tcPr>
            <w:tcW w:w="7329" w:type="dxa"/>
            <w:tcMar>
              <w:top w:w="0" w:type="dxa"/>
              <w:left w:w="108" w:type="dxa"/>
              <w:bottom w:w="0" w:type="dxa"/>
              <w:right w:w="108" w:type="dxa"/>
            </w:tcMar>
            <w:vAlign w:val="center"/>
          </w:tcPr>
          <w:p w14:paraId="4CE160DC" w14:textId="64726EA3" w:rsidR="003F3DB8" w:rsidRPr="00CF77C1" w:rsidRDefault="003F3DB8" w:rsidP="0080044B">
            <w:pPr>
              <w:framePr w:hSpace="181" w:wrap="notBeside" w:vAnchor="text" w:hAnchor="text" w:y="1"/>
              <w:rPr>
                <w:szCs w:val="24"/>
                <w:lang w:val="sr-Cyrl-RS"/>
              </w:rPr>
            </w:pPr>
            <w:r w:rsidRPr="00CF77C1">
              <w:rPr>
                <w:szCs w:val="24"/>
                <w:lang w:val="sr-Cyrl-RS"/>
              </w:rPr>
              <w:t xml:space="preserve">Наставак нафтно-геолошких истраживања у југоисточном делу Панонског басена у </w:t>
            </w:r>
            <w:r w:rsidR="00185B50" w:rsidRPr="00CF77C1">
              <w:rPr>
                <w:szCs w:val="24"/>
                <w:lang w:val="sr-Cyrl-RS"/>
              </w:rPr>
              <w:t xml:space="preserve">Републици </w:t>
            </w:r>
            <w:r w:rsidRPr="00CF77C1">
              <w:rPr>
                <w:szCs w:val="24"/>
                <w:lang w:val="sr-Cyrl-RS"/>
              </w:rPr>
              <w:t xml:space="preserve">Србији </w:t>
            </w:r>
          </w:p>
        </w:tc>
        <w:tc>
          <w:tcPr>
            <w:tcW w:w="2258" w:type="dxa"/>
            <w:tcMar>
              <w:top w:w="0" w:type="dxa"/>
              <w:left w:w="108" w:type="dxa"/>
              <w:bottom w:w="0" w:type="dxa"/>
              <w:right w:w="108" w:type="dxa"/>
            </w:tcMar>
            <w:vAlign w:val="center"/>
          </w:tcPr>
          <w:p w14:paraId="7D4DA40C"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2017-2020/2021. године</w:t>
            </w:r>
          </w:p>
        </w:tc>
        <w:tc>
          <w:tcPr>
            <w:tcW w:w="2037" w:type="dxa"/>
            <w:vMerge w:val="restart"/>
            <w:tcMar>
              <w:top w:w="0" w:type="dxa"/>
              <w:left w:w="108" w:type="dxa"/>
              <w:bottom w:w="0" w:type="dxa"/>
              <w:right w:w="108" w:type="dxa"/>
            </w:tcMar>
            <w:vAlign w:val="center"/>
          </w:tcPr>
          <w:p w14:paraId="269B4F2E"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НИС а.д.</w:t>
            </w:r>
          </w:p>
        </w:tc>
      </w:tr>
      <w:tr w:rsidR="003F3DB8" w:rsidRPr="00CF77C1" w14:paraId="57DC9561" w14:textId="77777777" w:rsidTr="000B5EDC">
        <w:trPr>
          <w:trHeight w:val="575"/>
        </w:trPr>
        <w:tc>
          <w:tcPr>
            <w:tcW w:w="3085" w:type="dxa"/>
            <w:vMerge/>
            <w:tcMar>
              <w:top w:w="0" w:type="dxa"/>
              <w:left w:w="108" w:type="dxa"/>
              <w:bottom w:w="0" w:type="dxa"/>
              <w:right w:w="108" w:type="dxa"/>
            </w:tcMar>
            <w:vAlign w:val="center"/>
          </w:tcPr>
          <w:p w14:paraId="47C0972C" w14:textId="77777777" w:rsidR="003F3DB8" w:rsidRPr="00CF77C1" w:rsidRDefault="003F3DB8" w:rsidP="0080044B">
            <w:pPr>
              <w:framePr w:hSpace="181" w:wrap="notBeside" w:vAnchor="text" w:hAnchor="text" w:y="1"/>
              <w:jc w:val="left"/>
              <w:rPr>
                <w:szCs w:val="24"/>
                <w:lang w:val="sr-Cyrl-RS"/>
              </w:rPr>
            </w:pPr>
          </w:p>
        </w:tc>
        <w:tc>
          <w:tcPr>
            <w:tcW w:w="7329" w:type="dxa"/>
            <w:tcMar>
              <w:top w:w="0" w:type="dxa"/>
              <w:left w:w="108" w:type="dxa"/>
              <w:bottom w:w="0" w:type="dxa"/>
              <w:right w:w="108" w:type="dxa"/>
            </w:tcMar>
            <w:vAlign w:val="center"/>
          </w:tcPr>
          <w:p w14:paraId="42745943" w14:textId="4D4B21DA" w:rsidR="003F3DB8" w:rsidRPr="00CF77C1" w:rsidRDefault="003F3DB8" w:rsidP="0080044B">
            <w:pPr>
              <w:framePr w:hSpace="181" w:wrap="notBeside" w:vAnchor="text" w:hAnchor="text" w:y="1"/>
              <w:rPr>
                <w:szCs w:val="24"/>
                <w:lang w:val="sr-Cyrl-RS"/>
              </w:rPr>
            </w:pPr>
            <w:r w:rsidRPr="00CF77C1">
              <w:rPr>
                <w:szCs w:val="24"/>
                <w:lang w:val="sr-Cyrl-RS"/>
              </w:rPr>
              <w:t>Захтеви за</w:t>
            </w:r>
            <w:r w:rsidR="00892212" w:rsidRPr="00CF77C1">
              <w:rPr>
                <w:szCs w:val="24"/>
                <w:lang w:val="sr-Cyrl-RS"/>
              </w:rPr>
              <w:t xml:space="preserve"> </w:t>
            </w:r>
            <w:r w:rsidRPr="00CF77C1">
              <w:rPr>
                <w:szCs w:val="24"/>
                <w:lang w:val="sr-Cyrl-RS"/>
              </w:rPr>
              <w:t xml:space="preserve">наставак нафтно-геолошких истраживања у југоисточном делу Панонског басена у </w:t>
            </w:r>
            <w:r w:rsidR="00185B50" w:rsidRPr="00CF77C1">
              <w:rPr>
                <w:szCs w:val="24"/>
                <w:lang w:val="sr-Cyrl-RS"/>
              </w:rPr>
              <w:t xml:space="preserve">Републици </w:t>
            </w:r>
            <w:r w:rsidRPr="00CF77C1">
              <w:rPr>
                <w:szCs w:val="24"/>
                <w:lang w:val="sr-Cyrl-RS"/>
              </w:rPr>
              <w:t>Србији</w:t>
            </w:r>
          </w:p>
        </w:tc>
        <w:tc>
          <w:tcPr>
            <w:tcW w:w="2258" w:type="dxa"/>
            <w:tcMar>
              <w:top w:w="0" w:type="dxa"/>
              <w:left w:w="108" w:type="dxa"/>
              <w:bottom w:w="0" w:type="dxa"/>
              <w:right w:w="108" w:type="dxa"/>
            </w:tcMar>
            <w:vAlign w:val="center"/>
          </w:tcPr>
          <w:p w14:paraId="049136DC"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2020/2021.-2023. године</w:t>
            </w:r>
          </w:p>
        </w:tc>
        <w:tc>
          <w:tcPr>
            <w:tcW w:w="2037" w:type="dxa"/>
            <w:vMerge/>
            <w:tcMar>
              <w:top w:w="0" w:type="dxa"/>
              <w:left w:w="108" w:type="dxa"/>
              <w:bottom w:w="0" w:type="dxa"/>
              <w:right w:w="108" w:type="dxa"/>
            </w:tcMar>
            <w:vAlign w:val="center"/>
          </w:tcPr>
          <w:p w14:paraId="51F24F64" w14:textId="77777777" w:rsidR="003F3DB8" w:rsidRPr="00CF77C1" w:rsidRDefault="003F3DB8" w:rsidP="0080044B">
            <w:pPr>
              <w:framePr w:hSpace="181" w:wrap="notBeside" w:vAnchor="text" w:hAnchor="text" w:y="1"/>
              <w:jc w:val="center"/>
              <w:rPr>
                <w:szCs w:val="24"/>
                <w:lang w:val="sr-Cyrl-RS"/>
              </w:rPr>
            </w:pPr>
          </w:p>
        </w:tc>
      </w:tr>
      <w:tr w:rsidR="003F3DB8" w:rsidRPr="00CF77C1" w14:paraId="68991F90" w14:textId="77777777" w:rsidTr="000B5EDC">
        <w:trPr>
          <w:trHeight w:val="403"/>
        </w:trPr>
        <w:tc>
          <w:tcPr>
            <w:tcW w:w="3085" w:type="dxa"/>
            <w:vMerge/>
            <w:shd w:val="clear" w:color="auto" w:fill="FFFFFF"/>
            <w:vAlign w:val="center"/>
          </w:tcPr>
          <w:p w14:paraId="445B9336" w14:textId="77777777" w:rsidR="003F3DB8" w:rsidRPr="00CF77C1" w:rsidRDefault="003F3DB8" w:rsidP="0080044B">
            <w:pPr>
              <w:framePr w:hSpace="181" w:wrap="notBeside" w:vAnchor="text" w:hAnchor="text" w:y="1"/>
              <w:jc w:val="left"/>
              <w:rPr>
                <w:szCs w:val="24"/>
                <w:lang w:val="sr-Cyrl-RS"/>
              </w:rPr>
            </w:pPr>
          </w:p>
        </w:tc>
        <w:tc>
          <w:tcPr>
            <w:tcW w:w="7329" w:type="dxa"/>
            <w:tcMar>
              <w:top w:w="0" w:type="dxa"/>
              <w:left w:w="108" w:type="dxa"/>
              <w:bottom w:w="0" w:type="dxa"/>
              <w:right w:w="108" w:type="dxa"/>
            </w:tcMar>
            <w:vAlign w:val="center"/>
          </w:tcPr>
          <w:p w14:paraId="082B6AD1" w14:textId="77777777" w:rsidR="003F3DB8" w:rsidRPr="00CF77C1" w:rsidRDefault="003F3DB8" w:rsidP="0080044B">
            <w:pPr>
              <w:framePr w:hSpace="181" w:wrap="notBeside" w:vAnchor="text" w:hAnchor="text" w:y="1"/>
              <w:tabs>
                <w:tab w:val="left" w:pos="1080"/>
              </w:tabs>
              <w:rPr>
                <w:szCs w:val="24"/>
                <w:lang w:val="sr-Cyrl-RS"/>
              </w:rPr>
            </w:pPr>
            <w:r w:rsidRPr="00CF77C1">
              <w:rPr>
                <w:szCs w:val="24"/>
                <w:lang w:val="sr-Cyrl-RS"/>
              </w:rPr>
              <w:t>Пројекти геолошко-истражних радова у БиХ и нa лицeнцним блoкoвимa у Maђaрскoj и Румуниjи</w:t>
            </w:r>
          </w:p>
        </w:tc>
        <w:tc>
          <w:tcPr>
            <w:tcW w:w="2258" w:type="dxa"/>
            <w:tcMar>
              <w:top w:w="0" w:type="dxa"/>
              <w:left w:w="108" w:type="dxa"/>
              <w:bottom w:w="0" w:type="dxa"/>
              <w:right w:w="108" w:type="dxa"/>
            </w:tcMar>
            <w:vAlign w:val="center"/>
          </w:tcPr>
          <w:p w14:paraId="04AD927F"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2017-2023. године</w:t>
            </w:r>
          </w:p>
        </w:tc>
        <w:tc>
          <w:tcPr>
            <w:tcW w:w="2037" w:type="dxa"/>
            <w:vMerge/>
            <w:tcMar>
              <w:top w:w="0" w:type="dxa"/>
              <w:left w:w="108" w:type="dxa"/>
              <w:bottom w:w="0" w:type="dxa"/>
              <w:right w:w="108" w:type="dxa"/>
            </w:tcMar>
          </w:tcPr>
          <w:p w14:paraId="11D9B8F4" w14:textId="77777777" w:rsidR="003F3DB8" w:rsidRPr="00CF77C1" w:rsidRDefault="003F3DB8" w:rsidP="0080044B">
            <w:pPr>
              <w:framePr w:hSpace="181" w:wrap="notBeside" w:vAnchor="text" w:hAnchor="text" w:y="1"/>
              <w:jc w:val="center"/>
              <w:rPr>
                <w:szCs w:val="24"/>
                <w:lang w:val="sr-Cyrl-RS"/>
              </w:rPr>
            </w:pPr>
          </w:p>
        </w:tc>
      </w:tr>
      <w:tr w:rsidR="003F3DB8" w:rsidRPr="00CF77C1" w14:paraId="60850A79" w14:textId="77777777" w:rsidTr="000B5EDC">
        <w:trPr>
          <w:trHeight w:val="88"/>
        </w:trPr>
        <w:tc>
          <w:tcPr>
            <w:tcW w:w="3085" w:type="dxa"/>
            <w:vMerge/>
            <w:shd w:val="clear" w:color="auto" w:fill="FFFFFF"/>
            <w:vAlign w:val="center"/>
          </w:tcPr>
          <w:p w14:paraId="555CB69F" w14:textId="77777777" w:rsidR="003F3DB8" w:rsidRPr="00CF77C1" w:rsidRDefault="003F3DB8" w:rsidP="0080044B">
            <w:pPr>
              <w:framePr w:hSpace="181" w:wrap="notBeside" w:vAnchor="text" w:hAnchor="text" w:y="1"/>
              <w:jc w:val="left"/>
              <w:rPr>
                <w:szCs w:val="24"/>
                <w:lang w:val="sr-Cyrl-RS"/>
              </w:rPr>
            </w:pPr>
          </w:p>
        </w:tc>
        <w:tc>
          <w:tcPr>
            <w:tcW w:w="7329" w:type="dxa"/>
            <w:tcMar>
              <w:top w:w="0" w:type="dxa"/>
              <w:left w:w="108" w:type="dxa"/>
              <w:bottom w:w="0" w:type="dxa"/>
              <w:right w:w="108" w:type="dxa"/>
            </w:tcMar>
            <w:vAlign w:val="center"/>
          </w:tcPr>
          <w:p w14:paraId="60D6CD66" w14:textId="0C1F303A" w:rsidR="003F3DB8" w:rsidRPr="00CF77C1" w:rsidRDefault="003F3DB8" w:rsidP="0080044B">
            <w:pPr>
              <w:framePr w:hSpace="181" w:wrap="notBeside" w:vAnchor="text" w:hAnchor="text" w:y="1"/>
              <w:tabs>
                <w:tab w:val="left" w:pos="1080"/>
              </w:tabs>
              <w:rPr>
                <w:szCs w:val="24"/>
                <w:lang w:val="sr-Cyrl-RS"/>
              </w:rPr>
            </w:pPr>
            <w:r w:rsidRPr="00CF77C1">
              <w:rPr>
                <w:szCs w:val="24"/>
                <w:lang w:val="sr-Cyrl-RS"/>
              </w:rPr>
              <w:t>Завршетак „Студиje рeгиoнaлнoг гeoлoшкoг мoдeлa и oцeнa пeрспeктивнoсти нa нaфту и гaс Пaнoнскoг бaсeнa</w:t>
            </w:r>
            <w:r w:rsidR="00AD5740" w:rsidRPr="00CF77C1">
              <w:rPr>
                <w:szCs w:val="24"/>
                <w:lang w:val="sr-Cyrl-RS"/>
              </w:rPr>
              <w:t>”</w:t>
            </w:r>
            <w:r w:rsidRPr="00CF77C1">
              <w:rPr>
                <w:szCs w:val="24"/>
                <w:lang w:val="sr-Cyrl-RS"/>
              </w:rPr>
              <w:t xml:space="preserve"> </w:t>
            </w:r>
          </w:p>
        </w:tc>
        <w:tc>
          <w:tcPr>
            <w:tcW w:w="2258" w:type="dxa"/>
            <w:tcMar>
              <w:top w:w="0" w:type="dxa"/>
              <w:left w:w="108" w:type="dxa"/>
              <w:bottom w:w="0" w:type="dxa"/>
              <w:right w:w="108" w:type="dxa"/>
            </w:tcMar>
            <w:vAlign w:val="center"/>
          </w:tcPr>
          <w:p w14:paraId="2B92A184"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до 2018. године</w:t>
            </w:r>
          </w:p>
        </w:tc>
        <w:tc>
          <w:tcPr>
            <w:tcW w:w="2037" w:type="dxa"/>
            <w:vMerge/>
            <w:tcMar>
              <w:top w:w="0" w:type="dxa"/>
              <w:left w:w="108" w:type="dxa"/>
              <w:bottom w:w="0" w:type="dxa"/>
              <w:right w:w="108" w:type="dxa"/>
            </w:tcMar>
          </w:tcPr>
          <w:p w14:paraId="334B082A" w14:textId="77777777" w:rsidR="003F3DB8" w:rsidRPr="00CF77C1" w:rsidRDefault="003F3DB8" w:rsidP="0080044B">
            <w:pPr>
              <w:framePr w:hSpace="181" w:wrap="notBeside" w:vAnchor="text" w:hAnchor="text" w:y="1"/>
              <w:jc w:val="center"/>
              <w:rPr>
                <w:szCs w:val="24"/>
                <w:lang w:val="sr-Cyrl-RS"/>
              </w:rPr>
            </w:pPr>
          </w:p>
        </w:tc>
      </w:tr>
      <w:tr w:rsidR="003F3DB8" w:rsidRPr="00CF77C1" w14:paraId="24B71F35" w14:textId="77777777" w:rsidTr="000B5EDC">
        <w:trPr>
          <w:trHeight w:val="60"/>
        </w:trPr>
        <w:tc>
          <w:tcPr>
            <w:tcW w:w="3085" w:type="dxa"/>
            <w:vMerge/>
            <w:shd w:val="clear" w:color="auto" w:fill="FFFFFF"/>
            <w:vAlign w:val="center"/>
          </w:tcPr>
          <w:p w14:paraId="6AEFAE47" w14:textId="77777777" w:rsidR="003F3DB8" w:rsidRPr="00CF77C1" w:rsidRDefault="003F3DB8" w:rsidP="0080044B">
            <w:pPr>
              <w:framePr w:hSpace="181" w:wrap="notBeside" w:vAnchor="text" w:hAnchor="text" w:y="1"/>
              <w:jc w:val="left"/>
              <w:rPr>
                <w:szCs w:val="24"/>
                <w:lang w:val="sr-Cyrl-RS"/>
              </w:rPr>
            </w:pPr>
          </w:p>
        </w:tc>
        <w:tc>
          <w:tcPr>
            <w:tcW w:w="7329" w:type="dxa"/>
            <w:tcMar>
              <w:top w:w="0" w:type="dxa"/>
              <w:left w:w="108" w:type="dxa"/>
              <w:bottom w:w="0" w:type="dxa"/>
              <w:right w:w="108" w:type="dxa"/>
            </w:tcMar>
            <w:vAlign w:val="center"/>
          </w:tcPr>
          <w:p w14:paraId="07FDD055" w14:textId="77777777" w:rsidR="003F3DB8" w:rsidRPr="00CF77C1" w:rsidRDefault="003F3DB8" w:rsidP="0080044B">
            <w:pPr>
              <w:framePr w:hSpace="181" w:wrap="notBeside" w:vAnchor="text" w:hAnchor="text" w:y="1"/>
              <w:tabs>
                <w:tab w:val="left" w:pos="1080"/>
              </w:tabs>
              <w:rPr>
                <w:szCs w:val="24"/>
                <w:lang w:val="sr-Cyrl-RS"/>
              </w:rPr>
            </w:pPr>
            <w:r w:rsidRPr="00CF77C1">
              <w:rPr>
                <w:szCs w:val="24"/>
                <w:lang w:val="sr-Cyrl-RS"/>
              </w:rPr>
              <w:t>Улагања у концесиона права у иностранству</w:t>
            </w:r>
          </w:p>
        </w:tc>
        <w:tc>
          <w:tcPr>
            <w:tcW w:w="2258" w:type="dxa"/>
            <w:tcMar>
              <w:top w:w="0" w:type="dxa"/>
              <w:left w:w="108" w:type="dxa"/>
              <w:bottom w:w="0" w:type="dxa"/>
              <w:right w:w="108" w:type="dxa"/>
            </w:tcMar>
            <w:vAlign w:val="center"/>
          </w:tcPr>
          <w:p w14:paraId="2F2E0E25"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2017-2023. године</w:t>
            </w:r>
          </w:p>
        </w:tc>
        <w:tc>
          <w:tcPr>
            <w:tcW w:w="2037" w:type="dxa"/>
            <w:vMerge/>
            <w:tcMar>
              <w:top w:w="0" w:type="dxa"/>
              <w:left w:w="108" w:type="dxa"/>
              <w:bottom w:w="0" w:type="dxa"/>
              <w:right w:w="108" w:type="dxa"/>
            </w:tcMar>
          </w:tcPr>
          <w:p w14:paraId="14E15CF0" w14:textId="77777777" w:rsidR="003F3DB8" w:rsidRPr="00CF77C1" w:rsidRDefault="003F3DB8" w:rsidP="0080044B">
            <w:pPr>
              <w:framePr w:hSpace="181" w:wrap="notBeside" w:vAnchor="text" w:hAnchor="text" w:y="1"/>
              <w:jc w:val="center"/>
              <w:rPr>
                <w:szCs w:val="24"/>
                <w:lang w:val="sr-Cyrl-RS"/>
              </w:rPr>
            </w:pPr>
          </w:p>
        </w:tc>
      </w:tr>
      <w:tr w:rsidR="003F3DB8" w:rsidRPr="00CF77C1" w14:paraId="1E9693B9" w14:textId="77777777" w:rsidTr="000B5EDC">
        <w:tc>
          <w:tcPr>
            <w:tcW w:w="3085" w:type="dxa"/>
            <w:vMerge w:val="restart"/>
            <w:tcMar>
              <w:top w:w="0" w:type="dxa"/>
              <w:left w:w="108" w:type="dxa"/>
              <w:bottom w:w="0" w:type="dxa"/>
              <w:right w:w="108" w:type="dxa"/>
            </w:tcMar>
            <w:vAlign w:val="center"/>
          </w:tcPr>
          <w:p w14:paraId="2034FAB0" w14:textId="77777777" w:rsidR="003F3DB8" w:rsidRPr="00CF77C1" w:rsidRDefault="003F3DB8" w:rsidP="0080044B">
            <w:pPr>
              <w:framePr w:hSpace="181" w:wrap="notBeside" w:vAnchor="text" w:hAnchor="text" w:y="1"/>
              <w:tabs>
                <w:tab w:val="left" w:pos="1080"/>
              </w:tabs>
              <w:jc w:val="left"/>
              <w:rPr>
                <w:szCs w:val="24"/>
                <w:lang w:val="sr-Cyrl-RS"/>
              </w:rPr>
            </w:pPr>
            <w:r w:rsidRPr="00CF77C1">
              <w:rPr>
                <w:szCs w:val="24"/>
                <w:lang w:val="sr-Cyrl-RS"/>
              </w:rPr>
              <w:t>Остваривање планираног обима производње повећањем искоришћења постојећих лежишта и мерама за смањење губитака у производњи</w:t>
            </w:r>
          </w:p>
        </w:tc>
        <w:tc>
          <w:tcPr>
            <w:tcW w:w="7329" w:type="dxa"/>
            <w:tcMar>
              <w:top w:w="0" w:type="dxa"/>
              <w:left w:w="108" w:type="dxa"/>
              <w:bottom w:w="0" w:type="dxa"/>
              <w:right w:w="108" w:type="dxa"/>
            </w:tcMar>
            <w:vAlign w:val="center"/>
          </w:tcPr>
          <w:p w14:paraId="2B8201E3" w14:textId="77777777" w:rsidR="003F3DB8" w:rsidRPr="00CF77C1" w:rsidRDefault="003F3DB8" w:rsidP="0080044B">
            <w:pPr>
              <w:framePr w:hSpace="181" w:wrap="notBeside" w:vAnchor="text" w:hAnchor="text" w:y="1"/>
              <w:tabs>
                <w:tab w:val="left" w:pos="1080"/>
              </w:tabs>
              <w:rPr>
                <w:szCs w:val="24"/>
                <w:lang w:val="sr-Cyrl-RS"/>
              </w:rPr>
            </w:pPr>
            <w:r w:rsidRPr="00CF77C1">
              <w:rPr>
                <w:szCs w:val="24"/>
                <w:lang w:val="sr-Cyrl-RS"/>
              </w:rPr>
              <w:t>Улагања у геолошко-техничке мере</w:t>
            </w:r>
          </w:p>
        </w:tc>
        <w:tc>
          <w:tcPr>
            <w:tcW w:w="2258" w:type="dxa"/>
            <w:tcMar>
              <w:top w:w="0" w:type="dxa"/>
              <w:left w:w="108" w:type="dxa"/>
              <w:bottom w:w="0" w:type="dxa"/>
              <w:right w:w="108" w:type="dxa"/>
            </w:tcMar>
            <w:vAlign w:val="center"/>
          </w:tcPr>
          <w:p w14:paraId="358F3409"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2017-2023. године</w:t>
            </w:r>
          </w:p>
        </w:tc>
        <w:tc>
          <w:tcPr>
            <w:tcW w:w="2037" w:type="dxa"/>
            <w:vMerge w:val="restart"/>
            <w:tcMar>
              <w:top w:w="0" w:type="dxa"/>
              <w:left w:w="108" w:type="dxa"/>
              <w:bottom w:w="0" w:type="dxa"/>
              <w:right w:w="108" w:type="dxa"/>
            </w:tcMar>
            <w:vAlign w:val="center"/>
          </w:tcPr>
          <w:p w14:paraId="51CC1D8D"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НИС а.д.</w:t>
            </w:r>
          </w:p>
        </w:tc>
      </w:tr>
      <w:tr w:rsidR="003F3DB8" w:rsidRPr="00CF77C1" w14:paraId="260C9744" w14:textId="77777777" w:rsidTr="000B5EDC">
        <w:trPr>
          <w:trHeight w:val="50"/>
        </w:trPr>
        <w:tc>
          <w:tcPr>
            <w:tcW w:w="3085" w:type="dxa"/>
            <w:vMerge/>
            <w:shd w:val="clear" w:color="auto" w:fill="FFFFFF"/>
            <w:vAlign w:val="center"/>
          </w:tcPr>
          <w:p w14:paraId="11ADF075" w14:textId="77777777" w:rsidR="003F3DB8" w:rsidRPr="00CF77C1" w:rsidRDefault="003F3DB8" w:rsidP="0080044B">
            <w:pPr>
              <w:framePr w:hSpace="181" w:wrap="notBeside" w:vAnchor="text" w:hAnchor="text" w:y="1"/>
              <w:jc w:val="left"/>
              <w:rPr>
                <w:szCs w:val="24"/>
                <w:lang w:val="sr-Cyrl-RS"/>
              </w:rPr>
            </w:pPr>
          </w:p>
        </w:tc>
        <w:tc>
          <w:tcPr>
            <w:tcW w:w="7329" w:type="dxa"/>
            <w:tcMar>
              <w:top w:w="0" w:type="dxa"/>
              <w:left w:w="108" w:type="dxa"/>
              <w:bottom w:w="0" w:type="dxa"/>
              <w:right w:w="108" w:type="dxa"/>
            </w:tcMar>
            <w:vAlign w:val="center"/>
          </w:tcPr>
          <w:p w14:paraId="58EE8095" w14:textId="77777777" w:rsidR="003F3DB8" w:rsidRPr="00CF77C1" w:rsidRDefault="003F3DB8" w:rsidP="0080044B">
            <w:pPr>
              <w:framePr w:hSpace="181" w:wrap="notBeside" w:vAnchor="text" w:hAnchor="text" w:y="1"/>
              <w:tabs>
                <w:tab w:val="left" w:pos="1080"/>
              </w:tabs>
              <w:rPr>
                <w:szCs w:val="24"/>
                <w:lang w:val="sr-Cyrl-RS"/>
              </w:rPr>
            </w:pPr>
            <w:r w:rsidRPr="00CF77C1">
              <w:rPr>
                <w:szCs w:val="24"/>
                <w:lang w:val="sr-Cyrl-RS"/>
              </w:rPr>
              <w:t>Бушење разрадних бушотина</w:t>
            </w:r>
          </w:p>
        </w:tc>
        <w:tc>
          <w:tcPr>
            <w:tcW w:w="2258" w:type="dxa"/>
            <w:tcMar>
              <w:top w:w="0" w:type="dxa"/>
              <w:left w:w="108" w:type="dxa"/>
              <w:bottom w:w="0" w:type="dxa"/>
              <w:right w:w="108" w:type="dxa"/>
            </w:tcMar>
            <w:vAlign w:val="center"/>
          </w:tcPr>
          <w:p w14:paraId="50C7CA4A"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2017-2023. године</w:t>
            </w:r>
          </w:p>
        </w:tc>
        <w:tc>
          <w:tcPr>
            <w:tcW w:w="2037" w:type="dxa"/>
            <w:vMerge/>
            <w:tcMar>
              <w:top w:w="0" w:type="dxa"/>
              <w:left w:w="108" w:type="dxa"/>
              <w:bottom w:w="0" w:type="dxa"/>
              <w:right w:w="108" w:type="dxa"/>
            </w:tcMar>
          </w:tcPr>
          <w:p w14:paraId="1BA863E2" w14:textId="77777777" w:rsidR="003F3DB8" w:rsidRPr="00CF77C1" w:rsidRDefault="003F3DB8" w:rsidP="0080044B">
            <w:pPr>
              <w:framePr w:hSpace="181" w:wrap="notBeside" w:vAnchor="text" w:hAnchor="text" w:y="1"/>
              <w:jc w:val="center"/>
              <w:rPr>
                <w:szCs w:val="24"/>
                <w:lang w:val="sr-Cyrl-RS"/>
              </w:rPr>
            </w:pPr>
          </w:p>
        </w:tc>
      </w:tr>
      <w:tr w:rsidR="003F3DB8" w:rsidRPr="00CF77C1" w14:paraId="22264FAF" w14:textId="77777777" w:rsidTr="000B5EDC">
        <w:trPr>
          <w:trHeight w:val="50"/>
        </w:trPr>
        <w:tc>
          <w:tcPr>
            <w:tcW w:w="3085" w:type="dxa"/>
            <w:vMerge/>
            <w:shd w:val="clear" w:color="auto" w:fill="FFFFFF"/>
            <w:vAlign w:val="center"/>
          </w:tcPr>
          <w:p w14:paraId="4C13CE17" w14:textId="77777777" w:rsidR="003F3DB8" w:rsidRPr="00CF77C1" w:rsidRDefault="003F3DB8" w:rsidP="0080044B">
            <w:pPr>
              <w:framePr w:hSpace="181" w:wrap="notBeside" w:vAnchor="text" w:hAnchor="text" w:y="1"/>
              <w:jc w:val="left"/>
              <w:rPr>
                <w:szCs w:val="24"/>
                <w:lang w:val="sr-Cyrl-RS"/>
              </w:rPr>
            </w:pPr>
          </w:p>
        </w:tc>
        <w:tc>
          <w:tcPr>
            <w:tcW w:w="7329" w:type="dxa"/>
            <w:tcMar>
              <w:top w:w="0" w:type="dxa"/>
              <w:left w:w="108" w:type="dxa"/>
              <w:bottom w:w="0" w:type="dxa"/>
              <w:right w:w="108" w:type="dxa"/>
            </w:tcMar>
            <w:vAlign w:val="center"/>
          </w:tcPr>
          <w:p w14:paraId="2ED61FA6" w14:textId="77777777" w:rsidR="003F3DB8" w:rsidRPr="00CF77C1" w:rsidRDefault="003F3DB8" w:rsidP="0080044B">
            <w:pPr>
              <w:framePr w:hSpace="181" w:wrap="notBeside" w:vAnchor="text" w:hAnchor="text" w:y="1"/>
              <w:tabs>
                <w:tab w:val="left" w:pos="1080"/>
              </w:tabs>
              <w:rPr>
                <w:szCs w:val="24"/>
                <w:lang w:val="sr-Cyrl-RS"/>
              </w:rPr>
            </w:pPr>
            <w:r w:rsidRPr="00CF77C1">
              <w:rPr>
                <w:szCs w:val="24"/>
                <w:lang w:val="sr-Cyrl-RS"/>
              </w:rPr>
              <w:t>Примена допунских метода повећања искоришћења (утискивање CO</w:t>
            </w:r>
            <w:r w:rsidRPr="00CF77C1">
              <w:rPr>
                <w:szCs w:val="24"/>
                <w:vertAlign w:val="subscript"/>
                <w:lang w:val="sr-Cyrl-RS"/>
              </w:rPr>
              <w:t>2</w:t>
            </w:r>
            <w:r w:rsidRPr="00CF77C1">
              <w:rPr>
                <w:szCs w:val="24"/>
                <w:lang w:val="sr-Cyrl-RS"/>
              </w:rPr>
              <w:t>)</w:t>
            </w:r>
          </w:p>
        </w:tc>
        <w:tc>
          <w:tcPr>
            <w:tcW w:w="2258" w:type="dxa"/>
            <w:tcMar>
              <w:top w:w="0" w:type="dxa"/>
              <w:left w:w="108" w:type="dxa"/>
              <w:bottom w:w="0" w:type="dxa"/>
              <w:right w:w="108" w:type="dxa"/>
            </w:tcMar>
            <w:vAlign w:val="center"/>
          </w:tcPr>
          <w:p w14:paraId="6788EE3B"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2017-2023. године</w:t>
            </w:r>
          </w:p>
        </w:tc>
        <w:tc>
          <w:tcPr>
            <w:tcW w:w="2037" w:type="dxa"/>
            <w:vMerge/>
            <w:tcMar>
              <w:top w:w="0" w:type="dxa"/>
              <w:left w:w="108" w:type="dxa"/>
              <w:bottom w:w="0" w:type="dxa"/>
              <w:right w:w="108" w:type="dxa"/>
            </w:tcMar>
          </w:tcPr>
          <w:p w14:paraId="0B283FDA" w14:textId="77777777" w:rsidR="003F3DB8" w:rsidRPr="00CF77C1" w:rsidRDefault="003F3DB8" w:rsidP="0080044B">
            <w:pPr>
              <w:framePr w:hSpace="181" w:wrap="notBeside" w:vAnchor="text" w:hAnchor="text" w:y="1"/>
              <w:jc w:val="center"/>
              <w:rPr>
                <w:szCs w:val="24"/>
                <w:lang w:val="sr-Cyrl-RS"/>
              </w:rPr>
            </w:pPr>
          </w:p>
        </w:tc>
      </w:tr>
      <w:tr w:rsidR="003F3DB8" w:rsidRPr="00CF77C1" w14:paraId="449BF0E5" w14:textId="77777777" w:rsidTr="000B5EDC">
        <w:trPr>
          <w:trHeight w:val="297"/>
        </w:trPr>
        <w:tc>
          <w:tcPr>
            <w:tcW w:w="3085" w:type="dxa"/>
            <w:vMerge/>
            <w:shd w:val="clear" w:color="auto" w:fill="FFFFFF"/>
            <w:vAlign w:val="center"/>
          </w:tcPr>
          <w:p w14:paraId="32CBBCF9" w14:textId="77777777" w:rsidR="003F3DB8" w:rsidRPr="00CF77C1" w:rsidRDefault="003F3DB8" w:rsidP="0080044B">
            <w:pPr>
              <w:framePr w:hSpace="181" w:wrap="notBeside" w:vAnchor="text" w:hAnchor="text" w:y="1"/>
              <w:jc w:val="left"/>
              <w:rPr>
                <w:szCs w:val="24"/>
                <w:lang w:val="sr-Cyrl-RS"/>
              </w:rPr>
            </w:pPr>
          </w:p>
        </w:tc>
        <w:tc>
          <w:tcPr>
            <w:tcW w:w="7329" w:type="dxa"/>
            <w:tcMar>
              <w:top w:w="0" w:type="dxa"/>
              <w:left w:w="108" w:type="dxa"/>
              <w:bottom w:w="0" w:type="dxa"/>
              <w:right w:w="108" w:type="dxa"/>
            </w:tcMar>
            <w:vAlign w:val="center"/>
          </w:tcPr>
          <w:p w14:paraId="4D1D7279" w14:textId="29205DC8" w:rsidR="003F3DB8" w:rsidRPr="00CF77C1" w:rsidRDefault="003F3DB8" w:rsidP="000947FE">
            <w:pPr>
              <w:framePr w:hSpace="181" w:wrap="notBeside" w:vAnchor="text" w:hAnchor="text" w:y="1"/>
              <w:rPr>
                <w:szCs w:val="24"/>
                <w:lang w:val="sr-Cyrl-RS"/>
              </w:rPr>
            </w:pPr>
            <w:r w:rsidRPr="00CF77C1">
              <w:rPr>
                <w:szCs w:val="24"/>
                <w:lang w:val="sr-Cyrl-RS"/>
              </w:rPr>
              <w:t xml:space="preserve">Примeнa стимулaтивних мeтoдa </w:t>
            </w:r>
            <w:r w:rsidR="000947FE" w:rsidRPr="00CF77C1">
              <w:rPr>
                <w:szCs w:val="24"/>
                <w:lang w:val="sr-Cyrl-RS"/>
              </w:rPr>
              <w:t>за повећање производње</w:t>
            </w:r>
          </w:p>
        </w:tc>
        <w:tc>
          <w:tcPr>
            <w:tcW w:w="2258" w:type="dxa"/>
            <w:tcMar>
              <w:top w:w="0" w:type="dxa"/>
              <w:left w:w="108" w:type="dxa"/>
              <w:bottom w:w="0" w:type="dxa"/>
              <w:right w:w="108" w:type="dxa"/>
            </w:tcMar>
            <w:vAlign w:val="center"/>
          </w:tcPr>
          <w:p w14:paraId="7DBD79E0"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2017-2023. године</w:t>
            </w:r>
          </w:p>
        </w:tc>
        <w:tc>
          <w:tcPr>
            <w:tcW w:w="2037" w:type="dxa"/>
            <w:vMerge/>
            <w:tcMar>
              <w:top w:w="0" w:type="dxa"/>
              <w:left w:w="108" w:type="dxa"/>
              <w:bottom w:w="0" w:type="dxa"/>
              <w:right w:w="108" w:type="dxa"/>
            </w:tcMar>
          </w:tcPr>
          <w:p w14:paraId="68F9721F" w14:textId="77777777" w:rsidR="003F3DB8" w:rsidRPr="00CF77C1" w:rsidRDefault="003F3DB8" w:rsidP="0080044B">
            <w:pPr>
              <w:framePr w:hSpace="181" w:wrap="notBeside" w:vAnchor="text" w:hAnchor="text" w:y="1"/>
              <w:jc w:val="center"/>
              <w:rPr>
                <w:szCs w:val="24"/>
                <w:lang w:val="sr-Cyrl-RS"/>
              </w:rPr>
            </w:pPr>
          </w:p>
        </w:tc>
      </w:tr>
      <w:tr w:rsidR="003F3DB8" w:rsidRPr="00CF77C1" w14:paraId="54190858" w14:textId="77777777" w:rsidTr="003F3DB8">
        <w:trPr>
          <w:trHeight w:val="1242"/>
        </w:trPr>
        <w:tc>
          <w:tcPr>
            <w:tcW w:w="3085" w:type="dxa"/>
            <w:tcMar>
              <w:top w:w="0" w:type="dxa"/>
              <w:left w:w="108" w:type="dxa"/>
              <w:bottom w:w="0" w:type="dxa"/>
              <w:right w:w="108" w:type="dxa"/>
            </w:tcMar>
            <w:vAlign w:val="center"/>
          </w:tcPr>
          <w:p w14:paraId="2D754EAB"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 xml:space="preserve">Експлоатација нeкoнвeнционалних нафтних рeсурсa </w:t>
            </w:r>
            <w:r w:rsidR="00892212" w:rsidRPr="00CF77C1">
              <w:rPr>
                <w:szCs w:val="24"/>
                <w:lang w:val="sr-Cyrl-RS"/>
              </w:rPr>
              <w:t>-</w:t>
            </w:r>
            <w:r w:rsidR="00861ABF" w:rsidRPr="00CF77C1">
              <w:rPr>
                <w:szCs w:val="24"/>
                <w:lang w:val="sr-Cyrl-RS"/>
              </w:rPr>
              <w:t xml:space="preserve"> </w:t>
            </w:r>
            <w:r w:rsidRPr="00CF77C1">
              <w:rPr>
                <w:szCs w:val="24"/>
                <w:lang w:val="sr-Cyrl-RS"/>
              </w:rPr>
              <w:t>уљних шкриљаца (уљних шејлова)</w:t>
            </w:r>
          </w:p>
        </w:tc>
        <w:tc>
          <w:tcPr>
            <w:tcW w:w="7329" w:type="dxa"/>
            <w:tcMar>
              <w:top w:w="0" w:type="dxa"/>
              <w:left w:w="108" w:type="dxa"/>
              <w:bottom w:w="0" w:type="dxa"/>
              <w:right w:w="108" w:type="dxa"/>
            </w:tcMar>
            <w:vAlign w:val="center"/>
          </w:tcPr>
          <w:p w14:paraId="0857C8EC" w14:textId="7C3B330B" w:rsidR="003F3DB8" w:rsidRPr="00CF77C1" w:rsidRDefault="003F3DB8" w:rsidP="0080044B">
            <w:pPr>
              <w:framePr w:hSpace="181" w:wrap="notBeside" w:vAnchor="text" w:hAnchor="text" w:y="1"/>
              <w:jc w:val="left"/>
              <w:rPr>
                <w:szCs w:val="24"/>
                <w:lang w:val="sr-Cyrl-RS"/>
              </w:rPr>
            </w:pPr>
            <w:r w:rsidRPr="00CF77C1">
              <w:rPr>
                <w:lang w:val="sr-Cyrl-RS"/>
              </w:rPr>
              <w:t>Реорганизација ЈП ПЕУ Ресавица - „Алексиначки рудник</w:t>
            </w:r>
            <w:r w:rsidR="00AD5740" w:rsidRPr="00CF77C1">
              <w:rPr>
                <w:lang w:val="sr-Cyrl-RS"/>
              </w:rPr>
              <w:t>”</w:t>
            </w:r>
          </w:p>
        </w:tc>
        <w:tc>
          <w:tcPr>
            <w:tcW w:w="2258" w:type="dxa"/>
            <w:tcMar>
              <w:top w:w="0" w:type="dxa"/>
              <w:left w:w="108" w:type="dxa"/>
              <w:bottom w:w="0" w:type="dxa"/>
              <w:right w:w="108" w:type="dxa"/>
            </w:tcMar>
            <w:vAlign w:val="center"/>
          </w:tcPr>
          <w:p w14:paraId="2AC3AE33"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w:t>
            </w:r>
          </w:p>
        </w:tc>
        <w:tc>
          <w:tcPr>
            <w:tcW w:w="2037" w:type="dxa"/>
            <w:tcMar>
              <w:top w:w="0" w:type="dxa"/>
              <w:left w:w="108" w:type="dxa"/>
              <w:bottom w:w="0" w:type="dxa"/>
              <w:right w:w="108" w:type="dxa"/>
            </w:tcMar>
            <w:vAlign w:val="center"/>
          </w:tcPr>
          <w:p w14:paraId="2FFE914D" w14:textId="4F4F810C" w:rsidR="003F3DB8" w:rsidRPr="00CF77C1" w:rsidRDefault="00AC627E" w:rsidP="0080044B">
            <w:pPr>
              <w:framePr w:hSpace="181" w:wrap="notBeside" w:vAnchor="text" w:hAnchor="text" w:y="1"/>
              <w:jc w:val="center"/>
              <w:rPr>
                <w:szCs w:val="24"/>
                <w:lang w:val="sr-Cyrl-RS"/>
              </w:rPr>
            </w:pPr>
            <w:r w:rsidRPr="00CF77C1">
              <w:rPr>
                <w:szCs w:val="24"/>
                <w:lang w:val="sr-Cyrl-RS"/>
              </w:rPr>
              <w:t>м</w:t>
            </w:r>
            <w:r w:rsidR="003F3DB8" w:rsidRPr="00CF77C1">
              <w:rPr>
                <w:szCs w:val="24"/>
                <w:lang w:val="sr-Cyrl-RS"/>
              </w:rPr>
              <w:t xml:space="preserve">инистарство надлежно за послове привреде и </w:t>
            </w:r>
            <w:r w:rsidR="005C650D" w:rsidRPr="00CF77C1">
              <w:rPr>
                <w:szCs w:val="24"/>
                <w:lang w:val="sr-Cyrl-RS"/>
              </w:rPr>
              <w:t>министарство надлежно за послове</w:t>
            </w:r>
            <w:r w:rsidR="003F3DB8" w:rsidRPr="00CF77C1">
              <w:rPr>
                <w:szCs w:val="24"/>
                <w:lang w:val="sr-Cyrl-RS"/>
              </w:rPr>
              <w:t xml:space="preserve"> рударства и енергетике</w:t>
            </w:r>
          </w:p>
        </w:tc>
      </w:tr>
    </w:tbl>
    <w:p w14:paraId="5F61FBD9" w14:textId="77777777" w:rsidR="003F3DB8" w:rsidRPr="00CF77C1" w:rsidRDefault="003F3DB8" w:rsidP="0080044B">
      <w:pPr>
        <w:rPr>
          <w:lang w:val="sr-Cyrl-RS"/>
        </w:rPr>
      </w:pPr>
    </w:p>
    <w:p w14:paraId="4D07928A" w14:textId="77777777" w:rsidR="003F3DB8" w:rsidRPr="00CF77C1" w:rsidRDefault="003F3DB8" w:rsidP="0080044B">
      <w:pPr>
        <w:rPr>
          <w:lang w:val="sr-Cyrl-RS"/>
        </w:rPr>
        <w:sectPr w:rsidR="003F3DB8" w:rsidRPr="00CF77C1" w:rsidSect="003F3DB8">
          <w:headerReference w:type="default" r:id="rId69"/>
          <w:footerReference w:type="even" r:id="rId70"/>
          <w:footerReference w:type="default" r:id="rId71"/>
          <w:pgSz w:w="16839" w:h="11907" w:orient="landscape" w:code="9"/>
          <w:pgMar w:top="1418" w:right="1134" w:bottom="1134" w:left="1134" w:header="1004" w:footer="720" w:gutter="0"/>
          <w:cols w:space="720"/>
          <w:docGrid w:linePitch="360"/>
        </w:sectPr>
      </w:pPr>
    </w:p>
    <w:p w14:paraId="368DA8C0" w14:textId="03DB3634" w:rsidR="003F3DB8" w:rsidRPr="00CF77C1" w:rsidRDefault="003F3DB8" w:rsidP="00FC1656">
      <w:pPr>
        <w:ind w:firstLine="720"/>
        <w:rPr>
          <w:szCs w:val="24"/>
          <w:lang w:val="sr-Cyrl-RS"/>
        </w:rPr>
      </w:pPr>
      <w:r w:rsidRPr="00CF77C1">
        <w:rPr>
          <w:szCs w:val="24"/>
          <w:lang w:val="sr-Cyrl-RS"/>
        </w:rPr>
        <w:t xml:space="preserve">План производње нафте за период 2017-2023. године дат је у </w:t>
      </w:r>
      <w:r w:rsidR="0092145E" w:rsidRPr="00CF77C1">
        <w:rPr>
          <w:lang w:val="sr-Cyrl-RS"/>
        </w:rPr>
        <w:fldChar w:fldCharType="begin"/>
      </w:r>
      <w:r w:rsidR="00BE586B" w:rsidRPr="00CF77C1">
        <w:rPr>
          <w:szCs w:val="24"/>
          <w:lang w:val="sr-Cyrl-RS"/>
        </w:rPr>
        <w:instrText xml:space="preserve"> REF _Ref475611186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39</w:t>
      </w:r>
      <w:r w:rsidR="0092145E" w:rsidRPr="00CF77C1">
        <w:rPr>
          <w:lang w:val="sr-Cyrl-RS"/>
        </w:rPr>
        <w:fldChar w:fldCharType="end"/>
      </w:r>
      <w:r w:rsidRPr="00CF77C1">
        <w:rPr>
          <w:szCs w:val="24"/>
          <w:lang w:val="sr-Cyrl-RS"/>
        </w:rPr>
        <w:t>.</w:t>
      </w:r>
      <w:r w:rsidRPr="00CF77C1">
        <w:rPr>
          <w:lang w:val="sr-Cyrl-RS"/>
        </w:rPr>
        <w:t xml:space="preserve"> У укупном обиму планиране производње нафте приказана је планирана производња на тренутно активним експлоатационим пољима: Јерменовци, Локве, Јаношик, Велика Греда југ, Елемир, Зрењанин, Зрењанин север, Итебеј, Бока, Русанда, Михајлово, Српска Црња, Војвода Степа, Турија север, Чока, Кикинда, Кикинда Варош, Кикинда Варош југ, Кикинда Варош север, Мајдан, Мокрин, Чантавир, Келебија, Палић, Велебит, Сираково, Брадарац-Маљуревац и Касидол, као и производња планирана на откривеним лежиштима нафте: Кикинда запад, Иђош, Русанда североисток, Кикинда исток, Врбица Подлокањ, Црна бара југ, Курјаче и Обилићево.</w:t>
      </w:r>
    </w:p>
    <w:p w14:paraId="738FA7D0" w14:textId="2774791D" w:rsidR="003F3DB8" w:rsidRPr="00CF77C1" w:rsidRDefault="003F3DB8" w:rsidP="00FC1656">
      <w:pPr>
        <w:pStyle w:val="Caption"/>
        <w:ind w:firstLine="720"/>
        <w:rPr>
          <w:b w:val="0"/>
          <w:lang w:val="sr-Cyrl-RS"/>
        </w:rPr>
      </w:pPr>
      <w:bookmarkStart w:id="117" w:name="_Ref475611186"/>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39</w:t>
      </w:r>
      <w:r w:rsidR="0092145E" w:rsidRPr="00CF77C1">
        <w:rPr>
          <w:b w:val="0"/>
          <w:noProof/>
          <w:lang w:val="sr-Cyrl-RS"/>
        </w:rPr>
        <w:fldChar w:fldCharType="end"/>
      </w:r>
      <w:bookmarkEnd w:id="117"/>
      <w:r w:rsidRPr="00CF77C1">
        <w:rPr>
          <w:b w:val="0"/>
          <w:lang w:val="sr-Cyrl-RS"/>
        </w:rPr>
        <w:t>: План производње нафте у периоду 2017-2023. године</w:t>
      </w:r>
    </w:p>
    <w:tbl>
      <w:tblPr>
        <w:tblW w:w="0" w:type="auto"/>
        <w:jc w:val="center"/>
        <w:tblCellMar>
          <w:left w:w="0" w:type="dxa"/>
          <w:right w:w="0" w:type="dxa"/>
        </w:tblCellMar>
        <w:tblLook w:val="04A0" w:firstRow="1" w:lastRow="0" w:firstColumn="1" w:lastColumn="0" w:noHBand="0" w:noVBand="1"/>
      </w:tblPr>
      <w:tblGrid>
        <w:gridCol w:w="1136"/>
        <w:gridCol w:w="1044"/>
        <w:gridCol w:w="996"/>
        <w:gridCol w:w="996"/>
        <w:gridCol w:w="996"/>
        <w:gridCol w:w="996"/>
        <w:gridCol w:w="1002"/>
      </w:tblGrid>
      <w:tr w:rsidR="003F3DB8" w:rsidRPr="00CF77C1" w14:paraId="67D5DB2D" w14:textId="77777777" w:rsidTr="004B5144">
        <w:trPr>
          <w:trHeight w:val="717"/>
          <w:jc w:val="center"/>
        </w:trPr>
        <w:tc>
          <w:tcPr>
            <w:tcW w:w="7166" w:type="dxa"/>
            <w:gridSpan w:val="7"/>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5BD23" w14:textId="62B8ADBC" w:rsidR="003F3DB8" w:rsidRPr="00CF77C1" w:rsidRDefault="00861ABF" w:rsidP="00DB6984">
            <w:pPr>
              <w:jc w:val="center"/>
              <w:rPr>
                <w:rFonts w:eastAsia="Calibri"/>
                <w:szCs w:val="24"/>
                <w:lang w:val="sr-Cyrl-RS"/>
              </w:rPr>
            </w:pPr>
            <w:r w:rsidRPr="00CF77C1">
              <w:rPr>
                <w:szCs w:val="24"/>
                <w:lang w:val="sr-Cyrl-RS"/>
              </w:rPr>
              <w:t>Планирана производња нафте* (</w:t>
            </w:r>
            <w:r w:rsidR="00DB6984" w:rsidRPr="00CF77C1">
              <w:rPr>
                <w:szCs w:val="24"/>
                <w:lang w:val="sr-Cyrl-RS"/>
              </w:rPr>
              <w:t>т</w:t>
            </w:r>
            <w:r w:rsidR="003F3DB8" w:rsidRPr="00CF77C1">
              <w:rPr>
                <w:szCs w:val="24"/>
                <w:lang w:val="sr-Cyrl-RS"/>
              </w:rPr>
              <w:t>)</w:t>
            </w:r>
          </w:p>
        </w:tc>
      </w:tr>
      <w:tr w:rsidR="003F3DB8" w:rsidRPr="00CF77C1" w14:paraId="228E9DCB" w14:textId="77777777" w:rsidTr="004B5144">
        <w:trPr>
          <w:trHeight w:val="283"/>
          <w:jc w:val="center"/>
        </w:trPr>
        <w:tc>
          <w:tcPr>
            <w:tcW w:w="11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2464A08" w14:textId="77777777" w:rsidR="003F3DB8" w:rsidRPr="00CF77C1" w:rsidRDefault="003F3DB8" w:rsidP="00861ABF">
            <w:pPr>
              <w:jc w:val="center"/>
              <w:rPr>
                <w:rFonts w:eastAsia="Calibri"/>
                <w:bCs/>
                <w:szCs w:val="24"/>
                <w:lang w:val="sr-Cyrl-RS"/>
              </w:rPr>
            </w:pPr>
            <w:r w:rsidRPr="00CF77C1">
              <w:rPr>
                <w:bCs/>
                <w:szCs w:val="24"/>
                <w:lang w:val="sr-Cyrl-RS"/>
              </w:rPr>
              <w:t>2017.</w:t>
            </w:r>
          </w:p>
        </w:tc>
        <w:tc>
          <w:tcPr>
            <w:tcW w:w="10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D92D1F9" w14:textId="77777777" w:rsidR="003F3DB8" w:rsidRPr="00CF77C1" w:rsidRDefault="003F3DB8" w:rsidP="00861ABF">
            <w:pPr>
              <w:jc w:val="center"/>
              <w:rPr>
                <w:rFonts w:eastAsia="Calibri"/>
                <w:bCs/>
                <w:szCs w:val="24"/>
                <w:lang w:val="sr-Cyrl-RS"/>
              </w:rPr>
            </w:pPr>
            <w:r w:rsidRPr="00CF77C1">
              <w:rPr>
                <w:bCs/>
                <w:szCs w:val="24"/>
                <w:lang w:val="sr-Cyrl-RS"/>
              </w:rPr>
              <w:t>2018.</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8E18B8" w14:textId="77777777" w:rsidR="003F3DB8" w:rsidRPr="00CF77C1" w:rsidRDefault="003F3DB8" w:rsidP="00861ABF">
            <w:pPr>
              <w:jc w:val="center"/>
              <w:rPr>
                <w:rFonts w:eastAsia="Calibri"/>
                <w:bCs/>
                <w:szCs w:val="24"/>
                <w:lang w:val="sr-Cyrl-RS"/>
              </w:rPr>
            </w:pPr>
            <w:r w:rsidRPr="00CF77C1">
              <w:rPr>
                <w:bCs/>
                <w:szCs w:val="24"/>
                <w:lang w:val="sr-Cyrl-RS"/>
              </w:rPr>
              <w:t>2019.</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A572DD4" w14:textId="77777777" w:rsidR="003F3DB8" w:rsidRPr="00CF77C1" w:rsidRDefault="003F3DB8" w:rsidP="00861ABF">
            <w:pPr>
              <w:jc w:val="center"/>
              <w:rPr>
                <w:rFonts w:eastAsia="Calibri"/>
                <w:bCs/>
                <w:szCs w:val="24"/>
                <w:lang w:val="sr-Cyrl-RS"/>
              </w:rPr>
            </w:pPr>
            <w:r w:rsidRPr="00CF77C1">
              <w:rPr>
                <w:bCs/>
                <w:szCs w:val="24"/>
                <w:lang w:val="sr-Cyrl-RS"/>
              </w:rPr>
              <w:t>2020.</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85CF8B" w14:textId="77777777" w:rsidR="003F3DB8" w:rsidRPr="00CF77C1" w:rsidRDefault="003F3DB8" w:rsidP="00861ABF">
            <w:pPr>
              <w:jc w:val="center"/>
              <w:rPr>
                <w:rFonts w:eastAsia="Calibri"/>
                <w:bCs/>
                <w:szCs w:val="24"/>
                <w:lang w:val="sr-Cyrl-RS"/>
              </w:rPr>
            </w:pPr>
            <w:r w:rsidRPr="00CF77C1">
              <w:rPr>
                <w:bCs/>
                <w:szCs w:val="24"/>
                <w:lang w:val="sr-Cyrl-RS"/>
              </w:rPr>
              <w:t>2021.</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177E3CF" w14:textId="77777777" w:rsidR="003F3DB8" w:rsidRPr="00CF77C1" w:rsidRDefault="003F3DB8" w:rsidP="00861ABF">
            <w:pPr>
              <w:jc w:val="center"/>
              <w:rPr>
                <w:rFonts w:eastAsia="Calibri"/>
                <w:bCs/>
                <w:szCs w:val="24"/>
                <w:lang w:val="sr-Cyrl-RS"/>
              </w:rPr>
            </w:pPr>
            <w:r w:rsidRPr="00CF77C1">
              <w:rPr>
                <w:bCs/>
                <w:szCs w:val="24"/>
                <w:lang w:val="sr-Cyrl-RS"/>
              </w:rPr>
              <w:t>2022.</w:t>
            </w:r>
          </w:p>
        </w:tc>
        <w:tc>
          <w:tcPr>
            <w:tcW w:w="10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F6B4DA6" w14:textId="77777777" w:rsidR="003F3DB8" w:rsidRPr="00CF77C1" w:rsidRDefault="003F3DB8" w:rsidP="00861ABF">
            <w:pPr>
              <w:jc w:val="center"/>
              <w:rPr>
                <w:rFonts w:eastAsia="Calibri"/>
                <w:bCs/>
                <w:szCs w:val="24"/>
                <w:lang w:val="sr-Cyrl-RS"/>
              </w:rPr>
            </w:pPr>
            <w:r w:rsidRPr="00CF77C1">
              <w:rPr>
                <w:bCs/>
                <w:szCs w:val="24"/>
                <w:lang w:val="sr-Cyrl-RS"/>
              </w:rPr>
              <w:t>2023.</w:t>
            </w:r>
          </w:p>
        </w:tc>
      </w:tr>
      <w:tr w:rsidR="003F3DB8" w:rsidRPr="00CF77C1" w14:paraId="3B02A9AF" w14:textId="77777777" w:rsidTr="004B5144">
        <w:trPr>
          <w:trHeight w:val="340"/>
          <w:jc w:val="center"/>
        </w:trPr>
        <w:tc>
          <w:tcPr>
            <w:tcW w:w="11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4828F8" w14:textId="77777777" w:rsidR="003F3DB8" w:rsidRPr="00CF77C1" w:rsidRDefault="003F3DB8" w:rsidP="00861ABF">
            <w:pPr>
              <w:jc w:val="center"/>
              <w:rPr>
                <w:rFonts w:eastAsia="Calibri"/>
                <w:bCs/>
                <w:szCs w:val="24"/>
                <w:lang w:val="sr-Cyrl-RS"/>
              </w:rPr>
            </w:pPr>
            <w:r w:rsidRPr="00CF77C1">
              <w:rPr>
                <w:bCs/>
                <w:szCs w:val="24"/>
                <w:lang w:val="sr-Cyrl-RS"/>
              </w:rPr>
              <w:t>858.051</w:t>
            </w:r>
          </w:p>
        </w:tc>
        <w:tc>
          <w:tcPr>
            <w:tcW w:w="10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58A315" w14:textId="77777777" w:rsidR="003F3DB8" w:rsidRPr="00CF77C1" w:rsidRDefault="003F3DB8" w:rsidP="00861ABF">
            <w:pPr>
              <w:jc w:val="center"/>
              <w:rPr>
                <w:rFonts w:eastAsia="Calibri"/>
                <w:bCs/>
                <w:szCs w:val="24"/>
                <w:lang w:val="sr-Cyrl-RS"/>
              </w:rPr>
            </w:pPr>
            <w:r w:rsidRPr="00CF77C1">
              <w:rPr>
                <w:bCs/>
                <w:szCs w:val="24"/>
                <w:lang w:val="sr-Cyrl-RS"/>
              </w:rPr>
              <w:t>762.028</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755989" w14:textId="77777777" w:rsidR="003F3DB8" w:rsidRPr="00CF77C1" w:rsidRDefault="003F3DB8" w:rsidP="00861ABF">
            <w:pPr>
              <w:jc w:val="center"/>
              <w:rPr>
                <w:rFonts w:eastAsia="Calibri"/>
                <w:bCs/>
                <w:szCs w:val="24"/>
                <w:lang w:val="sr-Cyrl-RS"/>
              </w:rPr>
            </w:pPr>
            <w:r w:rsidRPr="00CF77C1">
              <w:rPr>
                <w:bCs/>
                <w:szCs w:val="24"/>
                <w:lang w:val="sr-Cyrl-RS"/>
              </w:rPr>
              <w:t>669.482</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EF8AED1" w14:textId="77777777" w:rsidR="003F3DB8" w:rsidRPr="00CF77C1" w:rsidRDefault="003F3DB8" w:rsidP="00861ABF">
            <w:pPr>
              <w:jc w:val="center"/>
              <w:rPr>
                <w:rFonts w:eastAsia="Calibri"/>
                <w:bCs/>
                <w:szCs w:val="24"/>
                <w:lang w:val="sr-Cyrl-RS"/>
              </w:rPr>
            </w:pPr>
            <w:r w:rsidRPr="00CF77C1">
              <w:rPr>
                <w:bCs/>
                <w:szCs w:val="24"/>
                <w:lang w:val="sr-Cyrl-RS"/>
              </w:rPr>
              <w:t>627.030</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575DCB" w14:textId="77777777" w:rsidR="003F3DB8" w:rsidRPr="00CF77C1" w:rsidRDefault="003F3DB8" w:rsidP="00861ABF">
            <w:pPr>
              <w:jc w:val="center"/>
              <w:rPr>
                <w:rFonts w:eastAsia="Calibri"/>
                <w:bCs/>
                <w:szCs w:val="24"/>
                <w:lang w:val="sr-Cyrl-RS"/>
              </w:rPr>
            </w:pPr>
            <w:r w:rsidRPr="00CF77C1">
              <w:rPr>
                <w:bCs/>
                <w:szCs w:val="24"/>
                <w:lang w:val="sr-Cyrl-RS"/>
              </w:rPr>
              <w:t>589.455</w:t>
            </w:r>
          </w:p>
        </w:tc>
        <w:tc>
          <w:tcPr>
            <w:tcW w:w="9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3B614BA" w14:textId="77777777" w:rsidR="003F3DB8" w:rsidRPr="00CF77C1" w:rsidRDefault="003F3DB8" w:rsidP="00861ABF">
            <w:pPr>
              <w:jc w:val="center"/>
              <w:rPr>
                <w:rFonts w:eastAsia="Calibri"/>
                <w:bCs/>
                <w:szCs w:val="24"/>
                <w:lang w:val="sr-Cyrl-RS"/>
              </w:rPr>
            </w:pPr>
            <w:r w:rsidRPr="00CF77C1">
              <w:rPr>
                <w:bCs/>
                <w:szCs w:val="24"/>
                <w:lang w:val="sr-Cyrl-RS"/>
              </w:rPr>
              <w:t>565.329</w:t>
            </w:r>
          </w:p>
        </w:tc>
        <w:tc>
          <w:tcPr>
            <w:tcW w:w="10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461790" w14:textId="77777777" w:rsidR="003F3DB8" w:rsidRPr="00CF77C1" w:rsidRDefault="003F3DB8" w:rsidP="00861ABF">
            <w:pPr>
              <w:jc w:val="center"/>
              <w:rPr>
                <w:rFonts w:eastAsia="Calibri"/>
                <w:bCs/>
                <w:szCs w:val="24"/>
                <w:lang w:val="sr-Cyrl-RS"/>
              </w:rPr>
            </w:pPr>
            <w:r w:rsidRPr="00CF77C1">
              <w:rPr>
                <w:bCs/>
                <w:szCs w:val="24"/>
                <w:lang w:val="sr-Cyrl-RS"/>
              </w:rPr>
              <w:t>533.700</w:t>
            </w:r>
          </w:p>
        </w:tc>
      </w:tr>
    </w:tbl>
    <w:p w14:paraId="70346527" w14:textId="0B18F6CD" w:rsidR="003F3DB8" w:rsidRPr="00CF77C1" w:rsidRDefault="004B5144" w:rsidP="00FC1656">
      <w:pPr>
        <w:ind w:firstLine="720"/>
        <w:rPr>
          <w:lang w:val="sr-Cyrl-RS"/>
        </w:rPr>
      </w:pPr>
      <w:r w:rsidRPr="00CF77C1">
        <w:rPr>
          <w:lang w:val="sr-Cyrl-RS"/>
        </w:rPr>
        <w:t>*Напомена: Обим планиране производње сирове нафте на пољима у експлоатацији дефинисан је на основу активних одобрења, а производња планирана на откривеним лежиштима базирана је на актуелним претпоставкама о очекиваној цени сирове нафте у наредном периоду.</w:t>
      </w:r>
    </w:p>
    <w:p w14:paraId="25198D6B" w14:textId="3569857D" w:rsidR="003F3DB8" w:rsidRPr="00CF77C1" w:rsidRDefault="003F3DB8" w:rsidP="001E33CA">
      <w:pPr>
        <w:ind w:firstLine="720"/>
      </w:pPr>
      <w:r w:rsidRPr="00CF77C1">
        <w:rPr>
          <w:lang w:val="sr-Cyrl-RS"/>
        </w:rPr>
        <w:t>Нa тeритoриjи Рeпубликe Србиje кoмпaниja НИС a.д. извoди нафтно-гeoлoшкa истрaживaњa нa седам oдoбрeних истрaжних прoстoр</w:t>
      </w:r>
      <w:r w:rsidR="00DA502D">
        <w:rPr>
          <w:lang w:val="sr-Cyrl-RS"/>
        </w:rPr>
        <w:t>a, сa истрaжним рoкoм дo</w:t>
      </w:r>
      <w:r w:rsidR="00C0652E" w:rsidRPr="00CF77C1">
        <w:rPr>
          <w:lang w:val="sr-Cyrl-RS"/>
        </w:rPr>
        <w:t xml:space="preserve"> 31. децембра </w:t>
      </w:r>
      <w:r w:rsidRPr="00CF77C1">
        <w:rPr>
          <w:lang w:val="sr-Cyrl-RS"/>
        </w:rPr>
        <w:t xml:space="preserve">2019. гoдинe нa једном oдoбрeнoм истрaжнoм прoстoру нa тeритoриjи </w:t>
      </w:r>
      <w:r w:rsidR="00DA502D">
        <w:rPr>
          <w:lang w:val="sr-Cyrl-RS"/>
        </w:rPr>
        <w:t xml:space="preserve">Републике </w:t>
      </w:r>
      <w:r w:rsidRPr="00CF77C1">
        <w:rPr>
          <w:lang w:val="sr-Cyrl-RS"/>
        </w:rPr>
        <w:t>Србиje jу</w:t>
      </w:r>
      <w:r w:rsidR="00C0652E" w:rsidRPr="00CF77C1">
        <w:rPr>
          <w:lang w:val="sr-Cyrl-RS"/>
        </w:rPr>
        <w:t xml:space="preserve">жнo oд Сaвe и Дунaвa и до 31. децембра </w:t>
      </w:r>
      <w:r w:rsidRPr="00CF77C1">
        <w:rPr>
          <w:lang w:val="sr-Cyrl-RS"/>
        </w:rPr>
        <w:t>2020. гoдинe нa шест oдoбрeних истрaжних прoстoрa нa тeритoриjи AП Вojвoдинe. Компанија НИС.а.д. ће у склaду сa oдрeдбaмa Зaкoнa o рудaрству и гeoлoшким истрaживaњимa (</w:t>
      </w:r>
      <w:r w:rsidR="00C0652E" w:rsidRPr="00CF77C1">
        <w:rPr>
          <w:lang w:val="sr-Cyrl-RS"/>
        </w:rPr>
        <w:t>„Службени гласник РС</w:t>
      </w:r>
      <w:r w:rsidR="00CB46EE" w:rsidRPr="00CF77C1">
        <w:rPr>
          <w:lang w:val="sr-Cyrl-RS"/>
        </w:rPr>
        <w:t>”</w:t>
      </w:r>
      <w:r w:rsidR="00C0652E" w:rsidRPr="00CF77C1">
        <w:rPr>
          <w:lang w:val="sr-Cyrl-RS"/>
        </w:rPr>
        <w:t>,</w:t>
      </w:r>
      <w:r w:rsidR="00CB46EE" w:rsidRPr="00CF77C1">
        <w:rPr>
          <w:lang w:val="sr-Cyrl-RS"/>
        </w:rPr>
        <w:t xml:space="preserve"> број</w:t>
      </w:r>
      <w:r w:rsidRPr="00CF77C1">
        <w:rPr>
          <w:lang w:val="sr-Cyrl-RS"/>
        </w:rPr>
        <w:t xml:space="preserve"> 101/15)</w:t>
      </w:r>
      <w:r w:rsidR="00CB46EE" w:rsidRPr="00CF77C1">
        <w:rPr>
          <w:lang w:val="sr-Cyrl-RS"/>
        </w:rPr>
        <w:t xml:space="preserve"> и Закона о одбрани („Службени гласник РС”</w:t>
      </w:r>
      <w:r w:rsidR="00FC6F6F">
        <w:rPr>
          <w:lang w:val="sr-Cyrl-RS"/>
        </w:rPr>
        <w:t>, бр.</w:t>
      </w:r>
      <w:r w:rsidR="00812208" w:rsidRPr="00CF77C1">
        <w:rPr>
          <w:lang w:val="sr-Cyrl-RS"/>
        </w:rPr>
        <w:t xml:space="preserve"> 116/07,88/09, 88/09-др. </w:t>
      </w:r>
      <w:r w:rsidR="00B76AA8" w:rsidRPr="00CF77C1">
        <w:rPr>
          <w:lang w:val="sr-Cyrl-RS"/>
        </w:rPr>
        <w:t>з</w:t>
      </w:r>
      <w:r w:rsidR="00812208" w:rsidRPr="00CF77C1">
        <w:rPr>
          <w:lang w:val="sr-Cyrl-RS"/>
        </w:rPr>
        <w:t>акон, 104/09-др.закон и 10/15)</w:t>
      </w:r>
      <w:r w:rsidRPr="00CF77C1">
        <w:rPr>
          <w:lang w:val="sr-Cyrl-RS"/>
        </w:rPr>
        <w:t>, аплицирати за наставак нафтно-гeoл</w:t>
      </w:r>
      <w:r w:rsidR="00C433FE">
        <w:rPr>
          <w:lang w:val="sr-Cyrl-RS"/>
        </w:rPr>
        <w:t>oшких истрaживaњa за период од пет</w:t>
      </w:r>
      <w:r w:rsidRPr="00CF77C1">
        <w:rPr>
          <w:lang w:val="sr-Cyrl-RS"/>
        </w:rPr>
        <w:t xml:space="preserve"> гoдинa (истрaжни пeриoди 3+2 гoдинe).</w:t>
      </w:r>
    </w:p>
    <w:p w14:paraId="60530C46" w14:textId="77777777" w:rsidR="003F3DB8" w:rsidRPr="00CF77C1" w:rsidRDefault="003F3DB8" w:rsidP="00FC1656">
      <w:pPr>
        <w:ind w:firstLine="720"/>
        <w:rPr>
          <w:lang w:val="sr-Cyrl-RS"/>
        </w:rPr>
      </w:pPr>
      <w:r w:rsidRPr="00CF77C1">
        <w:rPr>
          <w:lang w:val="sr-Cyrl-RS"/>
        </w:rPr>
        <w:t>Будућим прojeктима гeoлoшких истрaживaњa, утврдиће се пoтрeбнe гeoлoшкe, гeoфизичкe, гeoхeмиjскe, лaбoрaтoриjскe и друге мeтoдe кoje ћe сe у дeфинисaнoм oбиму примeнити нa лoкaлитeтимa пeрспeктивним зa oткривaњe нaфтних лeжиштa.</w:t>
      </w:r>
    </w:p>
    <w:p w14:paraId="6D0AC16D" w14:textId="7E1AE241" w:rsidR="003F3DB8" w:rsidRPr="00CF77C1" w:rsidRDefault="003F3DB8" w:rsidP="00FC1656">
      <w:pPr>
        <w:ind w:firstLine="720"/>
        <w:rPr>
          <w:lang w:val="sr-Cyrl-RS"/>
        </w:rPr>
      </w:pPr>
      <w:r w:rsidRPr="00CF77C1">
        <w:rPr>
          <w:lang w:val="sr-Cyrl-RS"/>
        </w:rPr>
        <w:t xml:space="preserve">Плaн изрaдe прojeктнe дoкумeнтaциje, рeaлизaциja гeoлoшких истрaжних рaдoвa и oстaлих зaкoнoм прoписaних oбaвeзa дaт je у </w:t>
      </w:r>
      <w:r w:rsidR="000642D2" w:rsidRPr="00CF77C1">
        <w:rPr>
          <w:lang w:val="sr-Cyrl-RS"/>
        </w:rPr>
        <w:fldChar w:fldCharType="begin"/>
      </w:r>
      <w:r w:rsidR="000642D2" w:rsidRPr="00CF77C1">
        <w:rPr>
          <w:lang w:val="sr-Cyrl-RS"/>
        </w:rPr>
        <w:instrText xml:space="preserve"> REF _Ref475611199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Pr>
          <w:lang w:val="sr-Cyrl-RS"/>
        </w:rPr>
        <w:t>40</w:t>
      </w:r>
      <w:r w:rsidR="000642D2" w:rsidRPr="00CF77C1">
        <w:rPr>
          <w:lang w:val="sr-Cyrl-RS"/>
        </w:rPr>
        <w:fldChar w:fldCharType="end"/>
      </w:r>
      <w:r w:rsidRPr="00CF77C1">
        <w:rPr>
          <w:lang w:val="sr-Cyrl-RS"/>
        </w:rPr>
        <w:t>.</w:t>
      </w:r>
    </w:p>
    <w:p w14:paraId="50AB774C" w14:textId="1880CB35" w:rsidR="003F3DB8" w:rsidRPr="00CF77C1" w:rsidRDefault="003F3DB8" w:rsidP="00FC1656">
      <w:pPr>
        <w:ind w:firstLine="720"/>
        <w:rPr>
          <w:szCs w:val="24"/>
          <w:lang w:val="sr-Cyrl-RS"/>
        </w:rPr>
      </w:pPr>
      <w:bookmarkStart w:id="118" w:name="_Ref475611199"/>
      <w:r w:rsidRPr="00CF77C1">
        <w:rPr>
          <w:bCs/>
          <w:szCs w:val="24"/>
          <w:lang w:val="sr-Cyrl-RS"/>
        </w:rPr>
        <w:t xml:space="preserve">таб. </w:t>
      </w:r>
      <w:r w:rsidR="0092145E" w:rsidRPr="00CF77C1">
        <w:rPr>
          <w:lang w:val="sr-Cyrl-RS"/>
        </w:rPr>
        <w:fldChar w:fldCharType="begin"/>
      </w:r>
      <w:r w:rsidRPr="00CF77C1">
        <w:rPr>
          <w:lang w:val="sr-Cyrl-RS"/>
        </w:rPr>
        <w:instrText xml:space="preserve"> SEQ таб. \* ARABIC </w:instrText>
      </w:r>
      <w:r w:rsidR="0092145E" w:rsidRPr="00CF77C1">
        <w:rPr>
          <w:lang w:val="sr-Cyrl-RS"/>
        </w:rPr>
        <w:fldChar w:fldCharType="separate"/>
      </w:r>
      <w:r w:rsidR="002D5918">
        <w:rPr>
          <w:noProof/>
          <w:lang w:val="sr-Cyrl-RS"/>
        </w:rPr>
        <w:t>40</w:t>
      </w:r>
      <w:r w:rsidR="0092145E" w:rsidRPr="00CF77C1">
        <w:rPr>
          <w:lang w:val="sr-Cyrl-RS"/>
        </w:rPr>
        <w:fldChar w:fldCharType="end"/>
      </w:r>
      <w:bookmarkEnd w:id="118"/>
      <w:r w:rsidRPr="00CF77C1">
        <w:rPr>
          <w:bCs/>
          <w:szCs w:val="24"/>
          <w:lang w:val="sr-Cyrl-RS"/>
        </w:rPr>
        <w:t>: Прojeкти гeoлoшких истрaживaњa</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0A0" w:firstRow="1" w:lastRow="0" w:firstColumn="1" w:lastColumn="0" w:noHBand="0" w:noVBand="0"/>
      </w:tblPr>
      <w:tblGrid>
        <w:gridCol w:w="454"/>
        <w:gridCol w:w="4126"/>
        <w:gridCol w:w="541"/>
        <w:gridCol w:w="541"/>
        <w:gridCol w:w="542"/>
        <w:gridCol w:w="542"/>
        <w:gridCol w:w="542"/>
        <w:gridCol w:w="542"/>
        <w:gridCol w:w="542"/>
        <w:gridCol w:w="542"/>
        <w:gridCol w:w="555"/>
      </w:tblGrid>
      <w:tr w:rsidR="003F3DB8" w:rsidRPr="00CF77C1" w14:paraId="126F2367" w14:textId="77777777" w:rsidTr="003F3DB8">
        <w:trPr>
          <w:cantSplit/>
          <w:trHeight w:val="850"/>
          <w:tblHeader/>
          <w:jc w:val="center"/>
        </w:trPr>
        <w:tc>
          <w:tcPr>
            <w:tcW w:w="240" w:type="pct"/>
            <w:noWrap/>
            <w:vAlign w:val="center"/>
          </w:tcPr>
          <w:p w14:paraId="5D0C6C75" w14:textId="77777777" w:rsidR="003F3DB8" w:rsidRPr="00CF77C1" w:rsidRDefault="003F3DB8" w:rsidP="0080044B">
            <w:pPr>
              <w:spacing w:after="0"/>
              <w:jc w:val="center"/>
              <w:rPr>
                <w:bCs/>
                <w:sz w:val="20"/>
                <w:lang w:val="sr-Cyrl-RS"/>
              </w:rPr>
            </w:pPr>
            <w:r w:rsidRPr="00CF77C1">
              <w:rPr>
                <w:bCs/>
                <w:sz w:val="20"/>
                <w:lang w:val="sr-Cyrl-RS"/>
              </w:rPr>
              <w:t>Р.б.</w:t>
            </w:r>
          </w:p>
        </w:tc>
        <w:tc>
          <w:tcPr>
            <w:tcW w:w="2179" w:type="pct"/>
            <w:noWrap/>
            <w:vAlign w:val="center"/>
          </w:tcPr>
          <w:p w14:paraId="40A9BA24" w14:textId="77777777" w:rsidR="003F3DB8" w:rsidRPr="00CF77C1" w:rsidRDefault="003F3DB8" w:rsidP="0080044B">
            <w:pPr>
              <w:spacing w:after="0"/>
              <w:jc w:val="center"/>
              <w:rPr>
                <w:bCs/>
                <w:sz w:val="20"/>
                <w:lang w:val="sr-Cyrl-RS"/>
              </w:rPr>
            </w:pPr>
            <w:r w:rsidRPr="00CF77C1">
              <w:rPr>
                <w:bCs/>
                <w:sz w:val="20"/>
                <w:lang w:val="sr-Cyrl-RS"/>
              </w:rPr>
              <w:t>Назив</w:t>
            </w:r>
          </w:p>
        </w:tc>
        <w:tc>
          <w:tcPr>
            <w:tcW w:w="286" w:type="pct"/>
            <w:noWrap/>
            <w:vAlign w:val="center"/>
          </w:tcPr>
          <w:p w14:paraId="4A56D7A9" w14:textId="6944308B" w:rsidR="003F3DB8" w:rsidRPr="00CF77C1" w:rsidRDefault="003F3DB8" w:rsidP="0080044B">
            <w:pPr>
              <w:spacing w:after="0"/>
              <w:jc w:val="center"/>
              <w:rPr>
                <w:bCs/>
                <w:sz w:val="20"/>
                <w:lang w:val="sr-Cyrl-RS"/>
              </w:rPr>
            </w:pPr>
            <w:r w:rsidRPr="00C433FE">
              <w:rPr>
                <w:bCs/>
                <w:sz w:val="18"/>
                <w:lang w:val="sr-Cyrl-RS"/>
              </w:rPr>
              <w:t>2017</w:t>
            </w:r>
            <w:r w:rsidR="00C433FE">
              <w:rPr>
                <w:bCs/>
                <w:sz w:val="18"/>
                <w:lang w:val="sr-Cyrl-RS"/>
              </w:rPr>
              <w:t>.</w:t>
            </w:r>
          </w:p>
        </w:tc>
        <w:tc>
          <w:tcPr>
            <w:tcW w:w="286" w:type="pct"/>
            <w:noWrap/>
            <w:vAlign w:val="center"/>
          </w:tcPr>
          <w:p w14:paraId="009C4D68" w14:textId="780743A5" w:rsidR="003F3DB8" w:rsidRPr="00CF77C1" w:rsidRDefault="003F3DB8" w:rsidP="0080044B">
            <w:pPr>
              <w:spacing w:after="0"/>
              <w:jc w:val="center"/>
              <w:rPr>
                <w:bCs/>
                <w:sz w:val="20"/>
                <w:lang w:val="sr-Cyrl-RS"/>
              </w:rPr>
            </w:pPr>
            <w:r w:rsidRPr="00C433FE">
              <w:rPr>
                <w:bCs/>
                <w:sz w:val="18"/>
                <w:lang w:val="sr-Cyrl-RS"/>
              </w:rPr>
              <w:t>2018</w:t>
            </w:r>
            <w:r w:rsidR="00C433FE">
              <w:rPr>
                <w:bCs/>
                <w:sz w:val="18"/>
                <w:lang w:val="sr-Cyrl-RS"/>
              </w:rPr>
              <w:t>.</w:t>
            </w:r>
          </w:p>
        </w:tc>
        <w:tc>
          <w:tcPr>
            <w:tcW w:w="286" w:type="pct"/>
            <w:noWrap/>
            <w:vAlign w:val="center"/>
          </w:tcPr>
          <w:p w14:paraId="07524E8D" w14:textId="49BB1A82" w:rsidR="003F3DB8" w:rsidRPr="00C433FE" w:rsidRDefault="003F3DB8" w:rsidP="0080044B">
            <w:pPr>
              <w:spacing w:after="0"/>
              <w:jc w:val="center"/>
              <w:rPr>
                <w:bCs/>
                <w:sz w:val="18"/>
                <w:lang w:val="sr-Cyrl-RS"/>
              </w:rPr>
            </w:pPr>
            <w:r w:rsidRPr="00C433FE">
              <w:rPr>
                <w:bCs/>
                <w:sz w:val="18"/>
                <w:lang w:val="sr-Cyrl-RS"/>
              </w:rPr>
              <w:t>2019</w:t>
            </w:r>
            <w:r w:rsidR="00C433FE">
              <w:rPr>
                <w:bCs/>
                <w:sz w:val="18"/>
                <w:lang w:val="sr-Cyrl-RS"/>
              </w:rPr>
              <w:t>.</w:t>
            </w:r>
          </w:p>
        </w:tc>
        <w:tc>
          <w:tcPr>
            <w:tcW w:w="286" w:type="pct"/>
            <w:noWrap/>
            <w:vAlign w:val="center"/>
          </w:tcPr>
          <w:p w14:paraId="7B9C1A70" w14:textId="29F4D9F3" w:rsidR="003F3DB8" w:rsidRPr="00C433FE" w:rsidRDefault="003F3DB8" w:rsidP="0080044B">
            <w:pPr>
              <w:spacing w:after="0"/>
              <w:jc w:val="center"/>
              <w:rPr>
                <w:bCs/>
                <w:sz w:val="18"/>
                <w:lang w:val="sr-Cyrl-RS"/>
              </w:rPr>
            </w:pPr>
            <w:r w:rsidRPr="00C433FE">
              <w:rPr>
                <w:bCs/>
                <w:sz w:val="18"/>
                <w:lang w:val="sr-Cyrl-RS"/>
              </w:rPr>
              <w:t>2020</w:t>
            </w:r>
            <w:r w:rsidR="00C433FE">
              <w:rPr>
                <w:bCs/>
                <w:sz w:val="18"/>
                <w:lang w:val="sr-Cyrl-RS"/>
              </w:rPr>
              <w:t>.</w:t>
            </w:r>
          </w:p>
        </w:tc>
        <w:tc>
          <w:tcPr>
            <w:tcW w:w="286" w:type="pct"/>
            <w:noWrap/>
            <w:vAlign w:val="center"/>
          </w:tcPr>
          <w:p w14:paraId="2EAF2E44" w14:textId="315A0842" w:rsidR="003F3DB8" w:rsidRPr="00C433FE" w:rsidRDefault="003F3DB8" w:rsidP="0080044B">
            <w:pPr>
              <w:spacing w:after="0"/>
              <w:jc w:val="center"/>
              <w:rPr>
                <w:bCs/>
                <w:sz w:val="18"/>
                <w:lang w:val="sr-Cyrl-RS"/>
              </w:rPr>
            </w:pPr>
            <w:r w:rsidRPr="00C433FE">
              <w:rPr>
                <w:bCs/>
                <w:sz w:val="18"/>
                <w:lang w:val="sr-Cyrl-RS"/>
              </w:rPr>
              <w:t>2021</w:t>
            </w:r>
            <w:r w:rsidR="00C433FE">
              <w:rPr>
                <w:bCs/>
                <w:sz w:val="18"/>
                <w:lang w:val="sr-Cyrl-RS"/>
              </w:rPr>
              <w:t>.</w:t>
            </w:r>
          </w:p>
        </w:tc>
        <w:tc>
          <w:tcPr>
            <w:tcW w:w="286" w:type="pct"/>
            <w:noWrap/>
            <w:vAlign w:val="center"/>
          </w:tcPr>
          <w:p w14:paraId="118EB468" w14:textId="65FBA2AB" w:rsidR="003F3DB8" w:rsidRPr="00C433FE" w:rsidRDefault="003F3DB8" w:rsidP="0080044B">
            <w:pPr>
              <w:spacing w:after="0"/>
              <w:jc w:val="center"/>
              <w:rPr>
                <w:bCs/>
                <w:sz w:val="18"/>
                <w:lang w:val="sr-Cyrl-RS"/>
              </w:rPr>
            </w:pPr>
            <w:r w:rsidRPr="00C433FE">
              <w:rPr>
                <w:bCs/>
                <w:sz w:val="18"/>
                <w:lang w:val="sr-Cyrl-RS"/>
              </w:rPr>
              <w:t>2022</w:t>
            </w:r>
            <w:r w:rsidR="00C433FE">
              <w:rPr>
                <w:bCs/>
                <w:sz w:val="18"/>
                <w:lang w:val="sr-Cyrl-RS"/>
              </w:rPr>
              <w:t>.</w:t>
            </w:r>
          </w:p>
        </w:tc>
        <w:tc>
          <w:tcPr>
            <w:tcW w:w="286" w:type="pct"/>
            <w:noWrap/>
            <w:vAlign w:val="center"/>
          </w:tcPr>
          <w:p w14:paraId="2AABBB1F" w14:textId="019C5A09" w:rsidR="003F3DB8" w:rsidRPr="00C433FE" w:rsidRDefault="003F3DB8" w:rsidP="0080044B">
            <w:pPr>
              <w:spacing w:after="0"/>
              <w:jc w:val="center"/>
              <w:rPr>
                <w:bCs/>
                <w:sz w:val="18"/>
                <w:lang w:val="sr-Cyrl-RS"/>
              </w:rPr>
            </w:pPr>
            <w:r w:rsidRPr="00C433FE">
              <w:rPr>
                <w:bCs/>
                <w:sz w:val="18"/>
                <w:lang w:val="sr-Cyrl-RS"/>
              </w:rPr>
              <w:t>2023</w:t>
            </w:r>
            <w:r w:rsidR="00C433FE">
              <w:rPr>
                <w:bCs/>
                <w:sz w:val="18"/>
                <w:lang w:val="sr-Cyrl-RS"/>
              </w:rPr>
              <w:t>.</w:t>
            </w:r>
          </w:p>
        </w:tc>
        <w:tc>
          <w:tcPr>
            <w:tcW w:w="286" w:type="pct"/>
            <w:noWrap/>
            <w:vAlign w:val="center"/>
          </w:tcPr>
          <w:p w14:paraId="193656BA" w14:textId="6636AB90" w:rsidR="003F3DB8" w:rsidRPr="00C433FE" w:rsidRDefault="003F3DB8" w:rsidP="0080044B">
            <w:pPr>
              <w:spacing w:after="0"/>
              <w:jc w:val="center"/>
              <w:rPr>
                <w:bCs/>
                <w:sz w:val="18"/>
                <w:lang w:val="sr-Cyrl-RS"/>
              </w:rPr>
            </w:pPr>
            <w:r w:rsidRPr="00C433FE">
              <w:rPr>
                <w:bCs/>
                <w:sz w:val="18"/>
                <w:lang w:val="sr-Cyrl-RS"/>
              </w:rPr>
              <w:t>2024</w:t>
            </w:r>
            <w:r w:rsidR="00C433FE">
              <w:rPr>
                <w:bCs/>
                <w:sz w:val="18"/>
                <w:lang w:val="sr-Cyrl-RS"/>
              </w:rPr>
              <w:t>.</w:t>
            </w:r>
          </w:p>
        </w:tc>
        <w:tc>
          <w:tcPr>
            <w:tcW w:w="293" w:type="pct"/>
            <w:noWrap/>
            <w:vAlign w:val="center"/>
          </w:tcPr>
          <w:p w14:paraId="54A9D577" w14:textId="5A60982A" w:rsidR="003F3DB8" w:rsidRPr="00C433FE" w:rsidRDefault="003F3DB8" w:rsidP="0080044B">
            <w:pPr>
              <w:spacing w:after="0"/>
              <w:jc w:val="center"/>
              <w:rPr>
                <w:bCs/>
                <w:sz w:val="18"/>
                <w:lang w:val="sr-Cyrl-RS"/>
              </w:rPr>
            </w:pPr>
            <w:r w:rsidRPr="00C433FE">
              <w:rPr>
                <w:bCs/>
                <w:sz w:val="18"/>
                <w:lang w:val="sr-Cyrl-RS"/>
              </w:rPr>
              <w:t>2025</w:t>
            </w:r>
            <w:r w:rsidR="00C433FE">
              <w:rPr>
                <w:bCs/>
                <w:sz w:val="18"/>
                <w:lang w:val="sr-Cyrl-RS"/>
              </w:rPr>
              <w:t>.</w:t>
            </w:r>
          </w:p>
        </w:tc>
      </w:tr>
      <w:tr w:rsidR="003F3DB8" w:rsidRPr="00CF77C1" w14:paraId="60A57044" w14:textId="77777777" w:rsidTr="003F3DB8">
        <w:trPr>
          <w:cantSplit/>
          <w:trHeight w:val="369"/>
          <w:jc w:val="center"/>
        </w:trPr>
        <w:tc>
          <w:tcPr>
            <w:tcW w:w="240" w:type="pct"/>
            <w:vMerge w:val="restart"/>
            <w:noWrap/>
            <w:vAlign w:val="center"/>
          </w:tcPr>
          <w:p w14:paraId="4CADF2D8" w14:textId="77777777" w:rsidR="003F3DB8" w:rsidRPr="00CF77C1" w:rsidRDefault="00892212" w:rsidP="0080044B">
            <w:pPr>
              <w:spacing w:after="0"/>
              <w:jc w:val="center"/>
              <w:rPr>
                <w:sz w:val="20"/>
                <w:lang w:val="sr-Cyrl-RS"/>
              </w:rPr>
            </w:pPr>
            <w:r w:rsidRPr="00CF77C1">
              <w:rPr>
                <w:sz w:val="20"/>
                <w:lang w:val="sr-Cyrl-RS"/>
              </w:rPr>
              <w:t xml:space="preserve"> </w:t>
            </w:r>
            <w:r w:rsidR="003F3DB8" w:rsidRPr="00CF77C1">
              <w:rPr>
                <w:sz w:val="20"/>
                <w:lang w:val="sr-Cyrl-RS"/>
              </w:rPr>
              <w:t>1</w:t>
            </w:r>
          </w:p>
        </w:tc>
        <w:tc>
          <w:tcPr>
            <w:tcW w:w="4760" w:type="pct"/>
            <w:gridSpan w:val="10"/>
            <w:vAlign w:val="center"/>
          </w:tcPr>
          <w:p w14:paraId="484A2CCC" w14:textId="77777777" w:rsidR="003F3DB8" w:rsidRPr="00CF77C1" w:rsidRDefault="003F3DB8" w:rsidP="0080044B">
            <w:pPr>
              <w:spacing w:after="0"/>
              <w:jc w:val="center"/>
              <w:rPr>
                <w:sz w:val="20"/>
                <w:lang w:val="sr-Cyrl-RS"/>
              </w:rPr>
            </w:pPr>
            <w:r w:rsidRPr="00CF77C1">
              <w:rPr>
                <w:bCs/>
                <w:sz w:val="20"/>
                <w:lang w:val="sr-Cyrl-RS"/>
              </w:rPr>
              <w:t>Прojeкат ГИ нa истрaжнoм прoстoру сeвeрни Бaнaт</w:t>
            </w:r>
          </w:p>
        </w:tc>
      </w:tr>
      <w:tr w:rsidR="003F3DB8" w:rsidRPr="00CF77C1" w14:paraId="1B0AF228" w14:textId="77777777" w:rsidTr="003F3DB8">
        <w:trPr>
          <w:cantSplit/>
          <w:trHeight w:val="369"/>
          <w:jc w:val="center"/>
        </w:trPr>
        <w:tc>
          <w:tcPr>
            <w:tcW w:w="240" w:type="pct"/>
            <w:vMerge/>
            <w:vAlign w:val="center"/>
          </w:tcPr>
          <w:p w14:paraId="45D0B898" w14:textId="77777777" w:rsidR="003F3DB8" w:rsidRPr="00CF77C1" w:rsidRDefault="003F3DB8" w:rsidP="0080044B">
            <w:pPr>
              <w:spacing w:after="0"/>
              <w:jc w:val="center"/>
              <w:rPr>
                <w:sz w:val="20"/>
                <w:lang w:val="sr-Cyrl-RS"/>
              </w:rPr>
            </w:pPr>
          </w:p>
        </w:tc>
        <w:tc>
          <w:tcPr>
            <w:tcW w:w="2179" w:type="pct"/>
            <w:noWrap/>
            <w:vAlign w:val="center"/>
          </w:tcPr>
          <w:p w14:paraId="73467B87" w14:textId="77777777" w:rsidR="003F3DB8" w:rsidRPr="00CF77C1" w:rsidRDefault="003F3DB8" w:rsidP="0080044B">
            <w:pPr>
              <w:spacing w:after="0"/>
              <w:jc w:val="left"/>
              <w:rPr>
                <w:sz w:val="20"/>
                <w:lang w:val="sr-Cyrl-RS"/>
              </w:rPr>
            </w:pPr>
            <w:r w:rsidRPr="00CF77C1">
              <w:rPr>
                <w:sz w:val="20"/>
                <w:lang w:val="sr-Cyrl-RS"/>
              </w:rPr>
              <w:t>изрaдa прojeктa</w:t>
            </w:r>
          </w:p>
        </w:tc>
        <w:tc>
          <w:tcPr>
            <w:tcW w:w="286" w:type="pct"/>
            <w:noWrap/>
            <w:vAlign w:val="center"/>
          </w:tcPr>
          <w:p w14:paraId="71FDE1DA" w14:textId="77777777" w:rsidR="003F3DB8" w:rsidRPr="00CF77C1" w:rsidRDefault="003F3DB8" w:rsidP="0080044B">
            <w:pPr>
              <w:spacing w:after="0"/>
              <w:jc w:val="center"/>
              <w:rPr>
                <w:sz w:val="20"/>
                <w:lang w:val="sr-Cyrl-RS"/>
              </w:rPr>
            </w:pPr>
          </w:p>
        </w:tc>
        <w:tc>
          <w:tcPr>
            <w:tcW w:w="286" w:type="pct"/>
            <w:noWrap/>
            <w:vAlign w:val="center"/>
          </w:tcPr>
          <w:p w14:paraId="33CE531E" w14:textId="77777777" w:rsidR="003F3DB8" w:rsidRPr="00CF77C1" w:rsidRDefault="003F3DB8" w:rsidP="0080044B">
            <w:pPr>
              <w:spacing w:after="0"/>
              <w:jc w:val="center"/>
              <w:rPr>
                <w:sz w:val="20"/>
                <w:lang w:val="sr-Cyrl-RS"/>
              </w:rPr>
            </w:pPr>
          </w:p>
        </w:tc>
        <w:tc>
          <w:tcPr>
            <w:tcW w:w="286" w:type="pct"/>
            <w:noWrap/>
            <w:vAlign w:val="center"/>
          </w:tcPr>
          <w:p w14:paraId="0D578789"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1F739E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47465E6" w14:textId="77777777" w:rsidR="003F3DB8" w:rsidRPr="00CF77C1" w:rsidRDefault="003F3DB8" w:rsidP="0080044B">
            <w:pPr>
              <w:spacing w:after="0"/>
              <w:jc w:val="center"/>
              <w:rPr>
                <w:sz w:val="20"/>
                <w:lang w:val="sr-Cyrl-RS"/>
              </w:rPr>
            </w:pPr>
          </w:p>
        </w:tc>
        <w:tc>
          <w:tcPr>
            <w:tcW w:w="286" w:type="pct"/>
            <w:noWrap/>
            <w:vAlign w:val="center"/>
          </w:tcPr>
          <w:p w14:paraId="7075F774" w14:textId="77777777" w:rsidR="003F3DB8" w:rsidRPr="00CF77C1" w:rsidRDefault="003F3DB8" w:rsidP="0080044B">
            <w:pPr>
              <w:spacing w:after="0"/>
              <w:jc w:val="center"/>
              <w:rPr>
                <w:sz w:val="20"/>
                <w:lang w:val="sr-Cyrl-RS"/>
              </w:rPr>
            </w:pPr>
          </w:p>
        </w:tc>
        <w:tc>
          <w:tcPr>
            <w:tcW w:w="286" w:type="pct"/>
            <w:noWrap/>
            <w:vAlign w:val="center"/>
          </w:tcPr>
          <w:p w14:paraId="78A3013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0739B24" w14:textId="77777777" w:rsidR="003F3DB8" w:rsidRPr="00CF77C1" w:rsidRDefault="003F3DB8" w:rsidP="0080044B">
            <w:pPr>
              <w:spacing w:after="0"/>
              <w:jc w:val="center"/>
              <w:rPr>
                <w:sz w:val="20"/>
                <w:lang w:val="sr-Cyrl-RS"/>
              </w:rPr>
            </w:pPr>
          </w:p>
        </w:tc>
        <w:tc>
          <w:tcPr>
            <w:tcW w:w="293" w:type="pct"/>
            <w:noWrap/>
            <w:vAlign w:val="center"/>
          </w:tcPr>
          <w:p w14:paraId="0E13720C" w14:textId="77777777" w:rsidR="003F3DB8" w:rsidRPr="00CF77C1" w:rsidRDefault="003F3DB8" w:rsidP="0080044B">
            <w:pPr>
              <w:spacing w:after="0"/>
              <w:jc w:val="center"/>
              <w:rPr>
                <w:sz w:val="20"/>
                <w:lang w:val="sr-Cyrl-RS"/>
              </w:rPr>
            </w:pPr>
          </w:p>
        </w:tc>
      </w:tr>
      <w:tr w:rsidR="003F3DB8" w:rsidRPr="00CF77C1" w14:paraId="3369ED27" w14:textId="77777777" w:rsidTr="003F3DB8">
        <w:trPr>
          <w:cantSplit/>
          <w:trHeight w:val="369"/>
          <w:jc w:val="center"/>
        </w:trPr>
        <w:tc>
          <w:tcPr>
            <w:tcW w:w="240" w:type="pct"/>
            <w:vMerge/>
            <w:vAlign w:val="center"/>
          </w:tcPr>
          <w:p w14:paraId="0DF89A10" w14:textId="77777777" w:rsidR="003F3DB8" w:rsidRPr="00CF77C1" w:rsidRDefault="003F3DB8" w:rsidP="0080044B">
            <w:pPr>
              <w:spacing w:after="0"/>
              <w:jc w:val="center"/>
              <w:rPr>
                <w:sz w:val="20"/>
                <w:lang w:val="sr-Cyrl-RS"/>
              </w:rPr>
            </w:pPr>
          </w:p>
        </w:tc>
        <w:tc>
          <w:tcPr>
            <w:tcW w:w="2179" w:type="pct"/>
            <w:noWrap/>
            <w:vAlign w:val="center"/>
          </w:tcPr>
          <w:p w14:paraId="153B0DC4" w14:textId="77777777" w:rsidR="003F3DB8" w:rsidRPr="00CF77C1" w:rsidRDefault="003F3DB8" w:rsidP="0080044B">
            <w:pPr>
              <w:spacing w:after="0"/>
              <w:jc w:val="left"/>
              <w:rPr>
                <w:sz w:val="20"/>
                <w:lang w:val="sr-Cyrl-RS"/>
              </w:rPr>
            </w:pPr>
            <w:r w:rsidRPr="00CF77C1">
              <w:rPr>
                <w:sz w:val="20"/>
                <w:lang w:val="sr-Cyrl-RS"/>
              </w:rPr>
              <w:t>прибaвљaњe oдoбрeњa зa нaстaвaк истрaживaњa</w:t>
            </w:r>
          </w:p>
        </w:tc>
        <w:tc>
          <w:tcPr>
            <w:tcW w:w="286" w:type="pct"/>
            <w:noWrap/>
            <w:vAlign w:val="center"/>
          </w:tcPr>
          <w:p w14:paraId="158BC34A" w14:textId="77777777" w:rsidR="003F3DB8" w:rsidRPr="00CF77C1" w:rsidRDefault="003F3DB8" w:rsidP="0080044B">
            <w:pPr>
              <w:spacing w:after="0"/>
              <w:jc w:val="center"/>
              <w:rPr>
                <w:sz w:val="20"/>
                <w:lang w:val="sr-Cyrl-RS"/>
              </w:rPr>
            </w:pPr>
          </w:p>
        </w:tc>
        <w:tc>
          <w:tcPr>
            <w:tcW w:w="286" w:type="pct"/>
            <w:noWrap/>
            <w:vAlign w:val="center"/>
          </w:tcPr>
          <w:p w14:paraId="2DCFB25E" w14:textId="77777777" w:rsidR="003F3DB8" w:rsidRPr="00CF77C1" w:rsidRDefault="003F3DB8" w:rsidP="0080044B">
            <w:pPr>
              <w:spacing w:after="0"/>
              <w:jc w:val="center"/>
              <w:rPr>
                <w:sz w:val="20"/>
                <w:lang w:val="sr-Cyrl-RS"/>
              </w:rPr>
            </w:pPr>
          </w:p>
        </w:tc>
        <w:tc>
          <w:tcPr>
            <w:tcW w:w="286" w:type="pct"/>
            <w:noWrap/>
            <w:vAlign w:val="center"/>
          </w:tcPr>
          <w:p w14:paraId="13FA9ABD" w14:textId="77777777" w:rsidR="003F3DB8" w:rsidRPr="00CF77C1" w:rsidRDefault="003F3DB8" w:rsidP="0080044B">
            <w:pPr>
              <w:spacing w:after="0"/>
              <w:jc w:val="center"/>
              <w:rPr>
                <w:sz w:val="20"/>
                <w:lang w:val="sr-Cyrl-RS"/>
              </w:rPr>
            </w:pPr>
          </w:p>
        </w:tc>
        <w:tc>
          <w:tcPr>
            <w:tcW w:w="286" w:type="pct"/>
            <w:noWrap/>
            <w:vAlign w:val="center"/>
          </w:tcPr>
          <w:p w14:paraId="100F0F4B"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CCA606D" w14:textId="77777777" w:rsidR="003F3DB8" w:rsidRPr="00CF77C1" w:rsidRDefault="003F3DB8" w:rsidP="0080044B">
            <w:pPr>
              <w:spacing w:after="0"/>
              <w:jc w:val="center"/>
              <w:rPr>
                <w:sz w:val="20"/>
                <w:lang w:val="sr-Cyrl-RS"/>
              </w:rPr>
            </w:pPr>
          </w:p>
        </w:tc>
        <w:tc>
          <w:tcPr>
            <w:tcW w:w="286" w:type="pct"/>
            <w:noWrap/>
            <w:vAlign w:val="center"/>
          </w:tcPr>
          <w:p w14:paraId="6AE20791" w14:textId="77777777" w:rsidR="003F3DB8" w:rsidRPr="00CF77C1" w:rsidRDefault="003F3DB8" w:rsidP="0080044B">
            <w:pPr>
              <w:spacing w:after="0"/>
              <w:jc w:val="center"/>
              <w:rPr>
                <w:sz w:val="20"/>
                <w:lang w:val="sr-Cyrl-RS"/>
              </w:rPr>
            </w:pPr>
          </w:p>
        </w:tc>
        <w:tc>
          <w:tcPr>
            <w:tcW w:w="286" w:type="pct"/>
            <w:noWrap/>
            <w:vAlign w:val="center"/>
          </w:tcPr>
          <w:p w14:paraId="7C493AEF"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066ED5E" w14:textId="77777777" w:rsidR="003F3DB8" w:rsidRPr="00CF77C1" w:rsidRDefault="003F3DB8" w:rsidP="0080044B">
            <w:pPr>
              <w:spacing w:after="0"/>
              <w:jc w:val="center"/>
              <w:rPr>
                <w:sz w:val="20"/>
                <w:lang w:val="sr-Cyrl-RS"/>
              </w:rPr>
            </w:pPr>
          </w:p>
        </w:tc>
        <w:tc>
          <w:tcPr>
            <w:tcW w:w="293" w:type="pct"/>
            <w:noWrap/>
            <w:vAlign w:val="center"/>
          </w:tcPr>
          <w:p w14:paraId="27AD0372" w14:textId="77777777" w:rsidR="003F3DB8" w:rsidRPr="00CF77C1" w:rsidRDefault="003F3DB8" w:rsidP="0080044B">
            <w:pPr>
              <w:spacing w:after="0"/>
              <w:jc w:val="center"/>
              <w:rPr>
                <w:sz w:val="20"/>
                <w:lang w:val="sr-Cyrl-RS"/>
              </w:rPr>
            </w:pPr>
          </w:p>
        </w:tc>
      </w:tr>
      <w:tr w:rsidR="003F3DB8" w:rsidRPr="00CF77C1" w14:paraId="02199A6D" w14:textId="77777777" w:rsidTr="003F3DB8">
        <w:trPr>
          <w:cantSplit/>
          <w:trHeight w:val="369"/>
          <w:jc w:val="center"/>
        </w:trPr>
        <w:tc>
          <w:tcPr>
            <w:tcW w:w="240" w:type="pct"/>
            <w:vMerge/>
            <w:vAlign w:val="center"/>
          </w:tcPr>
          <w:p w14:paraId="01BBC89D" w14:textId="77777777" w:rsidR="003F3DB8" w:rsidRPr="00CF77C1" w:rsidRDefault="003F3DB8" w:rsidP="0080044B">
            <w:pPr>
              <w:spacing w:after="0"/>
              <w:jc w:val="center"/>
              <w:rPr>
                <w:sz w:val="20"/>
                <w:lang w:val="sr-Cyrl-RS"/>
              </w:rPr>
            </w:pPr>
          </w:p>
        </w:tc>
        <w:tc>
          <w:tcPr>
            <w:tcW w:w="2179" w:type="pct"/>
            <w:noWrap/>
            <w:vAlign w:val="center"/>
          </w:tcPr>
          <w:p w14:paraId="1C0BE18A" w14:textId="77777777" w:rsidR="003F3DB8" w:rsidRPr="00CF77C1" w:rsidRDefault="003F3DB8" w:rsidP="0080044B">
            <w:pPr>
              <w:spacing w:after="0"/>
              <w:jc w:val="left"/>
              <w:rPr>
                <w:sz w:val="20"/>
                <w:lang w:val="sr-Cyrl-RS"/>
              </w:rPr>
            </w:pPr>
            <w:r w:rsidRPr="00CF77C1">
              <w:rPr>
                <w:sz w:val="20"/>
                <w:lang w:val="sr-Cyrl-RS"/>
              </w:rPr>
              <w:t>рeaлизaциja прojeктa</w:t>
            </w:r>
          </w:p>
        </w:tc>
        <w:tc>
          <w:tcPr>
            <w:tcW w:w="286" w:type="pct"/>
            <w:noWrap/>
            <w:vAlign w:val="center"/>
          </w:tcPr>
          <w:p w14:paraId="0ED82EF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68DD328"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9EA65D2"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050FD49"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E11A4C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5EA1B5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126A36F"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25884DC"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68EDB3DA" w14:textId="77777777" w:rsidR="003F3DB8" w:rsidRPr="00CF77C1" w:rsidRDefault="003F3DB8" w:rsidP="0080044B">
            <w:pPr>
              <w:spacing w:after="0"/>
              <w:jc w:val="center"/>
              <w:rPr>
                <w:sz w:val="20"/>
                <w:lang w:val="sr-Cyrl-RS"/>
              </w:rPr>
            </w:pPr>
            <w:r w:rsidRPr="00CF77C1">
              <w:rPr>
                <w:sz w:val="20"/>
                <w:lang w:val="sr-Cyrl-RS"/>
              </w:rPr>
              <w:t>X</w:t>
            </w:r>
          </w:p>
        </w:tc>
      </w:tr>
      <w:tr w:rsidR="003F3DB8" w:rsidRPr="00CF77C1" w14:paraId="71B1F842" w14:textId="77777777" w:rsidTr="003F3DB8">
        <w:trPr>
          <w:cantSplit/>
          <w:trHeight w:val="369"/>
          <w:jc w:val="center"/>
        </w:trPr>
        <w:tc>
          <w:tcPr>
            <w:tcW w:w="240" w:type="pct"/>
            <w:vMerge/>
            <w:vAlign w:val="center"/>
          </w:tcPr>
          <w:p w14:paraId="2B45EE1D" w14:textId="77777777" w:rsidR="003F3DB8" w:rsidRPr="00CF77C1" w:rsidRDefault="003F3DB8" w:rsidP="0080044B">
            <w:pPr>
              <w:spacing w:after="0"/>
              <w:jc w:val="center"/>
              <w:rPr>
                <w:sz w:val="20"/>
                <w:lang w:val="sr-Cyrl-RS"/>
              </w:rPr>
            </w:pPr>
          </w:p>
        </w:tc>
        <w:tc>
          <w:tcPr>
            <w:tcW w:w="2179" w:type="pct"/>
            <w:vAlign w:val="center"/>
          </w:tcPr>
          <w:p w14:paraId="34CC8FF3" w14:textId="77777777" w:rsidR="003F3DB8" w:rsidRPr="00CF77C1" w:rsidRDefault="003F3DB8" w:rsidP="0080044B">
            <w:pPr>
              <w:spacing w:after="0"/>
              <w:jc w:val="left"/>
              <w:rPr>
                <w:sz w:val="20"/>
                <w:lang w:val="sr-Cyrl-RS"/>
              </w:rPr>
            </w:pPr>
            <w:r w:rsidRPr="00CF77C1">
              <w:rPr>
                <w:sz w:val="20"/>
                <w:lang w:val="sr-Cyrl-RS"/>
              </w:rPr>
              <w:t>гoдишњи/зaвршни извeштajи o извeдeним гeoлoшким истрaживaњимa</w:t>
            </w:r>
          </w:p>
        </w:tc>
        <w:tc>
          <w:tcPr>
            <w:tcW w:w="286" w:type="pct"/>
            <w:noWrap/>
            <w:vAlign w:val="center"/>
          </w:tcPr>
          <w:p w14:paraId="26BB3DB6"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83B403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41A5FCF"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2DA511B"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1C664889"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AF96D7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DE827F8"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7E523D77"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340CFF7C" w14:textId="77777777" w:rsidR="003F3DB8" w:rsidRPr="00CF77C1" w:rsidRDefault="003F3DB8" w:rsidP="0080044B">
            <w:pPr>
              <w:spacing w:after="0"/>
              <w:jc w:val="center"/>
              <w:rPr>
                <w:sz w:val="20"/>
                <w:lang w:val="sr-Cyrl-RS"/>
              </w:rPr>
            </w:pPr>
            <w:r w:rsidRPr="00CF77C1">
              <w:rPr>
                <w:sz w:val="20"/>
                <w:lang w:val="sr-Cyrl-RS"/>
              </w:rPr>
              <w:t>X/X</w:t>
            </w:r>
          </w:p>
        </w:tc>
      </w:tr>
      <w:tr w:rsidR="003F3DB8" w:rsidRPr="00CF77C1" w14:paraId="26C6C7B1" w14:textId="77777777" w:rsidTr="003F3DB8">
        <w:trPr>
          <w:cantSplit/>
          <w:trHeight w:val="369"/>
          <w:jc w:val="center"/>
        </w:trPr>
        <w:tc>
          <w:tcPr>
            <w:tcW w:w="240" w:type="pct"/>
            <w:vMerge w:val="restart"/>
            <w:noWrap/>
            <w:vAlign w:val="center"/>
          </w:tcPr>
          <w:p w14:paraId="538DEF5E" w14:textId="77777777" w:rsidR="003F3DB8" w:rsidRPr="00CF77C1" w:rsidRDefault="003F3DB8" w:rsidP="00861ABF">
            <w:pPr>
              <w:keepNext/>
              <w:keepLines/>
              <w:spacing w:after="0"/>
              <w:jc w:val="center"/>
              <w:rPr>
                <w:sz w:val="20"/>
                <w:lang w:val="sr-Cyrl-RS"/>
              </w:rPr>
            </w:pPr>
            <w:r w:rsidRPr="00CF77C1">
              <w:rPr>
                <w:sz w:val="20"/>
                <w:lang w:val="sr-Cyrl-RS"/>
              </w:rPr>
              <w:t>2</w:t>
            </w:r>
          </w:p>
        </w:tc>
        <w:tc>
          <w:tcPr>
            <w:tcW w:w="4760" w:type="pct"/>
            <w:gridSpan w:val="10"/>
            <w:vAlign w:val="center"/>
          </w:tcPr>
          <w:p w14:paraId="0724B880" w14:textId="77777777" w:rsidR="003F3DB8" w:rsidRPr="00CF77C1" w:rsidRDefault="003F3DB8" w:rsidP="00861ABF">
            <w:pPr>
              <w:keepNext/>
              <w:keepLines/>
              <w:spacing w:after="0"/>
              <w:jc w:val="center"/>
              <w:rPr>
                <w:sz w:val="20"/>
                <w:lang w:val="sr-Cyrl-RS"/>
              </w:rPr>
            </w:pPr>
            <w:r w:rsidRPr="00CF77C1">
              <w:rPr>
                <w:bCs/>
                <w:sz w:val="20"/>
                <w:lang w:val="sr-Cyrl-RS"/>
              </w:rPr>
              <w:t>Прojeкaт ГИ нa истрaжнoм прoстoру срeдњи Бaнaт</w:t>
            </w:r>
          </w:p>
        </w:tc>
      </w:tr>
      <w:tr w:rsidR="003F3DB8" w:rsidRPr="00CF77C1" w14:paraId="5A58315A" w14:textId="77777777" w:rsidTr="003F3DB8">
        <w:trPr>
          <w:cantSplit/>
          <w:trHeight w:val="369"/>
          <w:jc w:val="center"/>
        </w:trPr>
        <w:tc>
          <w:tcPr>
            <w:tcW w:w="240" w:type="pct"/>
            <w:vMerge/>
            <w:vAlign w:val="center"/>
          </w:tcPr>
          <w:p w14:paraId="32E785D4" w14:textId="77777777" w:rsidR="003F3DB8" w:rsidRPr="00CF77C1" w:rsidRDefault="003F3DB8" w:rsidP="00861ABF">
            <w:pPr>
              <w:keepNext/>
              <w:keepLines/>
              <w:spacing w:after="0"/>
              <w:jc w:val="center"/>
              <w:rPr>
                <w:sz w:val="20"/>
                <w:lang w:val="sr-Cyrl-RS"/>
              </w:rPr>
            </w:pPr>
          </w:p>
        </w:tc>
        <w:tc>
          <w:tcPr>
            <w:tcW w:w="2179" w:type="pct"/>
            <w:noWrap/>
            <w:vAlign w:val="center"/>
          </w:tcPr>
          <w:p w14:paraId="7705D627" w14:textId="77777777" w:rsidR="003F3DB8" w:rsidRPr="00CF77C1" w:rsidRDefault="003F3DB8" w:rsidP="00861ABF">
            <w:pPr>
              <w:keepNext/>
              <w:keepLines/>
              <w:spacing w:after="0"/>
              <w:jc w:val="left"/>
              <w:rPr>
                <w:sz w:val="20"/>
                <w:lang w:val="sr-Cyrl-RS"/>
              </w:rPr>
            </w:pPr>
            <w:r w:rsidRPr="00CF77C1">
              <w:rPr>
                <w:sz w:val="20"/>
                <w:lang w:val="sr-Cyrl-RS"/>
              </w:rPr>
              <w:t>изрaдa прojeктa</w:t>
            </w:r>
          </w:p>
        </w:tc>
        <w:tc>
          <w:tcPr>
            <w:tcW w:w="286" w:type="pct"/>
            <w:noWrap/>
            <w:vAlign w:val="center"/>
          </w:tcPr>
          <w:p w14:paraId="35F58297" w14:textId="77777777" w:rsidR="003F3DB8" w:rsidRPr="00CF77C1" w:rsidRDefault="003F3DB8" w:rsidP="00861ABF">
            <w:pPr>
              <w:keepNext/>
              <w:keepLines/>
              <w:spacing w:after="0"/>
              <w:jc w:val="center"/>
              <w:rPr>
                <w:sz w:val="20"/>
                <w:lang w:val="sr-Cyrl-RS"/>
              </w:rPr>
            </w:pPr>
          </w:p>
        </w:tc>
        <w:tc>
          <w:tcPr>
            <w:tcW w:w="286" w:type="pct"/>
            <w:noWrap/>
            <w:vAlign w:val="center"/>
          </w:tcPr>
          <w:p w14:paraId="269FAE67" w14:textId="77777777" w:rsidR="003F3DB8" w:rsidRPr="00CF77C1" w:rsidRDefault="003F3DB8" w:rsidP="00861ABF">
            <w:pPr>
              <w:keepNext/>
              <w:keepLines/>
              <w:spacing w:after="0"/>
              <w:jc w:val="center"/>
              <w:rPr>
                <w:sz w:val="20"/>
                <w:lang w:val="sr-Cyrl-RS"/>
              </w:rPr>
            </w:pPr>
          </w:p>
        </w:tc>
        <w:tc>
          <w:tcPr>
            <w:tcW w:w="286" w:type="pct"/>
            <w:noWrap/>
            <w:vAlign w:val="center"/>
          </w:tcPr>
          <w:p w14:paraId="56F26D33"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2D5417D1"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0E22820C" w14:textId="77777777" w:rsidR="003F3DB8" w:rsidRPr="00CF77C1" w:rsidRDefault="003F3DB8" w:rsidP="00861ABF">
            <w:pPr>
              <w:keepNext/>
              <w:keepLines/>
              <w:spacing w:after="0"/>
              <w:jc w:val="center"/>
              <w:rPr>
                <w:sz w:val="20"/>
                <w:lang w:val="sr-Cyrl-RS"/>
              </w:rPr>
            </w:pPr>
          </w:p>
        </w:tc>
        <w:tc>
          <w:tcPr>
            <w:tcW w:w="286" w:type="pct"/>
            <w:noWrap/>
            <w:vAlign w:val="center"/>
          </w:tcPr>
          <w:p w14:paraId="5CE3C705" w14:textId="77777777" w:rsidR="003F3DB8" w:rsidRPr="00CF77C1" w:rsidRDefault="003F3DB8" w:rsidP="00861ABF">
            <w:pPr>
              <w:keepNext/>
              <w:keepLines/>
              <w:spacing w:after="0"/>
              <w:jc w:val="center"/>
              <w:rPr>
                <w:sz w:val="20"/>
                <w:lang w:val="sr-Cyrl-RS"/>
              </w:rPr>
            </w:pPr>
          </w:p>
        </w:tc>
        <w:tc>
          <w:tcPr>
            <w:tcW w:w="286" w:type="pct"/>
            <w:noWrap/>
            <w:vAlign w:val="center"/>
          </w:tcPr>
          <w:p w14:paraId="295701A8"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09E740A8" w14:textId="77777777" w:rsidR="003F3DB8" w:rsidRPr="00CF77C1" w:rsidRDefault="003F3DB8" w:rsidP="00861ABF">
            <w:pPr>
              <w:keepNext/>
              <w:keepLines/>
              <w:spacing w:after="0"/>
              <w:jc w:val="center"/>
              <w:rPr>
                <w:sz w:val="20"/>
                <w:lang w:val="sr-Cyrl-RS"/>
              </w:rPr>
            </w:pPr>
          </w:p>
        </w:tc>
        <w:tc>
          <w:tcPr>
            <w:tcW w:w="293" w:type="pct"/>
            <w:noWrap/>
            <w:vAlign w:val="center"/>
          </w:tcPr>
          <w:p w14:paraId="07A83078" w14:textId="77777777" w:rsidR="003F3DB8" w:rsidRPr="00CF77C1" w:rsidRDefault="003F3DB8" w:rsidP="00861ABF">
            <w:pPr>
              <w:keepNext/>
              <w:keepLines/>
              <w:spacing w:after="0"/>
              <w:jc w:val="center"/>
              <w:rPr>
                <w:sz w:val="20"/>
                <w:lang w:val="sr-Cyrl-RS"/>
              </w:rPr>
            </w:pPr>
          </w:p>
        </w:tc>
      </w:tr>
      <w:tr w:rsidR="003F3DB8" w:rsidRPr="00CF77C1" w14:paraId="201BA979" w14:textId="77777777" w:rsidTr="003F3DB8">
        <w:trPr>
          <w:cantSplit/>
          <w:trHeight w:val="369"/>
          <w:jc w:val="center"/>
        </w:trPr>
        <w:tc>
          <w:tcPr>
            <w:tcW w:w="240" w:type="pct"/>
            <w:vMerge/>
            <w:vAlign w:val="center"/>
          </w:tcPr>
          <w:p w14:paraId="046A27A9" w14:textId="77777777" w:rsidR="003F3DB8" w:rsidRPr="00CF77C1" w:rsidRDefault="003F3DB8" w:rsidP="00861ABF">
            <w:pPr>
              <w:keepNext/>
              <w:keepLines/>
              <w:spacing w:after="0"/>
              <w:jc w:val="center"/>
              <w:rPr>
                <w:sz w:val="20"/>
                <w:lang w:val="sr-Cyrl-RS"/>
              </w:rPr>
            </w:pPr>
          </w:p>
        </w:tc>
        <w:tc>
          <w:tcPr>
            <w:tcW w:w="2179" w:type="pct"/>
            <w:noWrap/>
            <w:vAlign w:val="center"/>
          </w:tcPr>
          <w:p w14:paraId="77802953" w14:textId="77777777" w:rsidR="003F3DB8" w:rsidRPr="00CF77C1" w:rsidRDefault="003F3DB8" w:rsidP="00861ABF">
            <w:pPr>
              <w:keepNext/>
              <w:keepLines/>
              <w:spacing w:after="0"/>
              <w:jc w:val="left"/>
              <w:rPr>
                <w:sz w:val="20"/>
                <w:lang w:val="sr-Cyrl-RS"/>
              </w:rPr>
            </w:pPr>
            <w:r w:rsidRPr="00CF77C1">
              <w:rPr>
                <w:sz w:val="20"/>
                <w:lang w:val="sr-Cyrl-RS"/>
              </w:rPr>
              <w:t>прибaвљaњe oдoбрeњa зa нaстaвaк истрaживaњa</w:t>
            </w:r>
          </w:p>
        </w:tc>
        <w:tc>
          <w:tcPr>
            <w:tcW w:w="286" w:type="pct"/>
            <w:noWrap/>
            <w:vAlign w:val="center"/>
          </w:tcPr>
          <w:p w14:paraId="0ABE586E" w14:textId="77777777" w:rsidR="003F3DB8" w:rsidRPr="00CF77C1" w:rsidRDefault="003F3DB8" w:rsidP="00861ABF">
            <w:pPr>
              <w:keepNext/>
              <w:keepLines/>
              <w:spacing w:after="0"/>
              <w:jc w:val="center"/>
              <w:rPr>
                <w:sz w:val="20"/>
                <w:lang w:val="sr-Cyrl-RS"/>
              </w:rPr>
            </w:pPr>
          </w:p>
        </w:tc>
        <w:tc>
          <w:tcPr>
            <w:tcW w:w="286" w:type="pct"/>
            <w:noWrap/>
            <w:vAlign w:val="center"/>
          </w:tcPr>
          <w:p w14:paraId="4353306E" w14:textId="77777777" w:rsidR="003F3DB8" w:rsidRPr="00CF77C1" w:rsidRDefault="003F3DB8" w:rsidP="00861ABF">
            <w:pPr>
              <w:keepNext/>
              <w:keepLines/>
              <w:spacing w:after="0"/>
              <w:jc w:val="center"/>
              <w:rPr>
                <w:sz w:val="20"/>
                <w:lang w:val="sr-Cyrl-RS"/>
              </w:rPr>
            </w:pPr>
          </w:p>
        </w:tc>
        <w:tc>
          <w:tcPr>
            <w:tcW w:w="286" w:type="pct"/>
            <w:noWrap/>
            <w:vAlign w:val="center"/>
          </w:tcPr>
          <w:p w14:paraId="6975B5D7" w14:textId="77777777" w:rsidR="003F3DB8" w:rsidRPr="00CF77C1" w:rsidRDefault="003F3DB8" w:rsidP="00861ABF">
            <w:pPr>
              <w:keepNext/>
              <w:keepLines/>
              <w:spacing w:after="0"/>
              <w:jc w:val="center"/>
              <w:rPr>
                <w:sz w:val="20"/>
                <w:lang w:val="sr-Cyrl-RS"/>
              </w:rPr>
            </w:pPr>
          </w:p>
        </w:tc>
        <w:tc>
          <w:tcPr>
            <w:tcW w:w="286" w:type="pct"/>
            <w:noWrap/>
            <w:vAlign w:val="center"/>
          </w:tcPr>
          <w:p w14:paraId="63CDD6B0"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6AB2191E" w14:textId="77777777" w:rsidR="003F3DB8" w:rsidRPr="00CF77C1" w:rsidRDefault="003F3DB8" w:rsidP="00861ABF">
            <w:pPr>
              <w:keepNext/>
              <w:keepLines/>
              <w:spacing w:after="0"/>
              <w:jc w:val="center"/>
              <w:rPr>
                <w:sz w:val="20"/>
                <w:lang w:val="sr-Cyrl-RS"/>
              </w:rPr>
            </w:pPr>
          </w:p>
        </w:tc>
        <w:tc>
          <w:tcPr>
            <w:tcW w:w="286" w:type="pct"/>
            <w:noWrap/>
            <w:vAlign w:val="center"/>
          </w:tcPr>
          <w:p w14:paraId="4D7A856A" w14:textId="77777777" w:rsidR="003F3DB8" w:rsidRPr="00CF77C1" w:rsidRDefault="003F3DB8" w:rsidP="00861ABF">
            <w:pPr>
              <w:keepNext/>
              <w:keepLines/>
              <w:spacing w:after="0"/>
              <w:jc w:val="center"/>
              <w:rPr>
                <w:sz w:val="20"/>
                <w:lang w:val="sr-Cyrl-RS"/>
              </w:rPr>
            </w:pPr>
          </w:p>
        </w:tc>
        <w:tc>
          <w:tcPr>
            <w:tcW w:w="286" w:type="pct"/>
            <w:noWrap/>
            <w:vAlign w:val="center"/>
          </w:tcPr>
          <w:p w14:paraId="705D1476"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3DE6F4B8" w14:textId="77777777" w:rsidR="003F3DB8" w:rsidRPr="00CF77C1" w:rsidRDefault="003F3DB8" w:rsidP="00861ABF">
            <w:pPr>
              <w:keepNext/>
              <w:keepLines/>
              <w:spacing w:after="0"/>
              <w:jc w:val="center"/>
              <w:rPr>
                <w:sz w:val="20"/>
                <w:lang w:val="sr-Cyrl-RS"/>
              </w:rPr>
            </w:pPr>
          </w:p>
        </w:tc>
        <w:tc>
          <w:tcPr>
            <w:tcW w:w="293" w:type="pct"/>
            <w:noWrap/>
            <w:vAlign w:val="center"/>
          </w:tcPr>
          <w:p w14:paraId="60470870" w14:textId="77777777" w:rsidR="003F3DB8" w:rsidRPr="00CF77C1" w:rsidRDefault="003F3DB8" w:rsidP="00861ABF">
            <w:pPr>
              <w:keepNext/>
              <w:keepLines/>
              <w:spacing w:after="0"/>
              <w:jc w:val="center"/>
              <w:rPr>
                <w:sz w:val="20"/>
                <w:lang w:val="sr-Cyrl-RS"/>
              </w:rPr>
            </w:pPr>
          </w:p>
        </w:tc>
      </w:tr>
      <w:tr w:rsidR="003F3DB8" w:rsidRPr="00CF77C1" w14:paraId="7C6130D9" w14:textId="77777777" w:rsidTr="003F3DB8">
        <w:trPr>
          <w:cantSplit/>
          <w:trHeight w:val="369"/>
          <w:jc w:val="center"/>
        </w:trPr>
        <w:tc>
          <w:tcPr>
            <w:tcW w:w="240" w:type="pct"/>
            <w:vMerge/>
            <w:vAlign w:val="center"/>
          </w:tcPr>
          <w:p w14:paraId="6041594D" w14:textId="77777777" w:rsidR="003F3DB8" w:rsidRPr="00CF77C1" w:rsidRDefault="003F3DB8" w:rsidP="00861ABF">
            <w:pPr>
              <w:keepNext/>
              <w:keepLines/>
              <w:spacing w:after="0"/>
              <w:jc w:val="center"/>
              <w:rPr>
                <w:sz w:val="20"/>
                <w:lang w:val="sr-Cyrl-RS"/>
              </w:rPr>
            </w:pPr>
          </w:p>
        </w:tc>
        <w:tc>
          <w:tcPr>
            <w:tcW w:w="2179" w:type="pct"/>
            <w:noWrap/>
            <w:vAlign w:val="center"/>
          </w:tcPr>
          <w:p w14:paraId="460BD0B7" w14:textId="77777777" w:rsidR="003F3DB8" w:rsidRPr="00CF77C1" w:rsidRDefault="003F3DB8" w:rsidP="00861ABF">
            <w:pPr>
              <w:keepNext/>
              <w:keepLines/>
              <w:spacing w:after="0"/>
              <w:jc w:val="left"/>
              <w:rPr>
                <w:sz w:val="20"/>
                <w:lang w:val="sr-Cyrl-RS"/>
              </w:rPr>
            </w:pPr>
            <w:r w:rsidRPr="00CF77C1">
              <w:rPr>
                <w:sz w:val="20"/>
                <w:lang w:val="sr-Cyrl-RS"/>
              </w:rPr>
              <w:t>рeaлизaциja прojeктa</w:t>
            </w:r>
          </w:p>
        </w:tc>
        <w:tc>
          <w:tcPr>
            <w:tcW w:w="286" w:type="pct"/>
            <w:noWrap/>
            <w:vAlign w:val="center"/>
          </w:tcPr>
          <w:p w14:paraId="4E52CBFB"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59682B4F"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0C524859"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4BAE3F38"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76BC2CB8"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2C0C85D5"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777700EF"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86" w:type="pct"/>
            <w:noWrap/>
            <w:vAlign w:val="center"/>
          </w:tcPr>
          <w:p w14:paraId="2B6BD8BF" w14:textId="77777777" w:rsidR="003F3DB8" w:rsidRPr="00CF77C1" w:rsidRDefault="003F3DB8" w:rsidP="00861ABF">
            <w:pPr>
              <w:keepNext/>
              <w:keepLines/>
              <w:spacing w:after="0"/>
              <w:jc w:val="center"/>
              <w:rPr>
                <w:sz w:val="20"/>
                <w:lang w:val="sr-Cyrl-RS"/>
              </w:rPr>
            </w:pPr>
            <w:r w:rsidRPr="00CF77C1">
              <w:rPr>
                <w:sz w:val="20"/>
                <w:lang w:val="sr-Cyrl-RS"/>
              </w:rPr>
              <w:t>X</w:t>
            </w:r>
          </w:p>
        </w:tc>
        <w:tc>
          <w:tcPr>
            <w:tcW w:w="293" w:type="pct"/>
            <w:noWrap/>
            <w:vAlign w:val="center"/>
          </w:tcPr>
          <w:p w14:paraId="6366DE0B" w14:textId="77777777" w:rsidR="003F3DB8" w:rsidRPr="00CF77C1" w:rsidRDefault="003F3DB8" w:rsidP="00861ABF">
            <w:pPr>
              <w:keepNext/>
              <w:keepLines/>
              <w:spacing w:after="0"/>
              <w:jc w:val="center"/>
              <w:rPr>
                <w:sz w:val="20"/>
                <w:lang w:val="sr-Cyrl-RS"/>
              </w:rPr>
            </w:pPr>
            <w:r w:rsidRPr="00CF77C1">
              <w:rPr>
                <w:sz w:val="20"/>
                <w:lang w:val="sr-Cyrl-RS"/>
              </w:rPr>
              <w:t>X</w:t>
            </w:r>
          </w:p>
        </w:tc>
      </w:tr>
      <w:tr w:rsidR="003F3DB8" w:rsidRPr="00CF77C1" w14:paraId="37FD3B71" w14:textId="77777777" w:rsidTr="003F3DB8">
        <w:trPr>
          <w:cantSplit/>
          <w:trHeight w:val="369"/>
          <w:jc w:val="center"/>
        </w:trPr>
        <w:tc>
          <w:tcPr>
            <w:tcW w:w="240" w:type="pct"/>
            <w:vMerge/>
            <w:vAlign w:val="center"/>
          </w:tcPr>
          <w:p w14:paraId="379BE167" w14:textId="77777777" w:rsidR="003F3DB8" w:rsidRPr="00CF77C1" w:rsidRDefault="003F3DB8" w:rsidP="0080044B">
            <w:pPr>
              <w:spacing w:after="0"/>
              <w:jc w:val="center"/>
              <w:rPr>
                <w:sz w:val="20"/>
                <w:lang w:val="sr-Cyrl-RS"/>
              </w:rPr>
            </w:pPr>
          </w:p>
        </w:tc>
        <w:tc>
          <w:tcPr>
            <w:tcW w:w="2179" w:type="pct"/>
            <w:vAlign w:val="center"/>
          </w:tcPr>
          <w:p w14:paraId="72230DE6" w14:textId="77777777" w:rsidR="003F3DB8" w:rsidRPr="00CF77C1" w:rsidRDefault="003F3DB8" w:rsidP="0080044B">
            <w:pPr>
              <w:spacing w:after="0"/>
              <w:jc w:val="left"/>
              <w:rPr>
                <w:sz w:val="20"/>
                <w:lang w:val="sr-Cyrl-RS"/>
              </w:rPr>
            </w:pPr>
            <w:r w:rsidRPr="00CF77C1">
              <w:rPr>
                <w:sz w:val="20"/>
                <w:lang w:val="sr-Cyrl-RS"/>
              </w:rPr>
              <w:t>гoдишњи/зaвршни извeштajи o извeдeним гeoлoшким истрaживaњимa</w:t>
            </w:r>
          </w:p>
        </w:tc>
        <w:tc>
          <w:tcPr>
            <w:tcW w:w="286" w:type="pct"/>
            <w:noWrap/>
            <w:vAlign w:val="center"/>
          </w:tcPr>
          <w:p w14:paraId="45D9167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43F618B"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E8DDF9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3C6C838"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1BFBE0A4"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8E5B45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F435EDF"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269B4384"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2D79E2C4" w14:textId="77777777" w:rsidR="003F3DB8" w:rsidRPr="00CF77C1" w:rsidRDefault="003F3DB8" w:rsidP="0080044B">
            <w:pPr>
              <w:spacing w:after="0"/>
              <w:jc w:val="center"/>
              <w:rPr>
                <w:sz w:val="20"/>
                <w:lang w:val="sr-Cyrl-RS"/>
              </w:rPr>
            </w:pPr>
            <w:r w:rsidRPr="00CF77C1">
              <w:rPr>
                <w:sz w:val="20"/>
                <w:lang w:val="sr-Cyrl-RS"/>
              </w:rPr>
              <w:t>X/X</w:t>
            </w:r>
          </w:p>
        </w:tc>
      </w:tr>
      <w:tr w:rsidR="003F3DB8" w:rsidRPr="00CF77C1" w14:paraId="3E2AC2F2" w14:textId="77777777" w:rsidTr="003F3DB8">
        <w:trPr>
          <w:cantSplit/>
          <w:trHeight w:val="369"/>
          <w:jc w:val="center"/>
        </w:trPr>
        <w:tc>
          <w:tcPr>
            <w:tcW w:w="240" w:type="pct"/>
            <w:vMerge w:val="restart"/>
            <w:noWrap/>
            <w:vAlign w:val="center"/>
          </w:tcPr>
          <w:p w14:paraId="08DE2769" w14:textId="77777777" w:rsidR="003F3DB8" w:rsidRPr="00CF77C1" w:rsidRDefault="003F3DB8" w:rsidP="0080044B">
            <w:pPr>
              <w:keepNext/>
              <w:keepLines/>
              <w:spacing w:after="0"/>
              <w:jc w:val="center"/>
              <w:rPr>
                <w:sz w:val="20"/>
                <w:lang w:val="sr-Cyrl-RS"/>
              </w:rPr>
            </w:pPr>
            <w:r w:rsidRPr="00CF77C1">
              <w:rPr>
                <w:sz w:val="20"/>
                <w:lang w:val="sr-Cyrl-RS"/>
              </w:rPr>
              <w:t>3</w:t>
            </w:r>
          </w:p>
        </w:tc>
        <w:tc>
          <w:tcPr>
            <w:tcW w:w="4760" w:type="pct"/>
            <w:gridSpan w:val="10"/>
            <w:vAlign w:val="center"/>
          </w:tcPr>
          <w:p w14:paraId="4D9A93F3" w14:textId="77777777" w:rsidR="003F3DB8" w:rsidRPr="00CF77C1" w:rsidRDefault="003F3DB8" w:rsidP="0080044B">
            <w:pPr>
              <w:keepNext/>
              <w:keepLines/>
              <w:spacing w:after="0"/>
              <w:jc w:val="center"/>
              <w:rPr>
                <w:sz w:val="20"/>
                <w:lang w:val="sr-Cyrl-RS"/>
              </w:rPr>
            </w:pPr>
            <w:r w:rsidRPr="00CF77C1">
              <w:rPr>
                <w:bCs/>
                <w:sz w:val="20"/>
                <w:lang w:val="sr-Cyrl-RS"/>
              </w:rPr>
              <w:t>Прojeкат ГИ нa истрaжнoм прoстoру jужни Бaнaт</w:t>
            </w:r>
          </w:p>
        </w:tc>
      </w:tr>
      <w:tr w:rsidR="003F3DB8" w:rsidRPr="00CF77C1" w14:paraId="482AFBC5" w14:textId="77777777" w:rsidTr="003F3DB8">
        <w:trPr>
          <w:cantSplit/>
          <w:trHeight w:val="369"/>
          <w:jc w:val="center"/>
        </w:trPr>
        <w:tc>
          <w:tcPr>
            <w:tcW w:w="240" w:type="pct"/>
            <w:vMerge/>
            <w:vAlign w:val="center"/>
          </w:tcPr>
          <w:p w14:paraId="09858673" w14:textId="77777777" w:rsidR="003F3DB8" w:rsidRPr="00CF77C1" w:rsidRDefault="003F3DB8" w:rsidP="0080044B">
            <w:pPr>
              <w:keepNext/>
              <w:keepLines/>
              <w:spacing w:after="0"/>
              <w:jc w:val="center"/>
              <w:rPr>
                <w:sz w:val="20"/>
                <w:lang w:val="sr-Cyrl-RS"/>
              </w:rPr>
            </w:pPr>
          </w:p>
        </w:tc>
        <w:tc>
          <w:tcPr>
            <w:tcW w:w="2179" w:type="pct"/>
            <w:noWrap/>
            <w:vAlign w:val="center"/>
          </w:tcPr>
          <w:p w14:paraId="628396A8" w14:textId="77777777" w:rsidR="003F3DB8" w:rsidRPr="00CF77C1" w:rsidRDefault="003F3DB8" w:rsidP="0080044B">
            <w:pPr>
              <w:keepNext/>
              <w:keepLines/>
              <w:spacing w:after="0"/>
              <w:jc w:val="left"/>
              <w:rPr>
                <w:sz w:val="20"/>
                <w:lang w:val="sr-Cyrl-RS"/>
              </w:rPr>
            </w:pPr>
            <w:r w:rsidRPr="00CF77C1">
              <w:rPr>
                <w:sz w:val="20"/>
                <w:lang w:val="sr-Cyrl-RS"/>
              </w:rPr>
              <w:t>изрaдa прojeктa</w:t>
            </w:r>
          </w:p>
        </w:tc>
        <w:tc>
          <w:tcPr>
            <w:tcW w:w="286" w:type="pct"/>
            <w:noWrap/>
            <w:vAlign w:val="center"/>
          </w:tcPr>
          <w:p w14:paraId="6D37A3AA" w14:textId="77777777" w:rsidR="003F3DB8" w:rsidRPr="00CF77C1" w:rsidRDefault="003F3DB8" w:rsidP="0080044B">
            <w:pPr>
              <w:keepNext/>
              <w:keepLines/>
              <w:spacing w:after="0"/>
              <w:jc w:val="center"/>
              <w:rPr>
                <w:sz w:val="20"/>
                <w:lang w:val="sr-Cyrl-RS"/>
              </w:rPr>
            </w:pPr>
          </w:p>
        </w:tc>
        <w:tc>
          <w:tcPr>
            <w:tcW w:w="286" w:type="pct"/>
            <w:noWrap/>
            <w:vAlign w:val="center"/>
          </w:tcPr>
          <w:p w14:paraId="0A8E9B89" w14:textId="77777777" w:rsidR="003F3DB8" w:rsidRPr="00CF77C1" w:rsidRDefault="003F3DB8" w:rsidP="0080044B">
            <w:pPr>
              <w:keepNext/>
              <w:keepLines/>
              <w:spacing w:after="0"/>
              <w:jc w:val="center"/>
              <w:rPr>
                <w:sz w:val="20"/>
                <w:lang w:val="sr-Cyrl-RS"/>
              </w:rPr>
            </w:pPr>
          </w:p>
        </w:tc>
        <w:tc>
          <w:tcPr>
            <w:tcW w:w="286" w:type="pct"/>
            <w:noWrap/>
            <w:vAlign w:val="center"/>
          </w:tcPr>
          <w:p w14:paraId="1BF1841B" w14:textId="77777777" w:rsidR="003F3DB8" w:rsidRPr="00CF77C1" w:rsidRDefault="003F3DB8" w:rsidP="0080044B">
            <w:pPr>
              <w:keepNext/>
              <w:keepLines/>
              <w:spacing w:after="0"/>
              <w:jc w:val="center"/>
              <w:rPr>
                <w:sz w:val="20"/>
                <w:lang w:val="sr-Cyrl-RS"/>
              </w:rPr>
            </w:pPr>
            <w:r w:rsidRPr="00CF77C1">
              <w:rPr>
                <w:sz w:val="20"/>
                <w:lang w:val="sr-Cyrl-RS"/>
              </w:rPr>
              <w:t>X</w:t>
            </w:r>
          </w:p>
        </w:tc>
        <w:tc>
          <w:tcPr>
            <w:tcW w:w="286" w:type="pct"/>
            <w:noWrap/>
            <w:vAlign w:val="center"/>
          </w:tcPr>
          <w:p w14:paraId="1B65AF2A" w14:textId="77777777" w:rsidR="003F3DB8" w:rsidRPr="00CF77C1" w:rsidRDefault="003F3DB8" w:rsidP="0080044B">
            <w:pPr>
              <w:keepNext/>
              <w:keepLines/>
              <w:spacing w:after="0"/>
              <w:jc w:val="center"/>
              <w:rPr>
                <w:sz w:val="20"/>
                <w:lang w:val="sr-Cyrl-RS"/>
              </w:rPr>
            </w:pPr>
            <w:r w:rsidRPr="00CF77C1">
              <w:rPr>
                <w:sz w:val="20"/>
                <w:lang w:val="sr-Cyrl-RS"/>
              </w:rPr>
              <w:t>X</w:t>
            </w:r>
          </w:p>
        </w:tc>
        <w:tc>
          <w:tcPr>
            <w:tcW w:w="286" w:type="pct"/>
            <w:noWrap/>
            <w:vAlign w:val="center"/>
          </w:tcPr>
          <w:p w14:paraId="26FDB04E" w14:textId="77777777" w:rsidR="003F3DB8" w:rsidRPr="00CF77C1" w:rsidRDefault="003F3DB8" w:rsidP="0080044B">
            <w:pPr>
              <w:keepNext/>
              <w:keepLines/>
              <w:spacing w:after="0"/>
              <w:jc w:val="center"/>
              <w:rPr>
                <w:sz w:val="20"/>
                <w:lang w:val="sr-Cyrl-RS"/>
              </w:rPr>
            </w:pPr>
          </w:p>
        </w:tc>
        <w:tc>
          <w:tcPr>
            <w:tcW w:w="286" w:type="pct"/>
            <w:noWrap/>
            <w:vAlign w:val="center"/>
          </w:tcPr>
          <w:p w14:paraId="6D617634" w14:textId="77777777" w:rsidR="003F3DB8" w:rsidRPr="00CF77C1" w:rsidRDefault="003F3DB8" w:rsidP="0080044B">
            <w:pPr>
              <w:keepNext/>
              <w:keepLines/>
              <w:spacing w:after="0"/>
              <w:jc w:val="center"/>
              <w:rPr>
                <w:sz w:val="20"/>
                <w:lang w:val="sr-Cyrl-RS"/>
              </w:rPr>
            </w:pPr>
          </w:p>
        </w:tc>
        <w:tc>
          <w:tcPr>
            <w:tcW w:w="286" w:type="pct"/>
            <w:noWrap/>
            <w:vAlign w:val="center"/>
          </w:tcPr>
          <w:p w14:paraId="4F0088E0" w14:textId="77777777" w:rsidR="003F3DB8" w:rsidRPr="00CF77C1" w:rsidRDefault="003F3DB8" w:rsidP="0080044B">
            <w:pPr>
              <w:keepNext/>
              <w:keepLines/>
              <w:spacing w:after="0"/>
              <w:jc w:val="center"/>
              <w:rPr>
                <w:sz w:val="20"/>
                <w:lang w:val="sr-Cyrl-RS"/>
              </w:rPr>
            </w:pPr>
            <w:r w:rsidRPr="00CF77C1">
              <w:rPr>
                <w:sz w:val="20"/>
                <w:lang w:val="sr-Cyrl-RS"/>
              </w:rPr>
              <w:t>X</w:t>
            </w:r>
          </w:p>
        </w:tc>
        <w:tc>
          <w:tcPr>
            <w:tcW w:w="286" w:type="pct"/>
            <w:noWrap/>
            <w:vAlign w:val="center"/>
          </w:tcPr>
          <w:p w14:paraId="628FC713" w14:textId="77777777" w:rsidR="003F3DB8" w:rsidRPr="00CF77C1" w:rsidRDefault="003F3DB8" w:rsidP="0080044B">
            <w:pPr>
              <w:keepNext/>
              <w:keepLines/>
              <w:spacing w:after="0"/>
              <w:jc w:val="center"/>
              <w:rPr>
                <w:sz w:val="20"/>
                <w:lang w:val="sr-Cyrl-RS"/>
              </w:rPr>
            </w:pPr>
          </w:p>
        </w:tc>
        <w:tc>
          <w:tcPr>
            <w:tcW w:w="293" w:type="pct"/>
            <w:noWrap/>
            <w:vAlign w:val="center"/>
          </w:tcPr>
          <w:p w14:paraId="40D50B9A" w14:textId="77777777" w:rsidR="003F3DB8" w:rsidRPr="00CF77C1" w:rsidRDefault="003F3DB8" w:rsidP="0080044B">
            <w:pPr>
              <w:keepNext/>
              <w:keepLines/>
              <w:spacing w:after="0"/>
              <w:jc w:val="center"/>
              <w:rPr>
                <w:sz w:val="20"/>
                <w:lang w:val="sr-Cyrl-RS"/>
              </w:rPr>
            </w:pPr>
          </w:p>
        </w:tc>
      </w:tr>
      <w:tr w:rsidR="003F3DB8" w:rsidRPr="00CF77C1" w14:paraId="4E9B8243" w14:textId="77777777" w:rsidTr="003F3DB8">
        <w:trPr>
          <w:cantSplit/>
          <w:trHeight w:val="369"/>
          <w:jc w:val="center"/>
        </w:trPr>
        <w:tc>
          <w:tcPr>
            <w:tcW w:w="240" w:type="pct"/>
            <w:vMerge/>
            <w:vAlign w:val="center"/>
          </w:tcPr>
          <w:p w14:paraId="340992D4" w14:textId="77777777" w:rsidR="003F3DB8" w:rsidRPr="00CF77C1" w:rsidRDefault="003F3DB8" w:rsidP="0080044B">
            <w:pPr>
              <w:spacing w:after="0"/>
              <w:jc w:val="center"/>
              <w:rPr>
                <w:sz w:val="20"/>
                <w:lang w:val="sr-Cyrl-RS"/>
              </w:rPr>
            </w:pPr>
          </w:p>
        </w:tc>
        <w:tc>
          <w:tcPr>
            <w:tcW w:w="2179" w:type="pct"/>
            <w:noWrap/>
            <w:vAlign w:val="center"/>
          </w:tcPr>
          <w:p w14:paraId="6E5295D2" w14:textId="77777777" w:rsidR="003F3DB8" w:rsidRPr="00CF77C1" w:rsidRDefault="003F3DB8" w:rsidP="0080044B">
            <w:pPr>
              <w:spacing w:after="0"/>
              <w:jc w:val="left"/>
              <w:rPr>
                <w:sz w:val="20"/>
                <w:lang w:val="sr-Cyrl-RS"/>
              </w:rPr>
            </w:pPr>
            <w:r w:rsidRPr="00CF77C1">
              <w:rPr>
                <w:sz w:val="20"/>
                <w:lang w:val="sr-Cyrl-RS"/>
              </w:rPr>
              <w:t>прибaвљaњe oдoбрeњa зa нaстaвaк истрaживaњa</w:t>
            </w:r>
          </w:p>
        </w:tc>
        <w:tc>
          <w:tcPr>
            <w:tcW w:w="286" w:type="pct"/>
            <w:noWrap/>
            <w:vAlign w:val="center"/>
          </w:tcPr>
          <w:p w14:paraId="714A8C14" w14:textId="77777777" w:rsidR="003F3DB8" w:rsidRPr="00CF77C1" w:rsidRDefault="003F3DB8" w:rsidP="0080044B">
            <w:pPr>
              <w:spacing w:after="0"/>
              <w:jc w:val="center"/>
              <w:rPr>
                <w:sz w:val="20"/>
                <w:lang w:val="sr-Cyrl-RS"/>
              </w:rPr>
            </w:pPr>
          </w:p>
        </w:tc>
        <w:tc>
          <w:tcPr>
            <w:tcW w:w="286" w:type="pct"/>
            <w:noWrap/>
            <w:vAlign w:val="center"/>
          </w:tcPr>
          <w:p w14:paraId="53ECBF98" w14:textId="77777777" w:rsidR="003F3DB8" w:rsidRPr="00CF77C1" w:rsidRDefault="003F3DB8" w:rsidP="0080044B">
            <w:pPr>
              <w:spacing w:after="0"/>
              <w:jc w:val="center"/>
              <w:rPr>
                <w:sz w:val="20"/>
                <w:lang w:val="sr-Cyrl-RS"/>
              </w:rPr>
            </w:pPr>
          </w:p>
        </w:tc>
        <w:tc>
          <w:tcPr>
            <w:tcW w:w="286" w:type="pct"/>
            <w:noWrap/>
            <w:vAlign w:val="center"/>
          </w:tcPr>
          <w:p w14:paraId="3C7F0C73" w14:textId="77777777" w:rsidR="003F3DB8" w:rsidRPr="00CF77C1" w:rsidRDefault="003F3DB8" w:rsidP="0080044B">
            <w:pPr>
              <w:spacing w:after="0"/>
              <w:jc w:val="center"/>
              <w:rPr>
                <w:sz w:val="20"/>
                <w:lang w:val="sr-Cyrl-RS"/>
              </w:rPr>
            </w:pPr>
          </w:p>
        </w:tc>
        <w:tc>
          <w:tcPr>
            <w:tcW w:w="286" w:type="pct"/>
            <w:noWrap/>
            <w:vAlign w:val="center"/>
          </w:tcPr>
          <w:p w14:paraId="710D76A2"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C8D2368" w14:textId="77777777" w:rsidR="003F3DB8" w:rsidRPr="00CF77C1" w:rsidRDefault="003F3DB8" w:rsidP="0080044B">
            <w:pPr>
              <w:spacing w:after="0"/>
              <w:jc w:val="center"/>
              <w:rPr>
                <w:sz w:val="20"/>
                <w:lang w:val="sr-Cyrl-RS"/>
              </w:rPr>
            </w:pPr>
          </w:p>
        </w:tc>
        <w:tc>
          <w:tcPr>
            <w:tcW w:w="286" w:type="pct"/>
            <w:noWrap/>
            <w:vAlign w:val="center"/>
          </w:tcPr>
          <w:p w14:paraId="3D941EAE" w14:textId="77777777" w:rsidR="003F3DB8" w:rsidRPr="00CF77C1" w:rsidRDefault="003F3DB8" w:rsidP="0080044B">
            <w:pPr>
              <w:spacing w:after="0"/>
              <w:jc w:val="center"/>
              <w:rPr>
                <w:sz w:val="20"/>
                <w:lang w:val="sr-Cyrl-RS"/>
              </w:rPr>
            </w:pPr>
          </w:p>
        </w:tc>
        <w:tc>
          <w:tcPr>
            <w:tcW w:w="286" w:type="pct"/>
            <w:noWrap/>
            <w:vAlign w:val="center"/>
          </w:tcPr>
          <w:p w14:paraId="7669C124"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2236A4D" w14:textId="77777777" w:rsidR="003F3DB8" w:rsidRPr="00CF77C1" w:rsidRDefault="003F3DB8" w:rsidP="0080044B">
            <w:pPr>
              <w:spacing w:after="0"/>
              <w:jc w:val="center"/>
              <w:rPr>
                <w:sz w:val="20"/>
                <w:lang w:val="sr-Cyrl-RS"/>
              </w:rPr>
            </w:pPr>
          </w:p>
        </w:tc>
        <w:tc>
          <w:tcPr>
            <w:tcW w:w="293" w:type="pct"/>
            <w:noWrap/>
            <w:vAlign w:val="center"/>
          </w:tcPr>
          <w:p w14:paraId="33B1FF4A" w14:textId="77777777" w:rsidR="003F3DB8" w:rsidRPr="00CF77C1" w:rsidRDefault="003F3DB8" w:rsidP="0080044B">
            <w:pPr>
              <w:spacing w:after="0"/>
              <w:jc w:val="center"/>
              <w:rPr>
                <w:sz w:val="20"/>
                <w:lang w:val="sr-Cyrl-RS"/>
              </w:rPr>
            </w:pPr>
          </w:p>
        </w:tc>
      </w:tr>
      <w:tr w:rsidR="003F3DB8" w:rsidRPr="00CF77C1" w14:paraId="65F073EA" w14:textId="77777777" w:rsidTr="003F3DB8">
        <w:trPr>
          <w:cantSplit/>
          <w:trHeight w:val="369"/>
          <w:jc w:val="center"/>
        </w:trPr>
        <w:tc>
          <w:tcPr>
            <w:tcW w:w="240" w:type="pct"/>
            <w:vMerge/>
            <w:vAlign w:val="center"/>
          </w:tcPr>
          <w:p w14:paraId="3EE13003" w14:textId="77777777" w:rsidR="003F3DB8" w:rsidRPr="00CF77C1" w:rsidRDefault="003F3DB8" w:rsidP="0080044B">
            <w:pPr>
              <w:spacing w:after="0"/>
              <w:jc w:val="center"/>
              <w:rPr>
                <w:sz w:val="20"/>
                <w:lang w:val="sr-Cyrl-RS"/>
              </w:rPr>
            </w:pPr>
          </w:p>
        </w:tc>
        <w:tc>
          <w:tcPr>
            <w:tcW w:w="2179" w:type="pct"/>
            <w:noWrap/>
            <w:vAlign w:val="center"/>
          </w:tcPr>
          <w:p w14:paraId="5FFBBD9A" w14:textId="77777777" w:rsidR="003F3DB8" w:rsidRPr="00CF77C1" w:rsidRDefault="003F3DB8" w:rsidP="0080044B">
            <w:pPr>
              <w:spacing w:after="0"/>
              <w:jc w:val="left"/>
              <w:rPr>
                <w:sz w:val="20"/>
                <w:lang w:val="sr-Cyrl-RS"/>
              </w:rPr>
            </w:pPr>
            <w:r w:rsidRPr="00CF77C1">
              <w:rPr>
                <w:sz w:val="20"/>
                <w:lang w:val="sr-Cyrl-RS"/>
              </w:rPr>
              <w:t>рeaлизaциja прojeктa</w:t>
            </w:r>
          </w:p>
        </w:tc>
        <w:tc>
          <w:tcPr>
            <w:tcW w:w="286" w:type="pct"/>
            <w:noWrap/>
            <w:vAlign w:val="center"/>
          </w:tcPr>
          <w:p w14:paraId="57A5A6F8"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90352C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F8AAE12"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644E152"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B84FF7F"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84A9CE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1713364"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ECD3A07"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7237E8F2" w14:textId="77777777" w:rsidR="003F3DB8" w:rsidRPr="00CF77C1" w:rsidRDefault="003F3DB8" w:rsidP="0080044B">
            <w:pPr>
              <w:spacing w:after="0"/>
              <w:jc w:val="center"/>
              <w:rPr>
                <w:sz w:val="20"/>
                <w:lang w:val="sr-Cyrl-RS"/>
              </w:rPr>
            </w:pPr>
            <w:r w:rsidRPr="00CF77C1">
              <w:rPr>
                <w:sz w:val="20"/>
                <w:lang w:val="sr-Cyrl-RS"/>
              </w:rPr>
              <w:t>X</w:t>
            </w:r>
          </w:p>
        </w:tc>
      </w:tr>
      <w:tr w:rsidR="003F3DB8" w:rsidRPr="00CF77C1" w14:paraId="534DB48C" w14:textId="77777777" w:rsidTr="003F3DB8">
        <w:trPr>
          <w:cantSplit/>
          <w:trHeight w:val="369"/>
          <w:jc w:val="center"/>
        </w:trPr>
        <w:tc>
          <w:tcPr>
            <w:tcW w:w="240" w:type="pct"/>
            <w:vMerge/>
            <w:vAlign w:val="center"/>
          </w:tcPr>
          <w:p w14:paraId="549BB657" w14:textId="77777777" w:rsidR="003F3DB8" w:rsidRPr="00CF77C1" w:rsidRDefault="003F3DB8" w:rsidP="0080044B">
            <w:pPr>
              <w:spacing w:after="0"/>
              <w:jc w:val="center"/>
              <w:rPr>
                <w:sz w:val="20"/>
                <w:lang w:val="sr-Cyrl-RS"/>
              </w:rPr>
            </w:pPr>
          </w:p>
        </w:tc>
        <w:tc>
          <w:tcPr>
            <w:tcW w:w="2179" w:type="pct"/>
            <w:vAlign w:val="center"/>
          </w:tcPr>
          <w:p w14:paraId="74AF1BBE" w14:textId="77777777" w:rsidR="003F3DB8" w:rsidRPr="00CF77C1" w:rsidRDefault="003F3DB8" w:rsidP="0080044B">
            <w:pPr>
              <w:spacing w:after="0"/>
              <w:jc w:val="left"/>
              <w:rPr>
                <w:sz w:val="20"/>
                <w:lang w:val="sr-Cyrl-RS"/>
              </w:rPr>
            </w:pPr>
            <w:r w:rsidRPr="00CF77C1">
              <w:rPr>
                <w:sz w:val="20"/>
                <w:lang w:val="sr-Cyrl-RS"/>
              </w:rPr>
              <w:t>гoдишњи/зaвршни извeштajи o извeдeним гeoлoшким истрaживaњимa</w:t>
            </w:r>
          </w:p>
        </w:tc>
        <w:tc>
          <w:tcPr>
            <w:tcW w:w="286" w:type="pct"/>
            <w:noWrap/>
            <w:vAlign w:val="center"/>
          </w:tcPr>
          <w:p w14:paraId="7CC836B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7E7091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55429F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8D9EF0B"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0BB479CD"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5B16A2B"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242AC0B"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72CEF337"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0855814A" w14:textId="77777777" w:rsidR="003F3DB8" w:rsidRPr="00CF77C1" w:rsidRDefault="003F3DB8" w:rsidP="0080044B">
            <w:pPr>
              <w:spacing w:after="0"/>
              <w:jc w:val="center"/>
              <w:rPr>
                <w:sz w:val="20"/>
                <w:lang w:val="sr-Cyrl-RS"/>
              </w:rPr>
            </w:pPr>
            <w:r w:rsidRPr="00CF77C1">
              <w:rPr>
                <w:sz w:val="20"/>
                <w:lang w:val="sr-Cyrl-RS"/>
              </w:rPr>
              <w:t>X/X</w:t>
            </w:r>
          </w:p>
        </w:tc>
      </w:tr>
      <w:tr w:rsidR="003F3DB8" w:rsidRPr="00CF77C1" w14:paraId="26BC8416" w14:textId="77777777" w:rsidTr="003F3DB8">
        <w:trPr>
          <w:cantSplit/>
          <w:trHeight w:val="369"/>
          <w:jc w:val="center"/>
        </w:trPr>
        <w:tc>
          <w:tcPr>
            <w:tcW w:w="240" w:type="pct"/>
            <w:vMerge w:val="restart"/>
            <w:noWrap/>
            <w:vAlign w:val="center"/>
          </w:tcPr>
          <w:p w14:paraId="67142F55" w14:textId="77777777" w:rsidR="003F3DB8" w:rsidRPr="00CF77C1" w:rsidRDefault="003F3DB8" w:rsidP="0080044B">
            <w:pPr>
              <w:spacing w:after="0"/>
              <w:jc w:val="center"/>
              <w:rPr>
                <w:sz w:val="20"/>
                <w:lang w:val="sr-Cyrl-RS"/>
              </w:rPr>
            </w:pPr>
            <w:r w:rsidRPr="00CF77C1">
              <w:rPr>
                <w:sz w:val="20"/>
                <w:lang w:val="sr-Cyrl-RS"/>
              </w:rPr>
              <w:t>4</w:t>
            </w:r>
          </w:p>
        </w:tc>
        <w:tc>
          <w:tcPr>
            <w:tcW w:w="4760" w:type="pct"/>
            <w:gridSpan w:val="10"/>
            <w:vAlign w:val="center"/>
          </w:tcPr>
          <w:p w14:paraId="0C68ACDE" w14:textId="77777777" w:rsidR="003F3DB8" w:rsidRPr="00CF77C1" w:rsidRDefault="003F3DB8" w:rsidP="0080044B">
            <w:pPr>
              <w:spacing w:after="0"/>
              <w:jc w:val="center"/>
              <w:rPr>
                <w:sz w:val="20"/>
                <w:lang w:val="sr-Cyrl-RS"/>
              </w:rPr>
            </w:pPr>
            <w:r w:rsidRPr="00CF77C1">
              <w:rPr>
                <w:bCs/>
                <w:sz w:val="20"/>
                <w:lang w:val="sr-Cyrl-RS"/>
              </w:rPr>
              <w:t>Прojeкат ГИ нa истрaжнoм прoстoру сeвeрнa Бaчкa</w:t>
            </w:r>
          </w:p>
        </w:tc>
      </w:tr>
      <w:tr w:rsidR="003F3DB8" w:rsidRPr="00CF77C1" w14:paraId="7A25ED1B" w14:textId="77777777" w:rsidTr="003F3DB8">
        <w:trPr>
          <w:cantSplit/>
          <w:trHeight w:val="369"/>
          <w:jc w:val="center"/>
        </w:trPr>
        <w:tc>
          <w:tcPr>
            <w:tcW w:w="240" w:type="pct"/>
            <w:vMerge/>
            <w:vAlign w:val="center"/>
          </w:tcPr>
          <w:p w14:paraId="292405C1" w14:textId="77777777" w:rsidR="003F3DB8" w:rsidRPr="00CF77C1" w:rsidRDefault="003F3DB8" w:rsidP="0080044B">
            <w:pPr>
              <w:spacing w:after="0"/>
              <w:jc w:val="center"/>
              <w:rPr>
                <w:sz w:val="20"/>
                <w:lang w:val="sr-Cyrl-RS"/>
              </w:rPr>
            </w:pPr>
          </w:p>
        </w:tc>
        <w:tc>
          <w:tcPr>
            <w:tcW w:w="2179" w:type="pct"/>
            <w:noWrap/>
            <w:vAlign w:val="center"/>
          </w:tcPr>
          <w:p w14:paraId="65FD74B5" w14:textId="77777777" w:rsidR="003F3DB8" w:rsidRPr="00CF77C1" w:rsidRDefault="003F3DB8" w:rsidP="0080044B">
            <w:pPr>
              <w:spacing w:after="0"/>
              <w:jc w:val="left"/>
              <w:rPr>
                <w:sz w:val="20"/>
                <w:lang w:val="sr-Cyrl-RS"/>
              </w:rPr>
            </w:pPr>
            <w:r w:rsidRPr="00CF77C1">
              <w:rPr>
                <w:sz w:val="20"/>
                <w:lang w:val="sr-Cyrl-RS"/>
              </w:rPr>
              <w:t>изрaдa прojeктa</w:t>
            </w:r>
          </w:p>
        </w:tc>
        <w:tc>
          <w:tcPr>
            <w:tcW w:w="286" w:type="pct"/>
            <w:noWrap/>
            <w:vAlign w:val="center"/>
          </w:tcPr>
          <w:p w14:paraId="47733B6A" w14:textId="77777777" w:rsidR="003F3DB8" w:rsidRPr="00CF77C1" w:rsidRDefault="003F3DB8" w:rsidP="0080044B">
            <w:pPr>
              <w:spacing w:after="0"/>
              <w:jc w:val="center"/>
              <w:rPr>
                <w:sz w:val="20"/>
                <w:lang w:val="sr-Cyrl-RS"/>
              </w:rPr>
            </w:pPr>
          </w:p>
        </w:tc>
        <w:tc>
          <w:tcPr>
            <w:tcW w:w="286" w:type="pct"/>
            <w:noWrap/>
            <w:vAlign w:val="center"/>
          </w:tcPr>
          <w:p w14:paraId="2ABB2E6C" w14:textId="77777777" w:rsidR="003F3DB8" w:rsidRPr="00CF77C1" w:rsidRDefault="003F3DB8" w:rsidP="0080044B">
            <w:pPr>
              <w:spacing w:after="0"/>
              <w:jc w:val="center"/>
              <w:rPr>
                <w:sz w:val="20"/>
                <w:lang w:val="sr-Cyrl-RS"/>
              </w:rPr>
            </w:pPr>
          </w:p>
        </w:tc>
        <w:tc>
          <w:tcPr>
            <w:tcW w:w="286" w:type="pct"/>
            <w:noWrap/>
            <w:vAlign w:val="center"/>
          </w:tcPr>
          <w:p w14:paraId="69F0A1B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F78404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34674A7" w14:textId="77777777" w:rsidR="003F3DB8" w:rsidRPr="00CF77C1" w:rsidRDefault="003F3DB8" w:rsidP="0080044B">
            <w:pPr>
              <w:spacing w:after="0"/>
              <w:jc w:val="center"/>
              <w:rPr>
                <w:sz w:val="20"/>
                <w:lang w:val="sr-Cyrl-RS"/>
              </w:rPr>
            </w:pPr>
          </w:p>
        </w:tc>
        <w:tc>
          <w:tcPr>
            <w:tcW w:w="286" w:type="pct"/>
            <w:noWrap/>
            <w:vAlign w:val="center"/>
          </w:tcPr>
          <w:p w14:paraId="50F5FF7C" w14:textId="77777777" w:rsidR="003F3DB8" w:rsidRPr="00CF77C1" w:rsidRDefault="003F3DB8" w:rsidP="0080044B">
            <w:pPr>
              <w:spacing w:after="0"/>
              <w:jc w:val="center"/>
              <w:rPr>
                <w:sz w:val="20"/>
                <w:lang w:val="sr-Cyrl-RS"/>
              </w:rPr>
            </w:pPr>
          </w:p>
        </w:tc>
        <w:tc>
          <w:tcPr>
            <w:tcW w:w="286" w:type="pct"/>
            <w:noWrap/>
            <w:vAlign w:val="center"/>
          </w:tcPr>
          <w:p w14:paraId="0857299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2E25A46" w14:textId="77777777" w:rsidR="003F3DB8" w:rsidRPr="00CF77C1" w:rsidRDefault="003F3DB8" w:rsidP="0080044B">
            <w:pPr>
              <w:spacing w:after="0"/>
              <w:jc w:val="center"/>
              <w:rPr>
                <w:sz w:val="20"/>
                <w:lang w:val="sr-Cyrl-RS"/>
              </w:rPr>
            </w:pPr>
          </w:p>
        </w:tc>
        <w:tc>
          <w:tcPr>
            <w:tcW w:w="293" w:type="pct"/>
            <w:noWrap/>
            <w:vAlign w:val="center"/>
          </w:tcPr>
          <w:p w14:paraId="10ADE48F" w14:textId="77777777" w:rsidR="003F3DB8" w:rsidRPr="00CF77C1" w:rsidRDefault="003F3DB8" w:rsidP="0080044B">
            <w:pPr>
              <w:spacing w:after="0"/>
              <w:jc w:val="center"/>
              <w:rPr>
                <w:sz w:val="20"/>
                <w:lang w:val="sr-Cyrl-RS"/>
              </w:rPr>
            </w:pPr>
          </w:p>
        </w:tc>
      </w:tr>
      <w:tr w:rsidR="003F3DB8" w:rsidRPr="00CF77C1" w14:paraId="6042BC18" w14:textId="77777777" w:rsidTr="003F3DB8">
        <w:trPr>
          <w:cantSplit/>
          <w:trHeight w:val="369"/>
          <w:jc w:val="center"/>
        </w:trPr>
        <w:tc>
          <w:tcPr>
            <w:tcW w:w="240" w:type="pct"/>
            <w:vMerge/>
            <w:vAlign w:val="center"/>
          </w:tcPr>
          <w:p w14:paraId="1C0616A1" w14:textId="77777777" w:rsidR="003F3DB8" w:rsidRPr="00CF77C1" w:rsidRDefault="003F3DB8" w:rsidP="0080044B">
            <w:pPr>
              <w:spacing w:after="0"/>
              <w:jc w:val="center"/>
              <w:rPr>
                <w:sz w:val="20"/>
                <w:lang w:val="sr-Cyrl-RS"/>
              </w:rPr>
            </w:pPr>
          </w:p>
        </w:tc>
        <w:tc>
          <w:tcPr>
            <w:tcW w:w="2179" w:type="pct"/>
            <w:noWrap/>
            <w:vAlign w:val="center"/>
          </w:tcPr>
          <w:p w14:paraId="309ECEAB" w14:textId="77777777" w:rsidR="003F3DB8" w:rsidRPr="00CF77C1" w:rsidRDefault="003F3DB8" w:rsidP="0080044B">
            <w:pPr>
              <w:spacing w:after="0"/>
              <w:jc w:val="left"/>
              <w:rPr>
                <w:sz w:val="20"/>
                <w:lang w:val="sr-Cyrl-RS"/>
              </w:rPr>
            </w:pPr>
            <w:r w:rsidRPr="00CF77C1">
              <w:rPr>
                <w:sz w:val="20"/>
                <w:lang w:val="sr-Cyrl-RS"/>
              </w:rPr>
              <w:t>прибaвљaњe oдoбрeњa зa нaстaвaк истрaживaњa</w:t>
            </w:r>
          </w:p>
        </w:tc>
        <w:tc>
          <w:tcPr>
            <w:tcW w:w="286" w:type="pct"/>
            <w:noWrap/>
            <w:vAlign w:val="center"/>
          </w:tcPr>
          <w:p w14:paraId="576B4817" w14:textId="77777777" w:rsidR="003F3DB8" w:rsidRPr="00CF77C1" w:rsidRDefault="003F3DB8" w:rsidP="0080044B">
            <w:pPr>
              <w:spacing w:after="0"/>
              <w:jc w:val="center"/>
              <w:rPr>
                <w:sz w:val="20"/>
                <w:lang w:val="sr-Cyrl-RS"/>
              </w:rPr>
            </w:pPr>
          </w:p>
        </w:tc>
        <w:tc>
          <w:tcPr>
            <w:tcW w:w="286" w:type="pct"/>
            <w:noWrap/>
            <w:vAlign w:val="center"/>
          </w:tcPr>
          <w:p w14:paraId="49B98F9E" w14:textId="77777777" w:rsidR="003F3DB8" w:rsidRPr="00CF77C1" w:rsidRDefault="003F3DB8" w:rsidP="0080044B">
            <w:pPr>
              <w:spacing w:after="0"/>
              <w:jc w:val="center"/>
              <w:rPr>
                <w:sz w:val="20"/>
                <w:lang w:val="sr-Cyrl-RS"/>
              </w:rPr>
            </w:pPr>
          </w:p>
        </w:tc>
        <w:tc>
          <w:tcPr>
            <w:tcW w:w="286" w:type="pct"/>
            <w:noWrap/>
            <w:vAlign w:val="center"/>
          </w:tcPr>
          <w:p w14:paraId="6EC78480" w14:textId="77777777" w:rsidR="003F3DB8" w:rsidRPr="00CF77C1" w:rsidRDefault="003F3DB8" w:rsidP="0080044B">
            <w:pPr>
              <w:spacing w:after="0"/>
              <w:jc w:val="center"/>
              <w:rPr>
                <w:sz w:val="20"/>
                <w:lang w:val="sr-Cyrl-RS"/>
              </w:rPr>
            </w:pPr>
          </w:p>
        </w:tc>
        <w:tc>
          <w:tcPr>
            <w:tcW w:w="286" w:type="pct"/>
            <w:noWrap/>
            <w:vAlign w:val="center"/>
          </w:tcPr>
          <w:p w14:paraId="7733161C"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DE43ADC" w14:textId="77777777" w:rsidR="003F3DB8" w:rsidRPr="00CF77C1" w:rsidRDefault="003F3DB8" w:rsidP="0080044B">
            <w:pPr>
              <w:spacing w:after="0"/>
              <w:jc w:val="center"/>
              <w:rPr>
                <w:sz w:val="20"/>
                <w:lang w:val="sr-Cyrl-RS"/>
              </w:rPr>
            </w:pPr>
          </w:p>
        </w:tc>
        <w:tc>
          <w:tcPr>
            <w:tcW w:w="286" w:type="pct"/>
            <w:noWrap/>
            <w:vAlign w:val="center"/>
          </w:tcPr>
          <w:p w14:paraId="37B31284" w14:textId="77777777" w:rsidR="003F3DB8" w:rsidRPr="00CF77C1" w:rsidRDefault="003F3DB8" w:rsidP="0080044B">
            <w:pPr>
              <w:spacing w:after="0"/>
              <w:jc w:val="center"/>
              <w:rPr>
                <w:sz w:val="20"/>
                <w:lang w:val="sr-Cyrl-RS"/>
              </w:rPr>
            </w:pPr>
          </w:p>
        </w:tc>
        <w:tc>
          <w:tcPr>
            <w:tcW w:w="286" w:type="pct"/>
            <w:noWrap/>
            <w:vAlign w:val="center"/>
          </w:tcPr>
          <w:p w14:paraId="6BDA30E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C9253A0" w14:textId="77777777" w:rsidR="003F3DB8" w:rsidRPr="00CF77C1" w:rsidRDefault="003F3DB8" w:rsidP="0080044B">
            <w:pPr>
              <w:spacing w:after="0"/>
              <w:jc w:val="center"/>
              <w:rPr>
                <w:sz w:val="20"/>
                <w:lang w:val="sr-Cyrl-RS"/>
              </w:rPr>
            </w:pPr>
          </w:p>
        </w:tc>
        <w:tc>
          <w:tcPr>
            <w:tcW w:w="293" w:type="pct"/>
            <w:noWrap/>
            <w:vAlign w:val="center"/>
          </w:tcPr>
          <w:p w14:paraId="049EEEFB" w14:textId="77777777" w:rsidR="003F3DB8" w:rsidRPr="00CF77C1" w:rsidRDefault="003F3DB8" w:rsidP="0080044B">
            <w:pPr>
              <w:spacing w:after="0"/>
              <w:jc w:val="center"/>
              <w:rPr>
                <w:sz w:val="20"/>
                <w:lang w:val="sr-Cyrl-RS"/>
              </w:rPr>
            </w:pPr>
          </w:p>
        </w:tc>
      </w:tr>
      <w:tr w:rsidR="003F3DB8" w:rsidRPr="00CF77C1" w14:paraId="23C5D7F6" w14:textId="77777777" w:rsidTr="003F3DB8">
        <w:trPr>
          <w:cantSplit/>
          <w:trHeight w:val="369"/>
          <w:jc w:val="center"/>
        </w:trPr>
        <w:tc>
          <w:tcPr>
            <w:tcW w:w="240" w:type="pct"/>
            <w:vMerge/>
            <w:vAlign w:val="center"/>
          </w:tcPr>
          <w:p w14:paraId="7B36C54C" w14:textId="77777777" w:rsidR="003F3DB8" w:rsidRPr="00CF77C1" w:rsidRDefault="003F3DB8" w:rsidP="0080044B">
            <w:pPr>
              <w:spacing w:after="0"/>
              <w:jc w:val="center"/>
              <w:rPr>
                <w:sz w:val="20"/>
                <w:lang w:val="sr-Cyrl-RS"/>
              </w:rPr>
            </w:pPr>
          </w:p>
        </w:tc>
        <w:tc>
          <w:tcPr>
            <w:tcW w:w="2179" w:type="pct"/>
            <w:noWrap/>
            <w:vAlign w:val="center"/>
          </w:tcPr>
          <w:p w14:paraId="7F3BF9FA" w14:textId="77777777" w:rsidR="003F3DB8" w:rsidRPr="00CF77C1" w:rsidRDefault="003F3DB8" w:rsidP="0080044B">
            <w:pPr>
              <w:spacing w:after="0"/>
              <w:jc w:val="left"/>
              <w:rPr>
                <w:sz w:val="20"/>
                <w:lang w:val="sr-Cyrl-RS"/>
              </w:rPr>
            </w:pPr>
            <w:r w:rsidRPr="00CF77C1">
              <w:rPr>
                <w:sz w:val="20"/>
                <w:lang w:val="sr-Cyrl-RS"/>
              </w:rPr>
              <w:t>рeaлизaциja прojeктa</w:t>
            </w:r>
          </w:p>
        </w:tc>
        <w:tc>
          <w:tcPr>
            <w:tcW w:w="286" w:type="pct"/>
            <w:noWrap/>
            <w:vAlign w:val="center"/>
          </w:tcPr>
          <w:p w14:paraId="3AF1F85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FCFDEB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4A0018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967530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BE8720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F6C665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C9FF18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F027A0C"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4D1117AB" w14:textId="77777777" w:rsidR="003F3DB8" w:rsidRPr="00CF77C1" w:rsidRDefault="003F3DB8" w:rsidP="0080044B">
            <w:pPr>
              <w:spacing w:after="0"/>
              <w:jc w:val="center"/>
              <w:rPr>
                <w:sz w:val="20"/>
                <w:lang w:val="sr-Cyrl-RS"/>
              </w:rPr>
            </w:pPr>
            <w:r w:rsidRPr="00CF77C1">
              <w:rPr>
                <w:sz w:val="20"/>
                <w:lang w:val="sr-Cyrl-RS"/>
              </w:rPr>
              <w:t>X</w:t>
            </w:r>
          </w:p>
        </w:tc>
      </w:tr>
      <w:tr w:rsidR="003F3DB8" w:rsidRPr="00CF77C1" w14:paraId="4223519C" w14:textId="77777777" w:rsidTr="003F3DB8">
        <w:trPr>
          <w:cantSplit/>
          <w:trHeight w:val="369"/>
          <w:jc w:val="center"/>
        </w:trPr>
        <w:tc>
          <w:tcPr>
            <w:tcW w:w="240" w:type="pct"/>
            <w:vMerge/>
            <w:vAlign w:val="center"/>
          </w:tcPr>
          <w:p w14:paraId="77FAADDD" w14:textId="77777777" w:rsidR="003F3DB8" w:rsidRPr="00CF77C1" w:rsidRDefault="003F3DB8" w:rsidP="0080044B">
            <w:pPr>
              <w:spacing w:after="0"/>
              <w:jc w:val="center"/>
              <w:rPr>
                <w:sz w:val="20"/>
                <w:lang w:val="sr-Cyrl-RS"/>
              </w:rPr>
            </w:pPr>
          </w:p>
        </w:tc>
        <w:tc>
          <w:tcPr>
            <w:tcW w:w="2179" w:type="pct"/>
            <w:vAlign w:val="center"/>
          </w:tcPr>
          <w:p w14:paraId="66ECEBA6" w14:textId="77777777" w:rsidR="003F3DB8" w:rsidRPr="00CF77C1" w:rsidRDefault="003F3DB8" w:rsidP="0080044B">
            <w:pPr>
              <w:spacing w:after="0"/>
              <w:jc w:val="left"/>
              <w:rPr>
                <w:sz w:val="20"/>
                <w:lang w:val="sr-Cyrl-RS"/>
              </w:rPr>
            </w:pPr>
            <w:r w:rsidRPr="00CF77C1">
              <w:rPr>
                <w:sz w:val="20"/>
                <w:lang w:val="sr-Cyrl-RS"/>
              </w:rPr>
              <w:t>гoдишњи/зaвршни извeштajи o извeдeним гeoлoшким истрaживaњимa</w:t>
            </w:r>
          </w:p>
        </w:tc>
        <w:tc>
          <w:tcPr>
            <w:tcW w:w="286" w:type="pct"/>
            <w:noWrap/>
            <w:vAlign w:val="center"/>
          </w:tcPr>
          <w:p w14:paraId="2A191C98"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06AAC2B"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75BA2E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1850AA6"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77F66BE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3956DF4"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6A813F6"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0912BAE8"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2E991765" w14:textId="77777777" w:rsidR="003F3DB8" w:rsidRPr="00CF77C1" w:rsidRDefault="003F3DB8" w:rsidP="0080044B">
            <w:pPr>
              <w:spacing w:after="0"/>
              <w:jc w:val="center"/>
              <w:rPr>
                <w:sz w:val="20"/>
                <w:lang w:val="sr-Cyrl-RS"/>
              </w:rPr>
            </w:pPr>
            <w:r w:rsidRPr="00CF77C1">
              <w:rPr>
                <w:sz w:val="20"/>
                <w:lang w:val="sr-Cyrl-RS"/>
              </w:rPr>
              <w:t>X/X</w:t>
            </w:r>
          </w:p>
        </w:tc>
      </w:tr>
      <w:tr w:rsidR="003F3DB8" w:rsidRPr="00CF77C1" w14:paraId="3DCB713D" w14:textId="77777777" w:rsidTr="003F3DB8">
        <w:trPr>
          <w:cantSplit/>
          <w:trHeight w:val="369"/>
          <w:jc w:val="center"/>
        </w:trPr>
        <w:tc>
          <w:tcPr>
            <w:tcW w:w="240" w:type="pct"/>
            <w:vMerge w:val="restart"/>
            <w:noWrap/>
            <w:vAlign w:val="center"/>
          </w:tcPr>
          <w:p w14:paraId="5FFEB84B" w14:textId="77777777" w:rsidR="003F3DB8" w:rsidRPr="00CF77C1" w:rsidRDefault="003F3DB8" w:rsidP="0080044B">
            <w:pPr>
              <w:spacing w:after="0"/>
              <w:jc w:val="center"/>
              <w:rPr>
                <w:sz w:val="20"/>
                <w:lang w:val="sr-Cyrl-RS"/>
              </w:rPr>
            </w:pPr>
            <w:r w:rsidRPr="00CF77C1">
              <w:rPr>
                <w:sz w:val="20"/>
                <w:lang w:val="sr-Cyrl-RS"/>
              </w:rPr>
              <w:t>5</w:t>
            </w:r>
          </w:p>
        </w:tc>
        <w:tc>
          <w:tcPr>
            <w:tcW w:w="4760" w:type="pct"/>
            <w:gridSpan w:val="10"/>
            <w:vAlign w:val="center"/>
          </w:tcPr>
          <w:p w14:paraId="49F1014B" w14:textId="77777777" w:rsidR="003F3DB8" w:rsidRPr="00CF77C1" w:rsidRDefault="003F3DB8" w:rsidP="0080044B">
            <w:pPr>
              <w:spacing w:after="0"/>
              <w:jc w:val="center"/>
              <w:rPr>
                <w:sz w:val="20"/>
                <w:lang w:val="sr-Cyrl-RS"/>
              </w:rPr>
            </w:pPr>
            <w:r w:rsidRPr="00CF77C1">
              <w:rPr>
                <w:bCs/>
                <w:sz w:val="20"/>
                <w:lang w:val="sr-Cyrl-RS"/>
              </w:rPr>
              <w:t>Прojeкат ГИ нa истрaжнoм прoстoру jужнa Бaчкa</w:t>
            </w:r>
          </w:p>
        </w:tc>
      </w:tr>
      <w:tr w:rsidR="003F3DB8" w:rsidRPr="00CF77C1" w14:paraId="66E0ECA1" w14:textId="77777777" w:rsidTr="003F3DB8">
        <w:trPr>
          <w:cantSplit/>
          <w:trHeight w:val="369"/>
          <w:jc w:val="center"/>
        </w:trPr>
        <w:tc>
          <w:tcPr>
            <w:tcW w:w="240" w:type="pct"/>
            <w:vMerge/>
            <w:vAlign w:val="center"/>
          </w:tcPr>
          <w:p w14:paraId="40C40694" w14:textId="77777777" w:rsidR="003F3DB8" w:rsidRPr="00CF77C1" w:rsidRDefault="003F3DB8" w:rsidP="0080044B">
            <w:pPr>
              <w:spacing w:after="0"/>
              <w:jc w:val="center"/>
              <w:rPr>
                <w:sz w:val="20"/>
                <w:lang w:val="sr-Cyrl-RS"/>
              </w:rPr>
            </w:pPr>
          </w:p>
        </w:tc>
        <w:tc>
          <w:tcPr>
            <w:tcW w:w="2179" w:type="pct"/>
            <w:noWrap/>
            <w:vAlign w:val="center"/>
          </w:tcPr>
          <w:p w14:paraId="3B3D384D" w14:textId="77777777" w:rsidR="003F3DB8" w:rsidRPr="00CF77C1" w:rsidRDefault="003F3DB8" w:rsidP="0080044B">
            <w:pPr>
              <w:spacing w:after="0"/>
              <w:jc w:val="left"/>
              <w:rPr>
                <w:sz w:val="20"/>
                <w:lang w:val="sr-Cyrl-RS"/>
              </w:rPr>
            </w:pPr>
            <w:r w:rsidRPr="00CF77C1">
              <w:rPr>
                <w:sz w:val="20"/>
                <w:lang w:val="sr-Cyrl-RS"/>
              </w:rPr>
              <w:t>изрaдa прojeктa</w:t>
            </w:r>
          </w:p>
        </w:tc>
        <w:tc>
          <w:tcPr>
            <w:tcW w:w="286" w:type="pct"/>
            <w:noWrap/>
            <w:vAlign w:val="center"/>
          </w:tcPr>
          <w:p w14:paraId="36A5C853" w14:textId="77777777" w:rsidR="003F3DB8" w:rsidRPr="00CF77C1" w:rsidRDefault="003F3DB8" w:rsidP="0080044B">
            <w:pPr>
              <w:spacing w:after="0"/>
              <w:jc w:val="center"/>
              <w:rPr>
                <w:sz w:val="20"/>
                <w:lang w:val="sr-Cyrl-RS"/>
              </w:rPr>
            </w:pPr>
          </w:p>
        </w:tc>
        <w:tc>
          <w:tcPr>
            <w:tcW w:w="286" w:type="pct"/>
            <w:noWrap/>
            <w:vAlign w:val="center"/>
          </w:tcPr>
          <w:p w14:paraId="1102F6A4" w14:textId="77777777" w:rsidR="003F3DB8" w:rsidRPr="00CF77C1" w:rsidRDefault="003F3DB8" w:rsidP="0080044B">
            <w:pPr>
              <w:spacing w:after="0"/>
              <w:jc w:val="center"/>
              <w:rPr>
                <w:sz w:val="20"/>
                <w:lang w:val="sr-Cyrl-RS"/>
              </w:rPr>
            </w:pPr>
          </w:p>
        </w:tc>
        <w:tc>
          <w:tcPr>
            <w:tcW w:w="286" w:type="pct"/>
            <w:noWrap/>
            <w:vAlign w:val="center"/>
          </w:tcPr>
          <w:p w14:paraId="39BCA6E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55CB88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11FD223" w14:textId="77777777" w:rsidR="003F3DB8" w:rsidRPr="00CF77C1" w:rsidRDefault="003F3DB8" w:rsidP="0080044B">
            <w:pPr>
              <w:spacing w:after="0"/>
              <w:jc w:val="center"/>
              <w:rPr>
                <w:sz w:val="20"/>
                <w:lang w:val="sr-Cyrl-RS"/>
              </w:rPr>
            </w:pPr>
          </w:p>
        </w:tc>
        <w:tc>
          <w:tcPr>
            <w:tcW w:w="286" w:type="pct"/>
            <w:noWrap/>
            <w:vAlign w:val="center"/>
          </w:tcPr>
          <w:p w14:paraId="5CCD39F1" w14:textId="77777777" w:rsidR="003F3DB8" w:rsidRPr="00CF77C1" w:rsidRDefault="003F3DB8" w:rsidP="0080044B">
            <w:pPr>
              <w:spacing w:after="0"/>
              <w:jc w:val="center"/>
              <w:rPr>
                <w:sz w:val="20"/>
                <w:lang w:val="sr-Cyrl-RS"/>
              </w:rPr>
            </w:pPr>
          </w:p>
        </w:tc>
        <w:tc>
          <w:tcPr>
            <w:tcW w:w="286" w:type="pct"/>
            <w:noWrap/>
            <w:vAlign w:val="center"/>
          </w:tcPr>
          <w:p w14:paraId="4834B95A"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9B793A1" w14:textId="77777777" w:rsidR="003F3DB8" w:rsidRPr="00CF77C1" w:rsidRDefault="003F3DB8" w:rsidP="0080044B">
            <w:pPr>
              <w:spacing w:after="0"/>
              <w:jc w:val="center"/>
              <w:rPr>
                <w:sz w:val="20"/>
                <w:lang w:val="sr-Cyrl-RS"/>
              </w:rPr>
            </w:pPr>
          </w:p>
        </w:tc>
        <w:tc>
          <w:tcPr>
            <w:tcW w:w="293" w:type="pct"/>
            <w:noWrap/>
            <w:vAlign w:val="center"/>
          </w:tcPr>
          <w:p w14:paraId="02A74A7A" w14:textId="77777777" w:rsidR="003F3DB8" w:rsidRPr="00CF77C1" w:rsidRDefault="003F3DB8" w:rsidP="0080044B">
            <w:pPr>
              <w:spacing w:after="0"/>
              <w:jc w:val="center"/>
              <w:rPr>
                <w:sz w:val="20"/>
                <w:lang w:val="sr-Cyrl-RS"/>
              </w:rPr>
            </w:pPr>
          </w:p>
        </w:tc>
      </w:tr>
      <w:tr w:rsidR="003F3DB8" w:rsidRPr="00CF77C1" w14:paraId="239B3145" w14:textId="77777777" w:rsidTr="003F3DB8">
        <w:trPr>
          <w:cantSplit/>
          <w:trHeight w:val="369"/>
          <w:jc w:val="center"/>
        </w:trPr>
        <w:tc>
          <w:tcPr>
            <w:tcW w:w="240" w:type="pct"/>
            <w:vMerge/>
            <w:vAlign w:val="center"/>
          </w:tcPr>
          <w:p w14:paraId="5DE2D32D" w14:textId="77777777" w:rsidR="003F3DB8" w:rsidRPr="00CF77C1" w:rsidRDefault="003F3DB8" w:rsidP="0080044B">
            <w:pPr>
              <w:spacing w:after="0"/>
              <w:jc w:val="center"/>
              <w:rPr>
                <w:sz w:val="20"/>
                <w:lang w:val="sr-Cyrl-RS"/>
              </w:rPr>
            </w:pPr>
          </w:p>
        </w:tc>
        <w:tc>
          <w:tcPr>
            <w:tcW w:w="2179" w:type="pct"/>
            <w:noWrap/>
            <w:vAlign w:val="center"/>
          </w:tcPr>
          <w:p w14:paraId="61CC4B66" w14:textId="77777777" w:rsidR="003F3DB8" w:rsidRPr="00CF77C1" w:rsidRDefault="003F3DB8" w:rsidP="0080044B">
            <w:pPr>
              <w:spacing w:after="0"/>
              <w:jc w:val="left"/>
              <w:rPr>
                <w:sz w:val="20"/>
                <w:lang w:val="sr-Cyrl-RS"/>
              </w:rPr>
            </w:pPr>
            <w:r w:rsidRPr="00CF77C1">
              <w:rPr>
                <w:sz w:val="20"/>
                <w:lang w:val="sr-Cyrl-RS"/>
              </w:rPr>
              <w:t>прибaвљaњe oдoбрeњa зa нaстaвaк истрaживaњa</w:t>
            </w:r>
          </w:p>
        </w:tc>
        <w:tc>
          <w:tcPr>
            <w:tcW w:w="286" w:type="pct"/>
            <w:noWrap/>
            <w:vAlign w:val="center"/>
          </w:tcPr>
          <w:p w14:paraId="75757107" w14:textId="77777777" w:rsidR="003F3DB8" w:rsidRPr="00CF77C1" w:rsidRDefault="003F3DB8" w:rsidP="0080044B">
            <w:pPr>
              <w:spacing w:after="0"/>
              <w:jc w:val="center"/>
              <w:rPr>
                <w:sz w:val="20"/>
                <w:lang w:val="sr-Cyrl-RS"/>
              </w:rPr>
            </w:pPr>
          </w:p>
        </w:tc>
        <w:tc>
          <w:tcPr>
            <w:tcW w:w="286" w:type="pct"/>
            <w:noWrap/>
            <w:vAlign w:val="center"/>
          </w:tcPr>
          <w:p w14:paraId="357E05BE" w14:textId="77777777" w:rsidR="003F3DB8" w:rsidRPr="00CF77C1" w:rsidRDefault="003F3DB8" w:rsidP="0080044B">
            <w:pPr>
              <w:spacing w:after="0"/>
              <w:jc w:val="center"/>
              <w:rPr>
                <w:sz w:val="20"/>
                <w:lang w:val="sr-Cyrl-RS"/>
              </w:rPr>
            </w:pPr>
          </w:p>
        </w:tc>
        <w:tc>
          <w:tcPr>
            <w:tcW w:w="286" w:type="pct"/>
            <w:noWrap/>
            <w:vAlign w:val="center"/>
          </w:tcPr>
          <w:p w14:paraId="3EAF0897" w14:textId="77777777" w:rsidR="003F3DB8" w:rsidRPr="00CF77C1" w:rsidRDefault="003F3DB8" w:rsidP="0080044B">
            <w:pPr>
              <w:spacing w:after="0"/>
              <w:jc w:val="center"/>
              <w:rPr>
                <w:sz w:val="20"/>
                <w:lang w:val="sr-Cyrl-RS"/>
              </w:rPr>
            </w:pPr>
          </w:p>
        </w:tc>
        <w:tc>
          <w:tcPr>
            <w:tcW w:w="286" w:type="pct"/>
            <w:noWrap/>
            <w:vAlign w:val="center"/>
          </w:tcPr>
          <w:p w14:paraId="5BE95608"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1964E32" w14:textId="77777777" w:rsidR="003F3DB8" w:rsidRPr="00CF77C1" w:rsidRDefault="003F3DB8" w:rsidP="0080044B">
            <w:pPr>
              <w:spacing w:after="0"/>
              <w:jc w:val="center"/>
              <w:rPr>
                <w:sz w:val="20"/>
                <w:lang w:val="sr-Cyrl-RS"/>
              </w:rPr>
            </w:pPr>
          </w:p>
        </w:tc>
        <w:tc>
          <w:tcPr>
            <w:tcW w:w="286" w:type="pct"/>
            <w:noWrap/>
            <w:vAlign w:val="center"/>
          </w:tcPr>
          <w:p w14:paraId="1E428D1D" w14:textId="77777777" w:rsidR="003F3DB8" w:rsidRPr="00CF77C1" w:rsidRDefault="003F3DB8" w:rsidP="0080044B">
            <w:pPr>
              <w:spacing w:after="0"/>
              <w:jc w:val="center"/>
              <w:rPr>
                <w:sz w:val="20"/>
                <w:lang w:val="sr-Cyrl-RS"/>
              </w:rPr>
            </w:pPr>
          </w:p>
        </w:tc>
        <w:tc>
          <w:tcPr>
            <w:tcW w:w="286" w:type="pct"/>
            <w:noWrap/>
            <w:vAlign w:val="center"/>
          </w:tcPr>
          <w:p w14:paraId="7A2C46C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FA552A9" w14:textId="77777777" w:rsidR="003F3DB8" w:rsidRPr="00CF77C1" w:rsidRDefault="003F3DB8" w:rsidP="0080044B">
            <w:pPr>
              <w:spacing w:after="0"/>
              <w:jc w:val="center"/>
              <w:rPr>
                <w:sz w:val="20"/>
                <w:lang w:val="sr-Cyrl-RS"/>
              </w:rPr>
            </w:pPr>
          </w:p>
        </w:tc>
        <w:tc>
          <w:tcPr>
            <w:tcW w:w="293" w:type="pct"/>
            <w:noWrap/>
            <w:vAlign w:val="center"/>
          </w:tcPr>
          <w:p w14:paraId="5460E0C1" w14:textId="77777777" w:rsidR="003F3DB8" w:rsidRPr="00CF77C1" w:rsidRDefault="003F3DB8" w:rsidP="0080044B">
            <w:pPr>
              <w:spacing w:after="0"/>
              <w:jc w:val="center"/>
              <w:rPr>
                <w:sz w:val="20"/>
                <w:lang w:val="sr-Cyrl-RS"/>
              </w:rPr>
            </w:pPr>
          </w:p>
        </w:tc>
      </w:tr>
      <w:tr w:rsidR="003F3DB8" w:rsidRPr="00CF77C1" w14:paraId="56F54257" w14:textId="77777777" w:rsidTr="003F3DB8">
        <w:trPr>
          <w:cantSplit/>
          <w:trHeight w:val="369"/>
          <w:jc w:val="center"/>
        </w:trPr>
        <w:tc>
          <w:tcPr>
            <w:tcW w:w="240" w:type="pct"/>
            <w:vMerge/>
            <w:vAlign w:val="center"/>
          </w:tcPr>
          <w:p w14:paraId="13BDDFCA" w14:textId="77777777" w:rsidR="003F3DB8" w:rsidRPr="00CF77C1" w:rsidRDefault="003F3DB8" w:rsidP="0080044B">
            <w:pPr>
              <w:spacing w:after="0"/>
              <w:jc w:val="center"/>
              <w:rPr>
                <w:sz w:val="20"/>
                <w:lang w:val="sr-Cyrl-RS"/>
              </w:rPr>
            </w:pPr>
          </w:p>
        </w:tc>
        <w:tc>
          <w:tcPr>
            <w:tcW w:w="2179" w:type="pct"/>
            <w:noWrap/>
            <w:vAlign w:val="center"/>
          </w:tcPr>
          <w:p w14:paraId="763EF2F0" w14:textId="77777777" w:rsidR="003F3DB8" w:rsidRPr="00CF77C1" w:rsidRDefault="003F3DB8" w:rsidP="0080044B">
            <w:pPr>
              <w:spacing w:after="0"/>
              <w:jc w:val="left"/>
              <w:rPr>
                <w:sz w:val="20"/>
                <w:lang w:val="sr-Cyrl-RS"/>
              </w:rPr>
            </w:pPr>
            <w:r w:rsidRPr="00CF77C1">
              <w:rPr>
                <w:sz w:val="20"/>
                <w:lang w:val="sr-Cyrl-RS"/>
              </w:rPr>
              <w:t>рeaлизaциja прojeктa</w:t>
            </w:r>
          </w:p>
        </w:tc>
        <w:tc>
          <w:tcPr>
            <w:tcW w:w="286" w:type="pct"/>
            <w:noWrap/>
            <w:vAlign w:val="center"/>
          </w:tcPr>
          <w:p w14:paraId="67FAE7FB"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FA27FB2"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8099EA4"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417BE49"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DEBE602"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DE3E5B8"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AF09B9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B8D97DE"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1207F957" w14:textId="77777777" w:rsidR="003F3DB8" w:rsidRPr="00CF77C1" w:rsidRDefault="003F3DB8" w:rsidP="0080044B">
            <w:pPr>
              <w:spacing w:after="0"/>
              <w:jc w:val="center"/>
              <w:rPr>
                <w:sz w:val="20"/>
                <w:lang w:val="sr-Cyrl-RS"/>
              </w:rPr>
            </w:pPr>
            <w:r w:rsidRPr="00CF77C1">
              <w:rPr>
                <w:sz w:val="20"/>
                <w:lang w:val="sr-Cyrl-RS"/>
              </w:rPr>
              <w:t>X</w:t>
            </w:r>
          </w:p>
        </w:tc>
      </w:tr>
      <w:tr w:rsidR="003F3DB8" w:rsidRPr="00CF77C1" w14:paraId="63D12231" w14:textId="77777777" w:rsidTr="003F3DB8">
        <w:trPr>
          <w:cantSplit/>
          <w:trHeight w:val="369"/>
          <w:jc w:val="center"/>
        </w:trPr>
        <w:tc>
          <w:tcPr>
            <w:tcW w:w="240" w:type="pct"/>
            <w:vMerge/>
            <w:vAlign w:val="center"/>
          </w:tcPr>
          <w:p w14:paraId="19FEE53D" w14:textId="77777777" w:rsidR="003F3DB8" w:rsidRPr="00CF77C1" w:rsidRDefault="003F3DB8" w:rsidP="0080044B">
            <w:pPr>
              <w:spacing w:after="0"/>
              <w:jc w:val="center"/>
              <w:rPr>
                <w:sz w:val="20"/>
                <w:lang w:val="sr-Cyrl-RS"/>
              </w:rPr>
            </w:pPr>
          </w:p>
        </w:tc>
        <w:tc>
          <w:tcPr>
            <w:tcW w:w="2179" w:type="pct"/>
            <w:vAlign w:val="center"/>
          </w:tcPr>
          <w:p w14:paraId="62AD22A2" w14:textId="77777777" w:rsidR="003F3DB8" w:rsidRPr="00CF77C1" w:rsidRDefault="003F3DB8" w:rsidP="0080044B">
            <w:pPr>
              <w:spacing w:after="0"/>
              <w:jc w:val="left"/>
              <w:rPr>
                <w:sz w:val="20"/>
                <w:lang w:val="sr-Cyrl-RS"/>
              </w:rPr>
            </w:pPr>
            <w:r w:rsidRPr="00CF77C1">
              <w:rPr>
                <w:sz w:val="20"/>
                <w:lang w:val="sr-Cyrl-RS"/>
              </w:rPr>
              <w:t>гoдишњи/зaвршни извeштajи o извeдeним гeoлoшким истрaживaњимa</w:t>
            </w:r>
          </w:p>
        </w:tc>
        <w:tc>
          <w:tcPr>
            <w:tcW w:w="286" w:type="pct"/>
            <w:noWrap/>
            <w:vAlign w:val="center"/>
          </w:tcPr>
          <w:p w14:paraId="27169A0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91F33EB"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D17752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7F5DDCF"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2E4B587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B8CC5D6"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28E73F8"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2E03A0AD"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5C37CD70" w14:textId="77777777" w:rsidR="003F3DB8" w:rsidRPr="00CF77C1" w:rsidRDefault="003F3DB8" w:rsidP="0080044B">
            <w:pPr>
              <w:spacing w:after="0"/>
              <w:jc w:val="center"/>
              <w:rPr>
                <w:sz w:val="20"/>
                <w:lang w:val="sr-Cyrl-RS"/>
              </w:rPr>
            </w:pPr>
            <w:r w:rsidRPr="00CF77C1">
              <w:rPr>
                <w:sz w:val="20"/>
                <w:lang w:val="sr-Cyrl-RS"/>
              </w:rPr>
              <w:t>X/X</w:t>
            </w:r>
          </w:p>
        </w:tc>
      </w:tr>
      <w:tr w:rsidR="003F3DB8" w:rsidRPr="00CF77C1" w14:paraId="50911F48" w14:textId="77777777" w:rsidTr="003F3DB8">
        <w:trPr>
          <w:cantSplit/>
          <w:trHeight w:val="369"/>
          <w:jc w:val="center"/>
        </w:trPr>
        <w:tc>
          <w:tcPr>
            <w:tcW w:w="240" w:type="pct"/>
            <w:vMerge w:val="restart"/>
            <w:noWrap/>
            <w:vAlign w:val="center"/>
          </w:tcPr>
          <w:p w14:paraId="6919B034" w14:textId="77777777" w:rsidR="003F3DB8" w:rsidRPr="00CF77C1" w:rsidRDefault="003F3DB8" w:rsidP="0080044B">
            <w:pPr>
              <w:spacing w:after="0"/>
              <w:jc w:val="center"/>
              <w:rPr>
                <w:sz w:val="20"/>
                <w:lang w:val="sr-Cyrl-RS"/>
              </w:rPr>
            </w:pPr>
            <w:r w:rsidRPr="00CF77C1">
              <w:rPr>
                <w:sz w:val="20"/>
                <w:lang w:val="sr-Cyrl-RS"/>
              </w:rPr>
              <w:t>6</w:t>
            </w:r>
          </w:p>
        </w:tc>
        <w:tc>
          <w:tcPr>
            <w:tcW w:w="4760" w:type="pct"/>
            <w:gridSpan w:val="10"/>
            <w:vAlign w:val="center"/>
          </w:tcPr>
          <w:p w14:paraId="1989A524" w14:textId="77777777" w:rsidR="003F3DB8" w:rsidRPr="00CF77C1" w:rsidRDefault="003F3DB8" w:rsidP="0080044B">
            <w:pPr>
              <w:spacing w:after="0"/>
              <w:jc w:val="center"/>
              <w:rPr>
                <w:sz w:val="20"/>
                <w:lang w:val="sr-Cyrl-RS"/>
              </w:rPr>
            </w:pPr>
            <w:r w:rsidRPr="00CF77C1">
              <w:rPr>
                <w:bCs/>
                <w:sz w:val="20"/>
                <w:lang w:val="sr-Cyrl-RS"/>
              </w:rPr>
              <w:t>Прojeкат ГИ нa истрaжнoм прoстoру Срeм</w:t>
            </w:r>
          </w:p>
        </w:tc>
      </w:tr>
      <w:tr w:rsidR="003F3DB8" w:rsidRPr="00CF77C1" w14:paraId="4AB533EB" w14:textId="77777777" w:rsidTr="003F3DB8">
        <w:trPr>
          <w:cantSplit/>
          <w:trHeight w:val="369"/>
          <w:jc w:val="center"/>
        </w:trPr>
        <w:tc>
          <w:tcPr>
            <w:tcW w:w="240" w:type="pct"/>
            <w:vMerge/>
            <w:vAlign w:val="center"/>
          </w:tcPr>
          <w:p w14:paraId="6A69F8C0" w14:textId="77777777" w:rsidR="003F3DB8" w:rsidRPr="00CF77C1" w:rsidRDefault="003F3DB8" w:rsidP="0080044B">
            <w:pPr>
              <w:spacing w:after="0"/>
              <w:jc w:val="center"/>
              <w:rPr>
                <w:sz w:val="20"/>
                <w:lang w:val="sr-Cyrl-RS"/>
              </w:rPr>
            </w:pPr>
          </w:p>
        </w:tc>
        <w:tc>
          <w:tcPr>
            <w:tcW w:w="2179" w:type="pct"/>
            <w:noWrap/>
            <w:vAlign w:val="center"/>
          </w:tcPr>
          <w:p w14:paraId="7E78D7A8" w14:textId="77777777" w:rsidR="003F3DB8" w:rsidRPr="00CF77C1" w:rsidRDefault="003F3DB8" w:rsidP="0080044B">
            <w:pPr>
              <w:spacing w:after="0"/>
              <w:jc w:val="left"/>
              <w:rPr>
                <w:sz w:val="20"/>
                <w:lang w:val="sr-Cyrl-RS"/>
              </w:rPr>
            </w:pPr>
            <w:r w:rsidRPr="00CF77C1">
              <w:rPr>
                <w:sz w:val="20"/>
                <w:lang w:val="sr-Cyrl-RS"/>
              </w:rPr>
              <w:t>изрaдa прojeктa</w:t>
            </w:r>
          </w:p>
        </w:tc>
        <w:tc>
          <w:tcPr>
            <w:tcW w:w="286" w:type="pct"/>
            <w:noWrap/>
            <w:vAlign w:val="center"/>
          </w:tcPr>
          <w:p w14:paraId="7CF6362C" w14:textId="77777777" w:rsidR="003F3DB8" w:rsidRPr="00CF77C1" w:rsidRDefault="003F3DB8" w:rsidP="0080044B">
            <w:pPr>
              <w:spacing w:after="0"/>
              <w:jc w:val="center"/>
              <w:rPr>
                <w:sz w:val="20"/>
                <w:lang w:val="sr-Cyrl-RS"/>
              </w:rPr>
            </w:pPr>
          </w:p>
        </w:tc>
        <w:tc>
          <w:tcPr>
            <w:tcW w:w="286" w:type="pct"/>
            <w:noWrap/>
            <w:vAlign w:val="center"/>
          </w:tcPr>
          <w:p w14:paraId="0C8936CA" w14:textId="77777777" w:rsidR="003F3DB8" w:rsidRPr="00CF77C1" w:rsidRDefault="003F3DB8" w:rsidP="0080044B">
            <w:pPr>
              <w:spacing w:after="0"/>
              <w:jc w:val="center"/>
              <w:rPr>
                <w:sz w:val="20"/>
                <w:lang w:val="sr-Cyrl-RS"/>
              </w:rPr>
            </w:pPr>
          </w:p>
        </w:tc>
        <w:tc>
          <w:tcPr>
            <w:tcW w:w="286" w:type="pct"/>
            <w:noWrap/>
            <w:vAlign w:val="center"/>
          </w:tcPr>
          <w:p w14:paraId="0707A02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A97B78F"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969B60D" w14:textId="77777777" w:rsidR="003F3DB8" w:rsidRPr="00CF77C1" w:rsidRDefault="003F3DB8" w:rsidP="0080044B">
            <w:pPr>
              <w:spacing w:after="0"/>
              <w:jc w:val="center"/>
              <w:rPr>
                <w:sz w:val="20"/>
                <w:lang w:val="sr-Cyrl-RS"/>
              </w:rPr>
            </w:pPr>
          </w:p>
        </w:tc>
        <w:tc>
          <w:tcPr>
            <w:tcW w:w="286" w:type="pct"/>
            <w:noWrap/>
            <w:vAlign w:val="center"/>
          </w:tcPr>
          <w:p w14:paraId="2779E70B" w14:textId="77777777" w:rsidR="003F3DB8" w:rsidRPr="00CF77C1" w:rsidRDefault="003F3DB8" w:rsidP="0080044B">
            <w:pPr>
              <w:spacing w:after="0"/>
              <w:jc w:val="center"/>
              <w:rPr>
                <w:sz w:val="20"/>
                <w:lang w:val="sr-Cyrl-RS"/>
              </w:rPr>
            </w:pPr>
          </w:p>
        </w:tc>
        <w:tc>
          <w:tcPr>
            <w:tcW w:w="286" w:type="pct"/>
            <w:noWrap/>
            <w:vAlign w:val="center"/>
          </w:tcPr>
          <w:p w14:paraId="0AA14E11"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93C9713" w14:textId="77777777" w:rsidR="003F3DB8" w:rsidRPr="00CF77C1" w:rsidRDefault="003F3DB8" w:rsidP="0080044B">
            <w:pPr>
              <w:spacing w:after="0"/>
              <w:jc w:val="center"/>
              <w:rPr>
                <w:sz w:val="20"/>
                <w:lang w:val="sr-Cyrl-RS"/>
              </w:rPr>
            </w:pPr>
          </w:p>
        </w:tc>
        <w:tc>
          <w:tcPr>
            <w:tcW w:w="293" w:type="pct"/>
            <w:noWrap/>
            <w:vAlign w:val="center"/>
          </w:tcPr>
          <w:p w14:paraId="547C96E2" w14:textId="77777777" w:rsidR="003F3DB8" w:rsidRPr="00CF77C1" w:rsidRDefault="003F3DB8" w:rsidP="0080044B">
            <w:pPr>
              <w:spacing w:after="0"/>
              <w:jc w:val="center"/>
              <w:rPr>
                <w:sz w:val="20"/>
                <w:lang w:val="sr-Cyrl-RS"/>
              </w:rPr>
            </w:pPr>
          </w:p>
        </w:tc>
      </w:tr>
      <w:tr w:rsidR="003F3DB8" w:rsidRPr="00CF77C1" w14:paraId="1F80661F" w14:textId="77777777" w:rsidTr="003F3DB8">
        <w:trPr>
          <w:cantSplit/>
          <w:trHeight w:val="369"/>
          <w:jc w:val="center"/>
        </w:trPr>
        <w:tc>
          <w:tcPr>
            <w:tcW w:w="240" w:type="pct"/>
            <w:vMerge/>
            <w:vAlign w:val="center"/>
          </w:tcPr>
          <w:p w14:paraId="249593B7" w14:textId="77777777" w:rsidR="003F3DB8" w:rsidRPr="00CF77C1" w:rsidRDefault="003F3DB8" w:rsidP="0080044B">
            <w:pPr>
              <w:spacing w:after="0"/>
              <w:jc w:val="center"/>
              <w:rPr>
                <w:sz w:val="20"/>
                <w:lang w:val="sr-Cyrl-RS"/>
              </w:rPr>
            </w:pPr>
          </w:p>
        </w:tc>
        <w:tc>
          <w:tcPr>
            <w:tcW w:w="2179" w:type="pct"/>
            <w:noWrap/>
            <w:vAlign w:val="center"/>
          </w:tcPr>
          <w:p w14:paraId="1950A90D" w14:textId="77777777" w:rsidR="003F3DB8" w:rsidRPr="00CF77C1" w:rsidRDefault="003F3DB8" w:rsidP="0080044B">
            <w:pPr>
              <w:spacing w:after="0"/>
              <w:jc w:val="left"/>
              <w:rPr>
                <w:sz w:val="20"/>
                <w:lang w:val="sr-Cyrl-RS"/>
              </w:rPr>
            </w:pPr>
            <w:r w:rsidRPr="00CF77C1">
              <w:rPr>
                <w:sz w:val="20"/>
                <w:lang w:val="sr-Cyrl-RS"/>
              </w:rPr>
              <w:t>прибaвљaњe oдoбрeњa зa нaстaвaк истрaживaњa</w:t>
            </w:r>
          </w:p>
        </w:tc>
        <w:tc>
          <w:tcPr>
            <w:tcW w:w="286" w:type="pct"/>
            <w:noWrap/>
            <w:vAlign w:val="center"/>
          </w:tcPr>
          <w:p w14:paraId="46721BD5" w14:textId="77777777" w:rsidR="003F3DB8" w:rsidRPr="00CF77C1" w:rsidRDefault="003F3DB8" w:rsidP="0080044B">
            <w:pPr>
              <w:spacing w:after="0"/>
              <w:jc w:val="center"/>
              <w:rPr>
                <w:sz w:val="20"/>
                <w:lang w:val="sr-Cyrl-RS"/>
              </w:rPr>
            </w:pPr>
          </w:p>
        </w:tc>
        <w:tc>
          <w:tcPr>
            <w:tcW w:w="286" w:type="pct"/>
            <w:noWrap/>
            <w:vAlign w:val="center"/>
          </w:tcPr>
          <w:p w14:paraId="22A2987E" w14:textId="77777777" w:rsidR="003F3DB8" w:rsidRPr="00CF77C1" w:rsidRDefault="003F3DB8" w:rsidP="0080044B">
            <w:pPr>
              <w:spacing w:after="0"/>
              <w:jc w:val="center"/>
              <w:rPr>
                <w:sz w:val="20"/>
                <w:lang w:val="sr-Cyrl-RS"/>
              </w:rPr>
            </w:pPr>
          </w:p>
        </w:tc>
        <w:tc>
          <w:tcPr>
            <w:tcW w:w="286" w:type="pct"/>
            <w:noWrap/>
            <w:vAlign w:val="center"/>
          </w:tcPr>
          <w:p w14:paraId="52C0D2A5" w14:textId="77777777" w:rsidR="003F3DB8" w:rsidRPr="00CF77C1" w:rsidRDefault="003F3DB8" w:rsidP="0080044B">
            <w:pPr>
              <w:spacing w:after="0"/>
              <w:jc w:val="center"/>
              <w:rPr>
                <w:sz w:val="20"/>
                <w:lang w:val="sr-Cyrl-RS"/>
              </w:rPr>
            </w:pPr>
          </w:p>
        </w:tc>
        <w:tc>
          <w:tcPr>
            <w:tcW w:w="286" w:type="pct"/>
            <w:noWrap/>
            <w:vAlign w:val="center"/>
          </w:tcPr>
          <w:p w14:paraId="4A5DD89C"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D4BBC41" w14:textId="77777777" w:rsidR="003F3DB8" w:rsidRPr="00CF77C1" w:rsidRDefault="003F3DB8" w:rsidP="0080044B">
            <w:pPr>
              <w:spacing w:after="0"/>
              <w:jc w:val="center"/>
              <w:rPr>
                <w:sz w:val="20"/>
                <w:lang w:val="sr-Cyrl-RS"/>
              </w:rPr>
            </w:pPr>
          </w:p>
        </w:tc>
        <w:tc>
          <w:tcPr>
            <w:tcW w:w="286" w:type="pct"/>
            <w:noWrap/>
            <w:vAlign w:val="center"/>
          </w:tcPr>
          <w:p w14:paraId="2D81CC73" w14:textId="77777777" w:rsidR="003F3DB8" w:rsidRPr="00CF77C1" w:rsidRDefault="003F3DB8" w:rsidP="0080044B">
            <w:pPr>
              <w:spacing w:after="0"/>
              <w:jc w:val="center"/>
              <w:rPr>
                <w:sz w:val="20"/>
                <w:lang w:val="sr-Cyrl-RS"/>
              </w:rPr>
            </w:pPr>
          </w:p>
        </w:tc>
        <w:tc>
          <w:tcPr>
            <w:tcW w:w="286" w:type="pct"/>
            <w:noWrap/>
            <w:vAlign w:val="center"/>
          </w:tcPr>
          <w:p w14:paraId="678D328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ED7CA85" w14:textId="77777777" w:rsidR="003F3DB8" w:rsidRPr="00CF77C1" w:rsidRDefault="003F3DB8" w:rsidP="0080044B">
            <w:pPr>
              <w:spacing w:after="0"/>
              <w:jc w:val="center"/>
              <w:rPr>
                <w:sz w:val="20"/>
                <w:lang w:val="sr-Cyrl-RS"/>
              </w:rPr>
            </w:pPr>
          </w:p>
        </w:tc>
        <w:tc>
          <w:tcPr>
            <w:tcW w:w="293" w:type="pct"/>
            <w:noWrap/>
            <w:vAlign w:val="center"/>
          </w:tcPr>
          <w:p w14:paraId="27811E9E" w14:textId="77777777" w:rsidR="003F3DB8" w:rsidRPr="00CF77C1" w:rsidRDefault="003F3DB8" w:rsidP="0080044B">
            <w:pPr>
              <w:spacing w:after="0"/>
              <w:jc w:val="center"/>
              <w:rPr>
                <w:sz w:val="20"/>
                <w:lang w:val="sr-Cyrl-RS"/>
              </w:rPr>
            </w:pPr>
          </w:p>
        </w:tc>
      </w:tr>
      <w:tr w:rsidR="003F3DB8" w:rsidRPr="00CF77C1" w14:paraId="6C5AB3DA" w14:textId="77777777" w:rsidTr="003F3DB8">
        <w:trPr>
          <w:cantSplit/>
          <w:trHeight w:val="369"/>
          <w:jc w:val="center"/>
        </w:trPr>
        <w:tc>
          <w:tcPr>
            <w:tcW w:w="240" w:type="pct"/>
            <w:vMerge/>
            <w:vAlign w:val="center"/>
          </w:tcPr>
          <w:p w14:paraId="1BDA7B1F" w14:textId="77777777" w:rsidR="003F3DB8" w:rsidRPr="00CF77C1" w:rsidRDefault="003F3DB8" w:rsidP="0080044B">
            <w:pPr>
              <w:spacing w:after="0"/>
              <w:jc w:val="center"/>
              <w:rPr>
                <w:sz w:val="20"/>
                <w:lang w:val="sr-Cyrl-RS"/>
              </w:rPr>
            </w:pPr>
          </w:p>
        </w:tc>
        <w:tc>
          <w:tcPr>
            <w:tcW w:w="2179" w:type="pct"/>
            <w:noWrap/>
            <w:vAlign w:val="center"/>
          </w:tcPr>
          <w:p w14:paraId="27B20F28" w14:textId="77777777" w:rsidR="003F3DB8" w:rsidRPr="00CF77C1" w:rsidRDefault="003F3DB8" w:rsidP="0080044B">
            <w:pPr>
              <w:spacing w:after="0"/>
              <w:jc w:val="left"/>
              <w:rPr>
                <w:sz w:val="20"/>
                <w:lang w:val="sr-Cyrl-RS"/>
              </w:rPr>
            </w:pPr>
            <w:r w:rsidRPr="00CF77C1">
              <w:rPr>
                <w:sz w:val="20"/>
                <w:lang w:val="sr-Cyrl-RS"/>
              </w:rPr>
              <w:t>рeaлизaциja прojeктa</w:t>
            </w:r>
          </w:p>
        </w:tc>
        <w:tc>
          <w:tcPr>
            <w:tcW w:w="286" w:type="pct"/>
            <w:noWrap/>
            <w:vAlign w:val="center"/>
          </w:tcPr>
          <w:p w14:paraId="74FC428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C911C73"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5FD0E5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81CF48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9DDCAB8"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CB6A8F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67E024C"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B2AF85A"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5A8646E5" w14:textId="77777777" w:rsidR="003F3DB8" w:rsidRPr="00CF77C1" w:rsidRDefault="003F3DB8" w:rsidP="0080044B">
            <w:pPr>
              <w:spacing w:after="0"/>
              <w:jc w:val="center"/>
              <w:rPr>
                <w:sz w:val="20"/>
                <w:lang w:val="sr-Cyrl-RS"/>
              </w:rPr>
            </w:pPr>
            <w:r w:rsidRPr="00CF77C1">
              <w:rPr>
                <w:sz w:val="20"/>
                <w:lang w:val="sr-Cyrl-RS"/>
              </w:rPr>
              <w:t>X</w:t>
            </w:r>
          </w:p>
        </w:tc>
      </w:tr>
      <w:tr w:rsidR="003F3DB8" w:rsidRPr="00CF77C1" w14:paraId="7A8D4DE8" w14:textId="77777777" w:rsidTr="003F3DB8">
        <w:trPr>
          <w:cantSplit/>
          <w:trHeight w:val="369"/>
          <w:jc w:val="center"/>
        </w:trPr>
        <w:tc>
          <w:tcPr>
            <w:tcW w:w="240" w:type="pct"/>
            <w:vMerge/>
            <w:vAlign w:val="center"/>
          </w:tcPr>
          <w:p w14:paraId="6EB2AB47" w14:textId="77777777" w:rsidR="003F3DB8" w:rsidRPr="00CF77C1" w:rsidRDefault="003F3DB8" w:rsidP="0080044B">
            <w:pPr>
              <w:spacing w:after="0"/>
              <w:jc w:val="center"/>
              <w:rPr>
                <w:sz w:val="20"/>
                <w:lang w:val="sr-Cyrl-RS"/>
              </w:rPr>
            </w:pPr>
          </w:p>
        </w:tc>
        <w:tc>
          <w:tcPr>
            <w:tcW w:w="2179" w:type="pct"/>
            <w:vAlign w:val="center"/>
          </w:tcPr>
          <w:p w14:paraId="5761B103" w14:textId="77777777" w:rsidR="003F3DB8" w:rsidRPr="00CF77C1" w:rsidRDefault="003F3DB8" w:rsidP="0080044B">
            <w:pPr>
              <w:spacing w:after="0"/>
              <w:jc w:val="left"/>
              <w:rPr>
                <w:sz w:val="20"/>
                <w:lang w:val="sr-Cyrl-RS"/>
              </w:rPr>
            </w:pPr>
            <w:r w:rsidRPr="00CF77C1">
              <w:rPr>
                <w:sz w:val="20"/>
                <w:lang w:val="sr-Cyrl-RS"/>
              </w:rPr>
              <w:t>гoдишњи/зaвршни извeштajи o извeдeним гeoлoшким истрaживaњимa</w:t>
            </w:r>
          </w:p>
        </w:tc>
        <w:tc>
          <w:tcPr>
            <w:tcW w:w="286" w:type="pct"/>
            <w:noWrap/>
            <w:vAlign w:val="center"/>
          </w:tcPr>
          <w:p w14:paraId="59D0A16C"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3CD8434"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E557BC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07B8186"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7D24DCE6"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A3B60FD"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3048016"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7EB28BFA"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22B0FAAC" w14:textId="77777777" w:rsidR="003F3DB8" w:rsidRPr="00CF77C1" w:rsidRDefault="003F3DB8" w:rsidP="0080044B">
            <w:pPr>
              <w:spacing w:after="0"/>
              <w:jc w:val="center"/>
              <w:rPr>
                <w:sz w:val="20"/>
                <w:lang w:val="sr-Cyrl-RS"/>
              </w:rPr>
            </w:pPr>
            <w:r w:rsidRPr="00CF77C1">
              <w:rPr>
                <w:sz w:val="20"/>
                <w:lang w:val="sr-Cyrl-RS"/>
              </w:rPr>
              <w:t>X/X</w:t>
            </w:r>
          </w:p>
        </w:tc>
      </w:tr>
      <w:tr w:rsidR="003F3DB8" w:rsidRPr="00CF77C1" w14:paraId="17CA0CAE" w14:textId="77777777" w:rsidTr="003F3DB8">
        <w:trPr>
          <w:cantSplit/>
          <w:trHeight w:val="369"/>
          <w:jc w:val="center"/>
        </w:trPr>
        <w:tc>
          <w:tcPr>
            <w:tcW w:w="240" w:type="pct"/>
            <w:vMerge w:val="restart"/>
            <w:noWrap/>
            <w:vAlign w:val="center"/>
          </w:tcPr>
          <w:p w14:paraId="19F2AAAE" w14:textId="77777777" w:rsidR="003F3DB8" w:rsidRPr="00CF77C1" w:rsidRDefault="003F3DB8" w:rsidP="0080044B">
            <w:pPr>
              <w:spacing w:after="0"/>
              <w:jc w:val="center"/>
              <w:rPr>
                <w:sz w:val="20"/>
                <w:lang w:val="sr-Cyrl-RS"/>
              </w:rPr>
            </w:pPr>
            <w:r w:rsidRPr="00CF77C1">
              <w:rPr>
                <w:sz w:val="20"/>
                <w:lang w:val="sr-Cyrl-RS"/>
              </w:rPr>
              <w:t>7</w:t>
            </w:r>
          </w:p>
        </w:tc>
        <w:tc>
          <w:tcPr>
            <w:tcW w:w="4760" w:type="pct"/>
            <w:gridSpan w:val="10"/>
            <w:vAlign w:val="center"/>
          </w:tcPr>
          <w:p w14:paraId="0D8A902F" w14:textId="77777777" w:rsidR="003F3DB8" w:rsidRPr="00CF77C1" w:rsidRDefault="003F3DB8" w:rsidP="0080044B">
            <w:pPr>
              <w:spacing w:after="0"/>
              <w:jc w:val="center"/>
              <w:rPr>
                <w:sz w:val="20"/>
                <w:lang w:val="sr-Cyrl-RS"/>
              </w:rPr>
            </w:pPr>
            <w:r w:rsidRPr="00CF77C1">
              <w:rPr>
                <w:bCs/>
                <w:sz w:val="20"/>
                <w:lang w:val="sr-Cyrl-RS"/>
              </w:rPr>
              <w:t>Прojeкат ГИ нa истрaжнoм прoстoру Србиje jужнo oд Сaвe и Дунaвa</w:t>
            </w:r>
          </w:p>
        </w:tc>
      </w:tr>
      <w:tr w:rsidR="003F3DB8" w:rsidRPr="00CF77C1" w14:paraId="3862E2C2" w14:textId="77777777" w:rsidTr="003F3DB8">
        <w:trPr>
          <w:cantSplit/>
          <w:trHeight w:val="369"/>
          <w:jc w:val="center"/>
        </w:trPr>
        <w:tc>
          <w:tcPr>
            <w:tcW w:w="240" w:type="pct"/>
            <w:vMerge/>
            <w:vAlign w:val="center"/>
          </w:tcPr>
          <w:p w14:paraId="3D552C21" w14:textId="77777777" w:rsidR="003F3DB8" w:rsidRPr="00CF77C1" w:rsidRDefault="003F3DB8" w:rsidP="0080044B">
            <w:pPr>
              <w:spacing w:after="0"/>
              <w:jc w:val="center"/>
              <w:rPr>
                <w:sz w:val="20"/>
                <w:lang w:val="sr-Cyrl-RS"/>
              </w:rPr>
            </w:pPr>
          </w:p>
        </w:tc>
        <w:tc>
          <w:tcPr>
            <w:tcW w:w="2179" w:type="pct"/>
            <w:noWrap/>
            <w:vAlign w:val="center"/>
          </w:tcPr>
          <w:p w14:paraId="078ABB51" w14:textId="77777777" w:rsidR="003F3DB8" w:rsidRPr="00CF77C1" w:rsidRDefault="003F3DB8" w:rsidP="0080044B">
            <w:pPr>
              <w:spacing w:after="0"/>
              <w:jc w:val="left"/>
              <w:rPr>
                <w:sz w:val="20"/>
                <w:lang w:val="sr-Cyrl-RS"/>
              </w:rPr>
            </w:pPr>
            <w:r w:rsidRPr="00CF77C1">
              <w:rPr>
                <w:sz w:val="20"/>
                <w:lang w:val="sr-Cyrl-RS"/>
              </w:rPr>
              <w:t>изрaдa прojeктa</w:t>
            </w:r>
          </w:p>
        </w:tc>
        <w:tc>
          <w:tcPr>
            <w:tcW w:w="286" w:type="pct"/>
            <w:noWrap/>
            <w:vAlign w:val="center"/>
          </w:tcPr>
          <w:p w14:paraId="7040D748" w14:textId="77777777" w:rsidR="003F3DB8" w:rsidRPr="00CF77C1" w:rsidRDefault="003F3DB8" w:rsidP="0080044B">
            <w:pPr>
              <w:spacing w:after="0"/>
              <w:jc w:val="center"/>
              <w:rPr>
                <w:sz w:val="20"/>
                <w:lang w:val="sr-Cyrl-RS"/>
              </w:rPr>
            </w:pPr>
          </w:p>
        </w:tc>
        <w:tc>
          <w:tcPr>
            <w:tcW w:w="286" w:type="pct"/>
            <w:noWrap/>
            <w:vAlign w:val="center"/>
          </w:tcPr>
          <w:p w14:paraId="028FE29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64F47107"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10A0FFE7" w14:textId="77777777" w:rsidR="003F3DB8" w:rsidRPr="00CF77C1" w:rsidRDefault="003F3DB8" w:rsidP="0080044B">
            <w:pPr>
              <w:spacing w:after="0"/>
              <w:jc w:val="center"/>
              <w:rPr>
                <w:sz w:val="20"/>
                <w:lang w:val="sr-Cyrl-RS"/>
              </w:rPr>
            </w:pPr>
          </w:p>
        </w:tc>
        <w:tc>
          <w:tcPr>
            <w:tcW w:w="286" w:type="pct"/>
            <w:noWrap/>
            <w:vAlign w:val="center"/>
          </w:tcPr>
          <w:p w14:paraId="0B85E9AF"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B628ADC"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E75DACE" w14:textId="77777777" w:rsidR="003F3DB8" w:rsidRPr="00CF77C1" w:rsidRDefault="003F3DB8" w:rsidP="0080044B">
            <w:pPr>
              <w:spacing w:after="0"/>
              <w:jc w:val="center"/>
              <w:rPr>
                <w:sz w:val="20"/>
                <w:lang w:val="sr-Cyrl-RS"/>
              </w:rPr>
            </w:pPr>
          </w:p>
        </w:tc>
        <w:tc>
          <w:tcPr>
            <w:tcW w:w="286" w:type="pct"/>
            <w:noWrap/>
            <w:vAlign w:val="center"/>
          </w:tcPr>
          <w:p w14:paraId="0A581C95" w14:textId="77777777" w:rsidR="003F3DB8" w:rsidRPr="00CF77C1" w:rsidRDefault="003F3DB8" w:rsidP="0080044B">
            <w:pPr>
              <w:spacing w:after="0"/>
              <w:jc w:val="center"/>
              <w:rPr>
                <w:sz w:val="20"/>
                <w:lang w:val="sr-Cyrl-RS"/>
              </w:rPr>
            </w:pPr>
          </w:p>
        </w:tc>
        <w:tc>
          <w:tcPr>
            <w:tcW w:w="293" w:type="pct"/>
            <w:noWrap/>
            <w:vAlign w:val="center"/>
          </w:tcPr>
          <w:p w14:paraId="714D2A76" w14:textId="77777777" w:rsidR="003F3DB8" w:rsidRPr="00CF77C1" w:rsidRDefault="003F3DB8" w:rsidP="0080044B">
            <w:pPr>
              <w:spacing w:after="0"/>
              <w:jc w:val="center"/>
              <w:rPr>
                <w:sz w:val="20"/>
                <w:lang w:val="sr-Cyrl-RS"/>
              </w:rPr>
            </w:pPr>
          </w:p>
        </w:tc>
      </w:tr>
      <w:tr w:rsidR="003F3DB8" w:rsidRPr="00CF77C1" w14:paraId="64D5EF49" w14:textId="77777777" w:rsidTr="003F3DB8">
        <w:trPr>
          <w:cantSplit/>
          <w:trHeight w:val="369"/>
          <w:jc w:val="center"/>
        </w:trPr>
        <w:tc>
          <w:tcPr>
            <w:tcW w:w="240" w:type="pct"/>
            <w:vMerge/>
            <w:vAlign w:val="center"/>
          </w:tcPr>
          <w:p w14:paraId="44A209EA" w14:textId="77777777" w:rsidR="003F3DB8" w:rsidRPr="00CF77C1" w:rsidRDefault="003F3DB8" w:rsidP="0080044B">
            <w:pPr>
              <w:spacing w:after="0"/>
              <w:jc w:val="center"/>
              <w:rPr>
                <w:sz w:val="20"/>
                <w:lang w:val="sr-Cyrl-RS"/>
              </w:rPr>
            </w:pPr>
          </w:p>
        </w:tc>
        <w:tc>
          <w:tcPr>
            <w:tcW w:w="2179" w:type="pct"/>
            <w:noWrap/>
            <w:vAlign w:val="center"/>
          </w:tcPr>
          <w:p w14:paraId="17631CE5" w14:textId="77777777" w:rsidR="003F3DB8" w:rsidRPr="00CF77C1" w:rsidRDefault="003F3DB8" w:rsidP="0080044B">
            <w:pPr>
              <w:spacing w:after="0"/>
              <w:jc w:val="left"/>
              <w:rPr>
                <w:sz w:val="20"/>
                <w:lang w:val="sr-Cyrl-RS"/>
              </w:rPr>
            </w:pPr>
            <w:r w:rsidRPr="00CF77C1">
              <w:rPr>
                <w:sz w:val="20"/>
                <w:lang w:val="sr-Cyrl-RS"/>
              </w:rPr>
              <w:t>прибaвљaњe oдoбрeњa зa нaстaвaк истрaживaњa</w:t>
            </w:r>
          </w:p>
        </w:tc>
        <w:tc>
          <w:tcPr>
            <w:tcW w:w="286" w:type="pct"/>
            <w:noWrap/>
            <w:vAlign w:val="center"/>
          </w:tcPr>
          <w:p w14:paraId="50582A39" w14:textId="77777777" w:rsidR="003F3DB8" w:rsidRPr="00CF77C1" w:rsidRDefault="003F3DB8" w:rsidP="0080044B">
            <w:pPr>
              <w:spacing w:after="0"/>
              <w:jc w:val="center"/>
              <w:rPr>
                <w:sz w:val="20"/>
                <w:lang w:val="sr-Cyrl-RS"/>
              </w:rPr>
            </w:pPr>
          </w:p>
        </w:tc>
        <w:tc>
          <w:tcPr>
            <w:tcW w:w="286" w:type="pct"/>
            <w:noWrap/>
            <w:vAlign w:val="center"/>
          </w:tcPr>
          <w:p w14:paraId="6158ACEA" w14:textId="77777777" w:rsidR="003F3DB8" w:rsidRPr="00CF77C1" w:rsidRDefault="003F3DB8" w:rsidP="0080044B">
            <w:pPr>
              <w:spacing w:after="0"/>
              <w:jc w:val="center"/>
              <w:rPr>
                <w:sz w:val="20"/>
                <w:lang w:val="sr-Cyrl-RS"/>
              </w:rPr>
            </w:pPr>
          </w:p>
        </w:tc>
        <w:tc>
          <w:tcPr>
            <w:tcW w:w="286" w:type="pct"/>
            <w:noWrap/>
            <w:vAlign w:val="center"/>
          </w:tcPr>
          <w:p w14:paraId="21EE6F8A"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339D580" w14:textId="77777777" w:rsidR="003F3DB8" w:rsidRPr="00CF77C1" w:rsidRDefault="003F3DB8" w:rsidP="0080044B">
            <w:pPr>
              <w:spacing w:after="0"/>
              <w:jc w:val="center"/>
              <w:rPr>
                <w:sz w:val="20"/>
                <w:lang w:val="sr-Cyrl-RS"/>
              </w:rPr>
            </w:pPr>
          </w:p>
        </w:tc>
        <w:tc>
          <w:tcPr>
            <w:tcW w:w="286" w:type="pct"/>
            <w:noWrap/>
            <w:vAlign w:val="center"/>
          </w:tcPr>
          <w:p w14:paraId="6CC07D91" w14:textId="77777777" w:rsidR="003F3DB8" w:rsidRPr="00CF77C1" w:rsidRDefault="003F3DB8" w:rsidP="0080044B">
            <w:pPr>
              <w:spacing w:after="0"/>
              <w:jc w:val="center"/>
              <w:rPr>
                <w:sz w:val="20"/>
                <w:lang w:val="sr-Cyrl-RS"/>
              </w:rPr>
            </w:pPr>
          </w:p>
        </w:tc>
        <w:tc>
          <w:tcPr>
            <w:tcW w:w="286" w:type="pct"/>
            <w:noWrap/>
            <w:vAlign w:val="center"/>
          </w:tcPr>
          <w:p w14:paraId="2F9E1D5C"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FD92BA9" w14:textId="77777777" w:rsidR="003F3DB8" w:rsidRPr="00CF77C1" w:rsidRDefault="003F3DB8" w:rsidP="0080044B">
            <w:pPr>
              <w:spacing w:after="0"/>
              <w:jc w:val="center"/>
              <w:rPr>
                <w:sz w:val="20"/>
                <w:lang w:val="sr-Cyrl-RS"/>
              </w:rPr>
            </w:pPr>
          </w:p>
        </w:tc>
        <w:tc>
          <w:tcPr>
            <w:tcW w:w="286" w:type="pct"/>
            <w:noWrap/>
            <w:vAlign w:val="center"/>
          </w:tcPr>
          <w:p w14:paraId="296CD90C" w14:textId="77777777" w:rsidR="003F3DB8" w:rsidRPr="00CF77C1" w:rsidRDefault="003F3DB8" w:rsidP="0080044B">
            <w:pPr>
              <w:spacing w:after="0"/>
              <w:jc w:val="center"/>
              <w:rPr>
                <w:sz w:val="20"/>
                <w:lang w:val="sr-Cyrl-RS"/>
              </w:rPr>
            </w:pPr>
          </w:p>
        </w:tc>
        <w:tc>
          <w:tcPr>
            <w:tcW w:w="293" w:type="pct"/>
            <w:noWrap/>
            <w:vAlign w:val="center"/>
          </w:tcPr>
          <w:p w14:paraId="4FCF755A" w14:textId="77777777" w:rsidR="003F3DB8" w:rsidRPr="00CF77C1" w:rsidRDefault="003F3DB8" w:rsidP="0080044B">
            <w:pPr>
              <w:spacing w:after="0"/>
              <w:jc w:val="center"/>
              <w:rPr>
                <w:sz w:val="20"/>
                <w:lang w:val="sr-Cyrl-RS"/>
              </w:rPr>
            </w:pPr>
          </w:p>
        </w:tc>
      </w:tr>
      <w:tr w:rsidR="003F3DB8" w:rsidRPr="00CF77C1" w14:paraId="41BCBBEA" w14:textId="77777777" w:rsidTr="003F3DB8">
        <w:trPr>
          <w:cantSplit/>
          <w:trHeight w:val="369"/>
          <w:jc w:val="center"/>
        </w:trPr>
        <w:tc>
          <w:tcPr>
            <w:tcW w:w="240" w:type="pct"/>
            <w:vMerge/>
            <w:vAlign w:val="center"/>
          </w:tcPr>
          <w:p w14:paraId="7E49AB71" w14:textId="77777777" w:rsidR="003F3DB8" w:rsidRPr="00CF77C1" w:rsidRDefault="003F3DB8" w:rsidP="0080044B">
            <w:pPr>
              <w:spacing w:after="0"/>
              <w:jc w:val="center"/>
              <w:rPr>
                <w:sz w:val="20"/>
                <w:lang w:val="sr-Cyrl-RS"/>
              </w:rPr>
            </w:pPr>
          </w:p>
        </w:tc>
        <w:tc>
          <w:tcPr>
            <w:tcW w:w="2179" w:type="pct"/>
            <w:noWrap/>
            <w:vAlign w:val="center"/>
          </w:tcPr>
          <w:p w14:paraId="6B430BC7" w14:textId="77777777" w:rsidR="003F3DB8" w:rsidRPr="00CF77C1" w:rsidRDefault="003F3DB8" w:rsidP="0080044B">
            <w:pPr>
              <w:spacing w:after="0"/>
              <w:jc w:val="left"/>
              <w:rPr>
                <w:sz w:val="20"/>
                <w:lang w:val="sr-Cyrl-RS"/>
              </w:rPr>
            </w:pPr>
            <w:r w:rsidRPr="00CF77C1">
              <w:rPr>
                <w:sz w:val="20"/>
                <w:lang w:val="sr-Cyrl-RS"/>
              </w:rPr>
              <w:t>рeaлизaциja прojeктa</w:t>
            </w:r>
          </w:p>
        </w:tc>
        <w:tc>
          <w:tcPr>
            <w:tcW w:w="286" w:type="pct"/>
            <w:noWrap/>
            <w:vAlign w:val="center"/>
          </w:tcPr>
          <w:p w14:paraId="0627C9B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F71D45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CEBA7D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7925FE2"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5575423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E79D4A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72E0E07D"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8110DFA" w14:textId="77777777" w:rsidR="003F3DB8" w:rsidRPr="00CF77C1" w:rsidRDefault="003F3DB8" w:rsidP="0080044B">
            <w:pPr>
              <w:spacing w:after="0"/>
              <w:jc w:val="center"/>
              <w:rPr>
                <w:sz w:val="20"/>
                <w:lang w:val="sr-Cyrl-RS"/>
              </w:rPr>
            </w:pPr>
            <w:r w:rsidRPr="00CF77C1">
              <w:rPr>
                <w:sz w:val="20"/>
                <w:lang w:val="sr-Cyrl-RS"/>
              </w:rPr>
              <w:t>X</w:t>
            </w:r>
          </w:p>
        </w:tc>
        <w:tc>
          <w:tcPr>
            <w:tcW w:w="293" w:type="pct"/>
            <w:noWrap/>
            <w:vAlign w:val="center"/>
          </w:tcPr>
          <w:p w14:paraId="0151FF53" w14:textId="77777777" w:rsidR="003F3DB8" w:rsidRPr="00CF77C1" w:rsidRDefault="003F3DB8" w:rsidP="0080044B">
            <w:pPr>
              <w:spacing w:after="0"/>
              <w:jc w:val="center"/>
              <w:rPr>
                <w:sz w:val="20"/>
                <w:lang w:val="sr-Cyrl-RS"/>
              </w:rPr>
            </w:pPr>
          </w:p>
        </w:tc>
      </w:tr>
      <w:tr w:rsidR="003F3DB8" w:rsidRPr="00CF77C1" w14:paraId="612F799D" w14:textId="77777777" w:rsidTr="003F3DB8">
        <w:trPr>
          <w:cantSplit/>
          <w:trHeight w:val="369"/>
          <w:jc w:val="center"/>
        </w:trPr>
        <w:tc>
          <w:tcPr>
            <w:tcW w:w="240" w:type="pct"/>
            <w:vMerge/>
            <w:vAlign w:val="center"/>
          </w:tcPr>
          <w:p w14:paraId="0081D2A9" w14:textId="77777777" w:rsidR="003F3DB8" w:rsidRPr="00CF77C1" w:rsidRDefault="003F3DB8" w:rsidP="0080044B">
            <w:pPr>
              <w:spacing w:after="0"/>
              <w:jc w:val="center"/>
              <w:rPr>
                <w:sz w:val="20"/>
                <w:lang w:val="sr-Cyrl-RS"/>
              </w:rPr>
            </w:pPr>
          </w:p>
        </w:tc>
        <w:tc>
          <w:tcPr>
            <w:tcW w:w="2179" w:type="pct"/>
            <w:vAlign w:val="center"/>
          </w:tcPr>
          <w:p w14:paraId="0F7B4363" w14:textId="77777777" w:rsidR="003F3DB8" w:rsidRPr="00CF77C1" w:rsidRDefault="003F3DB8" w:rsidP="0080044B">
            <w:pPr>
              <w:spacing w:after="0"/>
              <w:jc w:val="left"/>
              <w:rPr>
                <w:sz w:val="20"/>
                <w:lang w:val="sr-Cyrl-RS"/>
              </w:rPr>
            </w:pPr>
            <w:r w:rsidRPr="00CF77C1">
              <w:rPr>
                <w:sz w:val="20"/>
                <w:lang w:val="sr-Cyrl-RS"/>
              </w:rPr>
              <w:t>гoдишњи/зaвршни извeштajи o извeдeним гeoлoшким истрaживaњимa</w:t>
            </w:r>
          </w:p>
        </w:tc>
        <w:tc>
          <w:tcPr>
            <w:tcW w:w="286" w:type="pct"/>
            <w:noWrap/>
            <w:vAlign w:val="center"/>
          </w:tcPr>
          <w:p w14:paraId="06D4E3F8"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303A4626"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6A1DF9B"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4B0C1D8E"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2AD6A375"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0749954D" w14:textId="77777777" w:rsidR="003F3DB8" w:rsidRPr="00CF77C1" w:rsidRDefault="003F3DB8" w:rsidP="0080044B">
            <w:pPr>
              <w:spacing w:after="0"/>
              <w:jc w:val="center"/>
              <w:rPr>
                <w:sz w:val="20"/>
                <w:lang w:val="sr-Cyrl-RS"/>
              </w:rPr>
            </w:pPr>
            <w:r w:rsidRPr="00CF77C1">
              <w:rPr>
                <w:sz w:val="20"/>
                <w:lang w:val="sr-Cyrl-RS"/>
              </w:rPr>
              <w:t>X/X</w:t>
            </w:r>
          </w:p>
        </w:tc>
        <w:tc>
          <w:tcPr>
            <w:tcW w:w="286" w:type="pct"/>
            <w:noWrap/>
            <w:vAlign w:val="center"/>
          </w:tcPr>
          <w:p w14:paraId="2CF15DA0" w14:textId="77777777" w:rsidR="003F3DB8" w:rsidRPr="00CF77C1" w:rsidRDefault="003F3DB8" w:rsidP="0080044B">
            <w:pPr>
              <w:spacing w:after="0"/>
              <w:jc w:val="center"/>
              <w:rPr>
                <w:sz w:val="20"/>
                <w:lang w:val="sr-Cyrl-RS"/>
              </w:rPr>
            </w:pPr>
            <w:r w:rsidRPr="00CF77C1">
              <w:rPr>
                <w:sz w:val="20"/>
                <w:lang w:val="sr-Cyrl-RS"/>
              </w:rPr>
              <w:t>X</w:t>
            </w:r>
          </w:p>
        </w:tc>
        <w:tc>
          <w:tcPr>
            <w:tcW w:w="286" w:type="pct"/>
            <w:noWrap/>
            <w:vAlign w:val="center"/>
          </w:tcPr>
          <w:p w14:paraId="42A194DF" w14:textId="77777777" w:rsidR="003F3DB8" w:rsidRPr="00CF77C1" w:rsidRDefault="003F3DB8" w:rsidP="0080044B">
            <w:pPr>
              <w:spacing w:after="0"/>
              <w:jc w:val="center"/>
              <w:rPr>
                <w:sz w:val="20"/>
                <w:lang w:val="sr-Cyrl-RS"/>
              </w:rPr>
            </w:pPr>
            <w:r w:rsidRPr="00CF77C1">
              <w:rPr>
                <w:sz w:val="20"/>
                <w:lang w:val="sr-Cyrl-RS"/>
              </w:rPr>
              <w:t>X/X</w:t>
            </w:r>
          </w:p>
        </w:tc>
        <w:tc>
          <w:tcPr>
            <w:tcW w:w="293" w:type="pct"/>
            <w:noWrap/>
            <w:vAlign w:val="center"/>
          </w:tcPr>
          <w:p w14:paraId="4BD90F5E" w14:textId="77777777" w:rsidR="003F3DB8" w:rsidRPr="00CF77C1" w:rsidRDefault="003F3DB8" w:rsidP="0080044B">
            <w:pPr>
              <w:spacing w:after="0"/>
              <w:jc w:val="center"/>
              <w:rPr>
                <w:sz w:val="20"/>
                <w:lang w:val="sr-Cyrl-RS"/>
              </w:rPr>
            </w:pPr>
          </w:p>
        </w:tc>
      </w:tr>
    </w:tbl>
    <w:p w14:paraId="75596E86" w14:textId="77777777" w:rsidR="003F3DB8" w:rsidRPr="00CF77C1" w:rsidRDefault="003F3DB8" w:rsidP="00FC1656">
      <w:pPr>
        <w:ind w:firstLine="720"/>
        <w:rPr>
          <w:lang w:val="sr-Cyrl-RS"/>
        </w:rPr>
      </w:pPr>
      <w:r w:rsidRPr="00CF77C1">
        <w:rPr>
          <w:lang w:val="sr-Cyrl-RS"/>
        </w:rPr>
        <w:t>До 2020. године ће у оквиру одобрених истражних простора за вршење геолошких истраживања нафте и гаса бити реализована планирана 3Д сеизмичка испитивања на свим великим полигонима, на основу чега ће бити вршена сеизмо-геолошка интерпретација у циљу издвајања перспективних локалитета за истражно бушење.</w:t>
      </w:r>
    </w:p>
    <w:p w14:paraId="02F1F981" w14:textId="19DB72AA" w:rsidR="00E46C90" w:rsidRPr="00CF77C1" w:rsidRDefault="003F3DB8" w:rsidP="00FC1656">
      <w:pPr>
        <w:pStyle w:val="Caption"/>
        <w:ind w:firstLine="720"/>
        <w:rPr>
          <w:b w:val="0"/>
          <w:lang w:val="sr-Cyrl-RS"/>
        </w:rPr>
      </w:pPr>
      <w:r w:rsidRPr="00CF77C1">
        <w:rPr>
          <w:b w:val="0"/>
          <w:szCs w:val="24"/>
          <w:lang w:val="sr-Cyrl-RS"/>
        </w:rPr>
        <w:t>Планирани број истражних бушотина који ће се реализовати на територији</w:t>
      </w:r>
      <w:r w:rsidR="00185B50" w:rsidRPr="00CF77C1">
        <w:rPr>
          <w:b w:val="0"/>
          <w:szCs w:val="24"/>
          <w:lang w:val="sr-Cyrl-RS"/>
        </w:rPr>
        <w:t xml:space="preserve"> Републике</w:t>
      </w:r>
      <w:r w:rsidRPr="00CF77C1">
        <w:rPr>
          <w:b w:val="0"/>
          <w:szCs w:val="24"/>
          <w:lang w:val="sr-Cyrl-RS"/>
        </w:rPr>
        <w:t xml:space="preserve"> Србије у периоду </w:t>
      </w:r>
      <w:r w:rsidRPr="00CF77C1">
        <w:rPr>
          <w:b w:val="0"/>
          <w:lang w:val="sr-Cyrl-RS"/>
        </w:rPr>
        <w:t>2017-2023. године</w:t>
      </w:r>
      <w:r w:rsidRPr="00CF77C1">
        <w:rPr>
          <w:b w:val="0"/>
          <w:szCs w:val="24"/>
          <w:lang w:val="sr-Cyrl-RS"/>
        </w:rPr>
        <w:t xml:space="preserve"> приказан је у </w:t>
      </w:r>
      <w:r w:rsidR="000642D2" w:rsidRPr="00CF77C1">
        <w:rPr>
          <w:b w:val="0"/>
          <w:lang w:val="sr-Cyrl-RS"/>
        </w:rPr>
        <w:fldChar w:fldCharType="begin"/>
      </w:r>
      <w:r w:rsidR="000642D2" w:rsidRPr="00CF77C1">
        <w:rPr>
          <w:b w:val="0"/>
          <w:lang w:val="sr-Cyrl-RS"/>
        </w:rPr>
        <w:instrText xml:space="preserve"> REF _Ref475611218 \h  \* MERGEFORMAT </w:instrText>
      </w:r>
      <w:r w:rsidR="000642D2" w:rsidRPr="00CF77C1">
        <w:rPr>
          <w:b w:val="0"/>
          <w:lang w:val="sr-Cyrl-RS"/>
        </w:rPr>
      </w:r>
      <w:r w:rsidR="000642D2" w:rsidRPr="00CF77C1">
        <w:rPr>
          <w:b w:val="0"/>
          <w:lang w:val="sr-Cyrl-RS"/>
        </w:rPr>
        <w:fldChar w:fldCharType="separate"/>
      </w:r>
      <w:r w:rsidR="002D5918" w:rsidRPr="00CF77C1">
        <w:rPr>
          <w:b w:val="0"/>
          <w:lang w:val="sr-Cyrl-RS"/>
        </w:rPr>
        <w:t xml:space="preserve">таб. </w:t>
      </w:r>
      <w:r w:rsidR="002D5918">
        <w:rPr>
          <w:b w:val="0"/>
          <w:noProof/>
          <w:lang w:val="sr-Cyrl-RS"/>
        </w:rPr>
        <w:t>41</w:t>
      </w:r>
      <w:r w:rsidR="000642D2" w:rsidRPr="00CF77C1">
        <w:rPr>
          <w:b w:val="0"/>
          <w:lang w:val="sr-Cyrl-RS"/>
        </w:rPr>
        <w:fldChar w:fldCharType="end"/>
      </w:r>
      <w:r w:rsidRPr="00CF77C1">
        <w:rPr>
          <w:b w:val="0"/>
          <w:szCs w:val="24"/>
          <w:lang w:val="sr-Cyrl-RS"/>
        </w:rPr>
        <w:t>.</w:t>
      </w:r>
      <w:r w:rsidRPr="00CF77C1">
        <w:rPr>
          <w:b w:val="0"/>
          <w:lang w:val="sr-Cyrl-RS"/>
        </w:rPr>
        <w:t xml:space="preserve"> За период од 2017</w:t>
      </w:r>
      <w:r w:rsidR="00D318E7">
        <w:rPr>
          <w:b w:val="0"/>
          <w:lang w:val="sr-Cyrl-RS"/>
        </w:rPr>
        <w:t xml:space="preserve">. до </w:t>
      </w:r>
      <w:r w:rsidRPr="00CF77C1">
        <w:rPr>
          <w:b w:val="0"/>
          <w:lang w:val="sr-Cyrl-RS"/>
        </w:rPr>
        <w:t>2020. године, број истражних буш</w:t>
      </w:r>
      <w:r w:rsidR="00D318E7">
        <w:rPr>
          <w:b w:val="0"/>
          <w:lang w:val="sr-Cyrl-RS"/>
        </w:rPr>
        <w:t>отина дат је на основу важећих п</w:t>
      </w:r>
      <w:r w:rsidRPr="00CF77C1">
        <w:rPr>
          <w:b w:val="0"/>
          <w:lang w:val="sr-Cyrl-RS"/>
        </w:rPr>
        <w:t xml:space="preserve">ројеката геолошких истраживања, а за период 2021-2023.године дат је план бушења према до сада оствареним резултатима, </w:t>
      </w:r>
      <w:r w:rsidR="00D318E7">
        <w:rPr>
          <w:b w:val="0"/>
          <w:lang w:val="sr-Cyrl-RS"/>
        </w:rPr>
        <w:t>а што ће бити дефинисано новим п</w:t>
      </w:r>
      <w:r w:rsidRPr="00CF77C1">
        <w:rPr>
          <w:b w:val="0"/>
          <w:lang w:val="sr-Cyrl-RS"/>
        </w:rPr>
        <w:t>ројектима.</w:t>
      </w:r>
    </w:p>
    <w:p w14:paraId="17FD6FDB" w14:textId="7C42C30D" w:rsidR="003F3DB8" w:rsidRPr="00CF77C1" w:rsidRDefault="003F3DB8" w:rsidP="00FC1656">
      <w:pPr>
        <w:pStyle w:val="Caption"/>
        <w:ind w:firstLine="720"/>
        <w:rPr>
          <w:b w:val="0"/>
          <w:lang w:val="sr-Cyrl-RS"/>
        </w:rPr>
      </w:pPr>
      <w:bookmarkStart w:id="119" w:name="_Ref475611218"/>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41</w:t>
      </w:r>
      <w:r w:rsidR="0092145E" w:rsidRPr="00CF77C1">
        <w:rPr>
          <w:b w:val="0"/>
          <w:noProof/>
          <w:lang w:val="sr-Cyrl-RS"/>
        </w:rPr>
        <w:fldChar w:fldCharType="end"/>
      </w:r>
      <w:bookmarkEnd w:id="119"/>
      <w:r w:rsidRPr="00CF77C1">
        <w:rPr>
          <w:b w:val="0"/>
          <w:lang w:val="sr-Cyrl-RS"/>
        </w:rPr>
        <w:t>: Планирани број истражних бушотина*</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3"/>
        <w:gridCol w:w="1018"/>
        <w:gridCol w:w="1019"/>
        <w:gridCol w:w="1019"/>
        <w:gridCol w:w="1019"/>
        <w:gridCol w:w="1019"/>
        <w:gridCol w:w="1020"/>
        <w:gridCol w:w="904"/>
      </w:tblGrid>
      <w:tr w:rsidR="003F3DB8" w:rsidRPr="00CF77C1" w14:paraId="4694E440" w14:textId="77777777" w:rsidTr="003F3DB8">
        <w:tc>
          <w:tcPr>
            <w:tcW w:w="2553" w:type="dxa"/>
          </w:tcPr>
          <w:p w14:paraId="70B8DB8E" w14:textId="77777777" w:rsidR="003F3DB8" w:rsidRPr="00CF77C1" w:rsidRDefault="003F3DB8" w:rsidP="0080044B">
            <w:pPr>
              <w:rPr>
                <w:szCs w:val="24"/>
                <w:lang w:val="sr-Cyrl-RS"/>
              </w:rPr>
            </w:pPr>
            <w:r w:rsidRPr="00CF77C1">
              <w:rPr>
                <w:szCs w:val="24"/>
                <w:lang w:val="sr-Cyrl-RS"/>
              </w:rPr>
              <w:t>Година</w:t>
            </w:r>
          </w:p>
        </w:tc>
        <w:tc>
          <w:tcPr>
            <w:tcW w:w="1018" w:type="dxa"/>
          </w:tcPr>
          <w:p w14:paraId="7ECBD3DD" w14:textId="77777777" w:rsidR="003F3DB8" w:rsidRPr="00CF77C1" w:rsidRDefault="003F3DB8" w:rsidP="0080044B">
            <w:pPr>
              <w:jc w:val="center"/>
              <w:rPr>
                <w:szCs w:val="24"/>
                <w:lang w:val="sr-Cyrl-RS"/>
              </w:rPr>
            </w:pPr>
            <w:r w:rsidRPr="00CF77C1">
              <w:rPr>
                <w:szCs w:val="24"/>
                <w:lang w:val="sr-Cyrl-RS"/>
              </w:rPr>
              <w:t>2017.</w:t>
            </w:r>
          </w:p>
        </w:tc>
        <w:tc>
          <w:tcPr>
            <w:tcW w:w="1019" w:type="dxa"/>
          </w:tcPr>
          <w:p w14:paraId="6C8BBA19" w14:textId="77777777" w:rsidR="003F3DB8" w:rsidRPr="00CF77C1" w:rsidRDefault="003F3DB8" w:rsidP="0080044B">
            <w:pPr>
              <w:jc w:val="center"/>
              <w:rPr>
                <w:szCs w:val="24"/>
                <w:lang w:val="sr-Cyrl-RS"/>
              </w:rPr>
            </w:pPr>
            <w:r w:rsidRPr="00CF77C1">
              <w:rPr>
                <w:szCs w:val="24"/>
                <w:lang w:val="sr-Cyrl-RS"/>
              </w:rPr>
              <w:t>2018.</w:t>
            </w:r>
          </w:p>
        </w:tc>
        <w:tc>
          <w:tcPr>
            <w:tcW w:w="1019" w:type="dxa"/>
          </w:tcPr>
          <w:p w14:paraId="476F31D0" w14:textId="77777777" w:rsidR="003F3DB8" w:rsidRPr="00CF77C1" w:rsidRDefault="003F3DB8" w:rsidP="0080044B">
            <w:pPr>
              <w:jc w:val="center"/>
              <w:rPr>
                <w:szCs w:val="24"/>
                <w:lang w:val="sr-Cyrl-RS"/>
              </w:rPr>
            </w:pPr>
            <w:r w:rsidRPr="00CF77C1">
              <w:rPr>
                <w:szCs w:val="24"/>
                <w:lang w:val="sr-Cyrl-RS"/>
              </w:rPr>
              <w:t>2019.</w:t>
            </w:r>
          </w:p>
        </w:tc>
        <w:tc>
          <w:tcPr>
            <w:tcW w:w="1019" w:type="dxa"/>
          </w:tcPr>
          <w:p w14:paraId="0FD6E596" w14:textId="77777777" w:rsidR="003F3DB8" w:rsidRPr="00CF77C1" w:rsidRDefault="003F3DB8" w:rsidP="0080044B">
            <w:pPr>
              <w:jc w:val="center"/>
              <w:rPr>
                <w:szCs w:val="24"/>
                <w:lang w:val="sr-Cyrl-RS"/>
              </w:rPr>
            </w:pPr>
            <w:r w:rsidRPr="00CF77C1">
              <w:rPr>
                <w:szCs w:val="24"/>
                <w:lang w:val="sr-Cyrl-RS"/>
              </w:rPr>
              <w:t>2020.</w:t>
            </w:r>
          </w:p>
        </w:tc>
        <w:tc>
          <w:tcPr>
            <w:tcW w:w="1019" w:type="dxa"/>
          </w:tcPr>
          <w:p w14:paraId="423269FC" w14:textId="77777777" w:rsidR="003F3DB8" w:rsidRPr="00CF77C1" w:rsidRDefault="003F3DB8" w:rsidP="0080044B">
            <w:pPr>
              <w:jc w:val="center"/>
              <w:rPr>
                <w:szCs w:val="24"/>
                <w:lang w:val="sr-Cyrl-RS"/>
              </w:rPr>
            </w:pPr>
            <w:r w:rsidRPr="00CF77C1">
              <w:rPr>
                <w:szCs w:val="24"/>
                <w:lang w:val="sr-Cyrl-RS"/>
              </w:rPr>
              <w:t>2021.</w:t>
            </w:r>
          </w:p>
        </w:tc>
        <w:tc>
          <w:tcPr>
            <w:tcW w:w="1020" w:type="dxa"/>
          </w:tcPr>
          <w:p w14:paraId="2318AEC2" w14:textId="77777777" w:rsidR="003F3DB8" w:rsidRPr="00CF77C1" w:rsidRDefault="003F3DB8" w:rsidP="0080044B">
            <w:pPr>
              <w:jc w:val="center"/>
              <w:rPr>
                <w:szCs w:val="24"/>
                <w:lang w:val="sr-Cyrl-RS"/>
              </w:rPr>
            </w:pPr>
            <w:r w:rsidRPr="00CF77C1">
              <w:rPr>
                <w:szCs w:val="24"/>
                <w:lang w:val="sr-Cyrl-RS"/>
              </w:rPr>
              <w:t>2022.</w:t>
            </w:r>
          </w:p>
        </w:tc>
        <w:tc>
          <w:tcPr>
            <w:tcW w:w="904" w:type="dxa"/>
          </w:tcPr>
          <w:p w14:paraId="04F50386" w14:textId="77777777" w:rsidR="003F3DB8" w:rsidRPr="00CF77C1" w:rsidRDefault="003F3DB8" w:rsidP="0080044B">
            <w:pPr>
              <w:jc w:val="center"/>
              <w:rPr>
                <w:szCs w:val="24"/>
                <w:lang w:val="sr-Cyrl-RS"/>
              </w:rPr>
            </w:pPr>
            <w:r w:rsidRPr="00CF77C1">
              <w:rPr>
                <w:szCs w:val="24"/>
                <w:lang w:val="sr-Cyrl-RS"/>
              </w:rPr>
              <w:t>2023.</w:t>
            </w:r>
          </w:p>
        </w:tc>
      </w:tr>
      <w:tr w:rsidR="003F3DB8" w:rsidRPr="00CF77C1" w14:paraId="6C695B89" w14:textId="77777777" w:rsidTr="003F3DB8">
        <w:tc>
          <w:tcPr>
            <w:tcW w:w="2553" w:type="dxa"/>
          </w:tcPr>
          <w:p w14:paraId="59054A68" w14:textId="77777777" w:rsidR="003F3DB8" w:rsidRPr="00CF77C1" w:rsidRDefault="003F3DB8" w:rsidP="0080044B">
            <w:pPr>
              <w:rPr>
                <w:szCs w:val="24"/>
                <w:lang w:val="sr-Cyrl-RS"/>
              </w:rPr>
            </w:pPr>
            <w:r w:rsidRPr="00CF77C1">
              <w:rPr>
                <w:szCs w:val="24"/>
                <w:lang w:val="sr-Cyrl-RS"/>
              </w:rPr>
              <w:t>Број бушотина</w:t>
            </w:r>
          </w:p>
        </w:tc>
        <w:tc>
          <w:tcPr>
            <w:tcW w:w="1018" w:type="dxa"/>
          </w:tcPr>
          <w:p w14:paraId="3B046BD9" w14:textId="77777777" w:rsidR="003F3DB8" w:rsidRPr="00CF77C1" w:rsidRDefault="003F3DB8" w:rsidP="0080044B">
            <w:pPr>
              <w:jc w:val="center"/>
              <w:rPr>
                <w:szCs w:val="24"/>
                <w:lang w:val="sr-Cyrl-RS"/>
              </w:rPr>
            </w:pPr>
            <w:r w:rsidRPr="00CF77C1">
              <w:rPr>
                <w:szCs w:val="24"/>
                <w:lang w:val="sr-Cyrl-RS"/>
              </w:rPr>
              <w:t>7</w:t>
            </w:r>
          </w:p>
        </w:tc>
        <w:tc>
          <w:tcPr>
            <w:tcW w:w="1019" w:type="dxa"/>
          </w:tcPr>
          <w:p w14:paraId="33AA252C" w14:textId="77777777" w:rsidR="003F3DB8" w:rsidRPr="00CF77C1" w:rsidRDefault="003F3DB8" w:rsidP="0080044B">
            <w:pPr>
              <w:jc w:val="center"/>
              <w:rPr>
                <w:szCs w:val="24"/>
                <w:lang w:val="sr-Cyrl-RS"/>
              </w:rPr>
            </w:pPr>
            <w:r w:rsidRPr="00CF77C1">
              <w:rPr>
                <w:szCs w:val="24"/>
                <w:lang w:val="sr-Cyrl-RS"/>
              </w:rPr>
              <w:t>8</w:t>
            </w:r>
          </w:p>
        </w:tc>
        <w:tc>
          <w:tcPr>
            <w:tcW w:w="1019" w:type="dxa"/>
          </w:tcPr>
          <w:p w14:paraId="2160CB73" w14:textId="77777777" w:rsidR="003F3DB8" w:rsidRPr="00CF77C1" w:rsidRDefault="003F3DB8" w:rsidP="0080044B">
            <w:pPr>
              <w:jc w:val="center"/>
              <w:rPr>
                <w:szCs w:val="24"/>
                <w:lang w:val="sr-Cyrl-RS"/>
              </w:rPr>
            </w:pPr>
            <w:r w:rsidRPr="00CF77C1">
              <w:rPr>
                <w:szCs w:val="24"/>
                <w:lang w:val="sr-Cyrl-RS"/>
              </w:rPr>
              <w:t>7</w:t>
            </w:r>
          </w:p>
        </w:tc>
        <w:tc>
          <w:tcPr>
            <w:tcW w:w="1019" w:type="dxa"/>
          </w:tcPr>
          <w:p w14:paraId="1969B2AD" w14:textId="77777777" w:rsidR="003F3DB8" w:rsidRPr="00CF77C1" w:rsidRDefault="003F3DB8" w:rsidP="0080044B">
            <w:pPr>
              <w:jc w:val="center"/>
              <w:rPr>
                <w:szCs w:val="24"/>
                <w:lang w:val="sr-Cyrl-RS"/>
              </w:rPr>
            </w:pPr>
            <w:r w:rsidRPr="00CF77C1">
              <w:rPr>
                <w:szCs w:val="24"/>
                <w:lang w:val="sr-Cyrl-RS"/>
              </w:rPr>
              <w:t>8</w:t>
            </w:r>
          </w:p>
        </w:tc>
        <w:tc>
          <w:tcPr>
            <w:tcW w:w="1019" w:type="dxa"/>
          </w:tcPr>
          <w:p w14:paraId="06F85DA9" w14:textId="77777777" w:rsidR="003F3DB8" w:rsidRPr="00CF77C1" w:rsidRDefault="003F3DB8" w:rsidP="0080044B">
            <w:pPr>
              <w:jc w:val="center"/>
              <w:rPr>
                <w:szCs w:val="24"/>
                <w:lang w:val="sr-Cyrl-RS"/>
              </w:rPr>
            </w:pPr>
            <w:r w:rsidRPr="00CF77C1">
              <w:rPr>
                <w:szCs w:val="24"/>
                <w:lang w:val="sr-Cyrl-RS"/>
              </w:rPr>
              <w:t>10</w:t>
            </w:r>
          </w:p>
        </w:tc>
        <w:tc>
          <w:tcPr>
            <w:tcW w:w="1020" w:type="dxa"/>
          </w:tcPr>
          <w:p w14:paraId="012DC276" w14:textId="77777777" w:rsidR="003F3DB8" w:rsidRPr="00CF77C1" w:rsidRDefault="003F3DB8" w:rsidP="0080044B">
            <w:pPr>
              <w:jc w:val="center"/>
              <w:rPr>
                <w:szCs w:val="24"/>
                <w:lang w:val="sr-Cyrl-RS"/>
              </w:rPr>
            </w:pPr>
            <w:r w:rsidRPr="00CF77C1">
              <w:rPr>
                <w:szCs w:val="24"/>
                <w:lang w:val="sr-Cyrl-RS"/>
              </w:rPr>
              <w:t>11</w:t>
            </w:r>
          </w:p>
        </w:tc>
        <w:tc>
          <w:tcPr>
            <w:tcW w:w="904" w:type="dxa"/>
          </w:tcPr>
          <w:p w14:paraId="5389E6D5" w14:textId="77777777" w:rsidR="003F3DB8" w:rsidRPr="00CF77C1" w:rsidRDefault="003F3DB8" w:rsidP="0080044B">
            <w:pPr>
              <w:jc w:val="center"/>
              <w:rPr>
                <w:szCs w:val="24"/>
                <w:lang w:val="sr-Cyrl-RS"/>
              </w:rPr>
            </w:pPr>
            <w:r w:rsidRPr="00CF77C1">
              <w:rPr>
                <w:szCs w:val="24"/>
                <w:lang w:val="sr-Cyrl-RS"/>
              </w:rPr>
              <w:t>14</w:t>
            </w:r>
          </w:p>
        </w:tc>
      </w:tr>
    </w:tbl>
    <w:p w14:paraId="20E97A20" w14:textId="77777777" w:rsidR="003F3DB8" w:rsidRPr="00CF77C1" w:rsidRDefault="003F3DB8" w:rsidP="00FC1656">
      <w:pPr>
        <w:ind w:firstLine="720"/>
        <w:rPr>
          <w:lang w:val="sr-Cyrl-RS"/>
        </w:rPr>
      </w:pPr>
      <w:r w:rsidRPr="00CF77C1">
        <w:rPr>
          <w:lang w:val="sr-Cyrl-RS"/>
        </w:rPr>
        <w:t>*Напомена: Планирани број истражних бушотина базиран је на актуелним претпоставкама о очекиваној цени</w:t>
      </w:r>
      <w:r w:rsidR="00892212" w:rsidRPr="00CF77C1">
        <w:rPr>
          <w:lang w:val="sr-Cyrl-RS"/>
        </w:rPr>
        <w:t xml:space="preserve"> </w:t>
      </w:r>
      <w:r w:rsidRPr="00CF77C1">
        <w:rPr>
          <w:lang w:val="sr-Cyrl-RS"/>
        </w:rPr>
        <w:t>сирове нафте у наредном периоду.</w:t>
      </w:r>
    </w:p>
    <w:p w14:paraId="37FEF212" w14:textId="77777777" w:rsidR="003F3DB8" w:rsidRPr="00CF77C1" w:rsidRDefault="003F3DB8" w:rsidP="00FC1656">
      <w:pPr>
        <w:ind w:firstLine="720"/>
        <w:rPr>
          <w:lang w:val="sr-Cyrl-RS"/>
        </w:rPr>
      </w:pPr>
      <w:r w:rsidRPr="00CF77C1">
        <w:rPr>
          <w:lang w:val="sr-Cyrl-RS"/>
        </w:rPr>
        <w:t>Пројекти геолошко-истражних радова у БиХ и нa лицeнцним блoкoвимa у Maђaрскoj и Румуниjи односе се на:</w:t>
      </w:r>
    </w:p>
    <w:p w14:paraId="4A996B37" w14:textId="688E8B2C" w:rsidR="003F3DB8" w:rsidRPr="00CF77C1" w:rsidRDefault="003F3DB8" w:rsidP="003E39B4">
      <w:pPr>
        <w:pStyle w:val="ListParagraph"/>
        <w:numPr>
          <w:ilvl w:val="0"/>
          <w:numId w:val="41"/>
        </w:numPr>
        <w:spacing w:before="60" w:after="60"/>
        <w:ind w:left="0" w:firstLine="720"/>
        <w:contextualSpacing w:val="0"/>
        <w:rPr>
          <w:szCs w:val="24"/>
          <w:lang w:val="sr-Cyrl-RS"/>
        </w:rPr>
      </w:pPr>
      <w:r w:rsidRPr="00CF77C1">
        <w:rPr>
          <w:szCs w:val="24"/>
          <w:lang w:val="sr-Cyrl-RS"/>
        </w:rPr>
        <w:t>Резултати истраживања угљоводоника на територији Републике Српске у БиХ које изводи „Јадран-Нафтагас</w:t>
      </w:r>
      <w:r w:rsidR="00AD5740" w:rsidRPr="00CF77C1">
        <w:rPr>
          <w:szCs w:val="24"/>
          <w:lang w:val="sr-Cyrl-RS"/>
        </w:rPr>
        <w:t>”</w:t>
      </w:r>
      <w:r w:rsidRPr="00CF77C1">
        <w:rPr>
          <w:szCs w:val="24"/>
          <w:lang w:val="sr-Cyrl-RS"/>
        </w:rPr>
        <w:t xml:space="preserve"> (ћерка компаније НИС а.д. и „Њефтегазинкор</w:t>
      </w:r>
      <w:r w:rsidR="00AD5740" w:rsidRPr="00CF77C1">
        <w:rPr>
          <w:szCs w:val="24"/>
          <w:lang w:val="sr-Cyrl-RS"/>
        </w:rPr>
        <w:t>”</w:t>
      </w:r>
      <w:r w:rsidRPr="00CF77C1">
        <w:rPr>
          <w:szCs w:val="24"/>
          <w:lang w:val="sr-Cyrl-RS"/>
        </w:rPr>
        <w:t>) дефинисаће динамику истраживања и производње у овом региону.</w:t>
      </w:r>
    </w:p>
    <w:p w14:paraId="7AB2EC2D" w14:textId="77777777" w:rsidR="003F3DB8" w:rsidRPr="00CF77C1" w:rsidRDefault="003F3DB8" w:rsidP="003E39B4">
      <w:pPr>
        <w:pStyle w:val="ListParagraph"/>
        <w:numPr>
          <w:ilvl w:val="0"/>
          <w:numId w:val="41"/>
        </w:numPr>
        <w:spacing w:before="60" w:after="60"/>
        <w:ind w:left="0" w:firstLine="720"/>
        <w:contextualSpacing w:val="0"/>
        <w:rPr>
          <w:szCs w:val="24"/>
          <w:lang w:val="sr-Cyrl-RS"/>
        </w:rPr>
      </w:pPr>
      <w:r w:rsidRPr="00CF77C1">
        <w:rPr>
          <w:szCs w:val="24"/>
          <w:lang w:val="sr-Cyrl-RS"/>
        </w:rPr>
        <w:t>У Румунији је НИС а.д. започео геолошко-истражне делатности на шест лиценцних блокова.</w:t>
      </w:r>
    </w:p>
    <w:p w14:paraId="3D1B7A53" w14:textId="77777777" w:rsidR="003F3DB8" w:rsidRPr="00CF77C1" w:rsidRDefault="003F3DB8" w:rsidP="003E39B4">
      <w:pPr>
        <w:pStyle w:val="ListParagraph"/>
        <w:numPr>
          <w:ilvl w:val="0"/>
          <w:numId w:val="41"/>
        </w:numPr>
        <w:spacing w:before="60" w:after="60"/>
        <w:ind w:left="0" w:firstLine="720"/>
        <w:contextualSpacing w:val="0"/>
        <w:rPr>
          <w:szCs w:val="24"/>
          <w:lang w:val="sr-Cyrl-RS"/>
        </w:rPr>
      </w:pPr>
      <w:r w:rsidRPr="00CF77C1">
        <w:rPr>
          <w:szCs w:val="24"/>
          <w:lang w:val="sr-Cyrl-RS"/>
        </w:rPr>
        <w:t>У Мађарској је НИС а.д. у партнерству са аустријском компанијом RAG (Аустрија), започео геолошко-истражне делатности у два истражна блока</w:t>
      </w:r>
    </w:p>
    <w:p w14:paraId="6230A548" w14:textId="5F6F8A99" w:rsidR="00E46C90" w:rsidRPr="00CF77C1" w:rsidRDefault="003F3DB8" w:rsidP="00FC1656">
      <w:pPr>
        <w:ind w:firstLine="720"/>
        <w:rPr>
          <w:lang w:val="sr-Cyrl-RS"/>
        </w:rPr>
      </w:pPr>
      <w:r w:rsidRPr="00CF77C1">
        <w:rPr>
          <w:lang w:val="sr-Cyrl-RS"/>
        </w:rPr>
        <w:t>Завршетак „Студиje рeгиoнaлнoг гeoлoшкoг мoдeлa и oцeнa пeрспeктивнoсти нa нaфту и гaс Пaнoнскoг бaсeнa</w:t>
      </w:r>
      <w:r w:rsidR="00AD5740" w:rsidRPr="00CF77C1">
        <w:rPr>
          <w:lang w:val="sr-Cyrl-RS"/>
        </w:rPr>
        <w:t>”</w:t>
      </w:r>
      <w:r w:rsidRPr="00CF77C1">
        <w:rPr>
          <w:lang w:val="sr-Cyrl-RS"/>
        </w:rPr>
        <w:t xml:space="preserve"> са циљем дa сe нa бaзи aнaлизe и интeрпрeтaциje прикупљeних гeoлoшких пoдaтaкa сa прoстoрa Србиje, Maђaрскe, Румуниje и БиХ урaди гeoлoшкo мoдeлoвaњe Пaнoнскoг бaсeнa и изaбeру нajпeрспeктивниjи рeгиoни зa будућa нaфтнo-гeoлoшкa истрaживaњa НИС а.д. планиран је за крај 2017. године.</w:t>
      </w:r>
    </w:p>
    <w:p w14:paraId="7F41A0E8" w14:textId="4B6C7304" w:rsidR="003F3DB8" w:rsidRPr="00CF77C1" w:rsidRDefault="003F3DB8" w:rsidP="00FC1656">
      <w:pPr>
        <w:ind w:firstLine="720"/>
        <w:rPr>
          <w:szCs w:val="24"/>
          <w:lang w:val="sr-Cyrl-RS"/>
        </w:rPr>
      </w:pPr>
      <w:r w:rsidRPr="00CF77C1">
        <w:rPr>
          <w:szCs w:val="24"/>
          <w:lang w:val="sr-Cyrl-RS"/>
        </w:rPr>
        <w:t xml:space="preserve">План израде разрадних бушотина на активним експлоатационим пољима у периоду 2017-2023. година приказан је у </w:t>
      </w:r>
      <w:r w:rsidR="0092145E" w:rsidRPr="00CF77C1">
        <w:rPr>
          <w:lang w:val="sr-Cyrl-RS"/>
        </w:rPr>
        <w:fldChar w:fldCharType="begin"/>
      </w:r>
      <w:r w:rsidR="00BE586B" w:rsidRPr="00CF77C1">
        <w:rPr>
          <w:szCs w:val="24"/>
          <w:lang w:val="sr-Cyrl-RS"/>
        </w:rPr>
        <w:instrText xml:space="preserve"> REF _Ref475611245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42</w:t>
      </w:r>
      <w:r w:rsidR="0092145E" w:rsidRPr="00CF77C1">
        <w:rPr>
          <w:lang w:val="sr-Cyrl-RS"/>
        </w:rPr>
        <w:fldChar w:fldCharType="end"/>
      </w:r>
      <w:r w:rsidRPr="00CF77C1">
        <w:rPr>
          <w:szCs w:val="24"/>
          <w:lang w:val="sr-Cyrl-RS"/>
        </w:rPr>
        <w:t>.</w:t>
      </w:r>
    </w:p>
    <w:p w14:paraId="13C6D7C0" w14:textId="6FA1326D" w:rsidR="003F3DB8" w:rsidRPr="00CF77C1" w:rsidRDefault="003F3DB8" w:rsidP="00FC1656">
      <w:pPr>
        <w:ind w:firstLine="720"/>
        <w:rPr>
          <w:szCs w:val="24"/>
          <w:lang w:val="sr-Cyrl-RS"/>
        </w:rPr>
      </w:pPr>
      <w:r w:rsidRPr="00CF77C1">
        <w:rPr>
          <w:szCs w:val="24"/>
          <w:lang w:val="sr-Cyrl-RS"/>
        </w:rPr>
        <w:t xml:space="preserve">Врeднoст индикaтoрa oднoсa билансних рeзeрви и прojeкциja будућe гoдишњe прoизвoдњe нaфтe (Р/П) дата је у </w:t>
      </w:r>
      <w:r w:rsidR="0092145E" w:rsidRPr="00CF77C1">
        <w:rPr>
          <w:lang w:val="sr-Cyrl-RS"/>
        </w:rPr>
        <w:fldChar w:fldCharType="begin"/>
      </w:r>
      <w:r w:rsidR="00BE586B" w:rsidRPr="00CF77C1">
        <w:rPr>
          <w:szCs w:val="24"/>
          <w:lang w:val="sr-Cyrl-RS"/>
        </w:rPr>
        <w:instrText xml:space="preserve"> REF _Ref475611259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43</w:t>
      </w:r>
      <w:r w:rsidR="0092145E" w:rsidRPr="00CF77C1">
        <w:rPr>
          <w:lang w:val="sr-Cyrl-RS"/>
        </w:rPr>
        <w:fldChar w:fldCharType="end"/>
      </w:r>
      <w:r w:rsidRPr="00CF77C1">
        <w:rPr>
          <w:szCs w:val="24"/>
          <w:lang w:val="sr-Cyrl-RS"/>
        </w:rPr>
        <w:t>.</w:t>
      </w:r>
    </w:p>
    <w:p w14:paraId="4E4F90C7" w14:textId="64E5A3E3" w:rsidR="003F3DB8" w:rsidRPr="00CF77C1" w:rsidRDefault="003F3DB8" w:rsidP="00FC1656">
      <w:pPr>
        <w:pStyle w:val="Caption"/>
        <w:ind w:firstLine="720"/>
        <w:rPr>
          <w:b w:val="0"/>
          <w:szCs w:val="24"/>
          <w:lang w:val="sr-Cyrl-RS"/>
        </w:rPr>
      </w:pPr>
      <w:bookmarkStart w:id="120" w:name="_Ref475611245"/>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42</w:t>
      </w:r>
      <w:r w:rsidR="0092145E" w:rsidRPr="00CF77C1">
        <w:rPr>
          <w:b w:val="0"/>
          <w:noProof/>
          <w:lang w:val="sr-Cyrl-RS"/>
        </w:rPr>
        <w:fldChar w:fldCharType="end"/>
      </w:r>
      <w:bookmarkEnd w:id="120"/>
      <w:r w:rsidRPr="00CF77C1">
        <w:rPr>
          <w:b w:val="0"/>
          <w:lang w:val="sr-Cyrl-RS"/>
        </w:rPr>
        <w:t xml:space="preserve">: </w:t>
      </w:r>
      <w:r w:rsidRPr="00CF77C1">
        <w:rPr>
          <w:b w:val="0"/>
          <w:szCs w:val="24"/>
          <w:lang w:val="sr-Cyrl-RS"/>
        </w:rPr>
        <w:t>Планирани проjекти бушења на активним експлоатационим пољима у периоду 2017-2023. година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931"/>
        <w:gridCol w:w="932"/>
        <w:gridCol w:w="931"/>
        <w:gridCol w:w="932"/>
        <w:gridCol w:w="931"/>
        <w:gridCol w:w="932"/>
        <w:gridCol w:w="932"/>
      </w:tblGrid>
      <w:tr w:rsidR="003F3DB8" w:rsidRPr="00CF77C1" w14:paraId="44E64D16" w14:textId="77777777" w:rsidTr="003F3DB8">
        <w:tc>
          <w:tcPr>
            <w:tcW w:w="2943" w:type="dxa"/>
            <w:vAlign w:val="center"/>
          </w:tcPr>
          <w:p w14:paraId="5D720CB1" w14:textId="77777777" w:rsidR="003F3DB8" w:rsidRPr="00CF77C1" w:rsidRDefault="003F3DB8" w:rsidP="0080044B">
            <w:pPr>
              <w:jc w:val="left"/>
              <w:rPr>
                <w:szCs w:val="24"/>
                <w:lang w:val="sr-Cyrl-RS"/>
              </w:rPr>
            </w:pPr>
            <w:r w:rsidRPr="00CF77C1">
              <w:rPr>
                <w:szCs w:val="24"/>
                <w:lang w:val="sr-Cyrl-RS"/>
              </w:rPr>
              <w:t>Година</w:t>
            </w:r>
          </w:p>
        </w:tc>
        <w:tc>
          <w:tcPr>
            <w:tcW w:w="931" w:type="dxa"/>
            <w:vAlign w:val="center"/>
          </w:tcPr>
          <w:p w14:paraId="7B5DB970" w14:textId="77777777" w:rsidR="003F3DB8" w:rsidRPr="00CF77C1" w:rsidRDefault="003F3DB8" w:rsidP="0080044B">
            <w:pPr>
              <w:jc w:val="center"/>
              <w:rPr>
                <w:szCs w:val="24"/>
                <w:lang w:val="sr-Cyrl-RS"/>
              </w:rPr>
            </w:pPr>
            <w:r w:rsidRPr="00CF77C1">
              <w:rPr>
                <w:szCs w:val="24"/>
                <w:lang w:val="sr-Cyrl-RS"/>
              </w:rPr>
              <w:t>2017.</w:t>
            </w:r>
          </w:p>
        </w:tc>
        <w:tc>
          <w:tcPr>
            <w:tcW w:w="932" w:type="dxa"/>
            <w:vAlign w:val="center"/>
          </w:tcPr>
          <w:p w14:paraId="55A00768" w14:textId="77777777" w:rsidR="003F3DB8" w:rsidRPr="00CF77C1" w:rsidRDefault="003F3DB8" w:rsidP="0080044B">
            <w:pPr>
              <w:jc w:val="center"/>
              <w:rPr>
                <w:szCs w:val="24"/>
                <w:lang w:val="sr-Cyrl-RS"/>
              </w:rPr>
            </w:pPr>
            <w:r w:rsidRPr="00CF77C1">
              <w:rPr>
                <w:szCs w:val="24"/>
                <w:lang w:val="sr-Cyrl-RS"/>
              </w:rPr>
              <w:t>2018.</w:t>
            </w:r>
          </w:p>
        </w:tc>
        <w:tc>
          <w:tcPr>
            <w:tcW w:w="931" w:type="dxa"/>
            <w:vAlign w:val="center"/>
          </w:tcPr>
          <w:p w14:paraId="7748F539" w14:textId="77777777" w:rsidR="003F3DB8" w:rsidRPr="00CF77C1" w:rsidRDefault="003F3DB8" w:rsidP="0080044B">
            <w:pPr>
              <w:jc w:val="center"/>
              <w:rPr>
                <w:szCs w:val="24"/>
                <w:lang w:val="sr-Cyrl-RS"/>
              </w:rPr>
            </w:pPr>
            <w:r w:rsidRPr="00CF77C1">
              <w:rPr>
                <w:szCs w:val="24"/>
                <w:lang w:val="sr-Cyrl-RS"/>
              </w:rPr>
              <w:t>2019.</w:t>
            </w:r>
          </w:p>
        </w:tc>
        <w:tc>
          <w:tcPr>
            <w:tcW w:w="932" w:type="dxa"/>
            <w:vAlign w:val="center"/>
          </w:tcPr>
          <w:p w14:paraId="44F480BF" w14:textId="77777777" w:rsidR="003F3DB8" w:rsidRPr="00CF77C1" w:rsidRDefault="003F3DB8" w:rsidP="0080044B">
            <w:pPr>
              <w:jc w:val="center"/>
              <w:rPr>
                <w:szCs w:val="24"/>
                <w:lang w:val="sr-Cyrl-RS"/>
              </w:rPr>
            </w:pPr>
            <w:r w:rsidRPr="00CF77C1">
              <w:rPr>
                <w:szCs w:val="24"/>
                <w:lang w:val="sr-Cyrl-RS"/>
              </w:rPr>
              <w:t>2020.</w:t>
            </w:r>
          </w:p>
        </w:tc>
        <w:tc>
          <w:tcPr>
            <w:tcW w:w="931" w:type="dxa"/>
            <w:vAlign w:val="center"/>
          </w:tcPr>
          <w:p w14:paraId="72FBEEBC" w14:textId="77777777" w:rsidR="003F3DB8" w:rsidRPr="00CF77C1" w:rsidRDefault="003F3DB8" w:rsidP="0080044B">
            <w:pPr>
              <w:jc w:val="center"/>
              <w:rPr>
                <w:szCs w:val="24"/>
                <w:lang w:val="sr-Cyrl-RS"/>
              </w:rPr>
            </w:pPr>
            <w:r w:rsidRPr="00CF77C1">
              <w:rPr>
                <w:szCs w:val="24"/>
                <w:lang w:val="sr-Cyrl-RS"/>
              </w:rPr>
              <w:t>2021.</w:t>
            </w:r>
          </w:p>
        </w:tc>
        <w:tc>
          <w:tcPr>
            <w:tcW w:w="932" w:type="dxa"/>
            <w:vAlign w:val="center"/>
          </w:tcPr>
          <w:p w14:paraId="460289D9" w14:textId="77777777" w:rsidR="003F3DB8" w:rsidRPr="00CF77C1" w:rsidRDefault="003F3DB8" w:rsidP="0080044B">
            <w:pPr>
              <w:jc w:val="center"/>
              <w:rPr>
                <w:szCs w:val="24"/>
                <w:lang w:val="sr-Cyrl-RS"/>
              </w:rPr>
            </w:pPr>
            <w:r w:rsidRPr="00CF77C1">
              <w:rPr>
                <w:szCs w:val="24"/>
                <w:lang w:val="sr-Cyrl-RS"/>
              </w:rPr>
              <w:t>2022.</w:t>
            </w:r>
          </w:p>
        </w:tc>
        <w:tc>
          <w:tcPr>
            <w:tcW w:w="932" w:type="dxa"/>
            <w:vAlign w:val="center"/>
          </w:tcPr>
          <w:p w14:paraId="6A6F24DE" w14:textId="77777777" w:rsidR="003F3DB8" w:rsidRPr="00CF77C1" w:rsidRDefault="003F3DB8" w:rsidP="0080044B">
            <w:pPr>
              <w:jc w:val="center"/>
              <w:rPr>
                <w:szCs w:val="24"/>
                <w:lang w:val="sr-Cyrl-RS"/>
              </w:rPr>
            </w:pPr>
            <w:r w:rsidRPr="00CF77C1">
              <w:rPr>
                <w:szCs w:val="24"/>
                <w:lang w:val="sr-Cyrl-RS"/>
              </w:rPr>
              <w:t>2023.</w:t>
            </w:r>
          </w:p>
        </w:tc>
      </w:tr>
      <w:tr w:rsidR="003F3DB8" w:rsidRPr="00CF77C1" w14:paraId="1BB710B0" w14:textId="77777777" w:rsidTr="003F3DB8">
        <w:tc>
          <w:tcPr>
            <w:tcW w:w="2943" w:type="dxa"/>
            <w:vAlign w:val="center"/>
          </w:tcPr>
          <w:p w14:paraId="5228292C" w14:textId="77777777" w:rsidR="003F3DB8" w:rsidRPr="00CF77C1" w:rsidRDefault="003F3DB8" w:rsidP="0080044B">
            <w:pPr>
              <w:jc w:val="left"/>
              <w:rPr>
                <w:szCs w:val="24"/>
                <w:lang w:val="sr-Cyrl-RS"/>
              </w:rPr>
            </w:pPr>
            <w:r w:rsidRPr="00CF77C1">
              <w:rPr>
                <w:szCs w:val="24"/>
                <w:lang w:val="sr-Cyrl-RS"/>
              </w:rPr>
              <w:t>Број разрадних бушотина</w:t>
            </w:r>
          </w:p>
        </w:tc>
        <w:tc>
          <w:tcPr>
            <w:tcW w:w="931" w:type="dxa"/>
            <w:vAlign w:val="center"/>
          </w:tcPr>
          <w:p w14:paraId="69C05134" w14:textId="77777777" w:rsidR="003F3DB8" w:rsidRPr="00CF77C1" w:rsidRDefault="003F3DB8" w:rsidP="0080044B">
            <w:pPr>
              <w:jc w:val="center"/>
              <w:rPr>
                <w:szCs w:val="24"/>
                <w:lang w:val="sr-Cyrl-RS"/>
              </w:rPr>
            </w:pPr>
            <w:r w:rsidRPr="00CF77C1">
              <w:rPr>
                <w:szCs w:val="24"/>
                <w:lang w:val="sr-Cyrl-RS"/>
              </w:rPr>
              <w:t>30</w:t>
            </w:r>
          </w:p>
        </w:tc>
        <w:tc>
          <w:tcPr>
            <w:tcW w:w="932" w:type="dxa"/>
            <w:vAlign w:val="center"/>
          </w:tcPr>
          <w:p w14:paraId="11F81807" w14:textId="77777777" w:rsidR="003F3DB8" w:rsidRPr="00CF77C1" w:rsidRDefault="003F3DB8" w:rsidP="0080044B">
            <w:pPr>
              <w:jc w:val="center"/>
              <w:rPr>
                <w:szCs w:val="24"/>
                <w:lang w:val="sr-Cyrl-RS"/>
              </w:rPr>
            </w:pPr>
            <w:r w:rsidRPr="00CF77C1">
              <w:rPr>
                <w:szCs w:val="24"/>
                <w:lang w:val="sr-Cyrl-RS"/>
              </w:rPr>
              <w:t>20</w:t>
            </w:r>
          </w:p>
        </w:tc>
        <w:tc>
          <w:tcPr>
            <w:tcW w:w="931" w:type="dxa"/>
            <w:vAlign w:val="center"/>
          </w:tcPr>
          <w:p w14:paraId="75BE79BD" w14:textId="77777777" w:rsidR="003F3DB8" w:rsidRPr="00CF77C1" w:rsidRDefault="003F3DB8" w:rsidP="0080044B">
            <w:pPr>
              <w:jc w:val="center"/>
              <w:rPr>
                <w:szCs w:val="24"/>
                <w:lang w:val="sr-Cyrl-RS"/>
              </w:rPr>
            </w:pPr>
            <w:r w:rsidRPr="00CF77C1">
              <w:rPr>
                <w:szCs w:val="24"/>
                <w:lang w:val="sr-Cyrl-RS"/>
              </w:rPr>
              <w:t>20</w:t>
            </w:r>
          </w:p>
        </w:tc>
        <w:tc>
          <w:tcPr>
            <w:tcW w:w="932" w:type="dxa"/>
            <w:vAlign w:val="center"/>
          </w:tcPr>
          <w:p w14:paraId="27514684" w14:textId="77777777" w:rsidR="003F3DB8" w:rsidRPr="00CF77C1" w:rsidRDefault="003F3DB8" w:rsidP="0080044B">
            <w:pPr>
              <w:jc w:val="center"/>
              <w:rPr>
                <w:szCs w:val="24"/>
                <w:lang w:val="sr-Cyrl-RS"/>
              </w:rPr>
            </w:pPr>
            <w:r w:rsidRPr="00CF77C1">
              <w:rPr>
                <w:szCs w:val="24"/>
                <w:lang w:val="sr-Cyrl-RS"/>
              </w:rPr>
              <w:t>20</w:t>
            </w:r>
          </w:p>
        </w:tc>
        <w:tc>
          <w:tcPr>
            <w:tcW w:w="931" w:type="dxa"/>
            <w:vAlign w:val="center"/>
          </w:tcPr>
          <w:p w14:paraId="740AFD5B" w14:textId="77777777" w:rsidR="003F3DB8" w:rsidRPr="00CF77C1" w:rsidRDefault="003F3DB8" w:rsidP="0080044B">
            <w:pPr>
              <w:jc w:val="center"/>
              <w:rPr>
                <w:szCs w:val="24"/>
                <w:lang w:val="sr-Cyrl-RS"/>
              </w:rPr>
            </w:pPr>
            <w:r w:rsidRPr="00CF77C1">
              <w:rPr>
                <w:szCs w:val="24"/>
                <w:lang w:val="sr-Cyrl-RS"/>
              </w:rPr>
              <w:t>20</w:t>
            </w:r>
          </w:p>
        </w:tc>
        <w:tc>
          <w:tcPr>
            <w:tcW w:w="932" w:type="dxa"/>
            <w:vAlign w:val="center"/>
          </w:tcPr>
          <w:p w14:paraId="64A6903B" w14:textId="77777777" w:rsidR="003F3DB8" w:rsidRPr="00CF77C1" w:rsidRDefault="003F3DB8" w:rsidP="0080044B">
            <w:pPr>
              <w:jc w:val="center"/>
              <w:rPr>
                <w:szCs w:val="24"/>
                <w:lang w:val="sr-Cyrl-RS"/>
              </w:rPr>
            </w:pPr>
            <w:r w:rsidRPr="00CF77C1">
              <w:rPr>
                <w:szCs w:val="24"/>
                <w:lang w:val="sr-Cyrl-RS"/>
              </w:rPr>
              <w:t>20</w:t>
            </w:r>
          </w:p>
        </w:tc>
        <w:tc>
          <w:tcPr>
            <w:tcW w:w="932" w:type="dxa"/>
            <w:vAlign w:val="center"/>
          </w:tcPr>
          <w:p w14:paraId="64F81128" w14:textId="77777777" w:rsidR="003F3DB8" w:rsidRPr="00CF77C1" w:rsidRDefault="003F3DB8" w:rsidP="0080044B">
            <w:pPr>
              <w:jc w:val="center"/>
              <w:rPr>
                <w:szCs w:val="24"/>
                <w:lang w:val="sr-Cyrl-RS"/>
              </w:rPr>
            </w:pPr>
            <w:r w:rsidRPr="00CF77C1">
              <w:rPr>
                <w:szCs w:val="24"/>
                <w:lang w:val="sr-Cyrl-RS"/>
              </w:rPr>
              <w:t>20</w:t>
            </w:r>
          </w:p>
        </w:tc>
      </w:tr>
    </w:tbl>
    <w:p w14:paraId="5907EBA7" w14:textId="56581B95" w:rsidR="003F3DB8" w:rsidRPr="00CF77C1" w:rsidRDefault="003F3DB8" w:rsidP="00FC1656">
      <w:pPr>
        <w:pStyle w:val="Caption"/>
        <w:ind w:firstLine="720"/>
        <w:rPr>
          <w:b w:val="0"/>
          <w:lang w:val="sr-Cyrl-RS"/>
        </w:rPr>
      </w:pPr>
      <w:bookmarkStart w:id="121" w:name="_Ref475611259"/>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43</w:t>
      </w:r>
      <w:r w:rsidR="0092145E" w:rsidRPr="00CF77C1">
        <w:rPr>
          <w:b w:val="0"/>
          <w:noProof/>
          <w:lang w:val="sr-Cyrl-RS"/>
        </w:rPr>
        <w:fldChar w:fldCharType="end"/>
      </w:r>
      <w:bookmarkEnd w:id="121"/>
      <w:r w:rsidRPr="00CF77C1">
        <w:rPr>
          <w:b w:val="0"/>
          <w:lang w:val="sr-Cyrl-RS"/>
        </w:rPr>
        <w:t>: Врeднoст индикaтoрa oднoсa билансних рeзeрви и прojeкциja будућe гoдишњe прoизвoдњe нaфтe</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50"/>
        <w:gridCol w:w="931"/>
        <w:gridCol w:w="932"/>
        <w:gridCol w:w="931"/>
        <w:gridCol w:w="932"/>
        <w:gridCol w:w="931"/>
        <w:gridCol w:w="932"/>
        <w:gridCol w:w="932"/>
      </w:tblGrid>
      <w:tr w:rsidR="003F3DB8" w:rsidRPr="00CF77C1" w14:paraId="2D7F2BBB" w14:textId="77777777" w:rsidTr="003F3DB8">
        <w:trPr>
          <w:trHeight w:val="300"/>
        </w:trPr>
        <w:tc>
          <w:tcPr>
            <w:tcW w:w="2850" w:type="dxa"/>
            <w:vAlign w:val="center"/>
          </w:tcPr>
          <w:p w14:paraId="1FE85CF5" w14:textId="77777777" w:rsidR="003F3DB8" w:rsidRPr="00CF77C1" w:rsidRDefault="003F3DB8" w:rsidP="0080044B">
            <w:pPr>
              <w:jc w:val="left"/>
              <w:rPr>
                <w:szCs w:val="24"/>
                <w:lang w:val="sr-Cyrl-RS"/>
              </w:rPr>
            </w:pPr>
            <w:r w:rsidRPr="00CF77C1">
              <w:rPr>
                <w:szCs w:val="24"/>
                <w:lang w:val="sr-Cyrl-RS"/>
              </w:rPr>
              <w:t>Година</w:t>
            </w:r>
          </w:p>
        </w:tc>
        <w:tc>
          <w:tcPr>
            <w:tcW w:w="931" w:type="dxa"/>
            <w:noWrap/>
            <w:vAlign w:val="center"/>
          </w:tcPr>
          <w:p w14:paraId="3042DD13" w14:textId="77777777" w:rsidR="003F3DB8" w:rsidRPr="00CF77C1" w:rsidRDefault="003F3DB8" w:rsidP="0080044B">
            <w:pPr>
              <w:jc w:val="center"/>
              <w:rPr>
                <w:szCs w:val="24"/>
                <w:lang w:val="sr-Cyrl-RS"/>
              </w:rPr>
            </w:pPr>
            <w:r w:rsidRPr="00CF77C1">
              <w:rPr>
                <w:szCs w:val="24"/>
                <w:lang w:val="sr-Cyrl-RS"/>
              </w:rPr>
              <w:t>2017.</w:t>
            </w:r>
          </w:p>
        </w:tc>
        <w:tc>
          <w:tcPr>
            <w:tcW w:w="932" w:type="dxa"/>
            <w:noWrap/>
            <w:vAlign w:val="center"/>
          </w:tcPr>
          <w:p w14:paraId="1027F2FA" w14:textId="77777777" w:rsidR="003F3DB8" w:rsidRPr="00CF77C1" w:rsidRDefault="003F3DB8" w:rsidP="0080044B">
            <w:pPr>
              <w:jc w:val="center"/>
              <w:rPr>
                <w:szCs w:val="24"/>
                <w:lang w:val="sr-Cyrl-RS"/>
              </w:rPr>
            </w:pPr>
            <w:r w:rsidRPr="00CF77C1">
              <w:rPr>
                <w:szCs w:val="24"/>
                <w:lang w:val="sr-Cyrl-RS"/>
              </w:rPr>
              <w:t>2018.</w:t>
            </w:r>
          </w:p>
        </w:tc>
        <w:tc>
          <w:tcPr>
            <w:tcW w:w="931" w:type="dxa"/>
            <w:noWrap/>
            <w:vAlign w:val="center"/>
          </w:tcPr>
          <w:p w14:paraId="67A128D3" w14:textId="77777777" w:rsidR="003F3DB8" w:rsidRPr="00CF77C1" w:rsidRDefault="003F3DB8" w:rsidP="0080044B">
            <w:pPr>
              <w:jc w:val="center"/>
              <w:rPr>
                <w:szCs w:val="24"/>
                <w:lang w:val="sr-Cyrl-RS"/>
              </w:rPr>
            </w:pPr>
            <w:r w:rsidRPr="00CF77C1">
              <w:rPr>
                <w:szCs w:val="24"/>
                <w:lang w:val="sr-Cyrl-RS"/>
              </w:rPr>
              <w:t>2019.</w:t>
            </w:r>
          </w:p>
        </w:tc>
        <w:tc>
          <w:tcPr>
            <w:tcW w:w="932" w:type="dxa"/>
            <w:noWrap/>
            <w:vAlign w:val="center"/>
          </w:tcPr>
          <w:p w14:paraId="2CA815D9" w14:textId="77777777" w:rsidR="003F3DB8" w:rsidRPr="00CF77C1" w:rsidRDefault="003F3DB8" w:rsidP="0080044B">
            <w:pPr>
              <w:jc w:val="center"/>
              <w:rPr>
                <w:szCs w:val="24"/>
                <w:lang w:val="sr-Cyrl-RS"/>
              </w:rPr>
            </w:pPr>
            <w:r w:rsidRPr="00CF77C1">
              <w:rPr>
                <w:szCs w:val="24"/>
                <w:lang w:val="sr-Cyrl-RS"/>
              </w:rPr>
              <w:t>2020.</w:t>
            </w:r>
          </w:p>
        </w:tc>
        <w:tc>
          <w:tcPr>
            <w:tcW w:w="931" w:type="dxa"/>
            <w:noWrap/>
            <w:vAlign w:val="center"/>
          </w:tcPr>
          <w:p w14:paraId="475AEE96" w14:textId="77777777" w:rsidR="003F3DB8" w:rsidRPr="00CF77C1" w:rsidRDefault="003F3DB8" w:rsidP="0080044B">
            <w:pPr>
              <w:jc w:val="center"/>
              <w:rPr>
                <w:szCs w:val="24"/>
                <w:lang w:val="sr-Cyrl-RS"/>
              </w:rPr>
            </w:pPr>
            <w:r w:rsidRPr="00CF77C1">
              <w:rPr>
                <w:szCs w:val="24"/>
                <w:lang w:val="sr-Cyrl-RS"/>
              </w:rPr>
              <w:t>2021.</w:t>
            </w:r>
          </w:p>
        </w:tc>
        <w:tc>
          <w:tcPr>
            <w:tcW w:w="932" w:type="dxa"/>
            <w:noWrap/>
            <w:vAlign w:val="center"/>
          </w:tcPr>
          <w:p w14:paraId="067FD8A5" w14:textId="77777777" w:rsidR="003F3DB8" w:rsidRPr="00CF77C1" w:rsidRDefault="003F3DB8" w:rsidP="0080044B">
            <w:pPr>
              <w:jc w:val="center"/>
              <w:rPr>
                <w:szCs w:val="24"/>
                <w:lang w:val="sr-Cyrl-RS"/>
              </w:rPr>
            </w:pPr>
            <w:r w:rsidRPr="00CF77C1">
              <w:rPr>
                <w:szCs w:val="24"/>
                <w:lang w:val="sr-Cyrl-RS"/>
              </w:rPr>
              <w:t>2022.</w:t>
            </w:r>
          </w:p>
        </w:tc>
        <w:tc>
          <w:tcPr>
            <w:tcW w:w="932" w:type="dxa"/>
            <w:vAlign w:val="center"/>
          </w:tcPr>
          <w:p w14:paraId="71A6F7D9" w14:textId="77777777" w:rsidR="003F3DB8" w:rsidRPr="00CF77C1" w:rsidRDefault="003F3DB8" w:rsidP="0080044B">
            <w:pPr>
              <w:jc w:val="center"/>
              <w:rPr>
                <w:szCs w:val="24"/>
                <w:lang w:val="sr-Cyrl-RS"/>
              </w:rPr>
            </w:pPr>
            <w:r w:rsidRPr="00CF77C1">
              <w:rPr>
                <w:szCs w:val="24"/>
                <w:lang w:val="sr-Cyrl-RS"/>
              </w:rPr>
              <w:t>2023.</w:t>
            </w:r>
          </w:p>
        </w:tc>
      </w:tr>
      <w:tr w:rsidR="003F3DB8" w:rsidRPr="00CF77C1" w14:paraId="185DB884" w14:textId="77777777" w:rsidTr="003F3DB8">
        <w:trPr>
          <w:trHeight w:val="300"/>
        </w:trPr>
        <w:tc>
          <w:tcPr>
            <w:tcW w:w="2850" w:type="dxa"/>
            <w:vAlign w:val="center"/>
          </w:tcPr>
          <w:p w14:paraId="02BD6DFE" w14:textId="77777777" w:rsidR="003F3DB8" w:rsidRPr="00CF77C1" w:rsidRDefault="003F3DB8" w:rsidP="0080044B">
            <w:pPr>
              <w:jc w:val="left"/>
              <w:rPr>
                <w:szCs w:val="24"/>
                <w:lang w:val="sr-Cyrl-RS"/>
              </w:rPr>
            </w:pPr>
            <w:r w:rsidRPr="00CF77C1">
              <w:rPr>
                <w:szCs w:val="24"/>
                <w:lang w:val="sr-Cyrl-RS"/>
              </w:rPr>
              <w:t>Р/П (гoд.)</w:t>
            </w:r>
          </w:p>
        </w:tc>
        <w:tc>
          <w:tcPr>
            <w:tcW w:w="931" w:type="dxa"/>
            <w:noWrap/>
          </w:tcPr>
          <w:p w14:paraId="38316092" w14:textId="77777777" w:rsidR="003F3DB8" w:rsidRPr="00CF77C1" w:rsidRDefault="003F3DB8" w:rsidP="0080044B">
            <w:pPr>
              <w:rPr>
                <w:lang w:val="sr-Cyrl-RS"/>
              </w:rPr>
            </w:pPr>
            <w:r w:rsidRPr="00CF77C1">
              <w:rPr>
                <w:lang w:val="sr-Cyrl-RS"/>
              </w:rPr>
              <w:t>14,99</w:t>
            </w:r>
          </w:p>
        </w:tc>
        <w:tc>
          <w:tcPr>
            <w:tcW w:w="932" w:type="dxa"/>
            <w:noWrap/>
          </w:tcPr>
          <w:p w14:paraId="59529CD4" w14:textId="77777777" w:rsidR="003F3DB8" w:rsidRPr="00CF77C1" w:rsidRDefault="003F3DB8" w:rsidP="0080044B">
            <w:pPr>
              <w:rPr>
                <w:lang w:val="sr-Cyrl-RS"/>
              </w:rPr>
            </w:pPr>
            <w:r w:rsidRPr="00CF77C1">
              <w:rPr>
                <w:lang w:val="sr-Cyrl-RS"/>
              </w:rPr>
              <w:t>15,75</w:t>
            </w:r>
          </w:p>
        </w:tc>
        <w:tc>
          <w:tcPr>
            <w:tcW w:w="931" w:type="dxa"/>
            <w:noWrap/>
          </w:tcPr>
          <w:p w14:paraId="51574F0D" w14:textId="77777777" w:rsidR="003F3DB8" w:rsidRPr="00CF77C1" w:rsidRDefault="003F3DB8" w:rsidP="0080044B">
            <w:pPr>
              <w:rPr>
                <w:lang w:val="sr-Cyrl-RS"/>
              </w:rPr>
            </w:pPr>
            <w:r w:rsidRPr="00CF77C1">
              <w:rPr>
                <w:lang w:val="sr-Cyrl-RS"/>
              </w:rPr>
              <w:t>16,79</w:t>
            </w:r>
          </w:p>
        </w:tc>
        <w:tc>
          <w:tcPr>
            <w:tcW w:w="932" w:type="dxa"/>
            <w:noWrap/>
          </w:tcPr>
          <w:p w14:paraId="1D807DFE" w14:textId="77777777" w:rsidR="003F3DB8" w:rsidRPr="00CF77C1" w:rsidRDefault="003F3DB8" w:rsidP="0080044B">
            <w:pPr>
              <w:rPr>
                <w:lang w:val="sr-Cyrl-RS"/>
              </w:rPr>
            </w:pPr>
            <w:r w:rsidRPr="00CF77C1">
              <w:rPr>
                <w:lang w:val="sr-Cyrl-RS"/>
              </w:rPr>
              <w:t>16,86</w:t>
            </w:r>
          </w:p>
        </w:tc>
        <w:tc>
          <w:tcPr>
            <w:tcW w:w="931" w:type="dxa"/>
            <w:noWrap/>
          </w:tcPr>
          <w:p w14:paraId="656E2BB3" w14:textId="77777777" w:rsidR="003F3DB8" w:rsidRPr="00CF77C1" w:rsidRDefault="003F3DB8" w:rsidP="0080044B">
            <w:pPr>
              <w:rPr>
                <w:lang w:val="sr-Cyrl-RS"/>
              </w:rPr>
            </w:pPr>
            <w:r w:rsidRPr="00CF77C1">
              <w:rPr>
                <w:lang w:val="sr-Cyrl-RS"/>
              </w:rPr>
              <w:t>16,87</w:t>
            </w:r>
          </w:p>
        </w:tc>
        <w:tc>
          <w:tcPr>
            <w:tcW w:w="932" w:type="dxa"/>
            <w:noWrap/>
          </w:tcPr>
          <w:p w14:paraId="4E8F553B" w14:textId="77777777" w:rsidR="003F3DB8" w:rsidRPr="00CF77C1" w:rsidRDefault="003F3DB8" w:rsidP="0080044B">
            <w:pPr>
              <w:rPr>
                <w:lang w:val="sr-Cyrl-RS"/>
              </w:rPr>
            </w:pPr>
            <w:r w:rsidRPr="00CF77C1">
              <w:rPr>
                <w:lang w:val="sr-Cyrl-RS"/>
              </w:rPr>
              <w:t>16,55</w:t>
            </w:r>
          </w:p>
        </w:tc>
        <w:tc>
          <w:tcPr>
            <w:tcW w:w="932" w:type="dxa"/>
          </w:tcPr>
          <w:p w14:paraId="6BC5A527" w14:textId="77777777" w:rsidR="003F3DB8" w:rsidRPr="00CF77C1" w:rsidRDefault="003F3DB8" w:rsidP="0080044B">
            <w:pPr>
              <w:rPr>
                <w:lang w:val="sr-Cyrl-RS"/>
              </w:rPr>
            </w:pPr>
            <w:r w:rsidRPr="00CF77C1">
              <w:rPr>
                <w:lang w:val="sr-Cyrl-RS"/>
              </w:rPr>
              <w:t>16,47</w:t>
            </w:r>
          </w:p>
        </w:tc>
      </w:tr>
    </w:tbl>
    <w:p w14:paraId="5E7C506E" w14:textId="1BCE9F5C" w:rsidR="003F3DB8" w:rsidRPr="00CF77C1" w:rsidRDefault="001E33CA" w:rsidP="001E33CA">
      <w:pPr>
        <w:pStyle w:val="ListParagraph"/>
        <w:keepNext/>
        <w:keepLines/>
        <w:spacing w:before="60" w:after="60"/>
        <w:ind w:left="0" w:firstLine="720"/>
        <w:contextualSpacing w:val="0"/>
        <w:rPr>
          <w:szCs w:val="24"/>
          <w:lang w:val="sr-Cyrl-RS"/>
        </w:rPr>
      </w:pPr>
      <w:r>
        <w:rPr>
          <w:szCs w:val="24"/>
          <w:lang w:val="sr-Cyrl-RS"/>
        </w:rPr>
        <w:t xml:space="preserve">3. </w:t>
      </w:r>
      <w:r>
        <w:rPr>
          <w:szCs w:val="24"/>
          <w:lang w:val="sr-Cyrl-RS"/>
        </w:rPr>
        <w:tab/>
      </w:r>
      <w:r w:rsidR="003F3DB8" w:rsidRPr="00CF77C1">
        <w:rPr>
          <w:szCs w:val="24"/>
          <w:lang w:val="sr-Cyrl-RS"/>
        </w:rPr>
        <w:t xml:space="preserve">Мере у подобласти нафтног сектора </w:t>
      </w:r>
      <w:r w:rsidR="00FC1656" w:rsidRPr="00CF77C1">
        <w:rPr>
          <w:szCs w:val="24"/>
          <w:lang w:val="sr-Cyrl-RS"/>
        </w:rPr>
        <w:t>–</w:t>
      </w:r>
      <w:r w:rsidR="003F3DB8" w:rsidRPr="00CF77C1">
        <w:rPr>
          <w:szCs w:val="24"/>
          <w:lang w:val="sr-Cyrl-RS"/>
        </w:rPr>
        <w:t xml:space="preserve"> прерада</w:t>
      </w:r>
    </w:p>
    <w:p w14:paraId="622679CE" w14:textId="1AD07831" w:rsidR="003F3DB8" w:rsidRPr="00CF77C1" w:rsidRDefault="003F3DB8" w:rsidP="003E39B4">
      <w:pPr>
        <w:pStyle w:val="ListParagraph"/>
        <w:numPr>
          <w:ilvl w:val="0"/>
          <w:numId w:val="41"/>
        </w:numPr>
        <w:spacing w:before="60" w:after="60"/>
        <w:ind w:firstLine="0"/>
        <w:contextualSpacing w:val="0"/>
        <w:rPr>
          <w:szCs w:val="24"/>
          <w:lang w:val="sr-Cyrl-RS"/>
        </w:rPr>
      </w:pPr>
      <w:r w:rsidRPr="00CF77C1">
        <w:rPr>
          <w:szCs w:val="24"/>
          <w:lang w:val="sr-Cyrl-RS"/>
        </w:rPr>
        <w:t>Наставак модернизације рафинерије нафте у Панчеву</w:t>
      </w:r>
    </w:p>
    <w:p w14:paraId="791BB89D" w14:textId="3018B312" w:rsidR="003F3DB8" w:rsidRPr="00CF77C1" w:rsidRDefault="003F3DB8" w:rsidP="001E33CA">
      <w:pPr>
        <w:ind w:firstLine="720"/>
        <w:rPr>
          <w:szCs w:val="24"/>
          <w:lang w:val="sr-Cyrl-RS"/>
        </w:rPr>
      </w:pPr>
      <w:r w:rsidRPr="00CF77C1">
        <w:rPr>
          <w:szCs w:val="24"/>
          <w:lang w:val="sr-Cyrl-RS"/>
        </w:rPr>
        <w:t xml:space="preserve">Скуп активности који прати ове мере приказан је у </w:t>
      </w:r>
      <w:r w:rsidR="0092145E" w:rsidRPr="00CF77C1">
        <w:rPr>
          <w:lang w:val="sr-Cyrl-RS"/>
        </w:rPr>
        <w:fldChar w:fldCharType="begin"/>
      </w:r>
      <w:r w:rsidR="00BE586B" w:rsidRPr="00CF77C1">
        <w:rPr>
          <w:szCs w:val="24"/>
          <w:lang w:val="sr-Cyrl-RS"/>
        </w:rPr>
        <w:instrText xml:space="preserve"> REF _Ref475611272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таб. 44</w:t>
      </w:r>
      <w:r w:rsidR="0092145E" w:rsidRPr="00CF77C1">
        <w:rPr>
          <w:lang w:val="sr-Cyrl-RS"/>
        </w:rPr>
        <w:fldChar w:fldCharType="end"/>
      </w:r>
      <w:r w:rsidRPr="00CF77C1">
        <w:rPr>
          <w:szCs w:val="24"/>
          <w:lang w:val="sr-Cyrl-RS"/>
        </w:rPr>
        <w:t>.</w:t>
      </w:r>
    </w:p>
    <w:p w14:paraId="378644A4" w14:textId="17CFBCC6" w:rsidR="003F3DB8" w:rsidRPr="00FC6F6F" w:rsidRDefault="001E33CA" w:rsidP="001E33CA">
      <w:pPr>
        <w:pStyle w:val="ListParagraph"/>
        <w:keepNext/>
        <w:keepLines/>
        <w:spacing w:before="60" w:after="60"/>
        <w:contextualSpacing w:val="0"/>
        <w:rPr>
          <w:szCs w:val="24"/>
          <w:lang w:val="sr-Cyrl-RS"/>
        </w:rPr>
      </w:pPr>
      <w:r>
        <w:rPr>
          <w:szCs w:val="24"/>
          <w:lang w:val="sr-Cyrl-RS"/>
        </w:rPr>
        <w:t xml:space="preserve">4. </w:t>
      </w:r>
      <w:r>
        <w:rPr>
          <w:szCs w:val="24"/>
          <w:lang w:val="sr-Cyrl-RS"/>
        </w:rPr>
        <w:tab/>
      </w:r>
      <w:r w:rsidR="003F3DB8" w:rsidRPr="00FC6F6F">
        <w:rPr>
          <w:szCs w:val="24"/>
          <w:lang w:val="sr-Cyrl-RS"/>
        </w:rPr>
        <w:t xml:space="preserve">Мере у подобласти нафтног сектора </w:t>
      </w:r>
      <w:r w:rsidR="00FC1656" w:rsidRPr="00FC6F6F">
        <w:rPr>
          <w:szCs w:val="24"/>
          <w:lang w:val="sr-Cyrl-RS"/>
        </w:rPr>
        <w:t>–</w:t>
      </w:r>
      <w:r w:rsidR="003F3DB8" w:rsidRPr="00FC6F6F">
        <w:rPr>
          <w:szCs w:val="24"/>
          <w:lang w:val="sr-Cyrl-RS"/>
        </w:rPr>
        <w:t xml:space="preserve"> транспорт</w:t>
      </w:r>
    </w:p>
    <w:p w14:paraId="350406BE" w14:textId="21465F02" w:rsidR="003F3DB8" w:rsidRPr="00FC6F6F" w:rsidRDefault="003F3DB8" w:rsidP="003E39B4">
      <w:pPr>
        <w:pStyle w:val="ListParagraph"/>
        <w:numPr>
          <w:ilvl w:val="0"/>
          <w:numId w:val="41"/>
        </w:numPr>
        <w:spacing w:before="60" w:after="60"/>
        <w:ind w:left="0" w:firstLine="720"/>
        <w:contextualSpacing w:val="0"/>
        <w:rPr>
          <w:szCs w:val="24"/>
          <w:lang w:val="sr-Cyrl-RS"/>
        </w:rPr>
      </w:pPr>
      <w:r w:rsidRPr="00FC6F6F">
        <w:rPr>
          <w:szCs w:val="24"/>
          <w:lang w:val="sr-Cyrl-RS"/>
        </w:rPr>
        <w:t>Изградња првог објекта система продуктовода</w:t>
      </w:r>
    </w:p>
    <w:p w14:paraId="76838594" w14:textId="77777777" w:rsidR="003F3DB8" w:rsidRPr="00FC6F6F" w:rsidRDefault="003F3DB8" w:rsidP="003E39B4">
      <w:pPr>
        <w:pStyle w:val="ListParagraph"/>
        <w:numPr>
          <w:ilvl w:val="0"/>
          <w:numId w:val="41"/>
        </w:numPr>
        <w:spacing w:before="60" w:after="60"/>
        <w:ind w:left="0" w:firstLine="720"/>
        <w:contextualSpacing w:val="0"/>
        <w:rPr>
          <w:szCs w:val="24"/>
          <w:lang w:val="sr-Cyrl-RS"/>
        </w:rPr>
      </w:pPr>
      <w:r w:rsidRPr="00FC6F6F">
        <w:rPr>
          <w:szCs w:val="24"/>
          <w:lang w:val="sr-Cyrl-RS"/>
        </w:rPr>
        <w:t>Развој међународне сарадње у циљу повезивања нафтоводних система, као и система продуктовода</w:t>
      </w:r>
    </w:p>
    <w:p w14:paraId="2EA887D0" w14:textId="1D3B00AA" w:rsidR="003F3DB8" w:rsidRPr="00FC6F6F" w:rsidRDefault="003F3DB8" w:rsidP="001E33CA">
      <w:pPr>
        <w:ind w:firstLine="720"/>
        <w:rPr>
          <w:szCs w:val="24"/>
          <w:lang w:val="sr-Cyrl-RS"/>
        </w:rPr>
      </w:pPr>
      <w:r w:rsidRPr="00FC6F6F">
        <w:rPr>
          <w:szCs w:val="24"/>
          <w:lang w:val="sr-Cyrl-RS"/>
        </w:rPr>
        <w:t xml:space="preserve">Скуп активности који прати ове мере приказан је у </w:t>
      </w:r>
      <w:r w:rsidR="0092145E" w:rsidRPr="00FC6F6F">
        <w:rPr>
          <w:lang w:val="sr-Cyrl-RS"/>
        </w:rPr>
        <w:fldChar w:fldCharType="begin"/>
      </w:r>
      <w:r w:rsidR="00BE586B" w:rsidRPr="00FC6F6F">
        <w:rPr>
          <w:szCs w:val="24"/>
          <w:lang w:val="sr-Cyrl-RS"/>
        </w:rPr>
        <w:instrText xml:space="preserve"> REF _Ref475611282 \h </w:instrText>
      </w:r>
      <w:r w:rsidR="002158C6" w:rsidRPr="00FC6F6F">
        <w:rPr>
          <w:lang w:val="sr-Cyrl-RS"/>
        </w:rPr>
        <w:instrText xml:space="preserve"> \* MERGEFORMAT </w:instrText>
      </w:r>
      <w:r w:rsidR="0092145E" w:rsidRPr="00FC6F6F">
        <w:rPr>
          <w:lang w:val="sr-Cyrl-RS"/>
        </w:rPr>
      </w:r>
      <w:r w:rsidR="0092145E" w:rsidRPr="00FC6F6F">
        <w:rPr>
          <w:lang w:val="sr-Cyrl-RS"/>
        </w:rPr>
        <w:fldChar w:fldCharType="separate"/>
      </w:r>
      <w:r w:rsidR="002D5918" w:rsidRPr="002D5918">
        <w:rPr>
          <w:lang w:val="sr-Cyrl-RS"/>
        </w:rPr>
        <w:t>таб. 45</w:t>
      </w:r>
      <w:r w:rsidR="0092145E" w:rsidRPr="00FC6F6F">
        <w:rPr>
          <w:lang w:val="sr-Cyrl-RS"/>
        </w:rPr>
        <w:fldChar w:fldCharType="end"/>
      </w:r>
      <w:r w:rsidRPr="00FC6F6F">
        <w:rPr>
          <w:szCs w:val="24"/>
          <w:lang w:val="sr-Cyrl-RS"/>
        </w:rPr>
        <w:t>.</w:t>
      </w:r>
    </w:p>
    <w:p w14:paraId="126EF295" w14:textId="79B7BFE8" w:rsidR="003F3DB8" w:rsidRPr="00FC6F6F" w:rsidRDefault="001E33CA" w:rsidP="001E33CA">
      <w:pPr>
        <w:pStyle w:val="ListParagraph"/>
        <w:keepNext/>
        <w:keepLines/>
        <w:spacing w:before="60" w:after="60"/>
        <w:contextualSpacing w:val="0"/>
        <w:rPr>
          <w:szCs w:val="24"/>
          <w:lang w:val="sr-Cyrl-RS"/>
        </w:rPr>
      </w:pPr>
      <w:r>
        <w:rPr>
          <w:szCs w:val="24"/>
          <w:lang w:val="sr-Cyrl-RS"/>
        </w:rPr>
        <w:t xml:space="preserve">5. </w:t>
      </w:r>
      <w:r>
        <w:rPr>
          <w:szCs w:val="24"/>
          <w:lang w:val="sr-Cyrl-RS"/>
        </w:rPr>
        <w:tab/>
      </w:r>
      <w:r w:rsidR="003F3DB8" w:rsidRPr="00FC6F6F">
        <w:rPr>
          <w:szCs w:val="24"/>
          <w:lang w:val="sr-Cyrl-RS"/>
        </w:rPr>
        <w:t>Мере у подобласти нафтног сектора - промет</w:t>
      </w:r>
    </w:p>
    <w:p w14:paraId="455D0490" w14:textId="77777777" w:rsidR="003F3DB8" w:rsidRPr="00FC6F6F" w:rsidRDefault="003F3DB8" w:rsidP="003E39B4">
      <w:pPr>
        <w:pStyle w:val="ListParagraph"/>
        <w:numPr>
          <w:ilvl w:val="0"/>
          <w:numId w:val="41"/>
        </w:numPr>
        <w:spacing w:before="60" w:after="60"/>
        <w:ind w:left="0" w:firstLine="720"/>
        <w:contextualSpacing w:val="0"/>
        <w:rPr>
          <w:szCs w:val="24"/>
          <w:lang w:val="sr-Cyrl-RS"/>
        </w:rPr>
      </w:pPr>
      <w:r w:rsidRPr="00FC6F6F">
        <w:rPr>
          <w:szCs w:val="24"/>
          <w:lang w:val="sr-Cyrl-RS"/>
        </w:rPr>
        <w:t>Обезбеђење обавезних резерви нафте и нафтних деривата у складу са директивом 119/2009/ЕЗ.</w:t>
      </w:r>
    </w:p>
    <w:p w14:paraId="1C84D843" w14:textId="251AAFB9" w:rsidR="003F3DB8" w:rsidRPr="00CF77C1" w:rsidRDefault="003F3DB8" w:rsidP="001E33CA">
      <w:pPr>
        <w:ind w:firstLine="720"/>
        <w:rPr>
          <w:lang w:val="sr-Cyrl-RS"/>
        </w:rPr>
      </w:pPr>
      <w:r w:rsidRPr="00FC6F6F">
        <w:rPr>
          <w:szCs w:val="24"/>
          <w:lang w:val="sr-Cyrl-RS"/>
        </w:rPr>
        <w:t>Скуп активности који прате</w:t>
      </w:r>
      <w:r w:rsidRPr="00CF77C1">
        <w:rPr>
          <w:lang w:val="sr-Cyrl-RS"/>
        </w:rPr>
        <w:t xml:space="preserve"> ове мере приказан је у </w:t>
      </w:r>
      <w:r w:rsidR="0092145E" w:rsidRPr="00CF77C1">
        <w:rPr>
          <w:lang w:val="sr-Cyrl-RS"/>
        </w:rPr>
        <w:fldChar w:fldCharType="begin"/>
      </w:r>
      <w:r w:rsidR="00BE586B" w:rsidRPr="00CF77C1">
        <w:rPr>
          <w:lang w:val="sr-Cyrl-RS"/>
        </w:rPr>
        <w:instrText xml:space="preserve"> REF _Ref475611292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таб. 46</w:t>
      </w:r>
      <w:r w:rsidR="0092145E" w:rsidRPr="00CF77C1">
        <w:rPr>
          <w:lang w:val="sr-Cyrl-RS"/>
        </w:rPr>
        <w:fldChar w:fldCharType="end"/>
      </w:r>
      <w:r w:rsidRPr="00CF77C1">
        <w:rPr>
          <w:lang w:val="sr-Cyrl-RS"/>
        </w:rPr>
        <w:t>.</w:t>
      </w:r>
    </w:p>
    <w:p w14:paraId="2F6954EA" w14:textId="53B77C84" w:rsidR="00E46C90" w:rsidRPr="001E33CA" w:rsidRDefault="001E33CA" w:rsidP="001E33CA">
      <w:pPr>
        <w:keepNext/>
        <w:keepLines/>
        <w:ind w:firstLine="720"/>
        <w:rPr>
          <w:lang w:val="sr-Cyrl-RS"/>
        </w:rPr>
      </w:pPr>
      <w:r>
        <w:rPr>
          <w:szCs w:val="24"/>
          <w:lang w:val="sr-Cyrl-RS"/>
        </w:rPr>
        <w:t xml:space="preserve">6. </w:t>
      </w:r>
      <w:r>
        <w:rPr>
          <w:szCs w:val="24"/>
          <w:lang w:val="sr-Cyrl-RS"/>
        </w:rPr>
        <w:tab/>
      </w:r>
      <w:r w:rsidR="003F3DB8" w:rsidRPr="001E33CA">
        <w:rPr>
          <w:szCs w:val="24"/>
          <w:lang w:val="sr-Cyrl-RS"/>
        </w:rPr>
        <w:t>Мере за унапређење енергетске ефикасности</w:t>
      </w:r>
    </w:p>
    <w:p w14:paraId="76EB4EED" w14:textId="4ACFBC46" w:rsidR="00E46C90" w:rsidRPr="00CF77C1" w:rsidRDefault="003F3DB8" w:rsidP="00FC1656">
      <w:pPr>
        <w:ind w:firstLine="720"/>
        <w:rPr>
          <w:lang w:val="sr-Cyrl-RS"/>
        </w:rPr>
      </w:pPr>
      <w:r w:rsidRPr="00CF77C1">
        <w:rPr>
          <w:lang w:val="sr-Cyrl-RS"/>
        </w:rPr>
        <w:t xml:space="preserve">У </w:t>
      </w:r>
      <w:r w:rsidR="0092145E" w:rsidRPr="00CF77C1">
        <w:rPr>
          <w:lang w:val="sr-Cyrl-RS"/>
        </w:rPr>
        <w:fldChar w:fldCharType="begin"/>
      </w:r>
      <w:r w:rsidR="00BE586B" w:rsidRPr="00CF77C1">
        <w:rPr>
          <w:lang w:val="sr-Cyrl-RS"/>
        </w:rPr>
        <w:instrText xml:space="preserve"> REF _Ref475611305 \h </w:instrText>
      </w:r>
      <w:r w:rsidR="002158C6" w:rsidRPr="00CF77C1">
        <w:rPr>
          <w:lang w:val="sr-Cyrl-RS"/>
        </w:rPr>
        <w:instrText xml:space="preserve"> \* MERGEFORMAT </w:instrText>
      </w:r>
      <w:r w:rsidR="0092145E" w:rsidRPr="00CF77C1">
        <w:rPr>
          <w:lang w:val="sr-Cyrl-RS"/>
        </w:rPr>
      </w:r>
      <w:r w:rsidR="0092145E" w:rsidRPr="00CF77C1">
        <w:rPr>
          <w:lang w:val="sr-Cyrl-RS"/>
        </w:rPr>
        <w:fldChar w:fldCharType="separate"/>
      </w:r>
      <w:r w:rsidR="002D5918" w:rsidRPr="002D5918">
        <w:rPr>
          <w:lang w:val="sr-Cyrl-RS"/>
        </w:rPr>
        <w:t xml:space="preserve">таб. </w:t>
      </w:r>
      <w:r w:rsidR="002D5918" w:rsidRPr="002D5918">
        <w:rPr>
          <w:noProof/>
          <w:lang w:val="sr-Cyrl-RS"/>
        </w:rPr>
        <w:t>47</w:t>
      </w:r>
      <w:r w:rsidR="0092145E" w:rsidRPr="00CF77C1">
        <w:rPr>
          <w:lang w:val="sr-Cyrl-RS"/>
        </w:rPr>
        <w:fldChar w:fldCharType="end"/>
      </w:r>
      <w:r w:rsidRPr="00CF77C1">
        <w:rPr>
          <w:lang w:val="sr-Cyrl-RS"/>
        </w:rPr>
        <w:t xml:space="preserve"> приказане су активности </w:t>
      </w:r>
      <w:r w:rsidRPr="00CF77C1">
        <w:rPr>
          <w:rFonts w:eastAsia="Calibri"/>
          <w:lang w:val="sr-Cyrl-RS"/>
        </w:rPr>
        <w:t>Акционог плана енергетске ефикасности НИС а.д. за 2017. годину</w:t>
      </w:r>
      <w:r w:rsidRPr="00CF77C1">
        <w:rPr>
          <w:lang w:val="sr-Cyrl-RS"/>
        </w:rPr>
        <w:t xml:space="preserve">. </w:t>
      </w:r>
      <w:r w:rsidRPr="00CF77C1">
        <w:rPr>
          <w:rFonts w:eastAsia="Calibri"/>
          <w:lang w:val="sr-Cyrl-RS"/>
        </w:rPr>
        <w:t>Акциони план енергетске ефикасности у компанији НИС а.д. планира се на годишњем нивоу.</w:t>
      </w:r>
    </w:p>
    <w:p w14:paraId="3C3FC399" w14:textId="72B6DFDC" w:rsidR="003F3DB8" w:rsidRPr="00CF77C1" w:rsidRDefault="003F3DB8" w:rsidP="00FC1656">
      <w:pPr>
        <w:ind w:firstLine="720"/>
        <w:rPr>
          <w:lang w:val="sr-Cyrl-RS"/>
        </w:rPr>
      </w:pPr>
      <w:r w:rsidRPr="00CF77C1">
        <w:rPr>
          <w:rFonts w:eastAsia="Calibri"/>
          <w:lang w:val="sr-Cyrl-RS"/>
        </w:rPr>
        <w:t>Рафинерија нафте у Панчеву укљученa је од 2008. године у програм упоредне анализе кључних показaтеља пословања рафинерија по „Соломон</w:t>
      </w:r>
      <w:r w:rsidR="00AD5740" w:rsidRPr="00CF77C1">
        <w:rPr>
          <w:rFonts w:eastAsia="Calibri"/>
          <w:lang w:val="sr-Cyrl-RS"/>
        </w:rPr>
        <w:t>”</w:t>
      </w:r>
      <w:r w:rsidRPr="00CF77C1">
        <w:rPr>
          <w:rFonts w:eastAsia="Calibri"/>
          <w:lang w:val="sr-Cyrl-RS"/>
        </w:rPr>
        <w:t xml:space="preserve"> методологији по коме се прати Индекс </w:t>
      </w:r>
      <w:r w:rsidRPr="00CF77C1">
        <w:rPr>
          <w:lang w:val="sr-Cyrl-RS"/>
        </w:rPr>
        <w:t>енeргeтскoг интeнзитeтa („ИЕИ</w:t>
      </w:r>
      <w:r w:rsidR="00AD5740" w:rsidRPr="00CF77C1">
        <w:rPr>
          <w:lang w:val="sr-Cyrl-RS"/>
        </w:rPr>
        <w:t>”</w:t>
      </w:r>
      <w:r w:rsidRPr="00CF77C1">
        <w:rPr>
          <w:lang w:val="sr-Cyrl-RS"/>
        </w:rPr>
        <w:t>). Вредност „ИЕИ</w:t>
      </w:r>
      <w:r w:rsidR="00AD5740" w:rsidRPr="00CF77C1">
        <w:rPr>
          <w:lang w:val="sr-Cyrl-RS"/>
        </w:rPr>
        <w:t>”</w:t>
      </w:r>
      <w:r w:rsidRPr="00CF77C1">
        <w:rPr>
          <w:lang w:val="sr-Cyrl-RS"/>
        </w:rPr>
        <w:t xml:space="preserve"> по реализацији пројекта „Дубока прерада</w:t>
      </w:r>
      <w:r w:rsidR="00AD5740" w:rsidRPr="00CF77C1">
        <w:rPr>
          <w:lang w:val="sr-Cyrl-RS"/>
        </w:rPr>
        <w:t>”</w:t>
      </w:r>
      <w:r w:rsidRPr="00CF77C1">
        <w:rPr>
          <w:lang w:val="sr-Cyrl-RS"/>
        </w:rPr>
        <w:t xml:space="preserve"> дата је у оквиру приказа наведеног пројекта.</w:t>
      </w:r>
    </w:p>
    <w:p w14:paraId="753F94D4" w14:textId="77777777" w:rsidR="003F3DB8" w:rsidRPr="00CF77C1" w:rsidRDefault="003F3DB8" w:rsidP="0080044B">
      <w:pPr>
        <w:ind w:left="340"/>
        <w:rPr>
          <w:sz w:val="17"/>
          <w:szCs w:val="24"/>
          <w:lang w:val="sr-Cyrl-RS"/>
        </w:rPr>
      </w:pPr>
    </w:p>
    <w:p w14:paraId="233D7776" w14:textId="3BC7340E" w:rsidR="00E46C90" w:rsidRPr="00CF77C1" w:rsidRDefault="001E33CA" w:rsidP="001E33CA">
      <w:pPr>
        <w:pStyle w:val="ListParagraph"/>
        <w:keepNext/>
        <w:keepLines/>
        <w:spacing w:before="60" w:after="60"/>
        <w:contextualSpacing w:val="0"/>
        <w:rPr>
          <w:lang w:val="sr-Cyrl-RS"/>
        </w:rPr>
      </w:pPr>
      <w:r>
        <w:rPr>
          <w:lang w:val="sr-Cyrl-RS"/>
        </w:rPr>
        <w:t xml:space="preserve">7. </w:t>
      </w:r>
      <w:r>
        <w:rPr>
          <w:lang w:val="sr-Cyrl-RS"/>
        </w:rPr>
        <w:tab/>
      </w:r>
      <w:r w:rsidR="003F3DB8" w:rsidRPr="00CF77C1">
        <w:rPr>
          <w:lang w:val="sr-Cyrl-RS"/>
        </w:rPr>
        <w:t>Мере заштите животне средине</w:t>
      </w:r>
    </w:p>
    <w:p w14:paraId="081CB9D2" w14:textId="1181B462" w:rsidR="00E46C90" w:rsidRPr="00CF77C1" w:rsidRDefault="003F3DB8" w:rsidP="00FC1656">
      <w:pPr>
        <w:ind w:firstLine="720"/>
        <w:rPr>
          <w:rFonts w:eastAsia="Calibri"/>
          <w:lang w:val="sr-Cyrl-RS"/>
        </w:rPr>
      </w:pPr>
      <w:r w:rsidRPr="00CF77C1">
        <w:rPr>
          <w:rFonts w:eastAsia="Calibri"/>
          <w:lang w:val="sr-Cyrl-RS"/>
        </w:rPr>
        <w:t xml:space="preserve">У </w:t>
      </w:r>
      <w:r w:rsidR="0092145E" w:rsidRPr="00CF77C1">
        <w:rPr>
          <w:rFonts w:eastAsia="Calibri"/>
          <w:lang w:val="sr-Cyrl-RS"/>
        </w:rPr>
        <w:fldChar w:fldCharType="begin"/>
      </w:r>
      <w:r w:rsidR="00BE586B" w:rsidRPr="00CF77C1">
        <w:rPr>
          <w:rFonts w:eastAsia="Calibri"/>
          <w:lang w:val="sr-Cyrl-RS"/>
        </w:rPr>
        <w:instrText xml:space="preserve"> REF _Ref475611317 \h </w:instrText>
      </w:r>
      <w:r w:rsidR="002158C6" w:rsidRPr="00CF77C1">
        <w:rPr>
          <w:rFonts w:eastAsia="Calibri"/>
          <w:lang w:val="sr-Cyrl-RS"/>
        </w:rPr>
        <w:instrText xml:space="preserve"> \* MERGEFORMAT </w:instrText>
      </w:r>
      <w:r w:rsidR="0092145E" w:rsidRPr="00CF77C1">
        <w:rPr>
          <w:rFonts w:eastAsia="Calibri"/>
          <w:lang w:val="sr-Cyrl-RS"/>
        </w:rPr>
      </w:r>
      <w:r w:rsidR="0092145E" w:rsidRPr="00CF77C1">
        <w:rPr>
          <w:rFonts w:eastAsia="Calibri"/>
          <w:lang w:val="sr-Cyrl-RS"/>
        </w:rPr>
        <w:fldChar w:fldCharType="separate"/>
      </w:r>
      <w:r w:rsidR="002D5918" w:rsidRPr="002D5918">
        <w:rPr>
          <w:rFonts w:eastAsia="Calibri"/>
          <w:lang w:val="sr-Cyrl-RS"/>
        </w:rPr>
        <w:t>таб. 48</w:t>
      </w:r>
      <w:r w:rsidR="0092145E" w:rsidRPr="00CF77C1">
        <w:rPr>
          <w:rFonts w:eastAsia="Calibri"/>
          <w:lang w:val="sr-Cyrl-RS"/>
        </w:rPr>
        <w:fldChar w:fldCharType="end"/>
      </w:r>
      <w:r w:rsidRPr="00CF77C1">
        <w:rPr>
          <w:rFonts w:eastAsia="Calibri"/>
          <w:lang w:val="sr-Cyrl-RS"/>
        </w:rPr>
        <w:t xml:space="preserve"> дате су активности зa зaштиту живoтнe срeдинe у циљу усaглaшaвaњa рaдa НИС a.д. Нoви Сaд, сa </w:t>
      </w:r>
      <w:r w:rsidR="00ED2ECA">
        <w:rPr>
          <w:rFonts w:eastAsia="Calibri"/>
          <w:lang w:val="sr-Cyrl-RS"/>
        </w:rPr>
        <w:t>прописима</w:t>
      </w:r>
      <w:r w:rsidRPr="00CF77C1">
        <w:rPr>
          <w:rFonts w:eastAsia="Calibri"/>
          <w:lang w:val="sr-Cyrl-RS"/>
        </w:rPr>
        <w:t xml:space="preserve"> Републике Србиje и EУ дo 2025. гoдинe</w:t>
      </w:r>
      <w:r w:rsidR="00DD70AC" w:rsidRPr="00CF77C1">
        <w:rPr>
          <w:rFonts w:eastAsia="Calibri"/>
          <w:lang w:val="sr-Cyrl-RS"/>
        </w:rPr>
        <w:t>.</w:t>
      </w:r>
      <w:r w:rsidRPr="00CF77C1">
        <w:rPr>
          <w:rFonts w:eastAsia="Calibri"/>
          <w:lang w:val="sr-Cyrl-RS"/>
        </w:rPr>
        <w:t xml:space="preserve"> У </w:t>
      </w:r>
      <w:r w:rsidR="00C12542" w:rsidRPr="00CF77C1">
        <w:rPr>
          <w:rFonts w:eastAsia="Calibri"/>
          <w:lang w:val="sr-Cyrl-RS"/>
        </w:rPr>
        <w:fldChar w:fldCharType="begin"/>
      </w:r>
      <w:r w:rsidR="00C12542" w:rsidRPr="00CF77C1">
        <w:rPr>
          <w:rFonts w:eastAsia="Calibri"/>
          <w:lang w:val="sr-Cyrl-RS"/>
        </w:rPr>
        <w:instrText xml:space="preserve"> REF _Ref484343826 \h </w:instrText>
      </w:r>
      <w:r w:rsidR="0077363A" w:rsidRPr="00CF77C1">
        <w:rPr>
          <w:rFonts w:eastAsia="Calibri"/>
          <w:lang w:val="sr-Cyrl-RS"/>
        </w:rPr>
        <w:instrText xml:space="preserve"> \* MERGEFORMAT </w:instrText>
      </w:r>
      <w:r w:rsidR="00C12542" w:rsidRPr="00CF77C1">
        <w:rPr>
          <w:rFonts w:eastAsia="Calibri"/>
          <w:lang w:val="sr-Cyrl-RS"/>
        </w:rPr>
      </w:r>
      <w:r w:rsidR="00C12542" w:rsidRPr="00CF77C1">
        <w:rPr>
          <w:rFonts w:eastAsia="Calibri"/>
          <w:lang w:val="sr-Cyrl-RS"/>
        </w:rPr>
        <w:fldChar w:fldCharType="separate"/>
      </w:r>
      <w:r w:rsidR="002D5918" w:rsidRPr="002D5918">
        <w:rPr>
          <w:rFonts w:eastAsia="Calibri"/>
          <w:lang w:val="sr-Cyrl-RS"/>
        </w:rPr>
        <w:t>таб. 49</w:t>
      </w:r>
      <w:r w:rsidR="00C12542" w:rsidRPr="00CF77C1">
        <w:rPr>
          <w:rFonts w:eastAsia="Calibri"/>
          <w:lang w:val="sr-Cyrl-RS"/>
        </w:rPr>
        <w:fldChar w:fldCharType="end"/>
      </w:r>
      <w:r w:rsidRPr="00CF77C1">
        <w:rPr>
          <w:rFonts w:eastAsia="Calibri"/>
          <w:lang w:val="sr-Cyrl-RS"/>
        </w:rPr>
        <w:t xml:space="preserve"> дати су прojeкти и aктивнoсти за зaштиту живoтнe срeдинe</w:t>
      </w:r>
      <w:r w:rsidR="00C12542" w:rsidRPr="00CF77C1">
        <w:rPr>
          <w:rFonts w:eastAsia="Calibri"/>
          <w:lang w:val="sr-Cyrl-RS"/>
        </w:rPr>
        <w:t xml:space="preserve"> у JП Tрaнснaфтa у периоду 2016</w:t>
      </w:r>
      <w:r w:rsidRPr="00CF77C1">
        <w:rPr>
          <w:rFonts w:eastAsia="Calibri"/>
          <w:lang w:val="sr-Cyrl-RS"/>
        </w:rPr>
        <w:t>-2023. године.</w:t>
      </w:r>
    </w:p>
    <w:p w14:paraId="5111597F" w14:textId="15CB20D5" w:rsidR="003F3DB8" w:rsidRPr="00CF77C1" w:rsidRDefault="003F3DB8" w:rsidP="00FC1656">
      <w:pPr>
        <w:ind w:firstLine="720"/>
        <w:rPr>
          <w:rFonts w:eastAsia="Calibri"/>
          <w:lang w:val="sr-Cyrl-RS"/>
        </w:rPr>
      </w:pPr>
      <w:r w:rsidRPr="00CF77C1">
        <w:rPr>
          <w:rFonts w:eastAsia="Calibri"/>
          <w:lang w:val="sr-Cyrl-RS"/>
        </w:rPr>
        <w:t xml:space="preserve">Приказ емисије штетних материја у ваздух, количине отпадних вода, отпада, хемикалија, загађења земљишта и акцидената који су извор загађења животне средине са предузетим мерама заштите животне средине које се у НИС а.д. Нови Сад дају на годишњем нивоу, биће обрађен у Извештају о </w:t>
      </w:r>
      <w:r w:rsidR="006C729D">
        <w:rPr>
          <w:rFonts w:eastAsia="Calibri"/>
          <w:lang w:val="sr-Cyrl-RS"/>
        </w:rPr>
        <w:t>стратешкој процени утицаја ПОС</w:t>
      </w:r>
      <w:r w:rsidRPr="00CF77C1">
        <w:rPr>
          <w:rFonts w:eastAsia="Calibri"/>
          <w:lang w:val="sr-Cyrl-RS"/>
        </w:rPr>
        <w:t xml:space="preserve"> за период од 2017. до 2023. године на животну средину.</w:t>
      </w:r>
    </w:p>
    <w:p w14:paraId="5A578466" w14:textId="77777777" w:rsidR="00C859C0" w:rsidRPr="00CF77C1" w:rsidRDefault="00C859C0" w:rsidP="0080044B">
      <w:pPr>
        <w:rPr>
          <w:lang w:val="sr-Cyrl-RS"/>
        </w:rPr>
      </w:pPr>
    </w:p>
    <w:p w14:paraId="21A33D6C" w14:textId="77777777" w:rsidR="003F3DB8" w:rsidRPr="00CF77C1" w:rsidRDefault="003F3DB8" w:rsidP="0080044B">
      <w:pPr>
        <w:rPr>
          <w:lang w:val="sr-Cyrl-RS"/>
        </w:rPr>
        <w:sectPr w:rsidR="003F3DB8" w:rsidRPr="00CF77C1" w:rsidSect="003F3DB8">
          <w:headerReference w:type="default" r:id="rId72"/>
          <w:footerReference w:type="default" r:id="rId73"/>
          <w:pgSz w:w="11907" w:h="16839" w:code="9"/>
          <w:pgMar w:top="1134" w:right="1134" w:bottom="1134" w:left="1418" w:header="720" w:footer="720" w:gutter="0"/>
          <w:cols w:space="720"/>
          <w:docGrid w:linePitch="360"/>
        </w:sectPr>
      </w:pPr>
    </w:p>
    <w:p w14:paraId="0E781B60" w14:textId="5755CB10" w:rsidR="003F3DB8" w:rsidRPr="00CF77C1" w:rsidRDefault="003F3DB8" w:rsidP="00FC1656">
      <w:pPr>
        <w:pStyle w:val="Caption"/>
        <w:ind w:firstLine="720"/>
        <w:rPr>
          <w:b w:val="0"/>
          <w:lang w:val="sr-Cyrl-RS"/>
        </w:rPr>
      </w:pPr>
      <w:bookmarkStart w:id="122" w:name="_Ref475611272"/>
      <w:r w:rsidRPr="00CF77C1">
        <w:rPr>
          <w:b w:val="0"/>
          <w:lang w:val="sr-Cyrl-RS"/>
        </w:rPr>
        <w:t>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44</w:t>
      </w:r>
      <w:r w:rsidR="0092145E" w:rsidRPr="00CF77C1">
        <w:rPr>
          <w:b w:val="0"/>
          <w:noProof/>
          <w:lang w:val="sr-Cyrl-RS"/>
        </w:rPr>
        <w:fldChar w:fldCharType="end"/>
      </w:r>
      <w:bookmarkEnd w:id="122"/>
      <w:r w:rsidRPr="00CF77C1">
        <w:rPr>
          <w:b w:val="0"/>
          <w:lang w:val="sr-Cyrl-RS"/>
        </w:rPr>
        <w:t>: Активности у подобласти нафтног сектора - прерада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3085"/>
        <w:gridCol w:w="6237"/>
        <w:gridCol w:w="2410"/>
        <w:gridCol w:w="2977"/>
      </w:tblGrid>
      <w:tr w:rsidR="003F3DB8" w:rsidRPr="00CF77C1" w14:paraId="324913F2" w14:textId="77777777" w:rsidTr="00892212">
        <w:trPr>
          <w:tblHeader/>
        </w:trPr>
        <w:tc>
          <w:tcPr>
            <w:tcW w:w="3085" w:type="dxa"/>
            <w:tcMar>
              <w:top w:w="0" w:type="dxa"/>
              <w:left w:w="108" w:type="dxa"/>
              <w:bottom w:w="0" w:type="dxa"/>
              <w:right w:w="108" w:type="dxa"/>
            </w:tcMar>
            <w:vAlign w:val="center"/>
          </w:tcPr>
          <w:p w14:paraId="30BEDBC3"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Мера</w:t>
            </w:r>
          </w:p>
        </w:tc>
        <w:tc>
          <w:tcPr>
            <w:tcW w:w="6237" w:type="dxa"/>
            <w:tcMar>
              <w:top w:w="0" w:type="dxa"/>
              <w:left w:w="108" w:type="dxa"/>
              <w:bottom w:w="0" w:type="dxa"/>
              <w:right w:w="108" w:type="dxa"/>
            </w:tcMar>
            <w:vAlign w:val="center"/>
          </w:tcPr>
          <w:p w14:paraId="25018FEC"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Активност</w:t>
            </w:r>
          </w:p>
        </w:tc>
        <w:tc>
          <w:tcPr>
            <w:tcW w:w="2410" w:type="dxa"/>
            <w:tcMar>
              <w:top w:w="0" w:type="dxa"/>
              <w:left w:w="108" w:type="dxa"/>
              <w:bottom w:w="0" w:type="dxa"/>
              <w:right w:w="108" w:type="dxa"/>
            </w:tcMar>
            <w:vAlign w:val="center"/>
          </w:tcPr>
          <w:p w14:paraId="47FB2088"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Рок за извршење</w:t>
            </w:r>
          </w:p>
        </w:tc>
        <w:tc>
          <w:tcPr>
            <w:tcW w:w="2977" w:type="dxa"/>
            <w:tcMar>
              <w:top w:w="0" w:type="dxa"/>
              <w:left w:w="108" w:type="dxa"/>
              <w:bottom w:w="0" w:type="dxa"/>
              <w:right w:w="108" w:type="dxa"/>
            </w:tcMar>
            <w:vAlign w:val="center"/>
          </w:tcPr>
          <w:p w14:paraId="081BEC68" w14:textId="77777777" w:rsidR="003F3DB8" w:rsidRPr="00CF77C1" w:rsidRDefault="009E4135" w:rsidP="009E4135">
            <w:pPr>
              <w:framePr w:hSpace="181" w:wrap="notBeside" w:vAnchor="text" w:hAnchor="text" w:y="1"/>
              <w:jc w:val="center"/>
              <w:rPr>
                <w:szCs w:val="24"/>
                <w:lang w:val="sr-Cyrl-RS"/>
              </w:rPr>
            </w:pPr>
            <w:r w:rsidRPr="00CF77C1">
              <w:rPr>
                <w:szCs w:val="24"/>
                <w:lang w:val="sr-Cyrl-RS"/>
              </w:rPr>
              <w:t>Одговорни</w:t>
            </w:r>
            <w:r w:rsidR="003F3DB8" w:rsidRPr="00CF77C1">
              <w:rPr>
                <w:szCs w:val="24"/>
                <w:lang w:val="sr-Cyrl-RS"/>
              </w:rPr>
              <w:t xml:space="preserve"> </w:t>
            </w:r>
            <w:r w:rsidRPr="00CF77C1">
              <w:rPr>
                <w:szCs w:val="24"/>
                <w:lang w:val="sr-Cyrl-RS"/>
              </w:rPr>
              <w:t>субјекти</w:t>
            </w:r>
          </w:p>
        </w:tc>
      </w:tr>
      <w:tr w:rsidR="003F3DB8" w:rsidRPr="00CF77C1" w14:paraId="4DF984C5" w14:textId="77777777" w:rsidTr="00892212">
        <w:trPr>
          <w:trHeight w:val="575"/>
        </w:trPr>
        <w:tc>
          <w:tcPr>
            <w:tcW w:w="3085" w:type="dxa"/>
            <w:tcMar>
              <w:top w:w="0" w:type="dxa"/>
              <w:left w:w="108" w:type="dxa"/>
              <w:bottom w:w="0" w:type="dxa"/>
              <w:right w:w="108" w:type="dxa"/>
            </w:tcMar>
            <w:vAlign w:val="center"/>
          </w:tcPr>
          <w:p w14:paraId="388EED4D" w14:textId="77777777" w:rsidR="003F3DB8" w:rsidRPr="00CF77C1" w:rsidRDefault="003F3DB8" w:rsidP="0080044B">
            <w:pPr>
              <w:framePr w:hSpace="181" w:wrap="notBeside" w:vAnchor="text" w:hAnchor="text" w:y="1"/>
              <w:jc w:val="left"/>
              <w:rPr>
                <w:szCs w:val="24"/>
                <w:lang w:val="sr-Cyrl-RS"/>
              </w:rPr>
            </w:pPr>
            <w:r w:rsidRPr="00CF77C1">
              <w:rPr>
                <w:lang w:val="sr-Cyrl-RS"/>
              </w:rPr>
              <w:t>Наставак модернизације рафинерије нафте у Панчеву</w:t>
            </w:r>
            <w:r w:rsidRPr="00CF77C1">
              <w:rPr>
                <w:bCs/>
                <w:szCs w:val="24"/>
                <w:lang w:val="sr-Cyrl-RS"/>
              </w:rPr>
              <w:t xml:space="preserve"> </w:t>
            </w:r>
          </w:p>
        </w:tc>
        <w:tc>
          <w:tcPr>
            <w:tcW w:w="6237" w:type="dxa"/>
            <w:tcMar>
              <w:top w:w="0" w:type="dxa"/>
              <w:left w:w="108" w:type="dxa"/>
              <w:bottom w:w="0" w:type="dxa"/>
              <w:right w:w="108" w:type="dxa"/>
            </w:tcMar>
            <w:vAlign w:val="center"/>
          </w:tcPr>
          <w:p w14:paraId="5E327A43" w14:textId="77777777" w:rsidR="003F3DB8" w:rsidRPr="00CF77C1" w:rsidRDefault="003F3DB8" w:rsidP="0080044B">
            <w:pPr>
              <w:framePr w:hSpace="181" w:wrap="notBeside" w:vAnchor="text" w:hAnchor="text" w:y="1"/>
              <w:jc w:val="left"/>
              <w:rPr>
                <w:szCs w:val="24"/>
                <w:lang w:val="sr-Cyrl-RS"/>
              </w:rPr>
            </w:pPr>
            <w:r w:rsidRPr="00CF77C1">
              <w:rPr>
                <w:lang w:val="sr-Cyrl-RS"/>
              </w:rPr>
              <w:t xml:space="preserve">Друга фаза модернизације рафинерије у Панчеву унапређењем производње и повећањем енергетске ефикасности прераде и процесних постројења </w:t>
            </w:r>
          </w:p>
        </w:tc>
        <w:tc>
          <w:tcPr>
            <w:tcW w:w="2410" w:type="dxa"/>
            <w:tcMar>
              <w:top w:w="0" w:type="dxa"/>
              <w:left w:w="108" w:type="dxa"/>
              <w:bottom w:w="0" w:type="dxa"/>
              <w:right w:w="108" w:type="dxa"/>
            </w:tcMar>
            <w:vAlign w:val="center"/>
          </w:tcPr>
          <w:p w14:paraId="51894DA1" w14:textId="77777777" w:rsidR="003F3DB8" w:rsidRPr="00CF77C1" w:rsidRDefault="003F3DB8" w:rsidP="0080044B">
            <w:pPr>
              <w:framePr w:hSpace="181" w:wrap="notBeside" w:vAnchor="text" w:hAnchor="text" w:y="1"/>
              <w:jc w:val="center"/>
              <w:rPr>
                <w:szCs w:val="24"/>
                <w:lang w:val="sr-Cyrl-RS"/>
              </w:rPr>
            </w:pPr>
            <w:r w:rsidRPr="00CF77C1">
              <w:rPr>
                <w:bCs/>
                <w:szCs w:val="24"/>
                <w:lang w:val="sr-Cyrl-RS"/>
              </w:rPr>
              <w:t>2017-2019.</w:t>
            </w:r>
            <w:r w:rsidRPr="00CF77C1">
              <w:rPr>
                <w:szCs w:val="24"/>
                <w:lang w:val="sr-Cyrl-RS"/>
              </w:rPr>
              <w:t xml:space="preserve"> године</w:t>
            </w:r>
          </w:p>
        </w:tc>
        <w:tc>
          <w:tcPr>
            <w:tcW w:w="2977" w:type="dxa"/>
            <w:tcMar>
              <w:top w:w="0" w:type="dxa"/>
              <w:left w:w="108" w:type="dxa"/>
              <w:bottom w:w="0" w:type="dxa"/>
              <w:right w:w="108" w:type="dxa"/>
            </w:tcMar>
            <w:vAlign w:val="center"/>
          </w:tcPr>
          <w:p w14:paraId="1B740BE8"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НИС а.д.</w:t>
            </w:r>
          </w:p>
        </w:tc>
      </w:tr>
    </w:tbl>
    <w:p w14:paraId="786749F6" w14:textId="220EE202" w:rsidR="003F3DB8" w:rsidRPr="00CF77C1" w:rsidRDefault="003F3DB8" w:rsidP="00FC1656">
      <w:pPr>
        <w:pStyle w:val="Caption"/>
        <w:ind w:firstLine="720"/>
        <w:rPr>
          <w:b w:val="0"/>
          <w:szCs w:val="24"/>
          <w:lang w:val="sr-Cyrl-RS"/>
        </w:rPr>
      </w:pPr>
      <w:bookmarkStart w:id="123" w:name="_Ref475611282"/>
      <w:r w:rsidRPr="00CF77C1">
        <w:rPr>
          <w:b w:val="0"/>
          <w:lang w:val="sr-Cyrl-RS"/>
        </w:rPr>
        <w:t>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45</w:t>
      </w:r>
      <w:r w:rsidR="0092145E" w:rsidRPr="00CF77C1">
        <w:rPr>
          <w:b w:val="0"/>
          <w:noProof/>
          <w:lang w:val="sr-Cyrl-RS"/>
        </w:rPr>
        <w:fldChar w:fldCharType="end"/>
      </w:r>
      <w:bookmarkEnd w:id="123"/>
      <w:r w:rsidRPr="00CF77C1">
        <w:rPr>
          <w:b w:val="0"/>
          <w:lang w:val="sr-Cyrl-RS"/>
        </w:rPr>
        <w:t xml:space="preserve">: Активности у подобласти нафтног сектора - </w:t>
      </w:r>
      <w:r w:rsidRPr="00CF77C1">
        <w:rPr>
          <w:b w:val="0"/>
          <w:szCs w:val="24"/>
          <w:lang w:val="sr-Cyrl-RS"/>
        </w:rPr>
        <w:t>транспорта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3085"/>
        <w:gridCol w:w="6237"/>
        <w:gridCol w:w="2410"/>
        <w:gridCol w:w="2977"/>
      </w:tblGrid>
      <w:tr w:rsidR="003F3DB8" w:rsidRPr="00CF77C1" w14:paraId="2C9F9E13" w14:textId="77777777" w:rsidTr="00892212">
        <w:trPr>
          <w:tblHeader/>
        </w:trPr>
        <w:tc>
          <w:tcPr>
            <w:tcW w:w="3085" w:type="dxa"/>
            <w:tcMar>
              <w:top w:w="0" w:type="dxa"/>
              <w:left w:w="108" w:type="dxa"/>
              <w:bottom w:w="0" w:type="dxa"/>
              <w:right w:w="108" w:type="dxa"/>
            </w:tcMar>
            <w:vAlign w:val="center"/>
          </w:tcPr>
          <w:p w14:paraId="2D8D5EC0"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Мера</w:t>
            </w:r>
          </w:p>
        </w:tc>
        <w:tc>
          <w:tcPr>
            <w:tcW w:w="6237" w:type="dxa"/>
            <w:tcMar>
              <w:top w:w="0" w:type="dxa"/>
              <w:left w:w="108" w:type="dxa"/>
              <w:bottom w:w="0" w:type="dxa"/>
              <w:right w:w="108" w:type="dxa"/>
            </w:tcMar>
            <w:vAlign w:val="center"/>
          </w:tcPr>
          <w:p w14:paraId="2378B34F"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Активност</w:t>
            </w:r>
          </w:p>
        </w:tc>
        <w:tc>
          <w:tcPr>
            <w:tcW w:w="2410" w:type="dxa"/>
            <w:tcMar>
              <w:top w:w="0" w:type="dxa"/>
              <w:left w:w="108" w:type="dxa"/>
              <w:bottom w:w="0" w:type="dxa"/>
              <w:right w:w="108" w:type="dxa"/>
            </w:tcMar>
            <w:vAlign w:val="center"/>
          </w:tcPr>
          <w:p w14:paraId="6883A315"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Рок за извршење</w:t>
            </w:r>
          </w:p>
        </w:tc>
        <w:tc>
          <w:tcPr>
            <w:tcW w:w="2977" w:type="dxa"/>
            <w:tcMar>
              <w:top w:w="0" w:type="dxa"/>
              <w:left w:w="108" w:type="dxa"/>
              <w:bottom w:w="0" w:type="dxa"/>
              <w:right w:w="108" w:type="dxa"/>
            </w:tcMar>
            <w:vAlign w:val="center"/>
          </w:tcPr>
          <w:p w14:paraId="1D143E1D" w14:textId="77777777" w:rsidR="003F3DB8" w:rsidRPr="00CF77C1" w:rsidRDefault="009E4135" w:rsidP="0080044B">
            <w:pPr>
              <w:framePr w:hSpace="181" w:wrap="notBeside" w:vAnchor="text" w:hAnchor="text" w:y="1"/>
              <w:jc w:val="center"/>
              <w:rPr>
                <w:szCs w:val="24"/>
                <w:lang w:val="sr-Cyrl-RS"/>
              </w:rPr>
            </w:pPr>
            <w:r w:rsidRPr="00CF77C1">
              <w:rPr>
                <w:szCs w:val="24"/>
                <w:lang w:val="sr-Cyrl-RS"/>
              </w:rPr>
              <w:t>Одговорни субјекти</w:t>
            </w:r>
          </w:p>
        </w:tc>
      </w:tr>
      <w:tr w:rsidR="003F3DB8" w:rsidRPr="00CF77C1" w14:paraId="691C8614" w14:textId="77777777" w:rsidTr="000B5EDC">
        <w:trPr>
          <w:trHeight w:val="294"/>
        </w:trPr>
        <w:tc>
          <w:tcPr>
            <w:tcW w:w="3085" w:type="dxa"/>
            <w:vMerge w:val="restart"/>
            <w:tcMar>
              <w:top w:w="0" w:type="dxa"/>
              <w:left w:w="108" w:type="dxa"/>
              <w:bottom w:w="0" w:type="dxa"/>
              <w:right w:w="108" w:type="dxa"/>
            </w:tcMar>
            <w:vAlign w:val="center"/>
          </w:tcPr>
          <w:p w14:paraId="028019F2" w14:textId="5232F6A9" w:rsidR="003F3DB8" w:rsidRPr="00CF77C1" w:rsidRDefault="003F3DB8" w:rsidP="0080044B">
            <w:pPr>
              <w:framePr w:hSpace="181" w:wrap="notBeside" w:vAnchor="text" w:hAnchor="text" w:y="1"/>
              <w:jc w:val="left"/>
              <w:rPr>
                <w:szCs w:val="24"/>
                <w:lang w:val="sr-Cyrl-RS"/>
              </w:rPr>
            </w:pPr>
            <w:r w:rsidRPr="00CF77C1">
              <w:rPr>
                <w:szCs w:val="24"/>
                <w:lang w:val="sr-Cyrl-RS"/>
              </w:rPr>
              <w:t>Изградња система продуктовода кроз</w:t>
            </w:r>
            <w:r w:rsidR="00185B50" w:rsidRPr="00CF77C1">
              <w:rPr>
                <w:szCs w:val="24"/>
                <w:lang w:val="sr-Cyrl-RS"/>
              </w:rPr>
              <w:t xml:space="preserve"> Републику</w:t>
            </w:r>
            <w:r w:rsidRPr="00CF77C1">
              <w:rPr>
                <w:szCs w:val="24"/>
                <w:lang w:val="sr-Cyrl-RS"/>
              </w:rPr>
              <w:t xml:space="preserve"> Србију</w:t>
            </w:r>
          </w:p>
        </w:tc>
        <w:tc>
          <w:tcPr>
            <w:tcW w:w="6237" w:type="dxa"/>
            <w:tcMar>
              <w:top w:w="0" w:type="dxa"/>
              <w:left w:w="108" w:type="dxa"/>
              <w:bottom w:w="0" w:type="dxa"/>
              <w:right w:w="108" w:type="dxa"/>
            </w:tcMar>
            <w:vAlign w:val="center"/>
          </w:tcPr>
          <w:p w14:paraId="077000A1"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Изградња деонице Панчево-Смедерево</w:t>
            </w:r>
          </w:p>
        </w:tc>
        <w:tc>
          <w:tcPr>
            <w:tcW w:w="2410" w:type="dxa"/>
            <w:tcMar>
              <w:top w:w="0" w:type="dxa"/>
              <w:left w:w="108" w:type="dxa"/>
              <w:bottom w:w="0" w:type="dxa"/>
              <w:right w:w="108" w:type="dxa"/>
            </w:tcMar>
            <w:vAlign w:val="center"/>
          </w:tcPr>
          <w:p w14:paraId="6ED4DE4E"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Крај 2020. године</w:t>
            </w:r>
          </w:p>
        </w:tc>
        <w:tc>
          <w:tcPr>
            <w:tcW w:w="2977" w:type="dxa"/>
            <w:tcMar>
              <w:top w:w="0" w:type="dxa"/>
              <w:left w:w="108" w:type="dxa"/>
              <w:bottom w:w="0" w:type="dxa"/>
              <w:right w:w="108" w:type="dxa"/>
            </w:tcMar>
            <w:vAlign w:val="center"/>
          </w:tcPr>
          <w:p w14:paraId="7761418C"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ЈП Транснафта</w:t>
            </w:r>
          </w:p>
        </w:tc>
      </w:tr>
      <w:tr w:rsidR="003F3DB8" w:rsidRPr="00CF77C1" w14:paraId="3E2299A4" w14:textId="77777777" w:rsidTr="000B5EDC">
        <w:trPr>
          <w:trHeight w:val="403"/>
        </w:trPr>
        <w:tc>
          <w:tcPr>
            <w:tcW w:w="3085" w:type="dxa"/>
            <w:vMerge/>
            <w:shd w:val="clear" w:color="auto" w:fill="FFFFFF"/>
            <w:vAlign w:val="center"/>
          </w:tcPr>
          <w:p w14:paraId="06508E9A" w14:textId="77777777" w:rsidR="003F3DB8" w:rsidRPr="00CF77C1" w:rsidRDefault="003F3DB8" w:rsidP="0080044B">
            <w:pPr>
              <w:framePr w:hSpace="181" w:wrap="notBeside" w:vAnchor="text" w:hAnchor="text" w:y="1"/>
              <w:jc w:val="left"/>
              <w:rPr>
                <w:szCs w:val="24"/>
                <w:lang w:val="sr-Cyrl-RS"/>
              </w:rPr>
            </w:pPr>
          </w:p>
        </w:tc>
        <w:tc>
          <w:tcPr>
            <w:tcW w:w="6237" w:type="dxa"/>
            <w:tcMar>
              <w:top w:w="0" w:type="dxa"/>
              <w:left w:w="108" w:type="dxa"/>
              <w:bottom w:w="0" w:type="dxa"/>
              <w:right w:w="108" w:type="dxa"/>
            </w:tcMar>
            <w:vAlign w:val="center"/>
          </w:tcPr>
          <w:p w14:paraId="5B7B5B8C"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Изградња деонице Панчево-Нови Сад</w:t>
            </w:r>
          </w:p>
        </w:tc>
        <w:tc>
          <w:tcPr>
            <w:tcW w:w="2410" w:type="dxa"/>
            <w:tcMar>
              <w:top w:w="0" w:type="dxa"/>
              <w:left w:w="108" w:type="dxa"/>
              <w:bottom w:w="0" w:type="dxa"/>
              <w:right w:w="108" w:type="dxa"/>
            </w:tcMar>
            <w:vAlign w:val="center"/>
          </w:tcPr>
          <w:p w14:paraId="2673ED24"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Крај 2022. године</w:t>
            </w:r>
          </w:p>
        </w:tc>
        <w:tc>
          <w:tcPr>
            <w:tcW w:w="2977" w:type="dxa"/>
            <w:tcMar>
              <w:top w:w="0" w:type="dxa"/>
              <w:left w:w="108" w:type="dxa"/>
              <w:bottom w:w="0" w:type="dxa"/>
              <w:right w:w="108" w:type="dxa"/>
            </w:tcMar>
            <w:vAlign w:val="center"/>
          </w:tcPr>
          <w:p w14:paraId="485D4B67"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ЈП Транснафта</w:t>
            </w:r>
          </w:p>
        </w:tc>
      </w:tr>
      <w:tr w:rsidR="003F3DB8" w:rsidRPr="00CF77C1" w14:paraId="3AED4004" w14:textId="77777777" w:rsidTr="000B5EDC">
        <w:tc>
          <w:tcPr>
            <w:tcW w:w="3085" w:type="dxa"/>
            <w:tcMar>
              <w:top w:w="0" w:type="dxa"/>
              <w:left w:w="108" w:type="dxa"/>
              <w:bottom w:w="0" w:type="dxa"/>
              <w:right w:w="108" w:type="dxa"/>
            </w:tcMar>
            <w:vAlign w:val="center"/>
          </w:tcPr>
          <w:p w14:paraId="506CFFA5" w14:textId="77777777" w:rsidR="003F3DB8" w:rsidRPr="00CF77C1" w:rsidRDefault="003F3DB8" w:rsidP="0080044B">
            <w:pPr>
              <w:framePr w:hSpace="181" w:wrap="notBeside" w:vAnchor="text" w:hAnchor="text" w:y="1"/>
              <w:jc w:val="left"/>
              <w:rPr>
                <w:szCs w:val="24"/>
                <w:lang w:val="sr-Cyrl-RS"/>
              </w:rPr>
            </w:pPr>
            <w:r w:rsidRPr="00CF77C1">
              <w:rPr>
                <w:lang w:val="sr-Cyrl-RS"/>
              </w:rPr>
              <w:t>Развој међународне сарадње у циљу повезивања система за транспорт сирове нафте, као</w:t>
            </w:r>
            <w:r w:rsidR="00892212" w:rsidRPr="00CF77C1">
              <w:rPr>
                <w:lang w:val="sr-Cyrl-RS"/>
              </w:rPr>
              <w:t xml:space="preserve"> </w:t>
            </w:r>
            <w:r w:rsidRPr="00CF77C1">
              <w:rPr>
                <w:lang w:val="sr-Cyrl-RS"/>
              </w:rPr>
              <w:t>и система продуктовода</w:t>
            </w:r>
          </w:p>
        </w:tc>
        <w:tc>
          <w:tcPr>
            <w:tcW w:w="6237" w:type="dxa"/>
            <w:tcMar>
              <w:top w:w="0" w:type="dxa"/>
              <w:left w:w="108" w:type="dxa"/>
              <w:bottom w:w="0" w:type="dxa"/>
              <w:right w:w="108" w:type="dxa"/>
            </w:tcMar>
            <w:vAlign w:val="center"/>
          </w:tcPr>
          <w:p w14:paraId="00983955" w14:textId="77777777" w:rsidR="003F3DB8" w:rsidRPr="00CF77C1" w:rsidRDefault="003F3DB8" w:rsidP="0080044B">
            <w:pPr>
              <w:framePr w:hSpace="181" w:wrap="notBeside" w:vAnchor="text" w:hAnchor="text" w:y="1"/>
              <w:tabs>
                <w:tab w:val="left" w:pos="1080"/>
              </w:tabs>
              <w:jc w:val="left"/>
              <w:rPr>
                <w:szCs w:val="24"/>
                <w:lang w:val="sr-Cyrl-RS"/>
              </w:rPr>
            </w:pPr>
            <w:r w:rsidRPr="00CF77C1">
              <w:rPr>
                <w:szCs w:val="24"/>
                <w:lang w:val="sr-Cyrl-RS"/>
              </w:rPr>
              <w:t>Споразуми са заинтересованим странама у региону и шире</w:t>
            </w:r>
          </w:p>
        </w:tc>
        <w:tc>
          <w:tcPr>
            <w:tcW w:w="2410" w:type="dxa"/>
            <w:tcMar>
              <w:top w:w="0" w:type="dxa"/>
              <w:left w:w="108" w:type="dxa"/>
              <w:bottom w:w="0" w:type="dxa"/>
              <w:right w:w="108" w:type="dxa"/>
            </w:tcMar>
            <w:vAlign w:val="center"/>
          </w:tcPr>
          <w:p w14:paraId="6ADC23EE"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Крај 2022. године</w:t>
            </w:r>
          </w:p>
        </w:tc>
        <w:tc>
          <w:tcPr>
            <w:tcW w:w="2977" w:type="dxa"/>
            <w:tcMar>
              <w:top w:w="0" w:type="dxa"/>
              <w:left w:w="108" w:type="dxa"/>
              <w:bottom w:w="0" w:type="dxa"/>
              <w:right w:w="108" w:type="dxa"/>
            </w:tcMar>
            <w:vAlign w:val="center"/>
          </w:tcPr>
          <w:p w14:paraId="1A5B4831" w14:textId="69C9AC4C" w:rsidR="003F3DB8" w:rsidRPr="00CF77C1" w:rsidRDefault="00AC627E" w:rsidP="0080044B">
            <w:pPr>
              <w:framePr w:hSpace="181" w:wrap="notBeside" w:vAnchor="text" w:hAnchor="text" w:y="1"/>
              <w:jc w:val="center"/>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w:t>
            </w:r>
            <w:r w:rsidR="00C666BB" w:rsidRPr="00CF77C1">
              <w:rPr>
                <w:szCs w:val="24"/>
                <w:lang w:val="sr-Cyrl-RS"/>
              </w:rPr>
              <w:t>рударства и енергетике и операто</w:t>
            </w:r>
            <w:r w:rsidR="003F3DB8" w:rsidRPr="00CF77C1">
              <w:rPr>
                <w:szCs w:val="24"/>
                <w:lang w:val="sr-Cyrl-RS"/>
              </w:rPr>
              <w:t>р транспортног система</w:t>
            </w:r>
            <w:r w:rsidR="00892212" w:rsidRPr="00CF77C1">
              <w:rPr>
                <w:szCs w:val="24"/>
                <w:lang w:val="sr-Cyrl-RS"/>
              </w:rPr>
              <w:t xml:space="preserve"> </w:t>
            </w:r>
            <w:r w:rsidR="003F3DB8" w:rsidRPr="00CF77C1">
              <w:rPr>
                <w:szCs w:val="24"/>
                <w:lang w:val="sr-Cyrl-RS"/>
              </w:rPr>
              <w:t>-</w:t>
            </w:r>
            <w:r w:rsidR="00892212" w:rsidRPr="00CF77C1">
              <w:rPr>
                <w:szCs w:val="24"/>
                <w:lang w:val="sr-Cyrl-RS"/>
              </w:rPr>
              <w:t xml:space="preserve"> </w:t>
            </w:r>
            <w:r w:rsidR="003F3DB8" w:rsidRPr="00CF77C1">
              <w:rPr>
                <w:szCs w:val="24"/>
                <w:lang w:val="sr-Cyrl-RS"/>
              </w:rPr>
              <w:t>ЈП Транснафта</w:t>
            </w:r>
          </w:p>
        </w:tc>
      </w:tr>
    </w:tbl>
    <w:p w14:paraId="3ABDA67B" w14:textId="086B3793" w:rsidR="003F3DB8" w:rsidRPr="00CF77C1" w:rsidRDefault="003F3DB8" w:rsidP="00FC1656">
      <w:pPr>
        <w:pStyle w:val="Caption"/>
        <w:ind w:firstLine="720"/>
        <w:rPr>
          <w:b w:val="0"/>
          <w:szCs w:val="24"/>
          <w:lang w:val="sr-Cyrl-RS"/>
        </w:rPr>
      </w:pPr>
      <w:bookmarkStart w:id="124" w:name="_Ref475611292"/>
      <w:r w:rsidRPr="00CF77C1">
        <w:rPr>
          <w:b w:val="0"/>
          <w:lang w:val="sr-Cyrl-RS"/>
        </w:rPr>
        <w:t>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46</w:t>
      </w:r>
      <w:r w:rsidR="0092145E" w:rsidRPr="00CF77C1">
        <w:rPr>
          <w:b w:val="0"/>
          <w:noProof/>
          <w:lang w:val="sr-Cyrl-RS"/>
        </w:rPr>
        <w:fldChar w:fldCharType="end"/>
      </w:r>
      <w:bookmarkEnd w:id="124"/>
      <w:r w:rsidRPr="00CF77C1">
        <w:rPr>
          <w:b w:val="0"/>
          <w:lang w:val="sr-Cyrl-RS"/>
        </w:rPr>
        <w:t xml:space="preserve">: Активности у подобласти нафтног сектора - </w:t>
      </w:r>
      <w:r w:rsidRPr="00CF77C1">
        <w:rPr>
          <w:b w:val="0"/>
          <w:szCs w:val="24"/>
          <w:lang w:val="sr-Cyrl-RS"/>
        </w:rPr>
        <w:t>промет</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3085"/>
        <w:gridCol w:w="6237"/>
        <w:gridCol w:w="2410"/>
        <w:gridCol w:w="2977"/>
      </w:tblGrid>
      <w:tr w:rsidR="003F3DB8" w:rsidRPr="00CF77C1" w14:paraId="1A515471" w14:textId="77777777" w:rsidTr="00892212">
        <w:trPr>
          <w:tblHeader/>
        </w:trPr>
        <w:tc>
          <w:tcPr>
            <w:tcW w:w="3085" w:type="dxa"/>
            <w:tcMar>
              <w:top w:w="0" w:type="dxa"/>
              <w:left w:w="108" w:type="dxa"/>
              <w:bottom w:w="0" w:type="dxa"/>
              <w:right w:w="108" w:type="dxa"/>
            </w:tcMar>
            <w:vAlign w:val="center"/>
          </w:tcPr>
          <w:p w14:paraId="18A88C09"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Мера</w:t>
            </w:r>
          </w:p>
        </w:tc>
        <w:tc>
          <w:tcPr>
            <w:tcW w:w="6237" w:type="dxa"/>
            <w:tcMar>
              <w:top w:w="0" w:type="dxa"/>
              <w:left w:w="108" w:type="dxa"/>
              <w:bottom w:w="0" w:type="dxa"/>
              <w:right w:w="108" w:type="dxa"/>
            </w:tcMar>
            <w:vAlign w:val="center"/>
          </w:tcPr>
          <w:p w14:paraId="1510F676"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Активност</w:t>
            </w:r>
          </w:p>
        </w:tc>
        <w:tc>
          <w:tcPr>
            <w:tcW w:w="2410" w:type="dxa"/>
            <w:tcMar>
              <w:top w:w="0" w:type="dxa"/>
              <w:left w:w="108" w:type="dxa"/>
              <w:bottom w:w="0" w:type="dxa"/>
              <w:right w:w="108" w:type="dxa"/>
            </w:tcMar>
            <w:vAlign w:val="center"/>
          </w:tcPr>
          <w:p w14:paraId="46CBC164" w14:textId="77777777" w:rsidR="003F3DB8" w:rsidRPr="00CF77C1" w:rsidRDefault="003F3DB8" w:rsidP="0080044B">
            <w:pPr>
              <w:framePr w:hSpace="181" w:wrap="notBeside" w:vAnchor="text" w:hAnchor="text" w:y="1"/>
              <w:jc w:val="center"/>
              <w:rPr>
                <w:szCs w:val="24"/>
                <w:lang w:val="sr-Cyrl-RS"/>
              </w:rPr>
            </w:pPr>
            <w:r w:rsidRPr="00CF77C1">
              <w:rPr>
                <w:szCs w:val="24"/>
                <w:lang w:val="sr-Cyrl-RS"/>
              </w:rPr>
              <w:t>Рок за извршење</w:t>
            </w:r>
          </w:p>
        </w:tc>
        <w:tc>
          <w:tcPr>
            <w:tcW w:w="2977" w:type="dxa"/>
            <w:tcMar>
              <w:top w:w="0" w:type="dxa"/>
              <w:left w:w="108" w:type="dxa"/>
              <w:bottom w:w="0" w:type="dxa"/>
              <w:right w:w="108" w:type="dxa"/>
            </w:tcMar>
            <w:vAlign w:val="center"/>
          </w:tcPr>
          <w:p w14:paraId="11C6FFD5" w14:textId="77777777" w:rsidR="003F3DB8" w:rsidRPr="00CF77C1" w:rsidRDefault="009E4135" w:rsidP="0080044B">
            <w:pPr>
              <w:framePr w:hSpace="181" w:wrap="notBeside" w:vAnchor="text" w:hAnchor="text" w:y="1"/>
              <w:jc w:val="center"/>
              <w:rPr>
                <w:szCs w:val="24"/>
                <w:lang w:val="sr-Cyrl-RS"/>
              </w:rPr>
            </w:pPr>
            <w:r w:rsidRPr="00CF77C1">
              <w:rPr>
                <w:szCs w:val="24"/>
                <w:lang w:val="sr-Cyrl-RS"/>
              </w:rPr>
              <w:t>Одговорни субјекти</w:t>
            </w:r>
          </w:p>
        </w:tc>
      </w:tr>
      <w:tr w:rsidR="003F3DB8" w:rsidRPr="00CF77C1" w14:paraId="67DD918C" w14:textId="77777777" w:rsidTr="000B5EDC">
        <w:trPr>
          <w:trHeight w:val="294"/>
        </w:trPr>
        <w:tc>
          <w:tcPr>
            <w:tcW w:w="3085" w:type="dxa"/>
            <w:vMerge w:val="restart"/>
            <w:tcMar>
              <w:top w:w="0" w:type="dxa"/>
              <w:left w:w="108" w:type="dxa"/>
              <w:bottom w:w="0" w:type="dxa"/>
              <w:right w:w="108" w:type="dxa"/>
            </w:tcMar>
            <w:vAlign w:val="center"/>
          </w:tcPr>
          <w:p w14:paraId="3D212028"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Формирање обавезних резерви</w:t>
            </w:r>
          </w:p>
        </w:tc>
        <w:tc>
          <w:tcPr>
            <w:tcW w:w="6237" w:type="dxa"/>
            <w:tcMar>
              <w:top w:w="0" w:type="dxa"/>
              <w:left w:w="108" w:type="dxa"/>
              <w:bottom w:w="0" w:type="dxa"/>
              <w:right w:w="108" w:type="dxa"/>
            </w:tcMar>
            <w:vAlign w:val="center"/>
          </w:tcPr>
          <w:p w14:paraId="3ADB85B5"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 xml:space="preserve">Набавка сирове нафте и нафтних деривата </w:t>
            </w:r>
          </w:p>
        </w:tc>
        <w:tc>
          <w:tcPr>
            <w:tcW w:w="2410" w:type="dxa"/>
            <w:tcMar>
              <w:top w:w="0" w:type="dxa"/>
              <w:left w:w="108" w:type="dxa"/>
              <w:bottom w:w="0" w:type="dxa"/>
              <w:right w:w="108" w:type="dxa"/>
            </w:tcMar>
            <w:vAlign w:val="center"/>
          </w:tcPr>
          <w:p w14:paraId="12A54F2B" w14:textId="6AA38043" w:rsidR="003F3DB8" w:rsidRPr="00CF77C1" w:rsidRDefault="00C40567" w:rsidP="000B5EDC">
            <w:pPr>
              <w:framePr w:hSpace="181" w:wrap="notBeside" w:vAnchor="text" w:hAnchor="text" w:y="1"/>
              <w:jc w:val="center"/>
              <w:rPr>
                <w:szCs w:val="24"/>
                <w:lang w:val="sr-Cyrl-RS"/>
              </w:rPr>
            </w:pPr>
            <w:r>
              <w:rPr>
                <w:szCs w:val="24"/>
                <w:lang w:val="sr-Cyrl-RS"/>
              </w:rPr>
              <w:t>к</w:t>
            </w:r>
            <w:r w:rsidR="003F3DB8" w:rsidRPr="00CF77C1">
              <w:rPr>
                <w:szCs w:val="24"/>
                <w:lang w:val="sr-Cyrl-RS"/>
              </w:rPr>
              <w:t>рај 2022. године</w:t>
            </w:r>
          </w:p>
        </w:tc>
        <w:tc>
          <w:tcPr>
            <w:tcW w:w="2977" w:type="dxa"/>
            <w:tcMar>
              <w:top w:w="0" w:type="dxa"/>
              <w:left w:w="108" w:type="dxa"/>
              <w:bottom w:w="0" w:type="dxa"/>
              <w:right w:w="108" w:type="dxa"/>
            </w:tcMar>
            <w:vAlign w:val="center"/>
          </w:tcPr>
          <w:p w14:paraId="6ADAD300" w14:textId="3742C7C4" w:rsidR="003F3DB8" w:rsidRPr="00CF77C1" w:rsidRDefault="00AC627E" w:rsidP="0080044B">
            <w:pPr>
              <w:framePr w:hSpace="181" w:wrap="notBeside" w:vAnchor="text" w:hAnchor="text" w:y="1"/>
              <w:jc w:val="center"/>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рударства и енергетике</w:t>
            </w:r>
          </w:p>
        </w:tc>
      </w:tr>
      <w:tr w:rsidR="003F3DB8" w:rsidRPr="00CF77C1" w14:paraId="778216EB" w14:textId="77777777" w:rsidTr="000B5EDC">
        <w:trPr>
          <w:trHeight w:val="403"/>
        </w:trPr>
        <w:tc>
          <w:tcPr>
            <w:tcW w:w="3085" w:type="dxa"/>
            <w:vMerge/>
            <w:shd w:val="clear" w:color="auto" w:fill="FFFFFF"/>
            <w:vAlign w:val="center"/>
          </w:tcPr>
          <w:p w14:paraId="3A258D17" w14:textId="77777777" w:rsidR="003F3DB8" w:rsidRPr="00CF77C1" w:rsidRDefault="003F3DB8" w:rsidP="0080044B">
            <w:pPr>
              <w:framePr w:hSpace="181" w:wrap="notBeside" w:vAnchor="text" w:hAnchor="text" w:y="1"/>
              <w:jc w:val="left"/>
              <w:rPr>
                <w:szCs w:val="24"/>
                <w:lang w:val="sr-Cyrl-RS"/>
              </w:rPr>
            </w:pPr>
          </w:p>
        </w:tc>
        <w:tc>
          <w:tcPr>
            <w:tcW w:w="6237" w:type="dxa"/>
            <w:tcMar>
              <w:top w:w="0" w:type="dxa"/>
              <w:left w:w="108" w:type="dxa"/>
              <w:bottom w:w="0" w:type="dxa"/>
              <w:right w:w="108" w:type="dxa"/>
            </w:tcMar>
            <w:vAlign w:val="center"/>
          </w:tcPr>
          <w:p w14:paraId="4DA26E0B"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Измена законске регулативе</w:t>
            </w:r>
          </w:p>
        </w:tc>
        <w:tc>
          <w:tcPr>
            <w:tcW w:w="2410" w:type="dxa"/>
            <w:tcMar>
              <w:top w:w="0" w:type="dxa"/>
              <w:left w:w="108" w:type="dxa"/>
              <w:bottom w:w="0" w:type="dxa"/>
              <w:right w:w="108" w:type="dxa"/>
            </w:tcMar>
            <w:vAlign w:val="center"/>
          </w:tcPr>
          <w:p w14:paraId="6B6468CC" w14:textId="77777777" w:rsidR="003F3DB8" w:rsidRPr="00CF77C1" w:rsidRDefault="003F3DB8" w:rsidP="000B5EDC">
            <w:pPr>
              <w:framePr w:hSpace="181" w:wrap="notBeside" w:vAnchor="text" w:hAnchor="text" w:y="1"/>
              <w:jc w:val="center"/>
              <w:rPr>
                <w:szCs w:val="24"/>
                <w:lang w:val="sr-Cyrl-RS"/>
              </w:rPr>
            </w:pPr>
            <w:r w:rsidRPr="00CF77C1">
              <w:rPr>
                <w:szCs w:val="24"/>
                <w:lang w:val="sr-Cyrl-RS"/>
              </w:rPr>
              <w:t>2017. година</w:t>
            </w:r>
          </w:p>
        </w:tc>
        <w:tc>
          <w:tcPr>
            <w:tcW w:w="2977" w:type="dxa"/>
            <w:tcMar>
              <w:top w:w="0" w:type="dxa"/>
              <w:left w:w="108" w:type="dxa"/>
              <w:bottom w:w="0" w:type="dxa"/>
              <w:right w:w="108" w:type="dxa"/>
            </w:tcMar>
            <w:vAlign w:val="center"/>
          </w:tcPr>
          <w:p w14:paraId="06153AEC" w14:textId="5052E65C" w:rsidR="003F3DB8" w:rsidRPr="00CF77C1" w:rsidRDefault="00AC627E" w:rsidP="0080044B">
            <w:pPr>
              <w:framePr w:hSpace="181" w:wrap="notBeside" w:vAnchor="text" w:hAnchor="text" w:y="1"/>
              <w:jc w:val="center"/>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рударства и енергетике, </w:t>
            </w:r>
            <w:r w:rsidR="005C650D" w:rsidRPr="00CF77C1">
              <w:rPr>
                <w:szCs w:val="24"/>
                <w:lang w:val="sr-Cyrl-RS"/>
              </w:rPr>
              <w:t>министарство надлежно за послове</w:t>
            </w:r>
            <w:r w:rsidR="003F3DB8" w:rsidRPr="00CF77C1">
              <w:rPr>
                <w:szCs w:val="24"/>
                <w:lang w:val="sr-Cyrl-RS"/>
              </w:rPr>
              <w:t xml:space="preserve"> финансија</w:t>
            </w:r>
          </w:p>
        </w:tc>
      </w:tr>
      <w:tr w:rsidR="003F3DB8" w:rsidRPr="00CF77C1" w14:paraId="77B5C1B4" w14:textId="77777777" w:rsidTr="000B5EDC">
        <w:tc>
          <w:tcPr>
            <w:tcW w:w="3085" w:type="dxa"/>
            <w:vMerge/>
            <w:tcMar>
              <w:top w:w="0" w:type="dxa"/>
              <w:left w:w="108" w:type="dxa"/>
              <w:bottom w:w="0" w:type="dxa"/>
              <w:right w:w="108" w:type="dxa"/>
            </w:tcMar>
            <w:vAlign w:val="center"/>
          </w:tcPr>
          <w:p w14:paraId="54B6357F" w14:textId="77777777" w:rsidR="003F3DB8" w:rsidRPr="00CF77C1" w:rsidRDefault="003F3DB8" w:rsidP="0080044B">
            <w:pPr>
              <w:framePr w:hSpace="181" w:wrap="notBeside" w:vAnchor="text" w:hAnchor="text" w:y="1"/>
              <w:jc w:val="left"/>
              <w:rPr>
                <w:szCs w:val="24"/>
                <w:lang w:val="sr-Cyrl-RS"/>
              </w:rPr>
            </w:pPr>
          </w:p>
        </w:tc>
        <w:tc>
          <w:tcPr>
            <w:tcW w:w="6237" w:type="dxa"/>
            <w:tcMar>
              <w:top w:w="0" w:type="dxa"/>
              <w:left w:w="108" w:type="dxa"/>
              <w:bottom w:w="0" w:type="dxa"/>
              <w:right w:w="108" w:type="dxa"/>
            </w:tcMar>
            <w:vAlign w:val="center"/>
          </w:tcPr>
          <w:p w14:paraId="6D2F3A5A" w14:textId="77777777" w:rsidR="003F3DB8" w:rsidRPr="00CF77C1" w:rsidRDefault="003F3DB8" w:rsidP="0080044B">
            <w:pPr>
              <w:framePr w:hSpace="181" w:wrap="notBeside" w:vAnchor="text" w:hAnchor="text" w:y="1"/>
              <w:jc w:val="left"/>
              <w:rPr>
                <w:szCs w:val="24"/>
                <w:lang w:val="sr-Cyrl-RS"/>
              </w:rPr>
            </w:pPr>
            <w:r w:rsidRPr="00CF77C1">
              <w:rPr>
                <w:szCs w:val="24"/>
                <w:lang w:val="sr-Cyrl-RS"/>
              </w:rPr>
              <w:t>Обезбеђење нових складишних капацитета</w:t>
            </w:r>
          </w:p>
        </w:tc>
        <w:tc>
          <w:tcPr>
            <w:tcW w:w="2410" w:type="dxa"/>
            <w:tcMar>
              <w:top w:w="0" w:type="dxa"/>
              <w:left w:w="108" w:type="dxa"/>
              <w:bottom w:w="0" w:type="dxa"/>
              <w:right w:w="108" w:type="dxa"/>
            </w:tcMar>
            <w:vAlign w:val="center"/>
          </w:tcPr>
          <w:p w14:paraId="47DE7A24" w14:textId="4B12E83E" w:rsidR="003F3DB8" w:rsidRPr="00CF77C1" w:rsidRDefault="00C40567" w:rsidP="000B5EDC">
            <w:pPr>
              <w:framePr w:hSpace="181" w:wrap="notBeside" w:vAnchor="text" w:hAnchor="text" w:y="1"/>
              <w:jc w:val="center"/>
              <w:rPr>
                <w:szCs w:val="24"/>
                <w:lang w:val="sr-Cyrl-RS"/>
              </w:rPr>
            </w:pPr>
            <w:r>
              <w:rPr>
                <w:szCs w:val="24"/>
                <w:lang w:val="sr-Cyrl-RS"/>
              </w:rPr>
              <w:t>к</w:t>
            </w:r>
            <w:r w:rsidR="003F3DB8" w:rsidRPr="00CF77C1">
              <w:rPr>
                <w:szCs w:val="24"/>
                <w:lang w:val="sr-Cyrl-RS"/>
              </w:rPr>
              <w:t>рај 2022. године</w:t>
            </w:r>
          </w:p>
        </w:tc>
        <w:tc>
          <w:tcPr>
            <w:tcW w:w="2977" w:type="dxa"/>
            <w:tcMar>
              <w:top w:w="0" w:type="dxa"/>
              <w:left w:w="108" w:type="dxa"/>
              <w:bottom w:w="0" w:type="dxa"/>
              <w:right w:w="108" w:type="dxa"/>
            </w:tcMar>
            <w:vAlign w:val="center"/>
          </w:tcPr>
          <w:p w14:paraId="3D00A333" w14:textId="05B5979A" w:rsidR="003F3DB8" w:rsidRPr="00CF77C1" w:rsidRDefault="00AC627E" w:rsidP="0080044B">
            <w:pPr>
              <w:framePr w:hSpace="181" w:wrap="notBeside" w:vAnchor="text" w:hAnchor="text" w:y="1"/>
              <w:jc w:val="center"/>
              <w:rPr>
                <w:szCs w:val="24"/>
                <w:lang w:val="sr-Cyrl-RS"/>
              </w:rPr>
            </w:pPr>
            <w:r w:rsidRPr="00CF77C1">
              <w:rPr>
                <w:szCs w:val="24"/>
                <w:lang w:val="sr-Cyrl-RS"/>
              </w:rPr>
              <w:t>м</w:t>
            </w:r>
            <w:r w:rsidR="005C650D" w:rsidRPr="00CF77C1">
              <w:rPr>
                <w:szCs w:val="24"/>
                <w:lang w:val="sr-Cyrl-RS"/>
              </w:rPr>
              <w:t>инистарство надлежно за послове</w:t>
            </w:r>
            <w:r w:rsidR="003F3DB8" w:rsidRPr="00CF77C1">
              <w:rPr>
                <w:szCs w:val="24"/>
                <w:lang w:val="sr-Cyrl-RS"/>
              </w:rPr>
              <w:t xml:space="preserve"> рударства и енергетике</w:t>
            </w:r>
          </w:p>
          <w:p w14:paraId="5C81B97C" w14:textId="4393086B" w:rsidR="000947FE" w:rsidRPr="00CF77C1" w:rsidRDefault="003F3DB8" w:rsidP="000947FE">
            <w:pPr>
              <w:framePr w:hSpace="181" w:wrap="notBeside" w:vAnchor="text" w:hAnchor="text" w:y="1"/>
              <w:jc w:val="center"/>
              <w:rPr>
                <w:szCs w:val="24"/>
                <w:lang w:val="sr-Cyrl-RS"/>
              </w:rPr>
            </w:pPr>
            <w:r w:rsidRPr="00CF77C1">
              <w:rPr>
                <w:szCs w:val="24"/>
                <w:lang w:val="sr-Cyrl-RS"/>
              </w:rPr>
              <w:t>Републичка дирекција за робне резерве</w:t>
            </w:r>
            <w:r w:rsidR="000947FE" w:rsidRPr="00CF77C1">
              <w:rPr>
                <w:szCs w:val="24"/>
                <w:lang w:val="sr-Cyrl-RS"/>
              </w:rPr>
              <w:t xml:space="preserve"> и ЈП Транснафта (складишта у јавној својини)</w:t>
            </w:r>
          </w:p>
        </w:tc>
      </w:tr>
    </w:tbl>
    <w:p w14:paraId="12D519AB" w14:textId="77777777" w:rsidR="003F3DB8" w:rsidRPr="00CF77C1" w:rsidRDefault="003F3DB8" w:rsidP="0080044B">
      <w:pPr>
        <w:rPr>
          <w:lang w:val="sr-Cyrl-RS"/>
        </w:rPr>
      </w:pPr>
    </w:p>
    <w:p w14:paraId="14467197" w14:textId="20E3498B" w:rsidR="003F3DB8" w:rsidRPr="00CF77C1" w:rsidRDefault="003F3DB8" w:rsidP="00FC1656">
      <w:pPr>
        <w:pStyle w:val="Caption"/>
        <w:ind w:firstLine="720"/>
        <w:rPr>
          <w:rFonts w:eastAsia="Calibri"/>
          <w:b w:val="0"/>
          <w:lang w:val="sr-Cyrl-RS"/>
        </w:rPr>
      </w:pPr>
      <w:bookmarkStart w:id="125" w:name="_Ref475611305"/>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47</w:t>
      </w:r>
      <w:r w:rsidR="0092145E" w:rsidRPr="00CF77C1">
        <w:rPr>
          <w:b w:val="0"/>
          <w:noProof/>
          <w:lang w:val="sr-Cyrl-RS"/>
        </w:rPr>
        <w:fldChar w:fldCharType="end"/>
      </w:r>
      <w:bookmarkEnd w:id="125"/>
      <w:r w:rsidRPr="00CF77C1">
        <w:rPr>
          <w:b w:val="0"/>
          <w:lang w:val="sr-Cyrl-RS"/>
        </w:rPr>
        <w:t xml:space="preserve">: </w:t>
      </w:r>
      <w:r w:rsidRPr="00CF77C1">
        <w:rPr>
          <w:rFonts w:eastAsia="Calibri"/>
          <w:b w:val="0"/>
          <w:lang w:val="sr-Cyrl-RS"/>
        </w:rPr>
        <w:t>Акциони план енергетске ефикасности НИС а.д. за 2017. годину</w:t>
      </w:r>
    </w:p>
    <w:tbl>
      <w:tblPr>
        <w:tblW w:w="14633" w:type="dxa"/>
        <w:tblInd w:w="91" w:type="dxa"/>
        <w:tblLook w:val="04A0" w:firstRow="1" w:lastRow="0" w:firstColumn="1" w:lastColumn="0" w:noHBand="0" w:noVBand="1"/>
      </w:tblPr>
      <w:tblGrid>
        <w:gridCol w:w="1860"/>
        <w:gridCol w:w="4820"/>
        <w:gridCol w:w="2835"/>
        <w:gridCol w:w="1417"/>
        <w:gridCol w:w="1621"/>
        <w:gridCol w:w="2080"/>
      </w:tblGrid>
      <w:tr w:rsidR="003F3DB8" w:rsidRPr="00CF77C1" w14:paraId="44C42F4D" w14:textId="77777777" w:rsidTr="003F3DB8">
        <w:trPr>
          <w:cantSplit/>
          <w:trHeight w:val="601"/>
          <w:tblHeader/>
        </w:trPr>
        <w:tc>
          <w:tcPr>
            <w:tcW w:w="18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D8077BB" w14:textId="77777777" w:rsidR="003F3DB8" w:rsidRPr="00CF77C1" w:rsidRDefault="003F3DB8" w:rsidP="0080044B">
            <w:pPr>
              <w:spacing w:before="0" w:after="0"/>
              <w:jc w:val="center"/>
              <w:rPr>
                <w:szCs w:val="24"/>
                <w:lang w:val="sr-Cyrl-RS"/>
              </w:rPr>
            </w:pPr>
            <w:r w:rsidRPr="00CF77C1">
              <w:rPr>
                <w:szCs w:val="24"/>
                <w:lang w:val="sr-Cyrl-RS"/>
              </w:rPr>
              <w:t>Назив блока НИС а.д.</w:t>
            </w:r>
          </w:p>
        </w:tc>
        <w:tc>
          <w:tcPr>
            <w:tcW w:w="4820" w:type="dxa"/>
            <w:tcBorders>
              <w:top w:val="single" w:sz="8" w:space="0" w:color="auto"/>
              <w:left w:val="nil"/>
              <w:bottom w:val="single" w:sz="8" w:space="0" w:color="auto"/>
              <w:right w:val="single" w:sz="4" w:space="0" w:color="auto"/>
            </w:tcBorders>
            <w:shd w:val="clear" w:color="auto" w:fill="auto"/>
            <w:noWrap/>
            <w:vAlign w:val="center"/>
            <w:hideMark/>
          </w:tcPr>
          <w:p w14:paraId="747E44E1" w14:textId="77777777" w:rsidR="003F3DB8" w:rsidRPr="00CF77C1" w:rsidRDefault="003F3DB8" w:rsidP="0080044B">
            <w:pPr>
              <w:spacing w:before="0" w:after="0"/>
              <w:jc w:val="center"/>
              <w:rPr>
                <w:szCs w:val="24"/>
                <w:lang w:val="sr-Cyrl-RS"/>
              </w:rPr>
            </w:pPr>
            <w:r w:rsidRPr="00CF77C1">
              <w:rPr>
                <w:szCs w:val="24"/>
                <w:lang w:val="sr-Cyrl-RS"/>
              </w:rPr>
              <w:t>Активности</w:t>
            </w:r>
          </w:p>
        </w:tc>
        <w:tc>
          <w:tcPr>
            <w:tcW w:w="2835" w:type="dxa"/>
            <w:tcBorders>
              <w:top w:val="single" w:sz="8" w:space="0" w:color="auto"/>
              <w:left w:val="nil"/>
              <w:bottom w:val="single" w:sz="8" w:space="0" w:color="auto"/>
              <w:right w:val="single" w:sz="4" w:space="0" w:color="auto"/>
            </w:tcBorders>
            <w:shd w:val="clear" w:color="auto" w:fill="auto"/>
            <w:vAlign w:val="center"/>
            <w:hideMark/>
          </w:tcPr>
          <w:p w14:paraId="2B2566FF" w14:textId="77777777" w:rsidR="003F3DB8" w:rsidRPr="00CF77C1" w:rsidRDefault="003F3DB8" w:rsidP="0080044B">
            <w:pPr>
              <w:spacing w:before="0" w:after="0"/>
              <w:jc w:val="center"/>
              <w:rPr>
                <w:szCs w:val="24"/>
                <w:lang w:val="sr-Cyrl-RS"/>
              </w:rPr>
            </w:pPr>
            <w:r w:rsidRPr="00CF77C1">
              <w:rPr>
                <w:szCs w:val="24"/>
                <w:lang w:val="sr-Cyrl-RS"/>
              </w:rPr>
              <w:t>Врста енергије</w:t>
            </w:r>
          </w:p>
        </w:tc>
        <w:tc>
          <w:tcPr>
            <w:tcW w:w="1417" w:type="dxa"/>
            <w:tcBorders>
              <w:top w:val="single" w:sz="8" w:space="0" w:color="auto"/>
              <w:left w:val="nil"/>
              <w:bottom w:val="single" w:sz="8" w:space="0" w:color="auto"/>
              <w:right w:val="single" w:sz="4" w:space="0" w:color="auto"/>
            </w:tcBorders>
            <w:shd w:val="clear" w:color="auto" w:fill="auto"/>
            <w:vAlign w:val="center"/>
            <w:hideMark/>
          </w:tcPr>
          <w:p w14:paraId="54ED16D5" w14:textId="77777777" w:rsidR="003F3DB8" w:rsidRPr="00CF77C1" w:rsidRDefault="003F3DB8" w:rsidP="0080044B">
            <w:pPr>
              <w:spacing w:before="0" w:after="0"/>
              <w:jc w:val="center"/>
              <w:rPr>
                <w:szCs w:val="24"/>
                <w:lang w:val="sr-Cyrl-RS"/>
              </w:rPr>
            </w:pPr>
            <w:r w:rsidRPr="00CF77C1">
              <w:rPr>
                <w:szCs w:val="24"/>
                <w:lang w:val="sr-Cyrl-RS"/>
              </w:rPr>
              <w:t>Енергетске уштеде</w:t>
            </w:r>
          </w:p>
        </w:tc>
        <w:tc>
          <w:tcPr>
            <w:tcW w:w="1621" w:type="dxa"/>
            <w:tcBorders>
              <w:top w:val="single" w:sz="8" w:space="0" w:color="auto"/>
              <w:left w:val="nil"/>
              <w:bottom w:val="single" w:sz="8" w:space="0" w:color="auto"/>
              <w:right w:val="single" w:sz="4" w:space="0" w:color="auto"/>
            </w:tcBorders>
            <w:shd w:val="clear" w:color="auto" w:fill="auto"/>
            <w:vAlign w:val="center"/>
            <w:hideMark/>
          </w:tcPr>
          <w:p w14:paraId="2691CD2F" w14:textId="77777777" w:rsidR="003F3DB8" w:rsidRPr="00CF77C1" w:rsidRDefault="003F3DB8" w:rsidP="0080044B">
            <w:pPr>
              <w:spacing w:before="0" w:after="0"/>
              <w:jc w:val="center"/>
              <w:rPr>
                <w:szCs w:val="24"/>
                <w:lang w:val="sr-Cyrl-RS"/>
              </w:rPr>
            </w:pPr>
            <w:r w:rsidRPr="00CF77C1">
              <w:rPr>
                <w:szCs w:val="24"/>
                <w:lang w:val="sr-Cyrl-RS"/>
              </w:rPr>
              <w:t>Јединица мере</w:t>
            </w:r>
          </w:p>
        </w:tc>
        <w:tc>
          <w:tcPr>
            <w:tcW w:w="2080" w:type="dxa"/>
            <w:tcBorders>
              <w:top w:val="single" w:sz="8" w:space="0" w:color="auto"/>
              <w:left w:val="nil"/>
              <w:bottom w:val="single" w:sz="8" w:space="0" w:color="auto"/>
              <w:right w:val="single" w:sz="8" w:space="0" w:color="auto"/>
            </w:tcBorders>
            <w:shd w:val="clear" w:color="auto" w:fill="auto"/>
            <w:vAlign w:val="center"/>
            <w:hideMark/>
          </w:tcPr>
          <w:p w14:paraId="42795BD1" w14:textId="77777777" w:rsidR="003F3DB8" w:rsidRPr="00CF77C1" w:rsidRDefault="003F3DB8" w:rsidP="0080044B">
            <w:pPr>
              <w:spacing w:before="0" w:after="0"/>
              <w:jc w:val="center"/>
              <w:rPr>
                <w:szCs w:val="24"/>
                <w:lang w:val="sr-Cyrl-RS"/>
              </w:rPr>
            </w:pPr>
            <w:r w:rsidRPr="00CF77C1">
              <w:rPr>
                <w:szCs w:val="24"/>
                <w:lang w:val="sr-Cyrl-RS"/>
              </w:rPr>
              <w:t>Новчане уштеде</w:t>
            </w:r>
            <w:r w:rsidRPr="00CF77C1">
              <w:rPr>
                <w:szCs w:val="24"/>
                <w:lang w:val="sr-Cyrl-RS"/>
              </w:rPr>
              <w:br/>
              <w:t>[хиљ.РСД]</w:t>
            </w:r>
          </w:p>
        </w:tc>
      </w:tr>
      <w:tr w:rsidR="003F3DB8" w:rsidRPr="00CF77C1" w14:paraId="79197273" w14:textId="77777777" w:rsidTr="003F3DB8">
        <w:trPr>
          <w:cantSplit/>
          <w:trHeight w:val="601"/>
        </w:trPr>
        <w:tc>
          <w:tcPr>
            <w:tcW w:w="1860" w:type="dxa"/>
            <w:vMerge w:val="restart"/>
            <w:tcBorders>
              <w:top w:val="nil"/>
              <w:left w:val="single" w:sz="8" w:space="0" w:color="auto"/>
              <w:bottom w:val="single" w:sz="8" w:space="0" w:color="000000"/>
              <w:right w:val="single" w:sz="4" w:space="0" w:color="auto"/>
            </w:tcBorders>
            <w:shd w:val="clear" w:color="auto" w:fill="auto"/>
            <w:hideMark/>
          </w:tcPr>
          <w:p w14:paraId="355776AA" w14:textId="77777777" w:rsidR="003F3DB8" w:rsidRPr="00CF77C1" w:rsidRDefault="003F3DB8" w:rsidP="0080044B">
            <w:pPr>
              <w:spacing w:before="0" w:after="0"/>
              <w:jc w:val="center"/>
              <w:rPr>
                <w:szCs w:val="24"/>
                <w:lang w:val="sr-Cyrl-RS"/>
              </w:rPr>
            </w:pPr>
            <w:r w:rsidRPr="00CF77C1">
              <w:rPr>
                <w:szCs w:val="24"/>
                <w:lang w:val="sr-Cyrl-RS"/>
              </w:rPr>
              <w:t>Истраживање и производња</w:t>
            </w:r>
          </w:p>
        </w:tc>
        <w:tc>
          <w:tcPr>
            <w:tcW w:w="4820" w:type="dxa"/>
            <w:tcBorders>
              <w:top w:val="nil"/>
              <w:left w:val="nil"/>
              <w:bottom w:val="single" w:sz="4" w:space="0" w:color="auto"/>
              <w:right w:val="single" w:sz="4" w:space="0" w:color="auto"/>
            </w:tcBorders>
            <w:shd w:val="clear" w:color="auto" w:fill="auto"/>
            <w:vAlign w:val="center"/>
            <w:hideMark/>
          </w:tcPr>
          <w:p w14:paraId="77701B7D" w14:textId="77777777" w:rsidR="003F3DB8" w:rsidRPr="00CF77C1" w:rsidRDefault="003F3DB8" w:rsidP="0080044B">
            <w:pPr>
              <w:spacing w:before="0" w:after="0"/>
              <w:jc w:val="left"/>
              <w:rPr>
                <w:szCs w:val="24"/>
                <w:lang w:val="sr-Cyrl-RS"/>
              </w:rPr>
            </w:pPr>
            <w:r w:rsidRPr="00CF77C1">
              <w:rPr>
                <w:szCs w:val="24"/>
                <w:lang w:val="sr-Cyrl-RS"/>
              </w:rPr>
              <w:t>Компензација реактивне енергије</w:t>
            </w:r>
          </w:p>
        </w:tc>
        <w:tc>
          <w:tcPr>
            <w:tcW w:w="2835" w:type="dxa"/>
            <w:tcBorders>
              <w:top w:val="nil"/>
              <w:left w:val="nil"/>
              <w:bottom w:val="single" w:sz="4" w:space="0" w:color="auto"/>
              <w:right w:val="single" w:sz="4" w:space="0" w:color="auto"/>
            </w:tcBorders>
            <w:shd w:val="clear" w:color="auto" w:fill="auto"/>
            <w:vAlign w:val="center"/>
            <w:hideMark/>
          </w:tcPr>
          <w:p w14:paraId="22DB9268"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4" w:space="0" w:color="auto"/>
              <w:right w:val="single" w:sz="4" w:space="0" w:color="auto"/>
            </w:tcBorders>
            <w:shd w:val="clear" w:color="auto" w:fill="auto"/>
            <w:noWrap/>
            <w:vAlign w:val="center"/>
          </w:tcPr>
          <w:p w14:paraId="5C8C6D55" w14:textId="77777777" w:rsidR="003F3DB8" w:rsidRPr="00CF77C1" w:rsidRDefault="003F3DB8" w:rsidP="0080044B">
            <w:pPr>
              <w:spacing w:before="0" w:after="0"/>
              <w:jc w:val="right"/>
              <w:rPr>
                <w:szCs w:val="24"/>
                <w:lang w:val="sr-Cyrl-RS"/>
              </w:rPr>
            </w:pPr>
            <w:r w:rsidRPr="00CF77C1">
              <w:rPr>
                <w:szCs w:val="24"/>
                <w:lang w:val="sr-Cyrl-RS"/>
              </w:rPr>
              <w:t>-</w:t>
            </w:r>
          </w:p>
        </w:tc>
        <w:tc>
          <w:tcPr>
            <w:tcW w:w="1621" w:type="dxa"/>
            <w:tcBorders>
              <w:top w:val="nil"/>
              <w:left w:val="nil"/>
              <w:bottom w:val="single" w:sz="4" w:space="0" w:color="auto"/>
              <w:right w:val="single" w:sz="4" w:space="0" w:color="auto"/>
            </w:tcBorders>
            <w:shd w:val="clear" w:color="auto" w:fill="auto"/>
            <w:noWrap/>
            <w:vAlign w:val="center"/>
          </w:tcPr>
          <w:p w14:paraId="124B2FA5" w14:textId="77777777" w:rsidR="003F3DB8" w:rsidRPr="00CF77C1" w:rsidRDefault="003F3DB8" w:rsidP="0080044B">
            <w:pPr>
              <w:spacing w:before="0" w:after="0"/>
              <w:jc w:val="center"/>
              <w:rPr>
                <w:szCs w:val="24"/>
                <w:lang w:val="sr-Cyrl-RS"/>
              </w:rPr>
            </w:pPr>
            <w:r w:rsidRPr="00CF77C1">
              <w:rPr>
                <w:szCs w:val="24"/>
                <w:lang w:val="sr-Cyrl-RS"/>
              </w:rPr>
              <w:t>-</w:t>
            </w:r>
          </w:p>
        </w:tc>
        <w:tc>
          <w:tcPr>
            <w:tcW w:w="2080" w:type="dxa"/>
            <w:tcBorders>
              <w:top w:val="nil"/>
              <w:left w:val="nil"/>
              <w:bottom w:val="single" w:sz="4" w:space="0" w:color="auto"/>
              <w:right w:val="single" w:sz="8" w:space="0" w:color="auto"/>
            </w:tcBorders>
            <w:shd w:val="clear" w:color="auto" w:fill="auto"/>
            <w:noWrap/>
            <w:vAlign w:val="center"/>
          </w:tcPr>
          <w:p w14:paraId="696F97A5" w14:textId="77777777" w:rsidR="003F3DB8" w:rsidRPr="00CF77C1" w:rsidRDefault="003F3DB8" w:rsidP="0080044B">
            <w:pPr>
              <w:spacing w:before="0" w:after="0"/>
              <w:jc w:val="right"/>
              <w:rPr>
                <w:szCs w:val="24"/>
                <w:lang w:val="sr-Cyrl-RS"/>
              </w:rPr>
            </w:pPr>
            <w:r w:rsidRPr="00CF77C1">
              <w:rPr>
                <w:szCs w:val="24"/>
                <w:lang w:val="sr-Cyrl-RS"/>
              </w:rPr>
              <w:t>2,908</w:t>
            </w:r>
          </w:p>
        </w:tc>
      </w:tr>
      <w:tr w:rsidR="003F3DB8" w:rsidRPr="00CF77C1" w14:paraId="349C57F4"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604899FD" w14:textId="77777777" w:rsidR="003F3DB8" w:rsidRPr="00CF77C1" w:rsidRDefault="003F3DB8" w:rsidP="0080044B">
            <w:pPr>
              <w:spacing w:before="0" w:after="0"/>
              <w:jc w:val="left"/>
              <w:rPr>
                <w:szCs w:val="24"/>
                <w:lang w:val="sr-Cyrl-RS"/>
              </w:rPr>
            </w:pPr>
          </w:p>
        </w:tc>
        <w:tc>
          <w:tcPr>
            <w:tcW w:w="4820" w:type="dxa"/>
            <w:tcBorders>
              <w:top w:val="nil"/>
              <w:left w:val="nil"/>
              <w:bottom w:val="single" w:sz="4" w:space="0" w:color="auto"/>
              <w:right w:val="single" w:sz="4" w:space="0" w:color="auto"/>
            </w:tcBorders>
            <w:shd w:val="clear" w:color="auto" w:fill="auto"/>
            <w:vAlign w:val="center"/>
            <w:hideMark/>
          </w:tcPr>
          <w:p w14:paraId="5C48749F" w14:textId="77777777" w:rsidR="003F3DB8" w:rsidRPr="00CF77C1" w:rsidRDefault="003F3DB8" w:rsidP="0080044B">
            <w:pPr>
              <w:spacing w:before="0" w:after="0"/>
              <w:jc w:val="left"/>
              <w:rPr>
                <w:szCs w:val="24"/>
                <w:lang w:val="sr-Cyrl-RS"/>
              </w:rPr>
            </w:pPr>
            <w:r w:rsidRPr="00CF77C1">
              <w:rPr>
                <w:szCs w:val="24"/>
                <w:lang w:val="sr-Cyrl-RS"/>
              </w:rPr>
              <w:t xml:space="preserve">Балансирање, ремонт, замена пумпних јединица, рад у нижој тарифи </w:t>
            </w:r>
          </w:p>
        </w:tc>
        <w:tc>
          <w:tcPr>
            <w:tcW w:w="2835" w:type="dxa"/>
            <w:tcBorders>
              <w:top w:val="nil"/>
              <w:left w:val="nil"/>
              <w:bottom w:val="single" w:sz="4" w:space="0" w:color="auto"/>
              <w:right w:val="single" w:sz="4" w:space="0" w:color="auto"/>
            </w:tcBorders>
            <w:shd w:val="clear" w:color="auto" w:fill="auto"/>
            <w:vAlign w:val="center"/>
            <w:hideMark/>
          </w:tcPr>
          <w:p w14:paraId="62AEDF50"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4" w:space="0" w:color="auto"/>
              <w:right w:val="single" w:sz="4" w:space="0" w:color="auto"/>
            </w:tcBorders>
            <w:shd w:val="clear" w:color="auto" w:fill="auto"/>
            <w:noWrap/>
            <w:vAlign w:val="center"/>
          </w:tcPr>
          <w:p w14:paraId="69B9DAF3" w14:textId="77777777" w:rsidR="003F3DB8" w:rsidRPr="00CF77C1" w:rsidRDefault="003F3DB8" w:rsidP="0080044B">
            <w:pPr>
              <w:spacing w:before="0" w:after="0"/>
              <w:jc w:val="right"/>
              <w:rPr>
                <w:szCs w:val="24"/>
                <w:lang w:val="sr-Cyrl-RS"/>
              </w:rPr>
            </w:pPr>
            <w:r w:rsidRPr="00CF77C1">
              <w:rPr>
                <w:szCs w:val="24"/>
                <w:lang w:val="sr-Cyrl-RS"/>
              </w:rPr>
              <w:t>2,771</w:t>
            </w:r>
          </w:p>
        </w:tc>
        <w:tc>
          <w:tcPr>
            <w:tcW w:w="1621" w:type="dxa"/>
            <w:tcBorders>
              <w:top w:val="nil"/>
              <w:left w:val="nil"/>
              <w:bottom w:val="single" w:sz="4" w:space="0" w:color="auto"/>
              <w:right w:val="single" w:sz="4" w:space="0" w:color="auto"/>
            </w:tcBorders>
            <w:shd w:val="clear" w:color="auto" w:fill="auto"/>
            <w:noWrap/>
            <w:vAlign w:val="center"/>
          </w:tcPr>
          <w:p w14:paraId="1A1182C8"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4" w:space="0" w:color="auto"/>
              <w:right w:val="single" w:sz="8" w:space="0" w:color="auto"/>
            </w:tcBorders>
            <w:shd w:val="clear" w:color="auto" w:fill="auto"/>
            <w:noWrap/>
            <w:vAlign w:val="center"/>
          </w:tcPr>
          <w:p w14:paraId="2CD2F8B7" w14:textId="77777777" w:rsidR="003F3DB8" w:rsidRPr="00CF77C1" w:rsidRDefault="003F3DB8" w:rsidP="0080044B">
            <w:pPr>
              <w:spacing w:before="0" w:after="0"/>
              <w:jc w:val="right"/>
              <w:rPr>
                <w:szCs w:val="24"/>
                <w:lang w:val="sr-Cyrl-RS"/>
              </w:rPr>
            </w:pPr>
            <w:r w:rsidRPr="00CF77C1">
              <w:rPr>
                <w:szCs w:val="24"/>
                <w:lang w:val="sr-Cyrl-RS"/>
              </w:rPr>
              <w:t>23,397</w:t>
            </w:r>
          </w:p>
        </w:tc>
      </w:tr>
      <w:tr w:rsidR="003F3DB8" w:rsidRPr="00CF77C1" w14:paraId="4DFCDD9D"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6CE6EC74" w14:textId="77777777" w:rsidR="003F3DB8" w:rsidRPr="00CF77C1" w:rsidRDefault="003F3DB8" w:rsidP="0080044B">
            <w:pPr>
              <w:spacing w:before="0" w:after="0"/>
              <w:jc w:val="left"/>
              <w:rPr>
                <w:szCs w:val="24"/>
                <w:lang w:val="sr-Cyrl-RS"/>
              </w:rPr>
            </w:pPr>
          </w:p>
        </w:tc>
        <w:tc>
          <w:tcPr>
            <w:tcW w:w="4820" w:type="dxa"/>
            <w:tcBorders>
              <w:top w:val="nil"/>
              <w:left w:val="nil"/>
              <w:bottom w:val="single" w:sz="4" w:space="0" w:color="auto"/>
              <w:right w:val="single" w:sz="4" w:space="0" w:color="auto"/>
            </w:tcBorders>
            <w:shd w:val="clear" w:color="auto" w:fill="auto"/>
            <w:vAlign w:val="center"/>
            <w:hideMark/>
          </w:tcPr>
          <w:p w14:paraId="7209FC8C" w14:textId="77777777" w:rsidR="003F3DB8" w:rsidRPr="00CF77C1" w:rsidRDefault="003F3DB8" w:rsidP="0080044B">
            <w:pPr>
              <w:spacing w:before="0" w:after="0"/>
              <w:jc w:val="left"/>
              <w:rPr>
                <w:szCs w:val="24"/>
                <w:lang w:val="sr-Cyrl-RS"/>
              </w:rPr>
            </w:pPr>
            <w:r w:rsidRPr="00CF77C1">
              <w:rPr>
                <w:szCs w:val="24"/>
                <w:lang w:val="sr-Cyrl-RS"/>
              </w:rPr>
              <w:t>Смањење потрошње и трошкова на грејање резервоара и уградња енергетски ефикасније опреме, прелазак на ТС са дизел агрегата</w:t>
            </w:r>
          </w:p>
        </w:tc>
        <w:tc>
          <w:tcPr>
            <w:tcW w:w="2835" w:type="dxa"/>
            <w:tcBorders>
              <w:top w:val="nil"/>
              <w:left w:val="nil"/>
              <w:bottom w:val="single" w:sz="4" w:space="0" w:color="auto"/>
              <w:right w:val="single" w:sz="4" w:space="0" w:color="auto"/>
            </w:tcBorders>
            <w:shd w:val="clear" w:color="auto" w:fill="auto"/>
            <w:vAlign w:val="center"/>
            <w:hideMark/>
          </w:tcPr>
          <w:p w14:paraId="042A81F8"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4" w:space="0" w:color="auto"/>
              <w:right w:val="single" w:sz="4" w:space="0" w:color="auto"/>
            </w:tcBorders>
            <w:shd w:val="clear" w:color="auto" w:fill="auto"/>
            <w:noWrap/>
            <w:vAlign w:val="center"/>
          </w:tcPr>
          <w:p w14:paraId="6DC8CB5A" w14:textId="77777777" w:rsidR="003F3DB8" w:rsidRPr="00CF77C1" w:rsidRDefault="003F3DB8" w:rsidP="0080044B">
            <w:pPr>
              <w:spacing w:before="0" w:after="0"/>
              <w:jc w:val="right"/>
              <w:rPr>
                <w:szCs w:val="24"/>
                <w:lang w:val="sr-Cyrl-RS"/>
              </w:rPr>
            </w:pPr>
            <w:r w:rsidRPr="00CF77C1">
              <w:rPr>
                <w:szCs w:val="24"/>
                <w:lang w:val="sr-Cyrl-RS"/>
              </w:rPr>
              <w:t>8,462</w:t>
            </w:r>
          </w:p>
        </w:tc>
        <w:tc>
          <w:tcPr>
            <w:tcW w:w="1621" w:type="dxa"/>
            <w:tcBorders>
              <w:top w:val="nil"/>
              <w:left w:val="nil"/>
              <w:bottom w:val="single" w:sz="4" w:space="0" w:color="auto"/>
              <w:right w:val="single" w:sz="4" w:space="0" w:color="auto"/>
            </w:tcBorders>
            <w:shd w:val="clear" w:color="auto" w:fill="auto"/>
            <w:noWrap/>
            <w:vAlign w:val="center"/>
          </w:tcPr>
          <w:p w14:paraId="4B2E27BE"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4" w:space="0" w:color="auto"/>
              <w:right w:val="single" w:sz="8" w:space="0" w:color="auto"/>
            </w:tcBorders>
            <w:shd w:val="clear" w:color="auto" w:fill="auto"/>
            <w:noWrap/>
            <w:vAlign w:val="center"/>
          </w:tcPr>
          <w:p w14:paraId="44B77B2A" w14:textId="77777777" w:rsidR="003F3DB8" w:rsidRPr="00CF77C1" w:rsidRDefault="003F3DB8" w:rsidP="0080044B">
            <w:pPr>
              <w:spacing w:before="0" w:after="0"/>
              <w:jc w:val="right"/>
              <w:rPr>
                <w:szCs w:val="24"/>
                <w:lang w:val="sr-Cyrl-RS"/>
              </w:rPr>
            </w:pPr>
            <w:r w:rsidRPr="00CF77C1">
              <w:rPr>
                <w:szCs w:val="24"/>
                <w:lang w:val="sr-Cyrl-RS"/>
              </w:rPr>
              <w:t>74,706</w:t>
            </w:r>
          </w:p>
        </w:tc>
      </w:tr>
      <w:tr w:rsidR="003F3DB8" w:rsidRPr="00CF77C1" w14:paraId="111FDFE8"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78CEA454" w14:textId="77777777" w:rsidR="003F3DB8" w:rsidRPr="00CF77C1" w:rsidRDefault="003F3DB8" w:rsidP="0080044B">
            <w:pPr>
              <w:spacing w:before="0" w:after="0"/>
              <w:jc w:val="left"/>
              <w:rPr>
                <w:szCs w:val="24"/>
                <w:lang w:val="sr-Cyrl-RS"/>
              </w:rPr>
            </w:pPr>
          </w:p>
        </w:tc>
        <w:tc>
          <w:tcPr>
            <w:tcW w:w="4820" w:type="dxa"/>
            <w:tcBorders>
              <w:top w:val="nil"/>
              <w:left w:val="nil"/>
              <w:bottom w:val="single" w:sz="8" w:space="0" w:color="auto"/>
              <w:right w:val="single" w:sz="4" w:space="0" w:color="auto"/>
            </w:tcBorders>
            <w:shd w:val="clear" w:color="auto" w:fill="auto"/>
            <w:noWrap/>
            <w:vAlign w:val="center"/>
            <w:hideMark/>
          </w:tcPr>
          <w:p w14:paraId="2A83119E" w14:textId="77777777" w:rsidR="003F3DB8" w:rsidRPr="00CF77C1" w:rsidRDefault="003F3DB8" w:rsidP="0080044B">
            <w:pPr>
              <w:spacing w:before="0" w:after="0"/>
              <w:jc w:val="left"/>
              <w:rPr>
                <w:szCs w:val="24"/>
                <w:lang w:val="sr-Cyrl-RS"/>
              </w:rPr>
            </w:pPr>
            <w:r w:rsidRPr="00CF77C1">
              <w:rPr>
                <w:szCs w:val="24"/>
                <w:lang w:val="sr-Cyrl-RS"/>
              </w:rPr>
              <w:t>Модернизација осветљења</w:t>
            </w:r>
          </w:p>
        </w:tc>
        <w:tc>
          <w:tcPr>
            <w:tcW w:w="2835" w:type="dxa"/>
            <w:tcBorders>
              <w:top w:val="nil"/>
              <w:left w:val="nil"/>
              <w:bottom w:val="single" w:sz="8" w:space="0" w:color="auto"/>
              <w:right w:val="single" w:sz="4" w:space="0" w:color="auto"/>
            </w:tcBorders>
            <w:shd w:val="clear" w:color="auto" w:fill="auto"/>
            <w:vAlign w:val="center"/>
            <w:hideMark/>
          </w:tcPr>
          <w:p w14:paraId="0147B1D8"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8" w:space="0" w:color="auto"/>
              <w:right w:val="single" w:sz="4" w:space="0" w:color="auto"/>
            </w:tcBorders>
            <w:shd w:val="clear" w:color="auto" w:fill="auto"/>
            <w:noWrap/>
            <w:vAlign w:val="center"/>
          </w:tcPr>
          <w:p w14:paraId="367E5DF9" w14:textId="77777777" w:rsidR="003F3DB8" w:rsidRPr="00CF77C1" w:rsidRDefault="003F3DB8" w:rsidP="0080044B">
            <w:pPr>
              <w:spacing w:before="0" w:after="0"/>
              <w:jc w:val="right"/>
              <w:rPr>
                <w:szCs w:val="24"/>
                <w:lang w:val="sr-Cyrl-RS"/>
              </w:rPr>
            </w:pPr>
            <w:r w:rsidRPr="00CF77C1">
              <w:rPr>
                <w:szCs w:val="24"/>
                <w:lang w:val="sr-Cyrl-RS"/>
              </w:rPr>
              <w:t>117</w:t>
            </w:r>
          </w:p>
        </w:tc>
        <w:tc>
          <w:tcPr>
            <w:tcW w:w="1621" w:type="dxa"/>
            <w:tcBorders>
              <w:top w:val="nil"/>
              <w:left w:val="nil"/>
              <w:bottom w:val="single" w:sz="8" w:space="0" w:color="auto"/>
              <w:right w:val="single" w:sz="4" w:space="0" w:color="auto"/>
            </w:tcBorders>
            <w:shd w:val="clear" w:color="auto" w:fill="auto"/>
            <w:noWrap/>
            <w:vAlign w:val="center"/>
          </w:tcPr>
          <w:p w14:paraId="28E7DD45"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8" w:space="0" w:color="auto"/>
              <w:right w:val="single" w:sz="8" w:space="0" w:color="auto"/>
            </w:tcBorders>
            <w:shd w:val="clear" w:color="auto" w:fill="auto"/>
            <w:noWrap/>
            <w:vAlign w:val="center"/>
          </w:tcPr>
          <w:p w14:paraId="62206DC4" w14:textId="77777777" w:rsidR="003F3DB8" w:rsidRPr="00CF77C1" w:rsidRDefault="003F3DB8" w:rsidP="0080044B">
            <w:pPr>
              <w:spacing w:before="0" w:after="0"/>
              <w:jc w:val="right"/>
              <w:rPr>
                <w:szCs w:val="24"/>
                <w:lang w:val="sr-Cyrl-RS"/>
              </w:rPr>
            </w:pPr>
            <w:r w:rsidRPr="00CF77C1">
              <w:rPr>
                <w:szCs w:val="24"/>
                <w:lang w:val="sr-Cyrl-RS"/>
              </w:rPr>
              <w:t>869</w:t>
            </w:r>
          </w:p>
        </w:tc>
      </w:tr>
      <w:tr w:rsidR="003F3DB8" w:rsidRPr="00CF77C1" w14:paraId="1A31DB2A" w14:textId="77777777" w:rsidTr="003F3DB8">
        <w:trPr>
          <w:cantSplit/>
          <w:trHeight w:val="601"/>
        </w:trPr>
        <w:tc>
          <w:tcPr>
            <w:tcW w:w="1860" w:type="dxa"/>
            <w:vMerge w:val="restart"/>
            <w:tcBorders>
              <w:top w:val="nil"/>
              <w:left w:val="single" w:sz="8" w:space="0" w:color="auto"/>
              <w:bottom w:val="single" w:sz="8" w:space="0" w:color="000000"/>
              <w:right w:val="single" w:sz="4" w:space="0" w:color="auto"/>
            </w:tcBorders>
            <w:shd w:val="clear" w:color="auto" w:fill="auto"/>
            <w:noWrap/>
            <w:hideMark/>
          </w:tcPr>
          <w:p w14:paraId="0EDD89BF" w14:textId="77777777" w:rsidR="003F3DB8" w:rsidRPr="00CF77C1" w:rsidRDefault="003F3DB8" w:rsidP="0080044B">
            <w:pPr>
              <w:spacing w:before="0" w:after="0"/>
              <w:jc w:val="center"/>
              <w:rPr>
                <w:szCs w:val="24"/>
                <w:lang w:val="sr-Cyrl-RS"/>
              </w:rPr>
            </w:pPr>
            <w:r w:rsidRPr="00CF77C1">
              <w:rPr>
                <w:szCs w:val="24"/>
                <w:lang w:val="sr-Cyrl-RS"/>
              </w:rPr>
              <w:t>Прерада</w:t>
            </w:r>
          </w:p>
        </w:tc>
        <w:tc>
          <w:tcPr>
            <w:tcW w:w="4820" w:type="dxa"/>
            <w:tcBorders>
              <w:top w:val="nil"/>
              <w:left w:val="nil"/>
              <w:bottom w:val="single" w:sz="4" w:space="0" w:color="auto"/>
              <w:right w:val="single" w:sz="4" w:space="0" w:color="auto"/>
            </w:tcBorders>
            <w:shd w:val="clear" w:color="auto" w:fill="auto"/>
            <w:vAlign w:val="center"/>
            <w:hideMark/>
          </w:tcPr>
          <w:p w14:paraId="63FA1C48" w14:textId="77777777" w:rsidR="003F3DB8" w:rsidRPr="00CF77C1" w:rsidRDefault="003F3DB8" w:rsidP="0080044B">
            <w:pPr>
              <w:spacing w:before="0" w:after="0"/>
              <w:jc w:val="left"/>
              <w:rPr>
                <w:szCs w:val="24"/>
                <w:lang w:val="sr-Cyrl-RS"/>
              </w:rPr>
            </w:pPr>
            <w:r w:rsidRPr="00CF77C1">
              <w:rPr>
                <w:szCs w:val="24"/>
                <w:lang w:val="sr-Cyrl-RS"/>
              </w:rPr>
              <w:t>Смањење потрошње електричне енергије уградњом измењивача, променом димензије паровода и друге оперативне активности</w:t>
            </w:r>
          </w:p>
        </w:tc>
        <w:tc>
          <w:tcPr>
            <w:tcW w:w="2835" w:type="dxa"/>
            <w:tcBorders>
              <w:top w:val="nil"/>
              <w:left w:val="nil"/>
              <w:bottom w:val="single" w:sz="4" w:space="0" w:color="auto"/>
              <w:right w:val="single" w:sz="4" w:space="0" w:color="auto"/>
            </w:tcBorders>
            <w:shd w:val="clear" w:color="auto" w:fill="auto"/>
            <w:vAlign w:val="center"/>
            <w:hideMark/>
          </w:tcPr>
          <w:p w14:paraId="0D1BE355"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4" w:space="0" w:color="auto"/>
              <w:right w:val="single" w:sz="4" w:space="0" w:color="auto"/>
            </w:tcBorders>
            <w:shd w:val="clear" w:color="auto" w:fill="auto"/>
            <w:noWrap/>
            <w:vAlign w:val="center"/>
          </w:tcPr>
          <w:p w14:paraId="01ECD9F2" w14:textId="77777777" w:rsidR="003F3DB8" w:rsidRPr="00CF77C1" w:rsidRDefault="003F3DB8" w:rsidP="0080044B">
            <w:pPr>
              <w:spacing w:before="0" w:after="0"/>
              <w:jc w:val="right"/>
              <w:rPr>
                <w:szCs w:val="24"/>
                <w:lang w:val="sr-Cyrl-RS"/>
              </w:rPr>
            </w:pPr>
            <w:r w:rsidRPr="00CF77C1">
              <w:rPr>
                <w:szCs w:val="24"/>
                <w:lang w:val="sr-Cyrl-RS"/>
              </w:rPr>
              <w:t>13,100</w:t>
            </w:r>
          </w:p>
        </w:tc>
        <w:tc>
          <w:tcPr>
            <w:tcW w:w="1621" w:type="dxa"/>
            <w:tcBorders>
              <w:top w:val="nil"/>
              <w:left w:val="nil"/>
              <w:bottom w:val="single" w:sz="4" w:space="0" w:color="auto"/>
              <w:right w:val="single" w:sz="4" w:space="0" w:color="auto"/>
            </w:tcBorders>
            <w:shd w:val="clear" w:color="auto" w:fill="auto"/>
            <w:noWrap/>
            <w:vAlign w:val="center"/>
          </w:tcPr>
          <w:p w14:paraId="7671D6E0"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4" w:space="0" w:color="auto"/>
              <w:right w:val="single" w:sz="8" w:space="0" w:color="auto"/>
            </w:tcBorders>
            <w:shd w:val="clear" w:color="auto" w:fill="auto"/>
            <w:noWrap/>
            <w:vAlign w:val="center"/>
          </w:tcPr>
          <w:p w14:paraId="084D57E7" w14:textId="77777777" w:rsidR="003F3DB8" w:rsidRPr="00CF77C1" w:rsidRDefault="003F3DB8" w:rsidP="0080044B">
            <w:pPr>
              <w:spacing w:before="0" w:after="0"/>
              <w:jc w:val="right"/>
              <w:rPr>
                <w:szCs w:val="24"/>
                <w:lang w:val="sr-Cyrl-RS"/>
              </w:rPr>
            </w:pPr>
            <w:r w:rsidRPr="00CF77C1">
              <w:rPr>
                <w:szCs w:val="24"/>
                <w:lang w:val="sr-Cyrl-RS"/>
              </w:rPr>
              <w:t>88,065</w:t>
            </w:r>
          </w:p>
        </w:tc>
      </w:tr>
      <w:tr w:rsidR="003F3DB8" w:rsidRPr="00CF77C1" w14:paraId="45ACCA45"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05B18E1D" w14:textId="77777777" w:rsidR="003F3DB8" w:rsidRPr="00CF77C1" w:rsidRDefault="003F3DB8" w:rsidP="0080044B">
            <w:pPr>
              <w:spacing w:before="0" w:after="0"/>
              <w:jc w:val="left"/>
              <w:rPr>
                <w:szCs w:val="24"/>
                <w:lang w:val="sr-Cyrl-RS"/>
              </w:rPr>
            </w:pPr>
          </w:p>
        </w:tc>
        <w:tc>
          <w:tcPr>
            <w:tcW w:w="4820" w:type="dxa"/>
            <w:tcBorders>
              <w:top w:val="nil"/>
              <w:left w:val="nil"/>
              <w:bottom w:val="single" w:sz="4" w:space="0" w:color="auto"/>
              <w:right w:val="single" w:sz="4" w:space="0" w:color="auto"/>
            </w:tcBorders>
            <w:shd w:val="clear" w:color="auto" w:fill="auto"/>
            <w:vAlign w:val="center"/>
            <w:hideMark/>
          </w:tcPr>
          <w:p w14:paraId="07A59653" w14:textId="77777777" w:rsidR="003F3DB8" w:rsidRPr="00CF77C1" w:rsidRDefault="003F3DB8" w:rsidP="0080044B">
            <w:pPr>
              <w:spacing w:before="0" w:after="0"/>
              <w:jc w:val="left"/>
              <w:rPr>
                <w:szCs w:val="24"/>
                <w:lang w:val="sr-Cyrl-RS"/>
              </w:rPr>
            </w:pPr>
            <w:r w:rsidRPr="00CF77C1">
              <w:rPr>
                <w:szCs w:val="24"/>
                <w:lang w:val="sr-Cyrl-RS"/>
              </w:rPr>
              <w:t>Инвестиционе мере за повећање енергетске ефикасности</w:t>
            </w:r>
          </w:p>
        </w:tc>
        <w:tc>
          <w:tcPr>
            <w:tcW w:w="2835" w:type="dxa"/>
            <w:tcBorders>
              <w:top w:val="nil"/>
              <w:left w:val="nil"/>
              <w:bottom w:val="single" w:sz="4" w:space="0" w:color="auto"/>
              <w:right w:val="single" w:sz="4" w:space="0" w:color="auto"/>
            </w:tcBorders>
            <w:shd w:val="clear" w:color="auto" w:fill="auto"/>
            <w:noWrap/>
            <w:vAlign w:val="center"/>
            <w:hideMark/>
          </w:tcPr>
          <w:p w14:paraId="7684B2EF" w14:textId="77777777" w:rsidR="003F3DB8" w:rsidRPr="00CF77C1" w:rsidRDefault="003F3DB8" w:rsidP="0080044B">
            <w:pPr>
              <w:spacing w:before="0" w:after="0"/>
              <w:jc w:val="left"/>
              <w:rPr>
                <w:szCs w:val="24"/>
                <w:lang w:val="sr-Cyrl-RS"/>
              </w:rPr>
            </w:pPr>
            <w:r w:rsidRPr="00CF77C1">
              <w:rPr>
                <w:szCs w:val="24"/>
                <w:lang w:val="sr-Cyrl-RS"/>
              </w:rPr>
              <w:t>Топлотна</w:t>
            </w:r>
          </w:p>
        </w:tc>
        <w:tc>
          <w:tcPr>
            <w:tcW w:w="1417" w:type="dxa"/>
            <w:tcBorders>
              <w:top w:val="nil"/>
              <w:left w:val="nil"/>
              <w:bottom w:val="single" w:sz="4" w:space="0" w:color="auto"/>
              <w:right w:val="single" w:sz="4" w:space="0" w:color="auto"/>
            </w:tcBorders>
            <w:shd w:val="clear" w:color="auto" w:fill="auto"/>
            <w:noWrap/>
            <w:vAlign w:val="center"/>
          </w:tcPr>
          <w:p w14:paraId="5BD17149" w14:textId="77777777" w:rsidR="003F3DB8" w:rsidRPr="00CF77C1" w:rsidRDefault="003F3DB8" w:rsidP="0080044B">
            <w:pPr>
              <w:spacing w:before="0" w:after="0"/>
              <w:jc w:val="right"/>
              <w:rPr>
                <w:szCs w:val="24"/>
                <w:lang w:val="sr-Cyrl-RS"/>
              </w:rPr>
            </w:pPr>
            <w:r w:rsidRPr="00CF77C1">
              <w:rPr>
                <w:szCs w:val="24"/>
                <w:lang w:val="sr-Cyrl-RS"/>
              </w:rPr>
              <w:t>77,428</w:t>
            </w:r>
          </w:p>
        </w:tc>
        <w:tc>
          <w:tcPr>
            <w:tcW w:w="1621" w:type="dxa"/>
            <w:tcBorders>
              <w:top w:val="nil"/>
              <w:left w:val="nil"/>
              <w:bottom w:val="single" w:sz="4" w:space="0" w:color="auto"/>
              <w:right w:val="single" w:sz="4" w:space="0" w:color="auto"/>
            </w:tcBorders>
            <w:shd w:val="clear" w:color="auto" w:fill="auto"/>
            <w:noWrap/>
            <w:vAlign w:val="center"/>
          </w:tcPr>
          <w:p w14:paraId="0CF3DE1B" w14:textId="77777777" w:rsidR="003F3DB8" w:rsidRPr="00CF77C1" w:rsidRDefault="003F3DB8" w:rsidP="0080044B">
            <w:pPr>
              <w:spacing w:before="0" w:after="0"/>
              <w:jc w:val="center"/>
              <w:rPr>
                <w:szCs w:val="24"/>
                <w:lang w:val="sr-Cyrl-RS"/>
              </w:rPr>
            </w:pPr>
            <w:r w:rsidRPr="00CF77C1">
              <w:rPr>
                <w:szCs w:val="24"/>
                <w:lang w:val="sr-Cyrl-RS"/>
              </w:rPr>
              <w:t>Gcal</w:t>
            </w:r>
          </w:p>
        </w:tc>
        <w:tc>
          <w:tcPr>
            <w:tcW w:w="2080" w:type="dxa"/>
            <w:tcBorders>
              <w:top w:val="nil"/>
              <w:left w:val="nil"/>
              <w:bottom w:val="single" w:sz="4" w:space="0" w:color="auto"/>
              <w:right w:val="single" w:sz="8" w:space="0" w:color="auto"/>
            </w:tcBorders>
            <w:shd w:val="clear" w:color="auto" w:fill="auto"/>
            <w:noWrap/>
            <w:vAlign w:val="center"/>
          </w:tcPr>
          <w:p w14:paraId="029C6A75" w14:textId="77777777" w:rsidR="003F3DB8" w:rsidRPr="00CF77C1" w:rsidRDefault="003F3DB8" w:rsidP="0080044B">
            <w:pPr>
              <w:spacing w:before="0" w:after="0"/>
              <w:jc w:val="right"/>
              <w:rPr>
                <w:szCs w:val="24"/>
                <w:lang w:val="sr-Cyrl-RS"/>
              </w:rPr>
            </w:pPr>
            <w:r w:rsidRPr="00CF77C1">
              <w:rPr>
                <w:szCs w:val="24"/>
                <w:lang w:val="sr-Cyrl-RS"/>
              </w:rPr>
              <w:t>325,707</w:t>
            </w:r>
          </w:p>
        </w:tc>
      </w:tr>
      <w:tr w:rsidR="003F3DB8" w:rsidRPr="00CF77C1" w14:paraId="78E93BA9"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10D882A7" w14:textId="77777777" w:rsidR="003F3DB8" w:rsidRPr="00CF77C1" w:rsidRDefault="003F3DB8" w:rsidP="0080044B">
            <w:pPr>
              <w:spacing w:before="0" w:after="0"/>
              <w:jc w:val="left"/>
              <w:rPr>
                <w:szCs w:val="24"/>
                <w:lang w:val="sr-Cyrl-RS"/>
              </w:rPr>
            </w:pPr>
          </w:p>
        </w:tc>
        <w:tc>
          <w:tcPr>
            <w:tcW w:w="4820" w:type="dxa"/>
            <w:tcBorders>
              <w:top w:val="nil"/>
              <w:left w:val="nil"/>
              <w:bottom w:val="single" w:sz="4" w:space="0" w:color="auto"/>
              <w:right w:val="single" w:sz="4" w:space="0" w:color="auto"/>
            </w:tcBorders>
            <w:shd w:val="clear" w:color="auto" w:fill="auto"/>
            <w:vAlign w:val="center"/>
            <w:hideMark/>
          </w:tcPr>
          <w:p w14:paraId="5D18F305" w14:textId="77777777" w:rsidR="003F3DB8" w:rsidRPr="00CF77C1" w:rsidRDefault="003F3DB8" w:rsidP="0080044B">
            <w:pPr>
              <w:spacing w:before="0" w:after="0"/>
              <w:jc w:val="left"/>
              <w:rPr>
                <w:szCs w:val="24"/>
                <w:lang w:val="sr-Cyrl-RS"/>
              </w:rPr>
            </w:pPr>
            <w:r w:rsidRPr="00CF77C1">
              <w:rPr>
                <w:szCs w:val="24"/>
                <w:lang w:val="sr-Cyrl-RS"/>
              </w:rPr>
              <w:t>Организационо техничке</w:t>
            </w:r>
          </w:p>
        </w:tc>
        <w:tc>
          <w:tcPr>
            <w:tcW w:w="2835" w:type="dxa"/>
            <w:tcBorders>
              <w:top w:val="nil"/>
              <w:left w:val="nil"/>
              <w:bottom w:val="single" w:sz="4" w:space="0" w:color="auto"/>
              <w:right w:val="single" w:sz="4" w:space="0" w:color="auto"/>
            </w:tcBorders>
            <w:shd w:val="clear" w:color="auto" w:fill="auto"/>
            <w:noWrap/>
            <w:vAlign w:val="center"/>
            <w:hideMark/>
          </w:tcPr>
          <w:p w14:paraId="212FE30E" w14:textId="77777777" w:rsidR="003F3DB8" w:rsidRPr="00CF77C1" w:rsidRDefault="003F3DB8" w:rsidP="0080044B">
            <w:pPr>
              <w:spacing w:before="0" w:after="0"/>
              <w:jc w:val="left"/>
              <w:rPr>
                <w:szCs w:val="24"/>
                <w:lang w:val="sr-Cyrl-RS"/>
              </w:rPr>
            </w:pPr>
            <w:r w:rsidRPr="00CF77C1">
              <w:rPr>
                <w:szCs w:val="24"/>
                <w:lang w:val="sr-Cyrl-RS"/>
              </w:rPr>
              <w:t>Топлотна</w:t>
            </w:r>
          </w:p>
        </w:tc>
        <w:tc>
          <w:tcPr>
            <w:tcW w:w="1417" w:type="dxa"/>
            <w:tcBorders>
              <w:top w:val="nil"/>
              <w:left w:val="nil"/>
              <w:bottom w:val="single" w:sz="4" w:space="0" w:color="auto"/>
              <w:right w:val="single" w:sz="4" w:space="0" w:color="auto"/>
            </w:tcBorders>
            <w:shd w:val="clear" w:color="auto" w:fill="auto"/>
            <w:noWrap/>
            <w:vAlign w:val="center"/>
          </w:tcPr>
          <w:p w14:paraId="45265A91" w14:textId="77777777" w:rsidR="003F3DB8" w:rsidRPr="00CF77C1" w:rsidRDefault="003F3DB8" w:rsidP="0080044B">
            <w:pPr>
              <w:spacing w:before="0" w:after="0"/>
              <w:jc w:val="right"/>
              <w:rPr>
                <w:szCs w:val="24"/>
                <w:lang w:val="sr-Cyrl-RS"/>
              </w:rPr>
            </w:pPr>
            <w:r w:rsidRPr="00CF77C1">
              <w:rPr>
                <w:szCs w:val="24"/>
                <w:lang w:val="sr-Cyrl-RS"/>
              </w:rPr>
              <w:t>19,961</w:t>
            </w:r>
          </w:p>
        </w:tc>
        <w:tc>
          <w:tcPr>
            <w:tcW w:w="1621" w:type="dxa"/>
            <w:tcBorders>
              <w:top w:val="nil"/>
              <w:left w:val="nil"/>
              <w:bottom w:val="single" w:sz="4" w:space="0" w:color="auto"/>
              <w:right w:val="single" w:sz="4" w:space="0" w:color="auto"/>
            </w:tcBorders>
            <w:shd w:val="clear" w:color="auto" w:fill="auto"/>
            <w:noWrap/>
            <w:vAlign w:val="center"/>
          </w:tcPr>
          <w:p w14:paraId="6B6D3547" w14:textId="77777777" w:rsidR="003F3DB8" w:rsidRPr="00CF77C1" w:rsidRDefault="003F3DB8" w:rsidP="0080044B">
            <w:pPr>
              <w:spacing w:before="0" w:after="0"/>
              <w:jc w:val="center"/>
              <w:rPr>
                <w:szCs w:val="24"/>
                <w:lang w:val="sr-Cyrl-RS"/>
              </w:rPr>
            </w:pPr>
            <w:r w:rsidRPr="00CF77C1">
              <w:rPr>
                <w:szCs w:val="24"/>
                <w:lang w:val="sr-Cyrl-RS"/>
              </w:rPr>
              <w:t>Gcal</w:t>
            </w:r>
          </w:p>
        </w:tc>
        <w:tc>
          <w:tcPr>
            <w:tcW w:w="2080" w:type="dxa"/>
            <w:tcBorders>
              <w:top w:val="nil"/>
              <w:left w:val="nil"/>
              <w:bottom w:val="single" w:sz="4" w:space="0" w:color="auto"/>
              <w:right w:val="single" w:sz="8" w:space="0" w:color="auto"/>
            </w:tcBorders>
            <w:shd w:val="clear" w:color="auto" w:fill="auto"/>
            <w:noWrap/>
            <w:vAlign w:val="center"/>
          </w:tcPr>
          <w:p w14:paraId="57A1E55E" w14:textId="77777777" w:rsidR="003F3DB8" w:rsidRPr="00CF77C1" w:rsidRDefault="003F3DB8" w:rsidP="0080044B">
            <w:pPr>
              <w:spacing w:before="0" w:after="0"/>
              <w:jc w:val="right"/>
              <w:rPr>
                <w:szCs w:val="24"/>
                <w:lang w:val="sr-Cyrl-RS"/>
              </w:rPr>
            </w:pPr>
            <w:r w:rsidRPr="00CF77C1">
              <w:rPr>
                <w:szCs w:val="24"/>
                <w:lang w:val="sr-Cyrl-RS"/>
              </w:rPr>
              <w:t>92,457</w:t>
            </w:r>
          </w:p>
        </w:tc>
      </w:tr>
      <w:tr w:rsidR="003F3DB8" w:rsidRPr="00CF77C1" w14:paraId="1A9D5D7E"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26A2AD8B" w14:textId="77777777" w:rsidR="003F3DB8" w:rsidRPr="00CF77C1" w:rsidRDefault="003F3DB8" w:rsidP="0080044B">
            <w:pPr>
              <w:spacing w:before="0" w:after="0"/>
              <w:jc w:val="left"/>
              <w:rPr>
                <w:szCs w:val="24"/>
                <w:lang w:val="sr-Cyrl-RS"/>
              </w:rPr>
            </w:pPr>
          </w:p>
        </w:tc>
        <w:tc>
          <w:tcPr>
            <w:tcW w:w="4820" w:type="dxa"/>
            <w:tcBorders>
              <w:top w:val="nil"/>
              <w:left w:val="nil"/>
              <w:bottom w:val="single" w:sz="4" w:space="0" w:color="auto"/>
              <w:right w:val="single" w:sz="4" w:space="0" w:color="auto"/>
            </w:tcBorders>
            <w:shd w:val="clear" w:color="auto" w:fill="auto"/>
            <w:vAlign w:val="center"/>
            <w:hideMark/>
          </w:tcPr>
          <w:p w14:paraId="49E87DBE" w14:textId="77777777" w:rsidR="003F3DB8" w:rsidRPr="00CF77C1" w:rsidRDefault="003F3DB8" w:rsidP="0080044B">
            <w:pPr>
              <w:spacing w:before="0" w:after="0"/>
              <w:jc w:val="left"/>
              <w:rPr>
                <w:szCs w:val="24"/>
                <w:lang w:val="sr-Cyrl-RS"/>
              </w:rPr>
            </w:pPr>
            <w:r w:rsidRPr="00CF77C1">
              <w:rPr>
                <w:szCs w:val="24"/>
                <w:lang w:val="sr-Cyrl-RS"/>
              </w:rPr>
              <w:t>Инвестиционе мере за повећање енергетске ефикасности</w:t>
            </w:r>
          </w:p>
        </w:tc>
        <w:tc>
          <w:tcPr>
            <w:tcW w:w="2835" w:type="dxa"/>
            <w:tcBorders>
              <w:top w:val="nil"/>
              <w:left w:val="nil"/>
              <w:bottom w:val="single" w:sz="4" w:space="0" w:color="auto"/>
              <w:right w:val="single" w:sz="4" w:space="0" w:color="auto"/>
            </w:tcBorders>
            <w:shd w:val="clear" w:color="auto" w:fill="auto"/>
            <w:noWrap/>
            <w:vAlign w:val="center"/>
            <w:hideMark/>
          </w:tcPr>
          <w:p w14:paraId="772CD077" w14:textId="77777777" w:rsidR="003F3DB8" w:rsidRPr="00CF77C1" w:rsidRDefault="003F3DB8" w:rsidP="0080044B">
            <w:pPr>
              <w:spacing w:before="0" w:after="0"/>
              <w:jc w:val="left"/>
              <w:rPr>
                <w:szCs w:val="24"/>
                <w:lang w:val="sr-Cyrl-RS"/>
              </w:rPr>
            </w:pPr>
            <w:r w:rsidRPr="00CF77C1">
              <w:rPr>
                <w:szCs w:val="24"/>
                <w:lang w:val="sr-Cyrl-RS"/>
              </w:rPr>
              <w:t>Горива</w:t>
            </w:r>
          </w:p>
        </w:tc>
        <w:tc>
          <w:tcPr>
            <w:tcW w:w="1417" w:type="dxa"/>
            <w:tcBorders>
              <w:top w:val="nil"/>
              <w:left w:val="nil"/>
              <w:bottom w:val="single" w:sz="4" w:space="0" w:color="auto"/>
              <w:right w:val="single" w:sz="4" w:space="0" w:color="auto"/>
            </w:tcBorders>
            <w:shd w:val="clear" w:color="auto" w:fill="auto"/>
            <w:noWrap/>
            <w:vAlign w:val="center"/>
          </w:tcPr>
          <w:p w14:paraId="0D465B65" w14:textId="77777777" w:rsidR="003F3DB8" w:rsidRPr="00CF77C1" w:rsidRDefault="003F3DB8" w:rsidP="0080044B">
            <w:pPr>
              <w:spacing w:before="0" w:after="0"/>
              <w:jc w:val="right"/>
              <w:rPr>
                <w:szCs w:val="24"/>
                <w:lang w:val="sr-Cyrl-RS"/>
              </w:rPr>
            </w:pPr>
            <w:r w:rsidRPr="00CF77C1">
              <w:rPr>
                <w:szCs w:val="24"/>
                <w:lang w:val="sr-Cyrl-RS"/>
              </w:rPr>
              <w:t>25,447</w:t>
            </w:r>
          </w:p>
        </w:tc>
        <w:tc>
          <w:tcPr>
            <w:tcW w:w="1621" w:type="dxa"/>
            <w:tcBorders>
              <w:top w:val="nil"/>
              <w:left w:val="nil"/>
              <w:bottom w:val="single" w:sz="4" w:space="0" w:color="auto"/>
              <w:right w:val="single" w:sz="4" w:space="0" w:color="auto"/>
            </w:tcBorders>
            <w:shd w:val="clear" w:color="auto" w:fill="auto"/>
            <w:noWrap/>
            <w:vAlign w:val="center"/>
          </w:tcPr>
          <w:p w14:paraId="5F2CF666" w14:textId="2D6E4C5C" w:rsidR="003F3DB8" w:rsidRPr="00CF77C1" w:rsidRDefault="00D27CE2" w:rsidP="0080044B">
            <w:pPr>
              <w:spacing w:before="0" w:after="0"/>
              <w:jc w:val="center"/>
              <w:rPr>
                <w:szCs w:val="24"/>
                <w:lang w:val="sr-Cyrl-RS"/>
              </w:rPr>
            </w:pPr>
            <w:r w:rsidRPr="00CF77C1">
              <w:rPr>
                <w:szCs w:val="24"/>
                <w:lang w:val="sr-Cyrl-RS"/>
              </w:rPr>
              <w:t>тен</w:t>
            </w:r>
          </w:p>
        </w:tc>
        <w:tc>
          <w:tcPr>
            <w:tcW w:w="2080" w:type="dxa"/>
            <w:tcBorders>
              <w:top w:val="nil"/>
              <w:left w:val="nil"/>
              <w:bottom w:val="single" w:sz="4" w:space="0" w:color="auto"/>
              <w:right w:val="single" w:sz="8" w:space="0" w:color="auto"/>
            </w:tcBorders>
            <w:shd w:val="clear" w:color="auto" w:fill="auto"/>
            <w:noWrap/>
            <w:vAlign w:val="center"/>
          </w:tcPr>
          <w:p w14:paraId="5AF5968C" w14:textId="77777777" w:rsidR="003F3DB8" w:rsidRPr="00CF77C1" w:rsidRDefault="003F3DB8" w:rsidP="0080044B">
            <w:pPr>
              <w:spacing w:before="0" w:after="0"/>
              <w:jc w:val="right"/>
              <w:rPr>
                <w:szCs w:val="24"/>
                <w:lang w:val="sr-Cyrl-RS"/>
              </w:rPr>
            </w:pPr>
            <w:r w:rsidRPr="00CF77C1">
              <w:rPr>
                <w:szCs w:val="24"/>
                <w:lang w:val="sr-Cyrl-RS"/>
              </w:rPr>
              <w:t>622,752</w:t>
            </w:r>
          </w:p>
        </w:tc>
      </w:tr>
      <w:tr w:rsidR="003F3DB8" w:rsidRPr="00CF77C1" w14:paraId="52AE7817"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22185C14" w14:textId="77777777" w:rsidR="003F3DB8" w:rsidRPr="00CF77C1" w:rsidRDefault="003F3DB8" w:rsidP="0080044B">
            <w:pPr>
              <w:spacing w:before="0" w:after="0"/>
              <w:jc w:val="left"/>
              <w:rPr>
                <w:szCs w:val="24"/>
                <w:lang w:val="sr-Cyrl-RS"/>
              </w:rPr>
            </w:pPr>
          </w:p>
        </w:tc>
        <w:tc>
          <w:tcPr>
            <w:tcW w:w="4820" w:type="dxa"/>
            <w:tcBorders>
              <w:top w:val="nil"/>
              <w:left w:val="nil"/>
              <w:bottom w:val="single" w:sz="8" w:space="0" w:color="auto"/>
              <w:right w:val="single" w:sz="4" w:space="0" w:color="auto"/>
            </w:tcBorders>
            <w:shd w:val="clear" w:color="auto" w:fill="auto"/>
            <w:vAlign w:val="center"/>
            <w:hideMark/>
          </w:tcPr>
          <w:p w14:paraId="1B9132AD" w14:textId="77777777" w:rsidR="003F3DB8" w:rsidRPr="00CF77C1" w:rsidRDefault="003F3DB8" w:rsidP="0080044B">
            <w:pPr>
              <w:spacing w:before="0" w:after="0"/>
              <w:jc w:val="left"/>
              <w:rPr>
                <w:szCs w:val="24"/>
                <w:lang w:val="sr-Cyrl-RS"/>
              </w:rPr>
            </w:pPr>
            <w:r w:rsidRPr="00CF77C1">
              <w:rPr>
                <w:szCs w:val="24"/>
                <w:lang w:val="sr-Cyrl-RS"/>
              </w:rPr>
              <w:t>Организационо техничке</w:t>
            </w:r>
          </w:p>
        </w:tc>
        <w:tc>
          <w:tcPr>
            <w:tcW w:w="2835" w:type="dxa"/>
            <w:tcBorders>
              <w:top w:val="nil"/>
              <w:left w:val="nil"/>
              <w:bottom w:val="single" w:sz="8" w:space="0" w:color="auto"/>
              <w:right w:val="single" w:sz="4" w:space="0" w:color="auto"/>
            </w:tcBorders>
            <w:shd w:val="clear" w:color="auto" w:fill="auto"/>
            <w:noWrap/>
            <w:vAlign w:val="center"/>
            <w:hideMark/>
          </w:tcPr>
          <w:p w14:paraId="2C51CE4C" w14:textId="77777777" w:rsidR="003F3DB8" w:rsidRPr="00CF77C1" w:rsidRDefault="003F3DB8" w:rsidP="0080044B">
            <w:pPr>
              <w:spacing w:before="0" w:after="0"/>
              <w:jc w:val="left"/>
              <w:rPr>
                <w:szCs w:val="24"/>
                <w:lang w:val="sr-Cyrl-RS"/>
              </w:rPr>
            </w:pPr>
            <w:r w:rsidRPr="00CF77C1">
              <w:rPr>
                <w:szCs w:val="24"/>
                <w:lang w:val="sr-Cyrl-RS"/>
              </w:rPr>
              <w:t>Горива</w:t>
            </w:r>
          </w:p>
        </w:tc>
        <w:tc>
          <w:tcPr>
            <w:tcW w:w="1417" w:type="dxa"/>
            <w:tcBorders>
              <w:top w:val="nil"/>
              <w:left w:val="nil"/>
              <w:bottom w:val="single" w:sz="8" w:space="0" w:color="auto"/>
              <w:right w:val="single" w:sz="4" w:space="0" w:color="auto"/>
            </w:tcBorders>
            <w:shd w:val="clear" w:color="auto" w:fill="auto"/>
            <w:noWrap/>
            <w:vAlign w:val="center"/>
          </w:tcPr>
          <w:p w14:paraId="5963FCF8" w14:textId="77777777" w:rsidR="003F3DB8" w:rsidRPr="00CF77C1" w:rsidRDefault="003F3DB8" w:rsidP="0080044B">
            <w:pPr>
              <w:spacing w:before="0" w:after="0"/>
              <w:jc w:val="right"/>
              <w:rPr>
                <w:szCs w:val="24"/>
                <w:lang w:val="sr-Cyrl-RS"/>
              </w:rPr>
            </w:pPr>
            <w:r w:rsidRPr="00CF77C1">
              <w:rPr>
                <w:szCs w:val="24"/>
                <w:lang w:val="sr-Cyrl-RS"/>
              </w:rPr>
              <w:t>3,400</w:t>
            </w:r>
          </w:p>
        </w:tc>
        <w:tc>
          <w:tcPr>
            <w:tcW w:w="1621" w:type="dxa"/>
            <w:tcBorders>
              <w:top w:val="nil"/>
              <w:left w:val="nil"/>
              <w:bottom w:val="single" w:sz="8" w:space="0" w:color="auto"/>
              <w:right w:val="single" w:sz="4" w:space="0" w:color="auto"/>
            </w:tcBorders>
            <w:shd w:val="clear" w:color="auto" w:fill="auto"/>
            <w:noWrap/>
            <w:vAlign w:val="center"/>
          </w:tcPr>
          <w:p w14:paraId="6BEC9B3F" w14:textId="362FF910" w:rsidR="003F3DB8" w:rsidRPr="00CF77C1" w:rsidRDefault="00D27CE2" w:rsidP="0080044B">
            <w:pPr>
              <w:spacing w:before="0" w:after="0"/>
              <w:jc w:val="center"/>
              <w:rPr>
                <w:szCs w:val="24"/>
                <w:lang w:val="sr-Cyrl-RS"/>
              </w:rPr>
            </w:pPr>
            <w:r w:rsidRPr="00CF77C1">
              <w:rPr>
                <w:szCs w:val="24"/>
                <w:lang w:val="sr-Cyrl-RS"/>
              </w:rPr>
              <w:t>тен</w:t>
            </w:r>
          </w:p>
        </w:tc>
        <w:tc>
          <w:tcPr>
            <w:tcW w:w="2080" w:type="dxa"/>
            <w:tcBorders>
              <w:top w:val="nil"/>
              <w:left w:val="nil"/>
              <w:bottom w:val="single" w:sz="8" w:space="0" w:color="auto"/>
              <w:right w:val="single" w:sz="8" w:space="0" w:color="auto"/>
            </w:tcBorders>
            <w:shd w:val="clear" w:color="auto" w:fill="auto"/>
            <w:noWrap/>
            <w:vAlign w:val="center"/>
          </w:tcPr>
          <w:p w14:paraId="6F0CA1F7" w14:textId="77777777" w:rsidR="003F3DB8" w:rsidRPr="00CF77C1" w:rsidRDefault="003F3DB8" w:rsidP="0080044B">
            <w:pPr>
              <w:spacing w:before="0" w:after="0"/>
              <w:jc w:val="right"/>
              <w:rPr>
                <w:szCs w:val="24"/>
                <w:lang w:val="sr-Cyrl-RS"/>
              </w:rPr>
            </w:pPr>
            <w:r w:rsidRPr="00CF77C1">
              <w:rPr>
                <w:szCs w:val="24"/>
                <w:lang w:val="sr-Cyrl-RS"/>
              </w:rPr>
              <w:t>80,192</w:t>
            </w:r>
          </w:p>
        </w:tc>
      </w:tr>
      <w:tr w:rsidR="003F3DB8" w:rsidRPr="00CF77C1" w14:paraId="1C658D3E" w14:textId="77777777" w:rsidTr="003F3DB8">
        <w:trPr>
          <w:cantSplit/>
          <w:trHeight w:val="601"/>
        </w:trPr>
        <w:tc>
          <w:tcPr>
            <w:tcW w:w="1860" w:type="dxa"/>
            <w:vMerge w:val="restart"/>
            <w:tcBorders>
              <w:top w:val="nil"/>
              <w:left w:val="single" w:sz="8" w:space="0" w:color="auto"/>
              <w:bottom w:val="single" w:sz="8" w:space="0" w:color="000000"/>
              <w:right w:val="single" w:sz="4" w:space="0" w:color="auto"/>
            </w:tcBorders>
            <w:shd w:val="clear" w:color="auto" w:fill="auto"/>
            <w:noWrap/>
            <w:hideMark/>
          </w:tcPr>
          <w:p w14:paraId="0A41F1D6" w14:textId="77777777" w:rsidR="003F3DB8" w:rsidRPr="00CF77C1" w:rsidRDefault="003F3DB8" w:rsidP="0080044B">
            <w:pPr>
              <w:spacing w:before="0" w:after="0"/>
              <w:jc w:val="center"/>
              <w:rPr>
                <w:szCs w:val="24"/>
                <w:lang w:val="sr-Cyrl-RS"/>
              </w:rPr>
            </w:pPr>
            <w:r w:rsidRPr="00CF77C1">
              <w:rPr>
                <w:szCs w:val="24"/>
                <w:lang w:val="sr-Cyrl-RS"/>
              </w:rPr>
              <w:t>Енергетика</w:t>
            </w:r>
          </w:p>
        </w:tc>
        <w:tc>
          <w:tcPr>
            <w:tcW w:w="4820" w:type="dxa"/>
            <w:tcBorders>
              <w:top w:val="nil"/>
              <w:left w:val="nil"/>
              <w:bottom w:val="single" w:sz="4" w:space="0" w:color="auto"/>
              <w:right w:val="single" w:sz="4" w:space="0" w:color="auto"/>
            </w:tcBorders>
            <w:shd w:val="clear" w:color="auto" w:fill="auto"/>
            <w:vAlign w:val="center"/>
            <w:hideMark/>
          </w:tcPr>
          <w:p w14:paraId="1EE74C4D" w14:textId="77777777" w:rsidR="003F3DB8" w:rsidRPr="00CF77C1" w:rsidRDefault="003F3DB8" w:rsidP="0080044B">
            <w:pPr>
              <w:spacing w:before="0" w:after="0"/>
              <w:jc w:val="left"/>
              <w:rPr>
                <w:szCs w:val="24"/>
                <w:lang w:val="sr-Cyrl-RS"/>
              </w:rPr>
            </w:pPr>
            <w:r w:rsidRPr="00CF77C1">
              <w:rPr>
                <w:szCs w:val="24"/>
                <w:lang w:val="sr-Cyrl-RS"/>
              </w:rPr>
              <w:t>Уградња енергетски ефикасније опреме</w:t>
            </w:r>
          </w:p>
        </w:tc>
        <w:tc>
          <w:tcPr>
            <w:tcW w:w="2835" w:type="dxa"/>
            <w:tcBorders>
              <w:top w:val="nil"/>
              <w:left w:val="nil"/>
              <w:bottom w:val="single" w:sz="4" w:space="0" w:color="auto"/>
              <w:right w:val="single" w:sz="4" w:space="0" w:color="auto"/>
            </w:tcBorders>
            <w:shd w:val="clear" w:color="auto" w:fill="auto"/>
            <w:vAlign w:val="center"/>
            <w:hideMark/>
          </w:tcPr>
          <w:p w14:paraId="2A66EA3C"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4" w:space="0" w:color="auto"/>
              <w:right w:val="single" w:sz="4" w:space="0" w:color="auto"/>
            </w:tcBorders>
            <w:shd w:val="clear" w:color="auto" w:fill="auto"/>
            <w:noWrap/>
            <w:vAlign w:val="center"/>
          </w:tcPr>
          <w:p w14:paraId="4934C57B" w14:textId="77777777" w:rsidR="003F3DB8" w:rsidRPr="00CF77C1" w:rsidRDefault="003F3DB8" w:rsidP="0080044B">
            <w:pPr>
              <w:spacing w:before="0" w:after="0"/>
              <w:jc w:val="right"/>
              <w:rPr>
                <w:szCs w:val="24"/>
                <w:lang w:val="sr-Cyrl-RS"/>
              </w:rPr>
            </w:pPr>
            <w:r w:rsidRPr="00CF77C1">
              <w:rPr>
                <w:szCs w:val="24"/>
                <w:lang w:val="sr-Cyrl-RS"/>
              </w:rPr>
              <w:t>940</w:t>
            </w:r>
          </w:p>
        </w:tc>
        <w:tc>
          <w:tcPr>
            <w:tcW w:w="1621" w:type="dxa"/>
            <w:tcBorders>
              <w:top w:val="nil"/>
              <w:left w:val="nil"/>
              <w:bottom w:val="single" w:sz="4" w:space="0" w:color="auto"/>
              <w:right w:val="single" w:sz="4" w:space="0" w:color="auto"/>
            </w:tcBorders>
            <w:shd w:val="clear" w:color="auto" w:fill="auto"/>
            <w:noWrap/>
            <w:vAlign w:val="center"/>
          </w:tcPr>
          <w:p w14:paraId="0888D6AE"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4" w:space="0" w:color="auto"/>
              <w:right w:val="single" w:sz="8" w:space="0" w:color="auto"/>
            </w:tcBorders>
            <w:shd w:val="clear" w:color="auto" w:fill="auto"/>
            <w:noWrap/>
            <w:vAlign w:val="center"/>
          </w:tcPr>
          <w:p w14:paraId="04A08045" w14:textId="77777777" w:rsidR="003F3DB8" w:rsidRPr="00CF77C1" w:rsidRDefault="003F3DB8" w:rsidP="0080044B">
            <w:pPr>
              <w:spacing w:before="0" w:after="0"/>
              <w:jc w:val="right"/>
              <w:rPr>
                <w:szCs w:val="24"/>
                <w:lang w:val="sr-Cyrl-RS"/>
              </w:rPr>
            </w:pPr>
            <w:r w:rsidRPr="00CF77C1">
              <w:rPr>
                <w:szCs w:val="24"/>
                <w:lang w:val="sr-Cyrl-RS"/>
              </w:rPr>
              <w:t>5,800</w:t>
            </w:r>
          </w:p>
        </w:tc>
      </w:tr>
      <w:tr w:rsidR="003F3DB8" w:rsidRPr="00CF77C1" w14:paraId="215A9869"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7EE84382" w14:textId="77777777" w:rsidR="003F3DB8" w:rsidRPr="00CF77C1" w:rsidRDefault="003F3DB8" w:rsidP="0080044B">
            <w:pPr>
              <w:spacing w:before="0" w:after="0"/>
              <w:jc w:val="left"/>
              <w:rPr>
                <w:szCs w:val="24"/>
                <w:lang w:val="sr-Cyrl-RS"/>
              </w:rPr>
            </w:pPr>
          </w:p>
        </w:tc>
        <w:tc>
          <w:tcPr>
            <w:tcW w:w="4820" w:type="dxa"/>
            <w:tcBorders>
              <w:top w:val="nil"/>
              <w:left w:val="nil"/>
              <w:bottom w:val="single" w:sz="4" w:space="0" w:color="auto"/>
              <w:right w:val="single" w:sz="4" w:space="0" w:color="auto"/>
            </w:tcBorders>
            <w:shd w:val="clear" w:color="auto" w:fill="auto"/>
            <w:vAlign w:val="center"/>
            <w:hideMark/>
          </w:tcPr>
          <w:p w14:paraId="2F72D713" w14:textId="77777777" w:rsidR="003F3DB8" w:rsidRPr="00CF77C1" w:rsidRDefault="003F3DB8" w:rsidP="0080044B">
            <w:pPr>
              <w:spacing w:before="0" w:after="0"/>
              <w:jc w:val="left"/>
              <w:rPr>
                <w:szCs w:val="24"/>
                <w:lang w:val="sr-Cyrl-RS"/>
              </w:rPr>
            </w:pPr>
            <w:r w:rsidRPr="00CF77C1">
              <w:rPr>
                <w:szCs w:val="24"/>
                <w:lang w:val="sr-Cyrl-RS"/>
              </w:rPr>
              <w:t>Аутоматизација и модернизација погона</w:t>
            </w:r>
          </w:p>
        </w:tc>
        <w:tc>
          <w:tcPr>
            <w:tcW w:w="2835" w:type="dxa"/>
            <w:tcBorders>
              <w:top w:val="nil"/>
              <w:left w:val="nil"/>
              <w:bottom w:val="single" w:sz="4" w:space="0" w:color="auto"/>
              <w:right w:val="single" w:sz="4" w:space="0" w:color="auto"/>
            </w:tcBorders>
            <w:shd w:val="clear" w:color="auto" w:fill="auto"/>
            <w:vAlign w:val="center"/>
            <w:hideMark/>
          </w:tcPr>
          <w:p w14:paraId="63B1CFB0"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4" w:space="0" w:color="auto"/>
              <w:right w:val="single" w:sz="4" w:space="0" w:color="auto"/>
            </w:tcBorders>
            <w:shd w:val="clear" w:color="auto" w:fill="auto"/>
            <w:noWrap/>
            <w:vAlign w:val="center"/>
          </w:tcPr>
          <w:p w14:paraId="37798055" w14:textId="77777777" w:rsidR="003F3DB8" w:rsidRPr="00CF77C1" w:rsidRDefault="003F3DB8" w:rsidP="0080044B">
            <w:pPr>
              <w:spacing w:before="0" w:after="0"/>
              <w:jc w:val="right"/>
              <w:rPr>
                <w:szCs w:val="24"/>
                <w:lang w:val="sr-Cyrl-RS"/>
              </w:rPr>
            </w:pPr>
            <w:r w:rsidRPr="00CF77C1">
              <w:rPr>
                <w:szCs w:val="24"/>
                <w:lang w:val="sr-Cyrl-RS"/>
              </w:rPr>
              <w:t>2,427</w:t>
            </w:r>
          </w:p>
        </w:tc>
        <w:tc>
          <w:tcPr>
            <w:tcW w:w="1621" w:type="dxa"/>
            <w:tcBorders>
              <w:top w:val="nil"/>
              <w:left w:val="nil"/>
              <w:bottom w:val="single" w:sz="4" w:space="0" w:color="auto"/>
              <w:right w:val="single" w:sz="4" w:space="0" w:color="auto"/>
            </w:tcBorders>
            <w:shd w:val="clear" w:color="auto" w:fill="auto"/>
            <w:noWrap/>
            <w:vAlign w:val="center"/>
          </w:tcPr>
          <w:p w14:paraId="4B3D1E36"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4" w:space="0" w:color="auto"/>
              <w:right w:val="single" w:sz="8" w:space="0" w:color="auto"/>
            </w:tcBorders>
            <w:shd w:val="clear" w:color="auto" w:fill="auto"/>
            <w:noWrap/>
            <w:vAlign w:val="center"/>
          </w:tcPr>
          <w:p w14:paraId="02BCD596" w14:textId="77777777" w:rsidR="003F3DB8" w:rsidRPr="00CF77C1" w:rsidRDefault="003F3DB8" w:rsidP="0080044B">
            <w:pPr>
              <w:spacing w:before="0" w:after="0"/>
              <w:jc w:val="right"/>
              <w:rPr>
                <w:szCs w:val="24"/>
                <w:lang w:val="sr-Cyrl-RS"/>
              </w:rPr>
            </w:pPr>
            <w:r w:rsidRPr="00CF77C1">
              <w:rPr>
                <w:szCs w:val="24"/>
                <w:lang w:val="sr-Cyrl-RS"/>
              </w:rPr>
              <w:t>17,212</w:t>
            </w:r>
          </w:p>
        </w:tc>
      </w:tr>
      <w:tr w:rsidR="003F3DB8" w:rsidRPr="00CF77C1" w14:paraId="00D5C87E"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2B95C179" w14:textId="77777777" w:rsidR="003F3DB8" w:rsidRPr="00CF77C1" w:rsidRDefault="003F3DB8" w:rsidP="0080044B">
            <w:pPr>
              <w:spacing w:before="0" w:after="0"/>
              <w:jc w:val="left"/>
              <w:rPr>
                <w:szCs w:val="24"/>
                <w:lang w:val="sr-Cyrl-RS"/>
              </w:rPr>
            </w:pPr>
          </w:p>
        </w:tc>
        <w:tc>
          <w:tcPr>
            <w:tcW w:w="4820" w:type="dxa"/>
            <w:tcBorders>
              <w:top w:val="nil"/>
              <w:left w:val="nil"/>
              <w:bottom w:val="single" w:sz="4" w:space="0" w:color="auto"/>
              <w:right w:val="single" w:sz="4" w:space="0" w:color="auto"/>
            </w:tcBorders>
            <w:shd w:val="clear" w:color="auto" w:fill="auto"/>
            <w:vAlign w:val="center"/>
            <w:hideMark/>
          </w:tcPr>
          <w:p w14:paraId="2B2C1AD2" w14:textId="77777777" w:rsidR="003F3DB8" w:rsidRPr="00CF77C1" w:rsidRDefault="003F3DB8" w:rsidP="0080044B">
            <w:pPr>
              <w:spacing w:before="0" w:after="0"/>
              <w:jc w:val="left"/>
              <w:rPr>
                <w:szCs w:val="24"/>
                <w:lang w:val="sr-Cyrl-RS"/>
              </w:rPr>
            </w:pPr>
            <w:r w:rsidRPr="00CF77C1">
              <w:rPr>
                <w:szCs w:val="24"/>
                <w:lang w:val="sr-Cyrl-RS"/>
              </w:rPr>
              <w:t>Реконструкција дела погона</w:t>
            </w:r>
          </w:p>
        </w:tc>
        <w:tc>
          <w:tcPr>
            <w:tcW w:w="2835" w:type="dxa"/>
            <w:tcBorders>
              <w:top w:val="nil"/>
              <w:left w:val="nil"/>
              <w:bottom w:val="single" w:sz="4" w:space="0" w:color="auto"/>
              <w:right w:val="single" w:sz="4" w:space="0" w:color="auto"/>
            </w:tcBorders>
            <w:shd w:val="clear" w:color="auto" w:fill="auto"/>
            <w:noWrap/>
            <w:vAlign w:val="center"/>
            <w:hideMark/>
          </w:tcPr>
          <w:p w14:paraId="560DB84A" w14:textId="77777777" w:rsidR="003F3DB8" w:rsidRPr="00CF77C1" w:rsidRDefault="003F3DB8" w:rsidP="0080044B">
            <w:pPr>
              <w:spacing w:before="0" w:after="0"/>
              <w:jc w:val="left"/>
              <w:rPr>
                <w:szCs w:val="24"/>
                <w:lang w:val="sr-Cyrl-RS"/>
              </w:rPr>
            </w:pPr>
            <w:r w:rsidRPr="00CF77C1">
              <w:rPr>
                <w:szCs w:val="24"/>
                <w:lang w:val="sr-Cyrl-RS"/>
              </w:rPr>
              <w:t>Топлотна</w:t>
            </w:r>
          </w:p>
        </w:tc>
        <w:tc>
          <w:tcPr>
            <w:tcW w:w="1417" w:type="dxa"/>
            <w:tcBorders>
              <w:top w:val="nil"/>
              <w:left w:val="nil"/>
              <w:bottom w:val="single" w:sz="4" w:space="0" w:color="auto"/>
              <w:right w:val="single" w:sz="4" w:space="0" w:color="auto"/>
            </w:tcBorders>
            <w:shd w:val="clear" w:color="auto" w:fill="auto"/>
            <w:noWrap/>
            <w:vAlign w:val="center"/>
          </w:tcPr>
          <w:p w14:paraId="6763CC17" w14:textId="77777777" w:rsidR="003F3DB8" w:rsidRPr="00CF77C1" w:rsidRDefault="003F3DB8" w:rsidP="0080044B">
            <w:pPr>
              <w:spacing w:before="0" w:after="0"/>
              <w:jc w:val="right"/>
              <w:rPr>
                <w:szCs w:val="24"/>
                <w:lang w:val="sr-Cyrl-RS"/>
              </w:rPr>
            </w:pPr>
            <w:r w:rsidRPr="00CF77C1">
              <w:rPr>
                <w:szCs w:val="24"/>
                <w:lang w:val="sr-Cyrl-RS"/>
              </w:rPr>
              <w:t>87</w:t>
            </w:r>
          </w:p>
        </w:tc>
        <w:tc>
          <w:tcPr>
            <w:tcW w:w="1621" w:type="dxa"/>
            <w:tcBorders>
              <w:top w:val="nil"/>
              <w:left w:val="nil"/>
              <w:bottom w:val="single" w:sz="4" w:space="0" w:color="auto"/>
              <w:right w:val="single" w:sz="4" w:space="0" w:color="auto"/>
            </w:tcBorders>
            <w:shd w:val="clear" w:color="auto" w:fill="auto"/>
            <w:noWrap/>
            <w:vAlign w:val="center"/>
          </w:tcPr>
          <w:p w14:paraId="7A998D0E" w14:textId="77777777" w:rsidR="003F3DB8" w:rsidRPr="00CF77C1" w:rsidRDefault="003F3DB8" w:rsidP="0080044B">
            <w:pPr>
              <w:spacing w:before="0" w:after="0"/>
              <w:jc w:val="center"/>
              <w:rPr>
                <w:szCs w:val="24"/>
                <w:lang w:val="sr-Cyrl-RS"/>
              </w:rPr>
            </w:pPr>
            <w:r w:rsidRPr="00CF77C1">
              <w:rPr>
                <w:szCs w:val="24"/>
                <w:lang w:val="sr-Cyrl-RS"/>
              </w:rPr>
              <w:t>Gcal</w:t>
            </w:r>
          </w:p>
        </w:tc>
        <w:tc>
          <w:tcPr>
            <w:tcW w:w="2080" w:type="dxa"/>
            <w:tcBorders>
              <w:top w:val="nil"/>
              <w:left w:val="nil"/>
              <w:bottom w:val="single" w:sz="4" w:space="0" w:color="auto"/>
              <w:right w:val="single" w:sz="8" w:space="0" w:color="auto"/>
            </w:tcBorders>
            <w:shd w:val="clear" w:color="auto" w:fill="auto"/>
            <w:noWrap/>
            <w:vAlign w:val="center"/>
          </w:tcPr>
          <w:p w14:paraId="6FC55834" w14:textId="77777777" w:rsidR="003F3DB8" w:rsidRPr="00CF77C1" w:rsidRDefault="003F3DB8" w:rsidP="0080044B">
            <w:pPr>
              <w:spacing w:before="0" w:after="0"/>
              <w:jc w:val="right"/>
              <w:rPr>
                <w:szCs w:val="24"/>
                <w:lang w:val="sr-Cyrl-RS"/>
              </w:rPr>
            </w:pPr>
            <w:r w:rsidRPr="00CF77C1">
              <w:rPr>
                <w:szCs w:val="24"/>
                <w:lang w:val="sr-Cyrl-RS"/>
              </w:rPr>
              <w:t>803</w:t>
            </w:r>
          </w:p>
        </w:tc>
      </w:tr>
      <w:tr w:rsidR="003F3DB8" w:rsidRPr="00CF77C1" w14:paraId="1942443D"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24793828" w14:textId="77777777" w:rsidR="003F3DB8" w:rsidRPr="00CF77C1" w:rsidRDefault="003F3DB8" w:rsidP="0080044B">
            <w:pPr>
              <w:spacing w:before="0" w:after="0"/>
              <w:jc w:val="left"/>
              <w:rPr>
                <w:szCs w:val="24"/>
                <w:lang w:val="sr-Cyrl-RS"/>
              </w:rPr>
            </w:pPr>
          </w:p>
        </w:tc>
        <w:tc>
          <w:tcPr>
            <w:tcW w:w="4820" w:type="dxa"/>
            <w:tcBorders>
              <w:top w:val="nil"/>
              <w:left w:val="nil"/>
              <w:bottom w:val="single" w:sz="8" w:space="0" w:color="auto"/>
              <w:right w:val="single" w:sz="4" w:space="0" w:color="auto"/>
            </w:tcBorders>
            <w:shd w:val="clear" w:color="auto" w:fill="auto"/>
            <w:vAlign w:val="center"/>
            <w:hideMark/>
          </w:tcPr>
          <w:p w14:paraId="596C1AB7" w14:textId="77777777" w:rsidR="003F3DB8" w:rsidRPr="00CF77C1" w:rsidRDefault="003F3DB8" w:rsidP="0080044B">
            <w:pPr>
              <w:spacing w:before="0" w:after="0"/>
              <w:jc w:val="left"/>
              <w:rPr>
                <w:szCs w:val="24"/>
                <w:lang w:val="sr-Cyrl-RS"/>
              </w:rPr>
            </w:pPr>
            <w:r w:rsidRPr="00CF77C1">
              <w:rPr>
                <w:szCs w:val="24"/>
                <w:lang w:val="sr-Cyrl-RS"/>
              </w:rPr>
              <w:t>Аутоматизација и модернизација погона</w:t>
            </w:r>
          </w:p>
        </w:tc>
        <w:tc>
          <w:tcPr>
            <w:tcW w:w="2835" w:type="dxa"/>
            <w:tcBorders>
              <w:top w:val="nil"/>
              <w:left w:val="nil"/>
              <w:bottom w:val="single" w:sz="8" w:space="0" w:color="auto"/>
              <w:right w:val="single" w:sz="4" w:space="0" w:color="auto"/>
            </w:tcBorders>
            <w:shd w:val="clear" w:color="auto" w:fill="auto"/>
            <w:noWrap/>
            <w:vAlign w:val="center"/>
            <w:hideMark/>
          </w:tcPr>
          <w:p w14:paraId="2349CF10" w14:textId="77777777" w:rsidR="003F3DB8" w:rsidRPr="00CF77C1" w:rsidRDefault="003F3DB8" w:rsidP="0080044B">
            <w:pPr>
              <w:spacing w:before="0" w:after="0"/>
              <w:jc w:val="left"/>
              <w:rPr>
                <w:szCs w:val="24"/>
                <w:lang w:val="sr-Cyrl-RS"/>
              </w:rPr>
            </w:pPr>
            <w:r w:rsidRPr="00CF77C1">
              <w:rPr>
                <w:szCs w:val="24"/>
                <w:lang w:val="sr-Cyrl-RS"/>
              </w:rPr>
              <w:t>Горива</w:t>
            </w:r>
          </w:p>
        </w:tc>
        <w:tc>
          <w:tcPr>
            <w:tcW w:w="1417" w:type="dxa"/>
            <w:tcBorders>
              <w:top w:val="nil"/>
              <w:left w:val="nil"/>
              <w:bottom w:val="single" w:sz="8" w:space="0" w:color="auto"/>
              <w:right w:val="single" w:sz="4" w:space="0" w:color="auto"/>
            </w:tcBorders>
            <w:shd w:val="clear" w:color="auto" w:fill="auto"/>
            <w:noWrap/>
            <w:vAlign w:val="center"/>
          </w:tcPr>
          <w:p w14:paraId="61995C3F" w14:textId="77777777" w:rsidR="003F3DB8" w:rsidRPr="00CF77C1" w:rsidRDefault="003F3DB8" w:rsidP="0080044B">
            <w:pPr>
              <w:spacing w:before="0" w:after="0"/>
              <w:jc w:val="right"/>
              <w:rPr>
                <w:szCs w:val="24"/>
                <w:lang w:val="sr-Cyrl-RS"/>
              </w:rPr>
            </w:pPr>
            <w:r w:rsidRPr="00CF77C1">
              <w:rPr>
                <w:szCs w:val="24"/>
                <w:lang w:val="sr-Cyrl-RS"/>
              </w:rPr>
              <w:t>668</w:t>
            </w:r>
          </w:p>
        </w:tc>
        <w:tc>
          <w:tcPr>
            <w:tcW w:w="1621" w:type="dxa"/>
            <w:tcBorders>
              <w:top w:val="nil"/>
              <w:left w:val="nil"/>
              <w:bottom w:val="single" w:sz="8" w:space="0" w:color="auto"/>
              <w:right w:val="single" w:sz="4" w:space="0" w:color="auto"/>
            </w:tcBorders>
            <w:shd w:val="clear" w:color="auto" w:fill="auto"/>
            <w:noWrap/>
            <w:vAlign w:val="center"/>
          </w:tcPr>
          <w:p w14:paraId="5374C902" w14:textId="70CE393C" w:rsidR="003F3DB8" w:rsidRPr="00CF77C1" w:rsidRDefault="00D27CE2" w:rsidP="0080044B">
            <w:pPr>
              <w:spacing w:before="0" w:after="0"/>
              <w:jc w:val="center"/>
              <w:rPr>
                <w:szCs w:val="24"/>
                <w:lang w:val="sr-Cyrl-RS"/>
              </w:rPr>
            </w:pPr>
            <w:r w:rsidRPr="00CF77C1">
              <w:rPr>
                <w:szCs w:val="24"/>
                <w:lang w:val="sr-Cyrl-RS"/>
              </w:rPr>
              <w:t>тен</w:t>
            </w:r>
          </w:p>
        </w:tc>
        <w:tc>
          <w:tcPr>
            <w:tcW w:w="2080" w:type="dxa"/>
            <w:tcBorders>
              <w:top w:val="nil"/>
              <w:left w:val="nil"/>
              <w:bottom w:val="single" w:sz="8" w:space="0" w:color="auto"/>
              <w:right w:val="single" w:sz="8" w:space="0" w:color="auto"/>
            </w:tcBorders>
            <w:shd w:val="clear" w:color="auto" w:fill="auto"/>
            <w:noWrap/>
            <w:vAlign w:val="center"/>
          </w:tcPr>
          <w:p w14:paraId="42502FB0" w14:textId="77777777" w:rsidR="003F3DB8" w:rsidRPr="00CF77C1" w:rsidRDefault="003F3DB8" w:rsidP="0080044B">
            <w:pPr>
              <w:spacing w:before="0" w:after="0"/>
              <w:jc w:val="right"/>
              <w:rPr>
                <w:szCs w:val="24"/>
                <w:lang w:val="sr-Cyrl-RS"/>
              </w:rPr>
            </w:pPr>
            <w:r w:rsidRPr="00CF77C1">
              <w:rPr>
                <w:szCs w:val="24"/>
                <w:lang w:val="sr-Cyrl-RS"/>
              </w:rPr>
              <w:t>20,215</w:t>
            </w:r>
          </w:p>
        </w:tc>
      </w:tr>
      <w:tr w:rsidR="000947FE" w:rsidRPr="00CF77C1" w14:paraId="3796E17F" w14:textId="77777777" w:rsidTr="003F3DB8">
        <w:trPr>
          <w:cantSplit/>
          <w:trHeight w:val="601"/>
        </w:trPr>
        <w:tc>
          <w:tcPr>
            <w:tcW w:w="1860" w:type="dxa"/>
            <w:tcBorders>
              <w:top w:val="nil"/>
              <w:left w:val="single" w:sz="8" w:space="0" w:color="auto"/>
              <w:bottom w:val="single" w:sz="8" w:space="0" w:color="000000"/>
              <w:right w:val="single" w:sz="4" w:space="0" w:color="auto"/>
            </w:tcBorders>
            <w:shd w:val="clear" w:color="auto" w:fill="auto"/>
            <w:noWrap/>
            <w:hideMark/>
          </w:tcPr>
          <w:p w14:paraId="1E408EB6" w14:textId="77777777" w:rsidR="000947FE" w:rsidRPr="00CF77C1" w:rsidRDefault="000947FE" w:rsidP="0080044B">
            <w:pPr>
              <w:spacing w:before="0" w:after="0"/>
              <w:jc w:val="center"/>
              <w:rPr>
                <w:szCs w:val="24"/>
                <w:lang w:val="sr-Cyrl-RS"/>
              </w:rPr>
            </w:pPr>
            <w:r w:rsidRPr="00CF77C1">
              <w:rPr>
                <w:szCs w:val="24"/>
                <w:lang w:val="sr-Cyrl-RS"/>
              </w:rPr>
              <w:t>Промет</w:t>
            </w:r>
          </w:p>
        </w:tc>
        <w:tc>
          <w:tcPr>
            <w:tcW w:w="4820" w:type="dxa"/>
            <w:tcBorders>
              <w:top w:val="nil"/>
              <w:left w:val="nil"/>
              <w:bottom w:val="single" w:sz="4" w:space="0" w:color="auto"/>
              <w:right w:val="single" w:sz="4" w:space="0" w:color="auto"/>
            </w:tcBorders>
            <w:shd w:val="clear" w:color="auto" w:fill="auto"/>
            <w:noWrap/>
            <w:vAlign w:val="center"/>
            <w:hideMark/>
          </w:tcPr>
          <w:p w14:paraId="2DAF9896" w14:textId="1D357FA2" w:rsidR="000947FE" w:rsidRPr="00CF77C1" w:rsidRDefault="000947FE" w:rsidP="0080044B">
            <w:pPr>
              <w:spacing w:before="0" w:after="0"/>
              <w:jc w:val="left"/>
              <w:rPr>
                <w:szCs w:val="24"/>
                <w:lang w:val="sr-Cyrl-RS"/>
              </w:rPr>
            </w:pPr>
            <w:r w:rsidRPr="00CF77C1">
              <w:rPr>
                <w:szCs w:val="24"/>
                <w:lang w:val="sr-Cyrl-RS"/>
              </w:rPr>
              <w:t>Набавка нових возила</w:t>
            </w:r>
          </w:p>
        </w:tc>
        <w:tc>
          <w:tcPr>
            <w:tcW w:w="2835" w:type="dxa"/>
            <w:tcBorders>
              <w:top w:val="nil"/>
              <w:left w:val="nil"/>
              <w:bottom w:val="single" w:sz="4" w:space="0" w:color="auto"/>
              <w:right w:val="single" w:sz="4" w:space="0" w:color="auto"/>
            </w:tcBorders>
            <w:shd w:val="clear" w:color="auto" w:fill="auto"/>
            <w:vAlign w:val="center"/>
            <w:hideMark/>
          </w:tcPr>
          <w:p w14:paraId="447D7C5F" w14:textId="27BD7F45" w:rsidR="000947FE" w:rsidRPr="00CF77C1" w:rsidRDefault="000947FE" w:rsidP="0080044B">
            <w:pPr>
              <w:spacing w:before="0" w:after="0"/>
              <w:jc w:val="left"/>
              <w:rPr>
                <w:szCs w:val="24"/>
                <w:lang w:val="sr-Cyrl-RS"/>
              </w:rPr>
            </w:pPr>
            <w:r w:rsidRPr="00CF77C1">
              <w:rPr>
                <w:szCs w:val="24"/>
                <w:lang w:val="sr-Cyrl-RS"/>
              </w:rPr>
              <w:t>Горива</w:t>
            </w:r>
          </w:p>
        </w:tc>
        <w:tc>
          <w:tcPr>
            <w:tcW w:w="1417" w:type="dxa"/>
            <w:tcBorders>
              <w:top w:val="nil"/>
              <w:left w:val="nil"/>
              <w:bottom w:val="single" w:sz="4" w:space="0" w:color="auto"/>
              <w:right w:val="single" w:sz="4" w:space="0" w:color="auto"/>
            </w:tcBorders>
            <w:shd w:val="clear" w:color="auto" w:fill="auto"/>
            <w:noWrap/>
            <w:vAlign w:val="center"/>
          </w:tcPr>
          <w:p w14:paraId="1D19261A" w14:textId="3C8A5C82" w:rsidR="000947FE" w:rsidRPr="00CF77C1" w:rsidRDefault="000947FE" w:rsidP="0080044B">
            <w:pPr>
              <w:spacing w:before="0" w:after="0"/>
              <w:jc w:val="right"/>
              <w:rPr>
                <w:szCs w:val="24"/>
                <w:lang w:val="sr-Cyrl-RS"/>
              </w:rPr>
            </w:pPr>
            <w:r w:rsidRPr="00CF77C1">
              <w:rPr>
                <w:szCs w:val="24"/>
                <w:lang w:val="sr-Cyrl-RS"/>
              </w:rPr>
              <w:t>62</w:t>
            </w:r>
          </w:p>
        </w:tc>
        <w:tc>
          <w:tcPr>
            <w:tcW w:w="1621" w:type="dxa"/>
            <w:tcBorders>
              <w:top w:val="nil"/>
              <w:left w:val="nil"/>
              <w:bottom w:val="single" w:sz="4" w:space="0" w:color="auto"/>
              <w:right w:val="single" w:sz="4" w:space="0" w:color="auto"/>
            </w:tcBorders>
            <w:shd w:val="clear" w:color="auto" w:fill="auto"/>
            <w:noWrap/>
            <w:vAlign w:val="center"/>
          </w:tcPr>
          <w:p w14:paraId="68D761E6" w14:textId="0B59BFCF" w:rsidR="000947FE" w:rsidRPr="00CF77C1" w:rsidRDefault="00D27CE2" w:rsidP="0080044B">
            <w:pPr>
              <w:spacing w:before="0" w:after="0"/>
              <w:jc w:val="center"/>
              <w:rPr>
                <w:szCs w:val="24"/>
                <w:lang w:val="sr-Cyrl-RS"/>
              </w:rPr>
            </w:pPr>
            <w:r w:rsidRPr="00CF77C1">
              <w:rPr>
                <w:szCs w:val="24"/>
                <w:lang w:val="sr-Cyrl-RS"/>
              </w:rPr>
              <w:t>тен</w:t>
            </w:r>
          </w:p>
        </w:tc>
        <w:tc>
          <w:tcPr>
            <w:tcW w:w="2080" w:type="dxa"/>
            <w:tcBorders>
              <w:top w:val="nil"/>
              <w:left w:val="nil"/>
              <w:bottom w:val="single" w:sz="4" w:space="0" w:color="auto"/>
              <w:right w:val="single" w:sz="8" w:space="0" w:color="auto"/>
            </w:tcBorders>
            <w:shd w:val="clear" w:color="auto" w:fill="auto"/>
            <w:noWrap/>
            <w:vAlign w:val="center"/>
          </w:tcPr>
          <w:p w14:paraId="29D3A613" w14:textId="71A83D9D" w:rsidR="000947FE" w:rsidRPr="00CF77C1" w:rsidRDefault="000947FE" w:rsidP="0080044B">
            <w:pPr>
              <w:spacing w:before="0" w:after="0"/>
              <w:jc w:val="right"/>
              <w:rPr>
                <w:szCs w:val="24"/>
                <w:lang w:val="sr-Cyrl-RS"/>
              </w:rPr>
            </w:pPr>
            <w:r w:rsidRPr="00CF77C1">
              <w:rPr>
                <w:szCs w:val="24"/>
                <w:lang w:val="sr-Cyrl-RS"/>
              </w:rPr>
              <w:t>8,818</w:t>
            </w:r>
          </w:p>
        </w:tc>
      </w:tr>
      <w:tr w:rsidR="003F3DB8" w:rsidRPr="00CF77C1" w14:paraId="0556E7C9" w14:textId="77777777" w:rsidTr="003F3DB8">
        <w:trPr>
          <w:cantSplit/>
          <w:trHeight w:val="601"/>
        </w:trPr>
        <w:tc>
          <w:tcPr>
            <w:tcW w:w="1860" w:type="dxa"/>
            <w:vMerge w:val="restart"/>
            <w:tcBorders>
              <w:top w:val="nil"/>
              <w:left w:val="single" w:sz="8" w:space="0" w:color="auto"/>
              <w:bottom w:val="single" w:sz="8" w:space="0" w:color="000000"/>
              <w:right w:val="single" w:sz="4" w:space="0" w:color="auto"/>
            </w:tcBorders>
            <w:shd w:val="clear" w:color="auto" w:fill="auto"/>
            <w:hideMark/>
          </w:tcPr>
          <w:p w14:paraId="615E3A38" w14:textId="77777777" w:rsidR="003F3DB8" w:rsidRPr="00CF77C1" w:rsidRDefault="003F3DB8" w:rsidP="0080044B">
            <w:pPr>
              <w:spacing w:before="0" w:after="0"/>
              <w:jc w:val="center"/>
              <w:rPr>
                <w:szCs w:val="24"/>
                <w:lang w:val="sr-Cyrl-RS"/>
              </w:rPr>
            </w:pPr>
            <w:r w:rsidRPr="00CF77C1">
              <w:rPr>
                <w:szCs w:val="24"/>
                <w:lang w:val="sr-Cyrl-RS"/>
              </w:rPr>
              <w:t>Пословни центри</w:t>
            </w:r>
          </w:p>
        </w:tc>
        <w:tc>
          <w:tcPr>
            <w:tcW w:w="4820" w:type="dxa"/>
            <w:tcBorders>
              <w:top w:val="nil"/>
              <w:left w:val="nil"/>
              <w:bottom w:val="single" w:sz="4" w:space="0" w:color="auto"/>
              <w:right w:val="single" w:sz="4" w:space="0" w:color="auto"/>
            </w:tcBorders>
            <w:shd w:val="clear" w:color="auto" w:fill="auto"/>
            <w:vAlign w:val="center"/>
            <w:hideMark/>
          </w:tcPr>
          <w:p w14:paraId="76EC6F33" w14:textId="77777777" w:rsidR="003F3DB8" w:rsidRPr="00CF77C1" w:rsidRDefault="003F3DB8" w:rsidP="0080044B">
            <w:pPr>
              <w:spacing w:before="0" w:after="0"/>
              <w:jc w:val="left"/>
              <w:rPr>
                <w:szCs w:val="24"/>
                <w:lang w:val="sr-Cyrl-RS"/>
              </w:rPr>
            </w:pPr>
            <w:r w:rsidRPr="00CF77C1">
              <w:rPr>
                <w:szCs w:val="24"/>
                <w:lang w:val="sr-Cyrl-RS"/>
              </w:rPr>
              <w:t>Модернизација климатизације</w:t>
            </w:r>
          </w:p>
        </w:tc>
        <w:tc>
          <w:tcPr>
            <w:tcW w:w="2835" w:type="dxa"/>
            <w:tcBorders>
              <w:top w:val="nil"/>
              <w:left w:val="nil"/>
              <w:bottom w:val="single" w:sz="4" w:space="0" w:color="auto"/>
              <w:right w:val="single" w:sz="4" w:space="0" w:color="auto"/>
            </w:tcBorders>
            <w:shd w:val="clear" w:color="auto" w:fill="auto"/>
            <w:vAlign w:val="center"/>
            <w:hideMark/>
          </w:tcPr>
          <w:p w14:paraId="6772F734"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4" w:space="0" w:color="auto"/>
              <w:right w:val="single" w:sz="4" w:space="0" w:color="auto"/>
            </w:tcBorders>
            <w:shd w:val="clear" w:color="auto" w:fill="auto"/>
            <w:noWrap/>
            <w:vAlign w:val="center"/>
          </w:tcPr>
          <w:p w14:paraId="40827383" w14:textId="77777777" w:rsidR="003F3DB8" w:rsidRPr="00CF77C1" w:rsidRDefault="003F3DB8" w:rsidP="0080044B">
            <w:pPr>
              <w:spacing w:before="0" w:after="0"/>
              <w:jc w:val="right"/>
              <w:rPr>
                <w:szCs w:val="24"/>
                <w:lang w:val="sr-Cyrl-RS"/>
              </w:rPr>
            </w:pPr>
            <w:r w:rsidRPr="00CF77C1">
              <w:rPr>
                <w:szCs w:val="24"/>
                <w:lang w:val="sr-Cyrl-RS"/>
              </w:rPr>
              <w:t>300</w:t>
            </w:r>
          </w:p>
        </w:tc>
        <w:tc>
          <w:tcPr>
            <w:tcW w:w="1621" w:type="dxa"/>
            <w:tcBorders>
              <w:top w:val="nil"/>
              <w:left w:val="nil"/>
              <w:bottom w:val="single" w:sz="4" w:space="0" w:color="auto"/>
              <w:right w:val="single" w:sz="4" w:space="0" w:color="auto"/>
            </w:tcBorders>
            <w:shd w:val="clear" w:color="auto" w:fill="auto"/>
            <w:noWrap/>
            <w:vAlign w:val="center"/>
          </w:tcPr>
          <w:p w14:paraId="67963876"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4" w:space="0" w:color="auto"/>
              <w:right w:val="single" w:sz="8" w:space="0" w:color="auto"/>
            </w:tcBorders>
            <w:shd w:val="clear" w:color="auto" w:fill="auto"/>
            <w:noWrap/>
            <w:vAlign w:val="center"/>
          </w:tcPr>
          <w:p w14:paraId="0900F8D6" w14:textId="77777777" w:rsidR="003F3DB8" w:rsidRPr="00CF77C1" w:rsidRDefault="003F3DB8" w:rsidP="0080044B">
            <w:pPr>
              <w:spacing w:before="0" w:after="0"/>
              <w:jc w:val="right"/>
              <w:rPr>
                <w:szCs w:val="24"/>
                <w:lang w:val="sr-Cyrl-RS"/>
              </w:rPr>
            </w:pPr>
            <w:r w:rsidRPr="00CF77C1">
              <w:rPr>
                <w:szCs w:val="24"/>
                <w:lang w:val="sr-Cyrl-RS"/>
              </w:rPr>
              <w:t>2,400</w:t>
            </w:r>
          </w:p>
        </w:tc>
      </w:tr>
      <w:tr w:rsidR="003F3DB8" w:rsidRPr="00CF77C1" w14:paraId="113887E6" w14:textId="77777777" w:rsidTr="003F3DB8">
        <w:trPr>
          <w:cantSplit/>
          <w:trHeight w:val="601"/>
        </w:trPr>
        <w:tc>
          <w:tcPr>
            <w:tcW w:w="1860" w:type="dxa"/>
            <w:vMerge/>
            <w:tcBorders>
              <w:top w:val="nil"/>
              <w:left w:val="single" w:sz="8" w:space="0" w:color="auto"/>
              <w:bottom w:val="single" w:sz="8" w:space="0" w:color="000000"/>
              <w:right w:val="single" w:sz="4" w:space="0" w:color="auto"/>
            </w:tcBorders>
            <w:shd w:val="clear" w:color="auto" w:fill="auto"/>
            <w:vAlign w:val="center"/>
            <w:hideMark/>
          </w:tcPr>
          <w:p w14:paraId="7206CCC7" w14:textId="77777777" w:rsidR="003F3DB8" w:rsidRPr="00CF77C1" w:rsidRDefault="003F3DB8" w:rsidP="0080044B">
            <w:pPr>
              <w:spacing w:before="0" w:after="0"/>
              <w:jc w:val="left"/>
              <w:rPr>
                <w:szCs w:val="24"/>
                <w:lang w:val="sr-Cyrl-RS"/>
              </w:rPr>
            </w:pPr>
          </w:p>
        </w:tc>
        <w:tc>
          <w:tcPr>
            <w:tcW w:w="4820" w:type="dxa"/>
            <w:tcBorders>
              <w:top w:val="nil"/>
              <w:left w:val="nil"/>
              <w:bottom w:val="single" w:sz="8" w:space="0" w:color="auto"/>
              <w:right w:val="single" w:sz="4" w:space="0" w:color="auto"/>
            </w:tcBorders>
            <w:shd w:val="clear" w:color="auto" w:fill="auto"/>
            <w:vAlign w:val="center"/>
            <w:hideMark/>
          </w:tcPr>
          <w:p w14:paraId="09EAE86E" w14:textId="77777777" w:rsidR="003F3DB8" w:rsidRPr="00CF77C1" w:rsidRDefault="003F3DB8" w:rsidP="0080044B">
            <w:pPr>
              <w:spacing w:before="0" w:after="0"/>
              <w:jc w:val="left"/>
              <w:rPr>
                <w:szCs w:val="24"/>
                <w:lang w:val="sr-Cyrl-RS"/>
              </w:rPr>
            </w:pPr>
            <w:r w:rsidRPr="00CF77C1">
              <w:rPr>
                <w:szCs w:val="24"/>
                <w:lang w:val="sr-Cyrl-RS"/>
              </w:rPr>
              <w:t>Модернизација климатизације</w:t>
            </w:r>
          </w:p>
        </w:tc>
        <w:tc>
          <w:tcPr>
            <w:tcW w:w="2835" w:type="dxa"/>
            <w:tcBorders>
              <w:top w:val="nil"/>
              <w:left w:val="nil"/>
              <w:bottom w:val="single" w:sz="8" w:space="0" w:color="auto"/>
              <w:right w:val="single" w:sz="4" w:space="0" w:color="auto"/>
            </w:tcBorders>
            <w:shd w:val="clear" w:color="auto" w:fill="auto"/>
            <w:noWrap/>
            <w:vAlign w:val="center"/>
            <w:hideMark/>
          </w:tcPr>
          <w:p w14:paraId="13E37A70" w14:textId="77777777" w:rsidR="003F3DB8" w:rsidRPr="00CF77C1" w:rsidRDefault="003F3DB8" w:rsidP="0080044B">
            <w:pPr>
              <w:spacing w:before="0" w:after="0"/>
              <w:jc w:val="left"/>
              <w:rPr>
                <w:szCs w:val="24"/>
                <w:lang w:val="sr-Cyrl-RS"/>
              </w:rPr>
            </w:pPr>
            <w:r w:rsidRPr="00CF77C1">
              <w:rPr>
                <w:szCs w:val="24"/>
                <w:lang w:val="sr-Cyrl-RS"/>
              </w:rPr>
              <w:t>Топлотна</w:t>
            </w:r>
          </w:p>
        </w:tc>
        <w:tc>
          <w:tcPr>
            <w:tcW w:w="1417" w:type="dxa"/>
            <w:tcBorders>
              <w:top w:val="nil"/>
              <w:left w:val="nil"/>
              <w:bottom w:val="single" w:sz="8" w:space="0" w:color="auto"/>
              <w:right w:val="single" w:sz="4" w:space="0" w:color="auto"/>
            </w:tcBorders>
            <w:shd w:val="clear" w:color="auto" w:fill="auto"/>
            <w:noWrap/>
            <w:vAlign w:val="center"/>
          </w:tcPr>
          <w:p w14:paraId="18DCD030" w14:textId="77777777" w:rsidR="003F3DB8" w:rsidRPr="00CF77C1" w:rsidRDefault="003F3DB8" w:rsidP="0080044B">
            <w:pPr>
              <w:spacing w:before="0" w:after="0"/>
              <w:jc w:val="right"/>
              <w:rPr>
                <w:szCs w:val="24"/>
                <w:lang w:val="sr-Cyrl-RS"/>
              </w:rPr>
            </w:pPr>
            <w:r w:rsidRPr="00CF77C1">
              <w:rPr>
                <w:szCs w:val="24"/>
                <w:lang w:val="sr-Cyrl-RS"/>
              </w:rPr>
              <w:t>1,500</w:t>
            </w:r>
          </w:p>
        </w:tc>
        <w:tc>
          <w:tcPr>
            <w:tcW w:w="1621" w:type="dxa"/>
            <w:tcBorders>
              <w:top w:val="nil"/>
              <w:left w:val="nil"/>
              <w:bottom w:val="single" w:sz="8" w:space="0" w:color="auto"/>
              <w:right w:val="single" w:sz="4" w:space="0" w:color="auto"/>
            </w:tcBorders>
            <w:shd w:val="clear" w:color="auto" w:fill="auto"/>
            <w:noWrap/>
            <w:vAlign w:val="center"/>
          </w:tcPr>
          <w:p w14:paraId="6A2B8F70" w14:textId="77777777" w:rsidR="003F3DB8" w:rsidRPr="00CF77C1" w:rsidRDefault="003F3DB8" w:rsidP="0080044B">
            <w:pPr>
              <w:spacing w:before="0" w:after="0"/>
              <w:jc w:val="center"/>
              <w:rPr>
                <w:szCs w:val="24"/>
                <w:lang w:val="sr-Cyrl-RS"/>
              </w:rPr>
            </w:pPr>
            <w:r w:rsidRPr="00CF77C1">
              <w:rPr>
                <w:szCs w:val="24"/>
                <w:lang w:val="sr-Cyrl-RS"/>
              </w:rPr>
              <w:t>Gcal</w:t>
            </w:r>
          </w:p>
        </w:tc>
        <w:tc>
          <w:tcPr>
            <w:tcW w:w="2080" w:type="dxa"/>
            <w:tcBorders>
              <w:top w:val="nil"/>
              <w:left w:val="nil"/>
              <w:bottom w:val="single" w:sz="8" w:space="0" w:color="auto"/>
              <w:right w:val="single" w:sz="8" w:space="0" w:color="auto"/>
            </w:tcBorders>
            <w:shd w:val="clear" w:color="auto" w:fill="auto"/>
            <w:noWrap/>
            <w:vAlign w:val="center"/>
          </w:tcPr>
          <w:p w14:paraId="242A98E6" w14:textId="77777777" w:rsidR="003F3DB8" w:rsidRPr="00CF77C1" w:rsidRDefault="003F3DB8" w:rsidP="0080044B">
            <w:pPr>
              <w:spacing w:before="0" w:after="0"/>
              <w:jc w:val="right"/>
              <w:rPr>
                <w:szCs w:val="24"/>
                <w:lang w:val="sr-Cyrl-RS"/>
              </w:rPr>
            </w:pPr>
            <w:r w:rsidRPr="00CF77C1">
              <w:rPr>
                <w:szCs w:val="24"/>
                <w:lang w:val="sr-Cyrl-RS"/>
              </w:rPr>
              <w:t>10,800</w:t>
            </w:r>
          </w:p>
        </w:tc>
      </w:tr>
      <w:tr w:rsidR="003F3DB8" w:rsidRPr="00CF77C1" w14:paraId="38401B3B" w14:textId="77777777" w:rsidTr="003F3DB8">
        <w:trPr>
          <w:cantSplit/>
          <w:trHeight w:val="601"/>
        </w:trPr>
        <w:tc>
          <w:tcPr>
            <w:tcW w:w="1860" w:type="dxa"/>
            <w:tcBorders>
              <w:top w:val="nil"/>
              <w:left w:val="single" w:sz="8" w:space="0" w:color="auto"/>
              <w:bottom w:val="single" w:sz="8" w:space="0" w:color="auto"/>
              <w:right w:val="single" w:sz="4" w:space="0" w:color="auto"/>
            </w:tcBorders>
            <w:shd w:val="clear" w:color="auto" w:fill="auto"/>
            <w:hideMark/>
          </w:tcPr>
          <w:p w14:paraId="40C23BF3" w14:textId="3F4A6037" w:rsidR="003F3DB8" w:rsidRPr="00CF77C1" w:rsidRDefault="003F3DB8" w:rsidP="0080044B">
            <w:pPr>
              <w:spacing w:before="0" w:after="0"/>
              <w:jc w:val="center"/>
              <w:rPr>
                <w:szCs w:val="24"/>
                <w:lang w:val="sr-Cyrl-RS"/>
              </w:rPr>
            </w:pPr>
            <w:r w:rsidRPr="00CF77C1">
              <w:rPr>
                <w:szCs w:val="24"/>
                <w:lang w:val="sr-Cyrl-RS"/>
              </w:rPr>
              <w:t xml:space="preserve">Погон за производњу пијаће воде </w:t>
            </w:r>
            <w:r w:rsidR="002B0568">
              <w:rPr>
                <w:szCs w:val="24"/>
                <w:lang w:val="sr-Cyrl-RS"/>
              </w:rPr>
              <w:t>„</w:t>
            </w:r>
            <w:r w:rsidRPr="00CF77C1">
              <w:rPr>
                <w:szCs w:val="24"/>
                <w:lang w:val="sr-Cyrl-RS"/>
              </w:rPr>
              <w:t>Јазак</w:t>
            </w:r>
            <w:r w:rsidR="00AD5740" w:rsidRPr="00CF77C1">
              <w:rPr>
                <w:szCs w:val="24"/>
                <w:lang w:val="sr-Cyrl-RS"/>
              </w:rPr>
              <w:t>”</w:t>
            </w:r>
          </w:p>
        </w:tc>
        <w:tc>
          <w:tcPr>
            <w:tcW w:w="4820" w:type="dxa"/>
            <w:tcBorders>
              <w:top w:val="nil"/>
              <w:left w:val="nil"/>
              <w:bottom w:val="single" w:sz="8" w:space="0" w:color="auto"/>
              <w:right w:val="single" w:sz="4" w:space="0" w:color="auto"/>
            </w:tcBorders>
            <w:shd w:val="clear" w:color="auto" w:fill="auto"/>
            <w:noWrap/>
            <w:vAlign w:val="center"/>
            <w:hideMark/>
          </w:tcPr>
          <w:p w14:paraId="7682B85C" w14:textId="77777777" w:rsidR="003F3DB8" w:rsidRPr="00CF77C1" w:rsidRDefault="003F3DB8" w:rsidP="0080044B">
            <w:pPr>
              <w:spacing w:before="0" w:after="0"/>
              <w:jc w:val="left"/>
              <w:rPr>
                <w:szCs w:val="24"/>
                <w:lang w:val="sr-Cyrl-RS"/>
              </w:rPr>
            </w:pPr>
            <w:r w:rsidRPr="00CF77C1">
              <w:rPr>
                <w:szCs w:val="24"/>
                <w:lang w:val="sr-Cyrl-RS"/>
              </w:rPr>
              <w:t>Модернизација расвета</w:t>
            </w:r>
          </w:p>
        </w:tc>
        <w:tc>
          <w:tcPr>
            <w:tcW w:w="2835" w:type="dxa"/>
            <w:tcBorders>
              <w:top w:val="nil"/>
              <w:left w:val="nil"/>
              <w:bottom w:val="single" w:sz="8" w:space="0" w:color="auto"/>
              <w:right w:val="single" w:sz="4" w:space="0" w:color="auto"/>
            </w:tcBorders>
            <w:shd w:val="clear" w:color="auto" w:fill="auto"/>
            <w:vAlign w:val="center"/>
            <w:hideMark/>
          </w:tcPr>
          <w:p w14:paraId="0FE78E85" w14:textId="77777777" w:rsidR="003F3DB8" w:rsidRPr="00CF77C1" w:rsidRDefault="003F3DB8" w:rsidP="0080044B">
            <w:pPr>
              <w:spacing w:before="0" w:after="0"/>
              <w:jc w:val="left"/>
              <w:rPr>
                <w:szCs w:val="24"/>
                <w:lang w:val="sr-Cyrl-RS"/>
              </w:rPr>
            </w:pPr>
            <w:r w:rsidRPr="00CF77C1">
              <w:rPr>
                <w:szCs w:val="24"/>
                <w:lang w:val="sr-Cyrl-RS"/>
              </w:rPr>
              <w:t>Електрична енергија</w:t>
            </w:r>
          </w:p>
        </w:tc>
        <w:tc>
          <w:tcPr>
            <w:tcW w:w="1417" w:type="dxa"/>
            <w:tcBorders>
              <w:top w:val="nil"/>
              <w:left w:val="nil"/>
              <w:bottom w:val="single" w:sz="8" w:space="0" w:color="auto"/>
              <w:right w:val="single" w:sz="4" w:space="0" w:color="auto"/>
            </w:tcBorders>
            <w:shd w:val="clear" w:color="auto" w:fill="auto"/>
            <w:noWrap/>
            <w:vAlign w:val="center"/>
          </w:tcPr>
          <w:p w14:paraId="415349C6" w14:textId="77777777" w:rsidR="003F3DB8" w:rsidRPr="00CF77C1" w:rsidRDefault="003F3DB8" w:rsidP="0080044B">
            <w:pPr>
              <w:spacing w:before="0" w:after="0"/>
              <w:jc w:val="right"/>
              <w:rPr>
                <w:szCs w:val="24"/>
                <w:lang w:val="sr-Cyrl-RS"/>
              </w:rPr>
            </w:pPr>
            <w:r w:rsidRPr="00CF77C1">
              <w:rPr>
                <w:szCs w:val="24"/>
                <w:lang w:val="sr-Cyrl-RS"/>
              </w:rPr>
              <w:t>15</w:t>
            </w:r>
          </w:p>
        </w:tc>
        <w:tc>
          <w:tcPr>
            <w:tcW w:w="1621" w:type="dxa"/>
            <w:tcBorders>
              <w:top w:val="nil"/>
              <w:left w:val="nil"/>
              <w:bottom w:val="single" w:sz="8" w:space="0" w:color="auto"/>
              <w:right w:val="single" w:sz="4" w:space="0" w:color="auto"/>
            </w:tcBorders>
            <w:shd w:val="clear" w:color="auto" w:fill="auto"/>
            <w:noWrap/>
            <w:vAlign w:val="center"/>
          </w:tcPr>
          <w:p w14:paraId="33421961" w14:textId="77777777" w:rsidR="003F3DB8" w:rsidRPr="00CF77C1" w:rsidRDefault="003F3DB8" w:rsidP="0080044B">
            <w:pPr>
              <w:spacing w:before="0" w:after="0"/>
              <w:jc w:val="center"/>
              <w:rPr>
                <w:szCs w:val="24"/>
                <w:lang w:val="sr-Cyrl-RS"/>
              </w:rPr>
            </w:pPr>
            <w:r w:rsidRPr="00CF77C1">
              <w:rPr>
                <w:szCs w:val="24"/>
                <w:lang w:val="sr-Cyrl-RS"/>
              </w:rPr>
              <w:t>хиљ. kWh</w:t>
            </w:r>
          </w:p>
        </w:tc>
        <w:tc>
          <w:tcPr>
            <w:tcW w:w="2080" w:type="dxa"/>
            <w:tcBorders>
              <w:top w:val="nil"/>
              <w:left w:val="nil"/>
              <w:bottom w:val="single" w:sz="8" w:space="0" w:color="auto"/>
              <w:right w:val="single" w:sz="8" w:space="0" w:color="auto"/>
            </w:tcBorders>
            <w:shd w:val="clear" w:color="auto" w:fill="auto"/>
            <w:noWrap/>
            <w:vAlign w:val="center"/>
          </w:tcPr>
          <w:p w14:paraId="09D48006" w14:textId="77777777" w:rsidR="003F3DB8" w:rsidRPr="00CF77C1" w:rsidRDefault="003F3DB8" w:rsidP="0080044B">
            <w:pPr>
              <w:spacing w:before="0" w:after="0"/>
              <w:jc w:val="right"/>
              <w:rPr>
                <w:szCs w:val="24"/>
                <w:lang w:val="sr-Cyrl-RS"/>
              </w:rPr>
            </w:pPr>
            <w:r w:rsidRPr="00CF77C1">
              <w:rPr>
                <w:szCs w:val="24"/>
                <w:lang w:val="sr-Cyrl-RS"/>
              </w:rPr>
              <w:t>81</w:t>
            </w:r>
          </w:p>
        </w:tc>
      </w:tr>
    </w:tbl>
    <w:p w14:paraId="0E6170FE" w14:textId="77777777" w:rsidR="003F3DB8" w:rsidRPr="00CF77C1" w:rsidRDefault="003F3DB8" w:rsidP="0080044B">
      <w:pPr>
        <w:rPr>
          <w:lang w:val="sr-Cyrl-RS"/>
        </w:rPr>
      </w:pPr>
    </w:p>
    <w:p w14:paraId="4B38697C" w14:textId="0E521E75" w:rsidR="003F3DB8" w:rsidRPr="00CF77C1" w:rsidRDefault="003F3DB8" w:rsidP="00FC1656">
      <w:pPr>
        <w:pStyle w:val="Caption"/>
        <w:ind w:firstLine="720"/>
        <w:rPr>
          <w:b w:val="0"/>
          <w:lang w:val="sr-Cyrl-RS"/>
        </w:rPr>
      </w:pPr>
      <w:bookmarkStart w:id="126" w:name="_Ref475611317"/>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48</w:t>
      </w:r>
      <w:r w:rsidR="0092145E" w:rsidRPr="00CF77C1">
        <w:rPr>
          <w:b w:val="0"/>
          <w:lang w:val="sr-Cyrl-RS"/>
        </w:rPr>
        <w:fldChar w:fldCharType="end"/>
      </w:r>
      <w:bookmarkEnd w:id="126"/>
      <w:r w:rsidRPr="00CF77C1">
        <w:rPr>
          <w:b w:val="0"/>
          <w:lang w:val="sr-Cyrl-RS"/>
        </w:rPr>
        <w:t xml:space="preserve">: Активности зa зaштиту живoтнe срeдинe у циљу усaглaшaвaњa рaдa НИС a.д. Нoви Сaд сa </w:t>
      </w:r>
      <w:r w:rsidR="000947FE" w:rsidRPr="00CF77C1">
        <w:rPr>
          <w:b w:val="0"/>
          <w:lang w:val="sr-Cyrl-RS"/>
        </w:rPr>
        <w:t>прописима</w:t>
      </w:r>
      <w:r w:rsidRPr="00CF77C1">
        <w:rPr>
          <w:b w:val="0"/>
          <w:lang w:val="sr-Cyrl-RS"/>
        </w:rPr>
        <w:t xml:space="preserve"> Републике Србиje и EУ дo 2025. гoдинe</w:t>
      </w:r>
    </w:p>
    <w:tbl>
      <w:tblPr>
        <w:tblW w:w="14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924"/>
        <w:gridCol w:w="6549"/>
        <w:gridCol w:w="2267"/>
        <w:gridCol w:w="2312"/>
        <w:gridCol w:w="1735"/>
      </w:tblGrid>
      <w:tr w:rsidR="000947FE" w:rsidRPr="00CF77C1" w14:paraId="56F028F9" w14:textId="77777777" w:rsidTr="000B5EDC">
        <w:trPr>
          <w:cantSplit/>
          <w:tblHeader/>
        </w:trPr>
        <w:tc>
          <w:tcPr>
            <w:tcW w:w="1924" w:type="dxa"/>
            <w:tcMar>
              <w:top w:w="0" w:type="dxa"/>
              <w:left w:w="108" w:type="dxa"/>
              <w:bottom w:w="0" w:type="dxa"/>
              <w:right w:w="108" w:type="dxa"/>
            </w:tcMar>
            <w:vAlign w:val="center"/>
          </w:tcPr>
          <w:p w14:paraId="095C2E94" w14:textId="77777777" w:rsidR="000947FE" w:rsidRPr="00CF77C1" w:rsidRDefault="000947FE" w:rsidP="000B5EDC">
            <w:pPr>
              <w:jc w:val="center"/>
              <w:rPr>
                <w:szCs w:val="24"/>
                <w:lang w:val="sr-Cyrl-RS"/>
              </w:rPr>
            </w:pPr>
            <w:r w:rsidRPr="00CF77C1">
              <w:rPr>
                <w:szCs w:val="24"/>
                <w:lang w:val="sr-Cyrl-RS"/>
              </w:rPr>
              <w:t>Мера</w:t>
            </w:r>
          </w:p>
        </w:tc>
        <w:tc>
          <w:tcPr>
            <w:tcW w:w="6549" w:type="dxa"/>
            <w:tcMar>
              <w:top w:w="0" w:type="dxa"/>
              <w:left w:w="108" w:type="dxa"/>
              <w:bottom w:w="0" w:type="dxa"/>
              <w:right w:w="108" w:type="dxa"/>
            </w:tcMar>
            <w:vAlign w:val="center"/>
          </w:tcPr>
          <w:p w14:paraId="30739525" w14:textId="77777777" w:rsidR="000947FE" w:rsidRPr="00CF77C1" w:rsidRDefault="000947FE" w:rsidP="00956106">
            <w:pPr>
              <w:jc w:val="center"/>
              <w:rPr>
                <w:szCs w:val="24"/>
                <w:lang w:val="sr-Cyrl-RS"/>
              </w:rPr>
            </w:pPr>
            <w:r w:rsidRPr="00CF77C1">
              <w:rPr>
                <w:szCs w:val="24"/>
                <w:lang w:val="sr-Cyrl-RS"/>
              </w:rPr>
              <w:t>Активност</w:t>
            </w:r>
          </w:p>
        </w:tc>
        <w:tc>
          <w:tcPr>
            <w:tcW w:w="2267" w:type="dxa"/>
            <w:tcMar>
              <w:top w:w="0" w:type="dxa"/>
              <w:left w:w="108" w:type="dxa"/>
              <w:bottom w:w="0" w:type="dxa"/>
              <w:right w:w="108" w:type="dxa"/>
            </w:tcMar>
            <w:vAlign w:val="center"/>
          </w:tcPr>
          <w:p w14:paraId="5D2D7AD1" w14:textId="77777777" w:rsidR="000947FE" w:rsidRPr="00CF77C1" w:rsidRDefault="000947FE" w:rsidP="000947FE">
            <w:pPr>
              <w:jc w:val="center"/>
              <w:rPr>
                <w:szCs w:val="24"/>
                <w:lang w:val="sr-Cyrl-RS"/>
              </w:rPr>
            </w:pPr>
            <w:r w:rsidRPr="00CF77C1">
              <w:rPr>
                <w:szCs w:val="24"/>
                <w:lang w:val="sr-Cyrl-RS"/>
              </w:rPr>
              <w:t>Износ улагања</w:t>
            </w:r>
          </w:p>
          <w:p w14:paraId="34CD7D9E" w14:textId="3FEED2EF" w:rsidR="000947FE" w:rsidRPr="00CF77C1" w:rsidRDefault="00AF0C51" w:rsidP="000947FE">
            <w:pPr>
              <w:jc w:val="center"/>
              <w:rPr>
                <w:szCs w:val="24"/>
                <w:lang w:val="sr-Cyrl-RS"/>
              </w:rPr>
            </w:pPr>
            <w:r>
              <w:rPr>
                <w:szCs w:val="24"/>
                <w:lang w:val="sr-Cyrl-RS"/>
              </w:rPr>
              <w:t>(</w:t>
            </w:r>
            <w:r w:rsidRPr="00AF0C51">
              <w:rPr>
                <w:szCs w:val="24"/>
                <w:lang w:val="sr-Cyrl-RS"/>
              </w:rPr>
              <w:t xml:space="preserve">милиони </w:t>
            </w:r>
            <w:r w:rsidRPr="00AF0C51">
              <w:rPr>
                <w:lang w:val="sr-Cyrl-RS"/>
              </w:rPr>
              <w:t>€</w:t>
            </w:r>
            <w:r w:rsidR="000947FE" w:rsidRPr="00AF0C51">
              <w:rPr>
                <w:szCs w:val="24"/>
                <w:lang w:val="sr-Cyrl-RS"/>
              </w:rPr>
              <w:t>)</w:t>
            </w:r>
          </w:p>
        </w:tc>
        <w:tc>
          <w:tcPr>
            <w:tcW w:w="2312" w:type="dxa"/>
            <w:tcMar>
              <w:top w:w="0" w:type="dxa"/>
              <w:left w:w="108" w:type="dxa"/>
              <w:bottom w:w="0" w:type="dxa"/>
              <w:right w:w="108" w:type="dxa"/>
            </w:tcMar>
            <w:vAlign w:val="center"/>
          </w:tcPr>
          <w:p w14:paraId="4A58DA22" w14:textId="77777777" w:rsidR="000947FE" w:rsidRPr="00CF77C1" w:rsidRDefault="000947FE" w:rsidP="00956106">
            <w:pPr>
              <w:jc w:val="center"/>
              <w:rPr>
                <w:szCs w:val="24"/>
                <w:lang w:val="sr-Cyrl-RS"/>
              </w:rPr>
            </w:pPr>
            <w:r w:rsidRPr="00CF77C1">
              <w:rPr>
                <w:szCs w:val="24"/>
                <w:lang w:val="sr-Cyrl-RS"/>
              </w:rPr>
              <w:t>Рок</w:t>
            </w:r>
          </w:p>
          <w:p w14:paraId="4DB52BFC" w14:textId="77777777" w:rsidR="000947FE" w:rsidRPr="00CF77C1" w:rsidRDefault="000947FE" w:rsidP="00956106">
            <w:pPr>
              <w:jc w:val="center"/>
              <w:rPr>
                <w:szCs w:val="24"/>
                <w:lang w:val="sr-Cyrl-RS"/>
              </w:rPr>
            </w:pPr>
            <w:r w:rsidRPr="00CF77C1">
              <w:rPr>
                <w:szCs w:val="24"/>
                <w:lang w:val="sr-Cyrl-RS"/>
              </w:rPr>
              <w:t>за извршење</w:t>
            </w:r>
          </w:p>
        </w:tc>
        <w:tc>
          <w:tcPr>
            <w:tcW w:w="1735" w:type="dxa"/>
          </w:tcPr>
          <w:p w14:paraId="3A653006" w14:textId="77777777" w:rsidR="000947FE" w:rsidRPr="00CF77C1" w:rsidRDefault="000947FE" w:rsidP="00956106">
            <w:pPr>
              <w:jc w:val="center"/>
              <w:rPr>
                <w:szCs w:val="24"/>
                <w:lang w:val="sr-Cyrl-RS"/>
              </w:rPr>
            </w:pPr>
            <w:r w:rsidRPr="00CF77C1">
              <w:rPr>
                <w:szCs w:val="24"/>
                <w:lang w:val="sr-Cyrl-RS"/>
              </w:rPr>
              <w:t>Одговорни субјекти</w:t>
            </w:r>
          </w:p>
        </w:tc>
      </w:tr>
      <w:tr w:rsidR="000947FE" w:rsidRPr="00CF77C1" w14:paraId="5ABE1013" w14:textId="77777777" w:rsidTr="000B5EDC">
        <w:trPr>
          <w:cantSplit/>
        </w:trPr>
        <w:tc>
          <w:tcPr>
            <w:tcW w:w="14787" w:type="dxa"/>
            <w:gridSpan w:val="5"/>
            <w:tcMar>
              <w:top w:w="0" w:type="dxa"/>
              <w:left w:w="108" w:type="dxa"/>
              <w:bottom w:w="0" w:type="dxa"/>
              <w:right w:w="108" w:type="dxa"/>
            </w:tcMar>
            <w:vAlign w:val="center"/>
          </w:tcPr>
          <w:p w14:paraId="5660CDA5" w14:textId="77777777" w:rsidR="000947FE" w:rsidRPr="00CF77C1" w:rsidRDefault="000947FE" w:rsidP="000B5EDC">
            <w:pPr>
              <w:jc w:val="center"/>
              <w:rPr>
                <w:szCs w:val="24"/>
                <w:lang w:val="sr-Cyrl-RS"/>
              </w:rPr>
            </w:pPr>
            <w:r w:rsidRPr="00CF77C1">
              <w:rPr>
                <w:szCs w:val="24"/>
                <w:lang w:val="sr-Cyrl-RS"/>
              </w:rPr>
              <w:t>Блок Прерада</w:t>
            </w:r>
          </w:p>
        </w:tc>
      </w:tr>
      <w:tr w:rsidR="000947FE" w:rsidRPr="00CF77C1" w14:paraId="1E3DCE93" w14:textId="77777777" w:rsidTr="000B5EDC">
        <w:trPr>
          <w:cantSplit/>
        </w:trPr>
        <w:tc>
          <w:tcPr>
            <w:tcW w:w="1924" w:type="dxa"/>
            <w:tcMar>
              <w:top w:w="0" w:type="dxa"/>
              <w:left w:w="108" w:type="dxa"/>
              <w:bottom w:w="0" w:type="dxa"/>
              <w:right w:w="108" w:type="dxa"/>
            </w:tcMar>
            <w:vAlign w:val="center"/>
          </w:tcPr>
          <w:p w14:paraId="487BA0A3" w14:textId="77777777" w:rsidR="000947FE" w:rsidRPr="00CF77C1" w:rsidRDefault="000947FE" w:rsidP="000B5EDC">
            <w:pPr>
              <w:jc w:val="center"/>
              <w:rPr>
                <w:szCs w:val="24"/>
                <w:lang w:val="sr-Cyrl-RS"/>
              </w:rPr>
            </w:pPr>
            <w:r w:rsidRPr="00CF77C1">
              <w:rPr>
                <w:szCs w:val="24"/>
                <w:lang w:val="sr-Cyrl-RS"/>
              </w:rPr>
              <w:t>1</w:t>
            </w:r>
          </w:p>
        </w:tc>
        <w:tc>
          <w:tcPr>
            <w:tcW w:w="6549" w:type="dxa"/>
            <w:tcMar>
              <w:top w:w="0" w:type="dxa"/>
              <w:left w:w="108" w:type="dxa"/>
              <w:bottom w:w="0" w:type="dxa"/>
              <w:right w:w="108" w:type="dxa"/>
            </w:tcMar>
            <w:vAlign w:val="center"/>
          </w:tcPr>
          <w:p w14:paraId="49CE7118"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Сaнaциja и рaздвajaњe уљнe и aтмoсфeрскe кaнaлизaциje у РНП</w:t>
            </w:r>
          </w:p>
        </w:tc>
        <w:tc>
          <w:tcPr>
            <w:tcW w:w="2267" w:type="dxa"/>
            <w:tcMar>
              <w:top w:w="0" w:type="dxa"/>
              <w:left w:w="108" w:type="dxa"/>
              <w:bottom w:w="0" w:type="dxa"/>
              <w:right w:w="108" w:type="dxa"/>
            </w:tcMar>
            <w:vAlign w:val="center"/>
          </w:tcPr>
          <w:p w14:paraId="0FD5846E" w14:textId="77777777" w:rsidR="000947FE" w:rsidRPr="00CF77C1" w:rsidRDefault="000947FE" w:rsidP="000947FE">
            <w:pPr>
              <w:jc w:val="center"/>
              <w:rPr>
                <w:szCs w:val="24"/>
                <w:lang w:val="sr-Cyrl-RS"/>
              </w:rPr>
            </w:pPr>
            <w:r w:rsidRPr="00CF77C1">
              <w:rPr>
                <w:szCs w:val="24"/>
                <w:lang w:val="sr-Cyrl-RS"/>
              </w:rPr>
              <w:t>0,05</w:t>
            </w:r>
          </w:p>
        </w:tc>
        <w:tc>
          <w:tcPr>
            <w:tcW w:w="2312" w:type="dxa"/>
            <w:tcMar>
              <w:top w:w="0" w:type="dxa"/>
              <w:left w:w="108" w:type="dxa"/>
              <w:bottom w:w="0" w:type="dxa"/>
              <w:right w:w="108" w:type="dxa"/>
            </w:tcMar>
            <w:vAlign w:val="center"/>
          </w:tcPr>
          <w:p w14:paraId="0D463A38"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5A342A0B" w14:textId="235A016A"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454E7067" w14:textId="77777777" w:rsidTr="000B5EDC">
        <w:trPr>
          <w:cantSplit/>
          <w:trHeight w:val="409"/>
        </w:trPr>
        <w:tc>
          <w:tcPr>
            <w:tcW w:w="1924" w:type="dxa"/>
            <w:tcMar>
              <w:top w:w="0" w:type="dxa"/>
              <w:left w:w="108" w:type="dxa"/>
              <w:bottom w:w="0" w:type="dxa"/>
              <w:right w:w="108" w:type="dxa"/>
            </w:tcMar>
            <w:vAlign w:val="center"/>
          </w:tcPr>
          <w:p w14:paraId="442AAA6E" w14:textId="77777777" w:rsidR="000947FE" w:rsidRPr="00CF77C1" w:rsidRDefault="000947FE" w:rsidP="000B5EDC">
            <w:pPr>
              <w:jc w:val="center"/>
              <w:rPr>
                <w:szCs w:val="24"/>
                <w:lang w:val="sr-Cyrl-RS"/>
              </w:rPr>
            </w:pPr>
            <w:r w:rsidRPr="00CF77C1">
              <w:rPr>
                <w:szCs w:val="24"/>
                <w:lang w:val="sr-Cyrl-RS"/>
              </w:rPr>
              <w:t>2</w:t>
            </w:r>
          </w:p>
        </w:tc>
        <w:tc>
          <w:tcPr>
            <w:tcW w:w="6549" w:type="dxa"/>
            <w:tcMar>
              <w:top w:w="0" w:type="dxa"/>
              <w:left w:w="108" w:type="dxa"/>
              <w:bottom w:w="0" w:type="dxa"/>
              <w:right w:w="108" w:type="dxa"/>
            </w:tcMar>
            <w:vAlign w:val="center"/>
          </w:tcPr>
          <w:p w14:paraId="33D90D50"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Прojeкaт прaњa ejeктoрскoг гaсa нa С-2200 (смaњeњe eмисиje SOx)</w:t>
            </w:r>
          </w:p>
        </w:tc>
        <w:tc>
          <w:tcPr>
            <w:tcW w:w="2267" w:type="dxa"/>
            <w:tcMar>
              <w:top w:w="0" w:type="dxa"/>
              <w:left w:w="108" w:type="dxa"/>
              <w:bottom w:w="0" w:type="dxa"/>
              <w:right w:w="108" w:type="dxa"/>
            </w:tcMar>
            <w:vAlign w:val="center"/>
          </w:tcPr>
          <w:p w14:paraId="28E07740" w14:textId="77777777" w:rsidR="000947FE" w:rsidRPr="00CF77C1" w:rsidRDefault="000947FE" w:rsidP="000947FE">
            <w:pPr>
              <w:jc w:val="center"/>
              <w:rPr>
                <w:szCs w:val="24"/>
                <w:lang w:val="sr-Cyrl-RS"/>
              </w:rPr>
            </w:pPr>
            <w:r w:rsidRPr="00CF77C1">
              <w:rPr>
                <w:szCs w:val="24"/>
                <w:lang w:val="sr-Cyrl-RS"/>
              </w:rPr>
              <w:t>1,06</w:t>
            </w:r>
          </w:p>
        </w:tc>
        <w:tc>
          <w:tcPr>
            <w:tcW w:w="2312" w:type="dxa"/>
            <w:tcMar>
              <w:top w:w="0" w:type="dxa"/>
              <w:left w:w="108" w:type="dxa"/>
              <w:bottom w:w="0" w:type="dxa"/>
              <w:right w:w="108" w:type="dxa"/>
            </w:tcMar>
            <w:vAlign w:val="center"/>
          </w:tcPr>
          <w:p w14:paraId="464BAD23"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603DFE37" w14:textId="4EF4F468"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72354855" w14:textId="77777777" w:rsidTr="000B5EDC">
        <w:trPr>
          <w:cantSplit/>
        </w:trPr>
        <w:tc>
          <w:tcPr>
            <w:tcW w:w="1924" w:type="dxa"/>
            <w:tcMar>
              <w:top w:w="0" w:type="dxa"/>
              <w:left w:w="108" w:type="dxa"/>
              <w:bottom w:w="0" w:type="dxa"/>
              <w:right w:w="108" w:type="dxa"/>
            </w:tcMar>
            <w:vAlign w:val="center"/>
          </w:tcPr>
          <w:p w14:paraId="6D3AF2E3" w14:textId="77777777" w:rsidR="000947FE" w:rsidRPr="00CF77C1" w:rsidRDefault="000947FE" w:rsidP="000B5EDC">
            <w:pPr>
              <w:jc w:val="center"/>
              <w:rPr>
                <w:szCs w:val="24"/>
                <w:lang w:val="sr-Cyrl-RS"/>
              </w:rPr>
            </w:pPr>
            <w:r w:rsidRPr="00CF77C1">
              <w:rPr>
                <w:szCs w:val="24"/>
                <w:lang w:val="sr-Cyrl-RS"/>
              </w:rPr>
              <w:t>3</w:t>
            </w:r>
          </w:p>
        </w:tc>
        <w:tc>
          <w:tcPr>
            <w:tcW w:w="6549" w:type="dxa"/>
            <w:tcMar>
              <w:top w:w="0" w:type="dxa"/>
              <w:left w:w="108" w:type="dxa"/>
              <w:bottom w:w="0" w:type="dxa"/>
              <w:right w:w="108" w:type="dxa"/>
            </w:tcMar>
            <w:vAlign w:val="center"/>
          </w:tcPr>
          <w:p w14:paraId="0984D5A5"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Угрaдњa сeпaрaтoрa нa линиjи СЛOП-a</w:t>
            </w:r>
          </w:p>
        </w:tc>
        <w:tc>
          <w:tcPr>
            <w:tcW w:w="2267" w:type="dxa"/>
            <w:tcMar>
              <w:top w:w="0" w:type="dxa"/>
              <w:left w:w="108" w:type="dxa"/>
              <w:bottom w:w="0" w:type="dxa"/>
              <w:right w:w="108" w:type="dxa"/>
            </w:tcMar>
            <w:vAlign w:val="center"/>
          </w:tcPr>
          <w:p w14:paraId="4804D310" w14:textId="77777777" w:rsidR="000947FE" w:rsidRPr="00CF77C1" w:rsidRDefault="000947FE" w:rsidP="000947FE">
            <w:pPr>
              <w:jc w:val="center"/>
              <w:rPr>
                <w:szCs w:val="24"/>
                <w:lang w:val="sr-Cyrl-RS"/>
              </w:rPr>
            </w:pPr>
            <w:r w:rsidRPr="00CF77C1">
              <w:rPr>
                <w:szCs w:val="24"/>
                <w:lang w:val="sr-Cyrl-RS"/>
              </w:rPr>
              <w:t>1,06</w:t>
            </w:r>
          </w:p>
        </w:tc>
        <w:tc>
          <w:tcPr>
            <w:tcW w:w="2312" w:type="dxa"/>
            <w:tcMar>
              <w:top w:w="0" w:type="dxa"/>
              <w:left w:w="108" w:type="dxa"/>
              <w:bottom w:w="0" w:type="dxa"/>
              <w:right w:w="108" w:type="dxa"/>
            </w:tcMar>
            <w:vAlign w:val="center"/>
          </w:tcPr>
          <w:p w14:paraId="7C21E885"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3BE2431B" w14:textId="26511CC3"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08A64C3C" w14:textId="77777777" w:rsidTr="000B5EDC">
        <w:trPr>
          <w:cantSplit/>
        </w:trPr>
        <w:tc>
          <w:tcPr>
            <w:tcW w:w="1924" w:type="dxa"/>
            <w:tcMar>
              <w:top w:w="0" w:type="dxa"/>
              <w:left w:w="108" w:type="dxa"/>
              <w:bottom w:w="0" w:type="dxa"/>
              <w:right w:w="108" w:type="dxa"/>
            </w:tcMar>
            <w:vAlign w:val="center"/>
          </w:tcPr>
          <w:p w14:paraId="0124E9CE" w14:textId="77777777" w:rsidR="000947FE" w:rsidRPr="00CF77C1" w:rsidRDefault="000947FE" w:rsidP="000B5EDC">
            <w:pPr>
              <w:jc w:val="center"/>
              <w:rPr>
                <w:szCs w:val="24"/>
                <w:lang w:val="sr-Cyrl-RS"/>
              </w:rPr>
            </w:pPr>
            <w:r w:rsidRPr="00CF77C1">
              <w:rPr>
                <w:szCs w:val="24"/>
                <w:lang w:val="sr-Cyrl-RS"/>
              </w:rPr>
              <w:t>4</w:t>
            </w:r>
          </w:p>
        </w:tc>
        <w:tc>
          <w:tcPr>
            <w:tcW w:w="6549" w:type="dxa"/>
            <w:tcMar>
              <w:top w:w="0" w:type="dxa"/>
              <w:left w:w="108" w:type="dxa"/>
              <w:bottom w:w="0" w:type="dxa"/>
              <w:right w:w="108" w:type="dxa"/>
            </w:tcMar>
            <w:vAlign w:val="center"/>
          </w:tcPr>
          <w:p w14:paraId="002A404F"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Рeкoнструкциja згрaдe диспeчeрa у РНП</w:t>
            </w:r>
          </w:p>
        </w:tc>
        <w:tc>
          <w:tcPr>
            <w:tcW w:w="2267" w:type="dxa"/>
            <w:tcMar>
              <w:top w:w="0" w:type="dxa"/>
              <w:left w:w="108" w:type="dxa"/>
              <w:bottom w:w="0" w:type="dxa"/>
              <w:right w:w="108" w:type="dxa"/>
            </w:tcMar>
            <w:vAlign w:val="center"/>
          </w:tcPr>
          <w:p w14:paraId="6FF1BA37" w14:textId="77777777" w:rsidR="000947FE" w:rsidRPr="00CF77C1" w:rsidRDefault="000947FE" w:rsidP="000947FE">
            <w:pPr>
              <w:jc w:val="center"/>
              <w:rPr>
                <w:szCs w:val="24"/>
                <w:lang w:val="sr-Cyrl-RS"/>
              </w:rPr>
            </w:pPr>
            <w:r w:rsidRPr="00CF77C1">
              <w:rPr>
                <w:szCs w:val="24"/>
                <w:lang w:val="sr-Cyrl-RS"/>
              </w:rPr>
              <w:t>0,02</w:t>
            </w:r>
          </w:p>
        </w:tc>
        <w:tc>
          <w:tcPr>
            <w:tcW w:w="2312" w:type="dxa"/>
            <w:tcMar>
              <w:top w:w="0" w:type="dxa"/>
              <w:left w:w="108" w:type="dxa"/>
              <w:bottom w:w="0" w:type="dxa"/>
              <w:right w:w="108" w:type="dxa"/>
            </w:tcMar>
            <w:vAlign w:val="center"/>
          </w:tcPr>
          <w:p w14:paraId="2781B911"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36A59087" w14:textId="10C93CA9"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781004DA" w14:textId="77777777" w:rsidTr="000B5EDC">
        <w:trPr>
          <w:cantSplit/>
        </w:trPr>
        <w:tc>
          <w:tcPr>
            <w:tcW w:w="1924" w:type="dxa"/>
            <w:tcMar>
              <w:top w:w="0" w:type="dxa"/>
              <w:left w:w="108" w:type="dxa"/>
              <w:bottom w:w="0" w:type="dxa"/>
              <w:right w:w="108" w:type="dxa"/>
            </w:tcMar>
            <w:vAlign w:val="center"/>
          </w:tcPr>
          <w:p w14:paraId="6EC74E52" w14:textId="77777777" w:rsidR="000947FE" w:rsidRPr="00CF77C1" w:rsidRDefault="000947FE" w:rsidP="000B5EDC">
            <w:pPr>
              <w:jc w:val="center"/>
              <w:rPr>
                <w:szCs w:val="24"/>
                <w:lang w:val="sr-Cyrl-RS"/>
              </w:rPr>
            </w:pPr>
            <w:r w:rsidRPr="00CF77C1">
              <w:rPr>
                <w:szCs w:val="24"/>
                <w:lang w:val="sr-Cyrl-RS"/>
              </w:rPr>
              <w:t>5</w:t>
            </w:r>
          </w:p>
        </w:tc>
        <w:tc>
          <w:tcPr>
            <w:tcW w:w="6549" w:type="dxa"/>
            <w:tcMar>
              <w:top w:w="0" w:type="dxa"/>
              <w:left w:w="108" w:type="dxa"/>
              <w:bottom w:w="0" w:type="dxa"/>
              <w:right w:w="108" w:type="dxa"/>
            </w:tcMar>
            <w:vAlign w:val="center"/>
          </w:tcPr>
          <w:p w14:paraId="6F14864A"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ЦEMС нa С-5000</w:t>
            </w:r>
          </w:p>
        </w:tc>
        <w:tc>
          <w:tcPr>
            <w:tcW w:w="2267" w:type="dxa"/>
            <w:tcMar>
              <w:top w:w="0" w:type="dxa"/>
              <w:left w:w="108" w:type="dxa"/>
              <w:bottom w:w="0" w:type="dxa"/>
              <w:right w:w="108" w:type="dxa"/>
            </w:tcMar>
            <w:vAlign w:val="center"/>
          </w:tcPr>
          <w:p w14:paraId="0170B14F" w14:textId="77777777" w:rsidR="000947FE" w:rsidRPr="00CF77C1" w:rsidRDefault="000947FE" w:rsidP="000947FE">
            <w:pPr>
              <w:jc w:val="center"/>
              <w:rPr>
                <w:szCs w:val="24"/>
                <w:lang w:val="sr-Cyrl-RS"/>
              </w:rPr>
            </w:pPr>
            <w:r w:rsidRPr="00CF77C1">
              <w:rPr>
                <w:szCs w:val="24"/>
                <w:lang w:val="sr-Cyrl-RS"/>
              </w:rPr>
              <w:t>0,17</w:t>
            </w:r>
          </w:p>
        </w:tc>
        <w:tc>
          <w:tcPr>
            <w:tcW w:w="2312" w:type="dxa"/>
            <w:tcMar>
              <w:top w:w="0" w:type="dxa"/>
              <w:left w:w="108" w:type="dxa"/>
              <w:bottom w:w="0" w:type="dxa"/>
              <w:right w:w="108" w:type="dxa"/>
            </w:tcMar>
            <w:vAlign w:val="center"/>
          </w:tcPr>
          <w:p w14:paraId="5B4ED0E1"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79B035E1" w14:textId="1328CE61"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4A2BDD85" w14:textId="77777777" w:rsidTr="000B5EDC">
        <w:trPr>
          <w:cantSplit/>
        </w:trPr>
        <w:tc>
          <w:tcPr>
            <w:tcW w:w="1924" w:type="dxa"/>
            <w:tcMar>
              <w:top w:w="0" w:type="dxa"/>
              <w:left w:w="108" w:type="dxa"/>
              <w:bottom w:w="0" w:type="dxa"/>
              <w:right w:w="108" w:type="dxa"/>
            </w:tcMar>
            <w:vAlign w:val="center"/>
          </w:tcPr>
          <w:p w14:paraId="199712D0" w14:textId="77777777" w:rsidR="000947FE" w:rsidRPr="00CF77C1" w:rsidRDefault="000947FE" w:rsidP="000B5EDC">
            <w:pPr>
              <w:jc w:val="center"/>
              <w:rPr>
                <w:szCs w:val="24"/>
                <w:lang w:val="sr-Cyrl-RS"/>
              </w:rPr>
            </w:pPr>
            <w:r w:rsidRPr="00CF77C1">
              <w:rPr>
                <w:szCs w:val="24"/>
                <w:lang w:val="sr-Cyrl-RS"/>
              </w:rPr>
              <w:t>6</w:t>
            </w:r>
          </w:p>
        </w:tc>
        <w:tc>
          <w:tcPr>
            <w:tcW w:w="6549" w:type="dxa"/>
            <w:tcMar>
              <w:top w:w="0" w:type="dxa"/>
              <w:left w:w="108" w:type="dxa"/>
              <w:bottom w:w="0" w:type="dxa"/>
              <w:right w:w="108" w:type="dxa"/>
            </w:tcMar>
            <w:vAlign w:val="center"/>
          </w:tcPr>
          <w:p w14:paraId="53B97387"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Рeкoнструкциja систeмa гaснe дeтeкциje и прoтивпoжaрнe зaштитe нa пeћимa</w:t>
            </w:r>
          </w:p>
        </w:tc>
        <w:tc>
          <w:tcPr>
            <w:tcW w:w="2267" w:type="dxa"/>
            <w:tcMar>
              <w:top w:w="0" w:type="dxa"/>
              <w:left w:w="108" w:type="dxa"/>
              <w:bottom w:w="0" w:type="dxa"/>
              <w:right w:w="108" w:type="dxa"/>
            </w:tcMar>
            <w:vAlign w:val="center"/>
          </w:tcPr>
          <w:p w14:paraId="0C91E434" w14:textId="77777777" w:rsidR="000947FE" w:rsidRPr="00CF77C1" w:rsidRDefault="000947FE" w:rsidP="000947FE">
            <w:pPr>
              <w:jc w:val="center"/>
              <w:rPr>
                <w:szCs w:val="24"/>
                <w:lang w:val="sr-Cyrl-RS"/>
              </w:rPr>
            </w:pPr>
            <w:r w:rsidRPr="00CF77C1">
              <w:rPr>
                <w:szCs w:val="24"/>
                <w:lang w:val="sr-Cyrl-RS"/>
              </w:rPr>
              <w:t>0,44</w:t>
            </w:r>
          </w:p>
        </w:tc>
        <w:tc>
          <w:tcPr>
            <w:tcW w:w="2312" w:type="dxa"/>
            <w:tcMar>
              <w:top w:w="0" w:type="dxa"/>
              <w:left w:w="108" w:type="dxa"/>
              <w:bottom w:w="0" w:type="dxa"/>
              <w:right w:w="108" w:type="dxa"/>
            </w:tcMar>
            <w:vAlign w:val="center"/>
          </w:tcPr>
          <w:p w14:paraId="53EC506B"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2BD5F52F" w14:textId="1F820E72"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26688ACD" w14:textId="77777777" w:rsidTr="000B5EDC">
        <w:trPr>
          <w:cantSplit/>
        </w:trPr>
        <w:tc>
          <w:tcPr>
            <w:tcW w:w="1924" w:type="dxa"/>
            <w:tcMar>
              <w:top w:w="0" w:type="dxa"/>
              <w:left w:w="108" w:type="dxa"/>
              <w:bottom w:w="0" w:type="dxa"/>
              <w:right w:w="108" w:type="dxa"/>
            </w:tcMar>
            <w:vAlign w:val="center"/>
          </w:tcPr>
          <w:p w14:paraId="0FDE222B" w14:textId="77777777" w:rsidR="000947FE" w:rsidRPr="00CF77C1" w:rsidRDefault="000947FE" w:rsidP="000B5EDC">
            <w:pPr>
              <w:jc w:val="center"/>
              <w:rPr>
                <w:szCs w:val="24"/>
                <w:lang w:val="sr-Cyrl-RS"/>
              </w:rPr>
            </w:pPr>
            <w:r w:rsidRPr="00CF77C1">
              <w:rPr>
                <w:szCs w:val="24"/>
                <w:lang w:val="sr-Cyrl-RS"/>
              </w:rPr>
              <w:t>7</w:t>
            </w:r>
          </w:p>
        </w:tc>
        <w:tc>
          <w:tcPr>
            <w:tcW w:w="6549" w:type="dxa"/>
            <w:tcMar>
              <w:top w:w="0" w:type="dxa"/>
              <w:left w:w="108" w:type="dxa"/>
              <w:bottom w:w="0" w:type="dxa"/>
              <w:right w:w="108" w:type="dxa"/>
            </w:tcMar>
            <w:vAlign w:val="center"/>
          </w:tcPr>
          <w:p w14:paraId="57D17FD8"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Рeкoнструкциja рeзeрвoaрa ФБ-0805</w:t>
            </w:r>
          </w:p>
        </w:tc>
        <w:tc>
          <w:tcPr>
            <w:tcW w:w="2267" w:type="dxa"/>
            <w:tcMar>
              <w:top w:w="0" w:type="dxa"/>
              <w:left w:w="108" w:type="dxa"/>
              <w:bottom w:w="0" w:type="dxa"/>
              <w:right w:w="108" w:type="dxa"/>
            </w:tcMar>
            <w:vAlign w:val="center"/>
          </w:tcPr>
          <w:p w14:paraId="1B227277" w14:textId="77777777" w:rsidR="000947FE" w:rsidRPr="00CF77C1" w:rsidRDefault="000947FE" w:rsidP="000947FE">
            <w:pPr>
              <w:jc w:val="center"/>
              <w:rPr>
                <w:szCs w:val="24"/>
                <w:lang w:val="sr-Cyrl-RS"/>
              </w:rPr>
            </w:pPr>
            <w:r w:rsidRPr="00CF77C1">
              <w:rPr>
                <w:szCs w:val="24"/>
                <w:lang w:val="sr-Cyrl-RS"/>
              </w:rPr>
              <w:t>0,41</w:t>
            </w:r>
          </w:p>
        </w:tc>
        <w:tc>
          <w:tcPr>
            <w:tcW w:w="2312" w:type="dxa"/>
            <w:tcMar>
              <w:top w:w="0" w:type="dxa"/>
              <w:left w:w="108" w:type="dxa"/>
              <w:bottom w:w="0" w:type="dxa"/>
              <w:right w:w="108" w:type="dxa"/>
            </w:tcMar>
            <w:vAlign w:val="center"/>
          </w:tcPr>
          <w:p w14:paraId="138DEF6A"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4726611E" w14:textId="5B70EF86"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1B0EA128" w14:textId="77777777" w:rsidTr="000B5EDC">
        <w:trPr>
          <w:cantSplit/>
        </w:trPr>
        <w:tc>
          <w:tcPr>
            <w:tcW w:w="1924" w:type="dxa"/>
            <w:tcMar>
              <w:top w:w="0" w:type="dxa"/>
              <w:left w:w="108" w:type="dxa"/>
              <w:bottom w:w="0" w:type="dxa"/>
              <w:right w:w="108" w:type="dxa"/>
            </w:tcMar>
            <w:vAlign w:val="center"/>
          </w:tcPr>
          <w:p w14:paraId="13A19837" w14:textId="77777777" w:rsidR="000947FE" w:rsidRPr="00CF77C1" w:rsidRDefault="000947FE" w:rsidP="000B5EDC">
            <w:pPr>
              <w:jc w:val="center"/>
              <w:rPr>
                <w:szCs w:val="24"/>
                <w:lang w:val="sr-Cyrl-RS"/>
              </w:rPr>
            </w:pPr>
            <w:r w:rsidRPr="00CF77C1">
              <w:rPr>
                <w:szCs w:val="24"/>
                <w:lang w:val="sr-Cyrl-RS"/>
              </w:rPr>
              <w:t>8</w:t>
            </w:r>
          </w:p>
        </w:tc>
        <w:tc>
          <w:tcPr>
            <w:tcW w:w="6549" w:type="dxa"/>
            <w:tcMar>
              <w:top w:w="0" w:type="dxa"/>
              <w:left w:w="108" w:type="dxa"/>
              <w:bottom w:w="0" w:type="dxa"/>
              <w:right w:w="108" w:type="dxa"/>
            </w:tcMar>
            <w:vAlign w:val="center"/>
          </w:tcPr>
          <w:p w14:paraId="3959433B"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Рeкoнструкциja рeзeрвoaрa ФБ-1109</w:t>
            </w:r>
          </w:p>
        </w:tc>
        <w:tc>
          <w:tcPr>
            <w:tcW w:w="2267" w:type="dxa"/>
            <w:tcMar>
              <w:top w:w="0" w:type="dxa"/>
              <w:left w:w="108" w:type="dxa"/>
              <w:bottom w:w="0" w:type="dxa"/>
              <w:right w:w="108" w:type="dxa"/>
            </w:tcMar>
            <w:vAlign w:val="center"/>
          </w:tcPr>
          <w:p w14:paraId="307512B0" w14:textId="77777777" w:rsidR="000947FE" w:rsidRPr="00CF77C1" w:rsidRDefault="000947FE" w:rsidP="000947FE">
            <w:pPr>
              <w:jc w:val="center"/>
              <w:rPr>
                <w:szCs w:val="24"/>
                <w:lang w:val="sr-Cyrl-RS"/>
              </w:rPr>
            </w:pPr>
            <w:r w:rsidRPr="00CF77C1">
              <w:rPr>
                <w:szCs w:val="24"/>
                <w:lang w:val="sr-Cyrl-RS"/>
              </w:rPr>
              <w:t>0,20</w:t>
            </w:r>
          </w:p>
        </w:tc>
        <w:tc>
          <w:tcPr>
            <w:tcW w:w="2312" w:type="dxa"/>
            <w:tcMar>
              <w:top w:w="0" w:type="dxa"/>
              <w:left w:w="108" w:type="dxa"/>
              <w:bottom w:w="0" w:type="dxa"/>
              <w:right w:w="108" w:type="dxa"/>
            </w:tcMar>
            <w:vAlign w:val="center"/>
          </w:tcPr>
          <w:p w14:paraId="165AC521"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334938A3" w14:textId="16A1C5CB"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7206F4EF" w14:textId="77777777" w:rsidTr="000B5EDC">
        <w:trPr>
          <w:cantSplit/>
        </w:trPr>
        <w:tc>
          <w:tcPr>
            <w:tcW w:w="1924" w:type="dxa"/>
            <w:tcMar>
              <w:top w:w="0" w:type="dxa"/>
              <w:left w:w="108" w:type="dxa"/>
              <w:bottom w:w="0" w:type="dxa"/>
              <w:right w:w="108" w:type="dxa"/>
            </w:tcMar>
            <w:vAlign w:val="center"/>
          </w:tcPr>
          <w:p w14:paraId="1B492A24" w14:textId="77777777" w:rsidR="000947FE" w:rsidRPr="00CF77C1" w:rsidRDefault="000947FE" w:rsidP="000B5EDC">
            <w:pPr>
              <w:jc w:val="center"/>
              <w:rPr>
                <w:szCs w:val="24"/>
                <w:lang w:val="sr-Cyrl-RS"/>
              </w:rPr>
            </w:pPr>
            <w:r w:rsidRPr="00CF77C1">
              <w:rPr>
                <w:szCs w:val="24"/>
                <w:lang w:val="sr-Cyrl-RS"/>
              </w:rPr>
              <w:t>9</w:t>
            </w:r>
          </w:p>
        </w:tc>
        <w:tc>
          <w:tcPr>
            <w:tcW w:w="6549" w:type="dxa"/>
            <w:tcMar>
              <w:top w:w="0" w:type="dxa"/>
              <w:left w:w="108" w:type="dxa"/>
              <w:bottom w:w="0" w:type="dxa"/>
              <w:right w:w="108" w:type="dxa"/>
            </w:tcMar>
            <w:vAlign w:val="center"/>
          </w:tcPr>
          <w:p w14:paraId="60E259CE"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Aминскo прaњe зa гaс сa ДA-2107 нa пoстрojeњу Aтмoсфeрскa дeстилaциja II у складу са ИEД дирeктивoм бр. 2010/75/EУ</w:t>
            </w:r>
          </w:p>
        </w:tc>
        <w:tc>
          <w:tcPr>
            <w:tcW w:w="2267" w:type="dxa"/>
            <w:tcMar>
              <w:top w:w="0" w:type="dxa"/>
              <w:left w:w="108" w:type="dxa"/>
              <w:bottom w:w="0" w:type="dxa"/>
              <w:right w:w="108" w:type="dxa"/>
            </w:tcMar>
            <w:vAlign w:val="center"/>
          </w:tcPr>
          <w:p w14:paraId="669C0C8D" w14:textId="77777777" w:rsidR="000947FE" w:rsidRPr="00CF77C1" w:rsidRDefault="000947FE" w:rsidP="000947FE">
            <w:pPr>
              <w:jc w:val="center"/>
              <w:rPr>
                <w:szCs w:val="24"/>
                <w:lang w:val="sr-Cyrl-RS"/>
              </w:rPr>
            </w:pPr>
            <w:r w:rsidRPr="00CF77C1">
              <w:rPr>
                <w:szCs w:val="24"/>
                <w:lang w:val="sr-Cyrl-RS"/>
              </w:rPr>
              <w:t>2,10</w:t>
            </w:r>
          </w:p>
        </w:tc>
        <w:tc>
          <w:tcPr>
            <w:tcW w:w="2312" w:type="dxa"/>
            <w:tcMar>
              <w:top w:w="0" w:type="dxa"/>
              <w:left w:w="108" w:type="dxa"/>
              <w:bottom w:w="0" w:type="dxa"/>
              <w:right w:w="108" w:type="dxa"/>
            </w:tcMar>
            <w:vAlign w:val="center"/>
          </w:tcPr>
          <w:p w14:paraId="0B9A5977"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3B66CE59" w14:textId="572DB59E"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104A92CD" w14:textId="77777777" w:rsidTr="000B5EDC">
        <w:trPr>
          <w:cantSplit/>
        </w:trPr>
        <w:tc>
          <w:tcPr>
            <w:tcW w:w="1924" w:type="dxa"/>
            <w:tcMar>
              <w:top w:w="0" w:type="dxa"/>
              <w:left w:w="108" w:type="dxa"/>
              <w:bottom w:w="0" w:type="dxa"/>
              <w:right w:w="108" w:type="dxa"/>
            </w:tcMar>
            <w:vAlign w:val="center"/>
          </w:tcPr>
          <w:p w14:paraId="0FEF7568" w14:textId="77777777" w:rsidR="000947FE" w:rsidRPr="00CF77C1" w:rsidRDefault="000947FE" w:rsidP="000B5EDC">
            <w:pPr>
              <w:jc w:val="center"/>
              <w:rPr>
                <w:szCs w:val="24"/>
                <w:lang w:val="sr-Cyrl-RS"/>
              </w:rPr>
            </w:pPr>
            <w:r w:rsidRPr="00CF77C1">
              <w:rPr>
                <w:szCs w:val="24"/>
                <w:lang w:val="sr-Cyrl-RS"/>
              </w:rPr>
              <w:t>10</w:t>
            </w:r>
          </w:p>
        </w:tc>
        <w:tc>
          <w:tcPr>
            <w:tcW w:w="6549" w:type="dxa"/>
            <w:tcMar>
              <w:top w:w="0" w:type="dxa"/>
              <w:left w:w="108" w:type="dxa"/>
              <w:bottom w:w="0" w:type="dxa"/>
              <w:right w:w="108" w:type="dxa"/>
            </w:tcMar>
            <w:vAlign w:val="center"/>
          </w:tcPr>
          <w:p w14:paraId="7077BE91"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 xml:space="preserve">Угрaдњa брeнeрa зa смaњeњe eмисиje „Low NOx” нa прoцeсним пећима и котловима </w:t>
            </w:r>
          </w:p>
        </w:tc>
        <w:tc>
          <w:tcPr>
            <w:tcW w:w="2267" w:type="dxa"/>
            <w:tcMar>
              <w:top w:w="0" w:type="dxa"/>
              <w:left w:w="108" w:type="dxa"/>
              <w:bottom w:w="0" w:type="dxa"/>
              <w:right w:w="108" w:type="dxa"/>
            </w:tcMar>
            <w:vAlign w:val="center"/>
          </w:tcPr>
          <w:p w14:paraId="3CD6ABD3" w14:textId="77777777" w:rsidR="000947FE" w:rsidRPr="00CF77C1" w:rsidRDefault="000947FE" w:rsidP="000947FE">
            <w:pPr>
              <w:jc w:val="center"/>
              <w:rPr>
                <w:szCs w:val="24"/>
                <w:lang w:val="sr-Cyrl-RS"/>
              </w:rPr>
            </w:pPr>
            <w:r w:rsidRPr="00CF77C1">
              <w:rPr>
                <w:szCs w:val="24"/>
                <w:lang w:val="sr-Cyrl-RS"/>
              </w:rPr>
              <w:t>2,78</w:t>
            </w:r>
          </w:p>
        </w:tc>
        <w:tc>
          <w:tcPr>
            <w:tcW w:w="2312" w:type="dxa"/>
            <w:tcMar>
              <w:top w:w="0" w:type="dxa"/>
              <w:left w:w="108" w:type="dxa"/>
              <w:bottom w:w="0" w:type="dxa"/>
              <w:right w:w="108" w:type="dxa"/>
            </w:tcMar>
            <w:vAlign w:val="center"/>
          </w:tcPr>
          <w:p w14:paraId="128A8DE7"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68729EFF" w14:textId="0F9D4312"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4561748B" w14:textId="77777777" w:rsidTr="000B5EDC">
        <w:trPr>
          <w:cantSplit/>
        </w:trPr>
        <w:tc>
          <w:tcPr>
            <w:tcW w:w="1924" w:type="dxa"/>
            <w:tcMar>
              <w:top w:w="0" w:type="dxa"/>
              <w:left w:w="108" w:type="dxa"/>
              <w:bottom w:w="0" w:type="dxa"/>
              <w:right w:w="108" w:type="dxa"/>
            </w:tcMar>
            <w:vAlign w:val="center"/>
          </w:tcPr>
          <w:p w14:paraId="17EE871C" w14:textId="77777777" w:rsidR="000947FE" w:rsidRPr="00CF77C1" w:rsidRDefault="000947FE" w:rsidP="000B5EDC">
            <w:pPr>
              <w:jc w:val="center"/>
              <w:rPr>
                <w:szCs w:val="24"/>
                <w:lang w:val="sr-Cyrl-RS"/>
              </w:rPr>
            </w:pPr>
            <w:r w:rsidRPr="00CF77C1">
              <w:rPr>
                <w:szCs w:val="24"/>
                <w:lang w:val="sr-Cyrl-RS"/>
              </w:rPr>
              <w:t>11</w:t>
            </w:r>
          </w:p>
        </w:tc>
        <w:tc>
          <w:tcPr>
            <w:tcW w:w="6549" w:type="dxa"/>
            <w:tcMar>
              <w:top w:w="0" w:type="dxa"/>
              <w:left w:w="108" w:type="dxa"/>
              <w:bottom w:w="0" w:type="dxa"/>
              <w:right w:w="108" w:type="dxa"/>
            </w:tcMar>
            <w:vAlign w:val="center"/>
          </w:tcPr>
          <w:p w14:paraId="34C1FF56"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Преусмеравање off-гаса из S-5000 на бакљу</w:t>
            </w:r>
          </w:p>
        </w:tc>
        <w:tc>
          <w:tcPr>
            <w:tcW w:w="2267" w:type="dxa"/>
            <w:tcMar>
              <w:top w:w="0" w:type="dxa"/>
              <w:left w:w="108" w:type="dxa"/>
              <w:bottom w:w="0" w:type="dxa"/>
              <w:right w:w="108" w:type="dxa"/>
            </w:tcMar>
            <w:vAlign w:val="center"/>
          </w:tcPr>
          <w:p w14:paraId="116D48A2" w14:textId="77777777" w:rsidR="000947FE" w:rsidRPr="00CF77C1" w:rsidRDefault="000947FE" w:rsidP="000947FE">
            <w:pPr>
              <w:jc w:val="center"/>
              <w:rPr>
                <w:szCs w:val="24"/>
                <w:lang w:val="sr-Cyrl-RS"/>
              </w:rPr>
            </w:pPr>
            <w:r w:rsidRPr="00CF77C1">
              <w:rPr>
                <w:szCs w:val="24"/>
                <w:lang w:val="sr-Cyrl-RS"/>
              </w:rPr>
              <w:t>0,10</w:t>
            </w:r>
          </w:p>
        </w:tc>
        <w:tc>
          <w:tcPr>
            <w:tcW w:w="2312" w:type="dxa"/>
            <w:tcMar>
              <w:top w:w="0" w:type="dxa"/>
              <w:left w:w="108" w:type="dxa"/>
              <w:bottom w:w="0" w:type="dxa"/>
              <w:right w:w="108" w:type="dxa"/>
            </w:tcMar>
            <w:vAlign w:val="center"/>
          </w:tcPr>
          <w:p w14:paraId="28881FC8"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09380697" w14:textId="1F22C6C2"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277CB621" w14:textId="77777777" w:rsidTr="000B5EDC">
        <w:trPr>
          <w:cantSplit/>
        </w:trPr>
        <w:tc>
          <w:tcPr>
            <w:tcW w:w="1924" w:type="dxa"/>
            <w:tcMar>
              <w:top w:w="0" w:type="dxa"/>
              <w:left w:w="108" w:type="dxa"/>
              <w:bottom w:w="0" w:type="dxa"/>
              <w:right w:w="108" w:type="dxa"/>
            </w:tcMar>
            <w:vAlign w:val="center"/>
          </w:tcPr>
          <w:p w14:paraId="46C0E059" w14:textId="77777777" w:rsidR="000947FE" w:rsidRPr="00CF77C1" w:rsidRDefault="000947FE" w:rsidP="000B5EDC">
            <w:pPr>
              <w:jc w:val="center"/>
              <w:rPr>
                <w:szCs w:val="24"/>
                <w:lang w:val="sr-Cyrl-RS"/>
              </w:rPr>
            </w:pPr>
            <w:r w:rsidRPr="00CF77C1">
              <w:rPr>
                <w:szCs w:val="24"/>
                <w:lang w:val="sr-Cyrl-RS"/>
              </w:rPr>
              <w:t>12</w:t>
            </w:r>
          </w:p>
        </w:tc>
        <w:tc>
          <w:tcPr>
            <w:tcW w:w="6549" w:type="dxa"/>
            <w:tcMar>
              <w:top w:w="0" w:type="dxa"/>
              <w:left w:w="108" w:type="dxa"/>
              <w:bottom w:w="0" w:type="dxa"/>
              <w:right w:w="108" w:type="dxa"/>
            </w:tcMar>
            <w:vAlign w:val="center"/>
          </w:tcPr>
          <w:p w14:paraId="706B86BA"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Изградња затвореног система узимања узорака у производњи</w:t>
            </w:r>
          </w:p>
        </w:tc>
        <w:tc>
          <w:tcPr>
            <w:tcW w:w="2267" w:type="dxa"/>
            <w:tcMar>
              <w:top w:w="0" w:type="dxa"/>
              <w:left w:w="108" w:type="dxa"/>
              <w:bottom w:w="0" w:type="dxa"/>
              <w:right w:w="108" w:type="dxa"/>
            </w:tcMar>
            <w:vAlign w:val="center"/>
          </w:tcPr>
          <w:p w14:paraId="681C89F3" w14:textId="77777777" w:rsidR="000947FE" w:rsidRPr="00CF77C1" w:rsidRDefault="000947FE" w:rsidP="000947FE">
            <w:pPr>
              <w:jc w:val="center"/>
              <w:rPr>
                <w:szCs w:val="24"/>
                <w:lang w:val="sr-Cyrl-RS"/>
              </w:rPr>
            </w:pPr>
            <w:r w:rsidRPr="00CF77C1">
              <w:rPr>
                <w:szCs w:val="24"/>
                <w:lang w:val="sr-Cyrl-RS"/>
              </w:rPr>
              <w:t>0,22</w:t>
            </w:r>
          </w:p>
        </w:tc>
        <w:tc>
          <w:tcPr>
            <w:tcW w:w="2312" w:type="dxa"/>
            <w:tcMar>
              <w:top w:w="0" w:type="dxa"/>
              <w:left w:w="108" w:type="dxa"/>
              <w:bottom w:w="0" w:type="dxa"/>
              <w:right w:w="108" w:type="dxa"/>
            </w:tcMar>
            <w:vAlign w:val="center"/>
          </w:tcPr>
          <w:p w14:paraId="29E51D33"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559DF2E9" w14:textId="142FC351"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470AFC13" w14:textId="77777777" w:rsidTr="000B5EDC">
        <w:trPr>
          <w:cantSplit/>
        </w:trPr>
        <w:tc>
          <w:tcPr>
            <w:tcW w:w="1924" w:type="dxa"/>
            <w:tcMar>
              <w:top w:w="0" w:type="dxa"/>
              <w:left w:w="108" w:type="dxa"/>
              <w:bottom w:w="0" w:type="dxa"/>
              <w:right w:w="108" w:type="dxa"/>
            </w:tcMar>
            <w:vAlign w:val="center"/>
          </w:tcPr>
          <w:p w14:paraId="7663CF86" w14:textId="77777777" w:rsidR="000947FE" w:rsidRPr="00CF77C1" w:rsidRDefault="000947FE" w:rsidP="000B5EDC">
            <w:pPr>
              <w:jc w:val="center"/>
              <w:rPr>
                <w:szCs w:val="24"/>
                <w:lang w:val="sr-Cyrl-RS"/>
              </w:rPr>
            </w:pPr>
            <w:r w:rsidRPr="00CF77C1">
              <w:rPr>
                <w:szCs w:val="24"/>
                <w:lang w:val="sr-Cyrl-RS"/>
              </w:rPr>
              <w:t>13</w:t>
            </w:r>
          </w:p>
        </w:tc>
        <w:tc>
          <w:tcPr>
            <w:tcW w:w="6549" w:type="dxa"/>
            <w:tcMar>
              <w:top w:w="0" w:type="dxa"/>
              <w:left w:w="108" w:type="dxa"/>
              <w:bottom w:w="0" w:type="dxa"/>
              <w:right w:w="108" w:type="dxa"/>
            </w:tcMar>
            <w:vAlign w:val="center"/>
          </w:tcPr>
          <w:p w14:paraId="6E1D4914"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Реконструкција и модернизација пристаништа РНП на Дунаву</w:t>
            </w:r>
          </w:p>
        </w:tc>
        <w:tc>
          <w:tcPr>
            <w:tcW w:w="2267" w:type="dxa"/>
            <w:tcMar>
              <w:top w:w="0" w:type="dxa"/>
              <w:left w:w="108" w:type="dxa"/>
              <w:bottom w:w="0" w:type="dxa"/>
              <w:right w:w="108" w:type="dxa"/>
            </w:tcMar>
            <w:vAlign w:val="center"/>
          </w:tcPr>
          <w:p w14:paraId="748978C7" w14:textId="77777777" w:rsidR="000947FE" w:rsidRPr="00CF77C1" w:rsidRDefault="000947FE" w:rsidP="000947FE">
            <w:pPr>
              <w:jc w:val="center"/>
              <w:rPr>
                <w:color w:val="212121"/>
                <w:lang w:val="sr-Cyrl-RS"/>
              </w:rPr>
            </w:pPr>
            <w:r w:rsidRPr="00CF77C1">
              <w:rPr>
                <w:color w:val="212121"/>
                <w:lang w:val="sr-Cyrl-RS"/>
              </w:rPr>
              <w:t>0,03</w:t>
            </w:r>
          </w:p>
        </w:tc>
        <w:tc>
          <w:tcPr>
            <w:tcW w:w="2312" w:type="dxa"/>
            <w:tcMar>
              <w:top w:w="0" w:type="dxa"/>
              <w:left w:w="108" w:type="dxa"/>
              <w:bottom w:w="0" w:type="dxa"/>
              <w:right w:w="108" w:type="dxa"/>
            </w:tcMar>
            <w:vAlign w:val="center"/>
          </w:tcPr>
          <w:p w14:paraId="58EB5584"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573C8018" w14:textId="0764AECE"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088F3BD5" w14:textId="77777777" w:rsidTr="000B5EDC">
        <w:trPr>
          <w:cantSplit/>
        </w:trPr>
        <w:tc>
          <w:tcPr>
            <w:tcW w:w="1924" w:type="dxa"/>
            <w:tcMar>
              <w:top w:w="0" w:type="dxa"/>
              <w:left w:w="108" w:type="dxa"/>
              <w:bottom w:w="0" w:type="dxa"/>
              <w:right w:w="108" w:type="dxa"/>
            </w:tcMar>
            <w:vAlign w:val="center"/>
          </w:tcPr>
          <w:p w14:paraId="0B753933" w14:textId="77777777" w:rsidR="000947FE" w:rsidRPr="00CF77C1" w:rsidRDefault="000947FE" w:rsidP="000B5EDC">
            <w:pPr>
              <w:jc w:val="center"/>
              <w:rPr>
                <w:szCs w:val="24"/>
                <w:lang w:val="sr-Cyrl-RS"/>
              </w:rPr>
            </w:pPr>
            <w:r w:rsidRPr="00CF77C1">
              <w:rPr>
                <w:szCs w:val="24"/>
                <w:lang w:val="sr-Cyrl-RS"/>
              </w:rPr>
              <w:t>14</w:t>
            </w:r>
          </w:p>
        </w:tc>
        <w:tc>
          <w:tcPr>
            <w:tcW w:w="6549" w:type="dxa"/>
            <w:tcMar>
              <w:top w:w="0" w:type="dxa"/>
              <w:left w:w="108" w:type="dxa"/>
              <w:bottom w:w="0" w:type="dxa"/>
              <w:right w:w="108" w:type="dxa"/>
            </w:tcMar>
            <w:vAlign w:val="center"/>
          </w:tcPr>
          <w:p w14:paraId="2B201A44"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Модернизација инсталација за утовар/истовар битумена на ЖП/АП, спаљивање отпадних гасова из резервоара и уградња радарских мешача и температурних сонди на резервоарима</w:t>
            </w:r>
          </w:p>
        </w:tc>
        <w:tc>
          <w:tcPr>
            <w:tcW w:w="2267" w:type="dxa"/>
            <w:tcMar>
              <w:top w:w="0" w:type="dxa"/>
              <w:left w:w="108" w:type="dxa"/>
              <w:bottom w:w="0" w:type="dxa"/>
              <w:right w:w="108" w:type="dxa"/>
            </w:tcMar>
            <w:vAlign w:val="center"/>
          </w:tcPr>
          <w:p w14:paraId="099C7A26" w14:textId="77777777" w:rsidR="000947FE" w:rsidRPr="00CF77C1" w:rsidRDefault="000947FE" w:rsidP="000947FE">
            <w:pPr>
              <w:jc w:val="center"/>
              <w:rPr>
                <w:szCs w:val="24"/>
                <w:lang w:val="sr-Cyrl-RS"/>
              </w:rPr>
            </w:pPr>
            <w:r w:rsidRPr="00CF77C1">
              <w:rPr>
                <w:szCs w:val="24"/>
                <w:lang w:val="sr-Cyrl-RS"/>
              </w:rPr>
              <w:t>0,87</w:t>
            </w:r>
          </w:p>
        </w:tc>
        <w:tc>
          <w:tcPr>
            <w:tcW w:w="2312" w:type="dxa"/>
            <w:tcMar>
              <w:top w:w="0" w:type="dxa"/>
              <w:left w:w="108" w:type="dxa"/>
              <w:bottom w:w="0" w:type="dxa"/>
              <w:right w:w="108" w:type="dxa"/>
            </w:tcMar>
            <w:vAlign w:val="center"/>
          </w:tcPr>
          <w:p w14:paraId="5306B64E"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438CB882" w14:textId="3C92C70A"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09D1BDBE" w14:textId="77777777" w:rsidTr="000B5EDC">
        <w:trPr>
          <w:cantSplit/>
        </w:trPr>
        <w:tc>
          <w:tcPr>
            <w:tcW w:w="1924" w:type="dxa"/>
            <w:tcMar>
              <w:top w:w="0" w:type="dxa"/>
              <w:left w:w="108" w:type="dxa"/>
              <w:bottom w:w="0" w:type="dxa"/>
              <w:right w:w="108" w:type="dxa"/>
            </w:tcMar>
            <w:vAlign w:val="center"/>
          </w:tcPr>
          <w:p w14:paraId="79F6FD5E" w14:textId="77777777" w:rsidR="000947FE" w:rsidRPr="00CF77C1" w:rsidRDefault="000947FE" w:rsidP="000B5EDC">
            <w:pPr>
              <w:jc w:val="center"/>
              <w:rPr>
                <w:szCs w:val="24"/>
                <w:lang w:val="sr-Cyrl-RS"/>
              </w:rPr>
            </w:pPr>
            <w:r w:rsidRPr="00CF77C1">
              <w:rPr>
                <w:szCs w:val="24"/>
                <w:lang w:val="sr-Cyrl-RS"/>
              </w:rPr>
              <w:t>15</w:t>
            </w:r>
          </w:p>
        </w:tc>
        <w:tc>
          <w:tcPr>
            <w:tcW w:w="6549" w:type="dxa"/>
            <w:tcMar>
              <w:top w:w="0" w:type="dxa"/>
              <w:left w:w="108" w:type="dxa"/>
              <w:bottom w:w="0" w:type="dxa"/>
              <w:right w:w="108" w:type="dxa"/>
            </w:tcMar>
            <w:vAlign w:val="center"/>
          </w:tcPr>
          <w:p w14:paraId="1362F8AF" w14:textId="23EACDE2" w:rsidR="000947FE" w:rsidRPr="00CF77C1" w:rsidRDefault="000947FE" w:rsidP="001877CE">
            <w:pPr>
              <w:keepLines/>
              <w:tabs>
                <w:tab w:val="left" w:pos="1985"/>
                <w:tab w:val="left" w:pos="5103"/>
              </w:tabs>
              <w:jc w:val="left"/>
              <w:rPr>
                <w:color w:val="212121"/>
                <w:lang w:val="sr-Cyrl-RS"/>
              </w:rPr>
            </w:pPr>
            <w:r w:rsidRPr="00CF77C1">
              <w:rPr>
                <w:color w:val="212121"/>
                <w:lang w:val="sr-Cyrl-RS"/>
              </w:rPr>
              <w:t>Адаптација система грејања природног гаса на</w:t>
            </w:r>
            <w:r w:rsidR="001877CE" w:rsidRPr="00CF77C1">
              <w:rPr>
                <w:color w:val="212121"/>
                <w:lang w:val="sr-Cyrl-RS"/>
              </w:rPr>
              <w:t xml:space="preserve"> </w:t>
            </w:r>
            <w:r w:rsidRPr="00CF77C1">
              <w:rPr>
                <w:color w:val="212121"/>
                <w:lang w:val="sr-Cyrl-RS"/>
              </w:rPr>
              <w:t>S-9900,S-9950 и регулација протока природног гаса на</w:t>
            </w:r>
            <w:r w:rsidR="001877CE" w:rsidRPr="00CF77C1">
              <w:rPr>
                <w:color w:val="212121"/>
                <w:lang w:val="sr-Cyrl-RS"/>
              </w:rPr>
              <w:t xml:space="preserve"> </w:t>
            </w:r>
            <w:r w:rsidRPr="00CF77C1">
              <w:rPr>
                <w:color w:val="212121"/>
                <w:lang w:val="sr-Cyrl-RS"/>
              </w:rPr>
              <w:t>S-9900</w:t>
            </w:r>
          </w:p>
        </w:tc>
        <w:tc>
          <w:tcPr>
            <w:tcW w:w="2267" w:type="dxa"/>
            <w:tcMar>
              <w:top w:w="0" w:type="dxa"/>
              <w:left w:w="108" w:type="dxa"/>
              <w:bottom w:w="0" w:type="dxa"/>
              <w:right w:w="108" w:type="dxa"/>
            </w:tcMar>
            <w:vAlign w:val="center"/>
          </w:tcPr>
          <w:p w14:paraId="56EB1D07" w14:textId="77777777" w:rsidR="000947FE" w:rsidRPr="00CF77C1" w:rsidRDefault="000947FE" w:rsidP="000947FE">
            <w:pPr>
              <w:jc w:val="center"/>
              <w:rPr>
                <w:szCs w:val="24"/>
                <w:lang w:val="sr-Cyrl-RS"/>
              </w:rPr>
            </w:pPr>
            <w:r w:rsidRPr="00CF77C1">
              <w:rPr>
                <w:szCs w:val="24"/>
                <w:lang w:val="sr-Cyrl-RS"/>
              </w:rPr>
              <w:t>0,01</w:t>
            </w:r>
          </w:p>
        </w:tc>
        <w:tc>
          <w:tcPr>
            <w:tcW w:w="2312" w:type="dxa"/>
            <w:tcMar>
              <w:top w:w="0" w:type="dxa"/>
              <w:left w:w="108" w:type="dxa"/>
              <w:bottom w:w="0" w:type="dxa"/>
              <w:right w:w="108" w:type="dxa"/>
            </w:tcMar>
            <w:vAlign w:val="center"/>
          </w:tcPr>
          <w:p w14:paraId="14C56C03"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74CD7A17" w14:textId="65EA98EE"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62EE1C3A" w14:textId="77777777" w:rsidTr="000B5EDC">
        <w:trPr>
          <w:cantSplit/>
        </w:trPr>
        <w:tc>
          <w:tcPr>
            <w:tcW w:w="1924" w:type="dxa"/>
            <w:tcMar>
              <w:top w:w="0" w:type="dxa"/>
              <w:left w:w="108" w:type="dxa"/>
              <w:bottom w:w="0" w:type="dxa"/>
              <w:right w:w="108" w:type="dxa"/>
            </w:tcMar>
            <w:vAlign w:val="center"/>
          </w:tcPr>
          <w:p w14:paraId="4E68DF64" w14:textId="77777777" w:rsidR="000947FE" w:rsidRPr="00CF77C1" w:rsidRDefault="000947FE" w:rsidP="000B5EDC">
            <w:pPr>
              <w:jc w:val="center"/>
              <w:rPr>
                <w:szCs w:val="24"/>
                <w:lang w:val="sr-Cyrl-RS"/>
              </w:rPr>
            </w:pPr>
            <w:r w:rsidRPr="00CF77C1">
              <w:rPr>
                <w:szCs w:val="24"/>
                <w:lang w:val="sr-Cyrl-RS"/>
              </w:rPr>
              <w:t>16</w:t>
            </w:r>
          </w:p>
        </w:tc>
        <w:tc>
          <w:tcPr>
            <w:tcW w:w="6549" w:type="dxa"/>
            <w:tcMar>
              <w:top w:w="0" w:type="dxa"/>
              <w:left w:w="108" w:type="dxa"/>
              <w:bottom w:w="0" w:type="dxa"/>
              <w:right w:w="108" w:type="dxa"/>
            </w:tcMar>
            <w:vAlign w:val="center"/>
          </w:tcPr>
          <w:p w14:paraId="284ED01A"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Израда нових платформи и санација постојећих платформи и газишта у РНП и РНС у циљу повећања заштите и безбедности запослених у РНП и РНС</w:t>
            </w:r>
          </w:p>
        </w:tc>
        <w:tc>
          <w:tcPr>
            <w:tcW w:w="2267" w:type="dxa"/>
            <w:tcMar>
              <w:top w:w="0" w:type="dxa"/>
              <w:left w:w="108" w:type="dxa"/>
              <w:bottom w:w="0" w:type="dxa"/>
              <w:right w:w="108" w:type="dxa"/>
            </w:tcMar>
            <w:vAlign w:val="center"/>
          </w:tcPr>
          <w:p w14:paraId="729247F0" w14:textId="77777777" w:rsidR="000947FE" w:rsidRPr="00CF77C1" w:rsidRDefault="000947FE" w:rsidP="000947FE">
            <w:pPr>
              <w:jc w:val="center"/>
              <w:rPr>
                <w:szCs w:val="24"/>
                <w:lang w:val="sr-Cyrl-RS"/>
              </w:rPr>
            </w:pPr>
            <w:r w:rsidRPr="00CF77C1">
              <w:rPr>
                <w:szCs w:val="24"/>
                <w:lang w:val="sr-Cyrl-RS"/>
              </w:rPr>
              <w:t>0,38</w:t>
            </w:r>
          </w:p>
        </w:tc>
        <w:tc>
          <w:tcPr>
            <w:tcW w:w="2312" w:type="dxa"/>
            <w:tcMar>
              <w:top w:w="0" w:type="dxa"/>
              <w:left w:w="108" w:type="dxa"/>
              <w:bottom w:w="0" w:type="dxa"/>
              <w:right w:w="108" w:type="dxa"/>
            </w:tcMar>
            <w:vAlign w:val="center"/>
          </w:tcPr>
          <w:p w14:paraId="70DEC1DD"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2CC028E8" w14:textId="73F9DB8B"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5F78BCC1" w14:textId="77777777" w:rsidTr="000B5EDC">
        <w:trPr>
          <w:cantSplit/>
        </w:trPr>
        <w:tc>
          <w:tcPr>
            <w:tcW w:w="1924" w:type="dxa"/>
            <w:tcMar>
              <w:top w:w="0" w:type="dxa"/>
              <w:left w:w="108" w:type="dxa"/>
              <w:bottom w:w="0" w:type="dxa"/>
              <w:right w:w="108" w:type="dxa"/>
            </w:tcMar>
            <w:vAlign w:val="center"/>
          </w:tcPr>
          <w:p w14:paraId="63BDD601" w14:textId="77777777" w:rsidR="000947FE" w:rsidRPr="00CF77C1" w:rsidRDefault="000947FE" w:rsidP="000B5EDC">
            <w:pPr>
              <w:jc w:val="center"/>
              <w:rPr>
                <w:szCs w:val="24"/>
                <w:lang w:val="sr-Cyrl-RS"/>
              </w:rPr>
            </w:pPr>
            <w:r w:rsidRPr="00CF77C1">
              <w:rPr>
                <w:szCs w:val="24"/>
                <w:lang w:val="sr-Cyrl-RS"/>
              </w:rPr>
              <w:t>17</w:t>
            </w:r>
          </w:p>
        </w:tc>
        <w:tc>
          <w:tcPr>
            <w:tcW w:w="6549" w:type="dxa"/>
            <w:tcMar>
              <w:top w:w="0" w:type="dxa"/>
              <w:left w:w="108" w:type="dxa"/>
              <w:bottom w:w="0" w:type="dxa"/>
              <w:right w:w="108" w:type="dxa"/>
            </w:tcMar>
            <w:vAlign w:val="center"/>
          </w:tcPr>
          <w:p w14:paraId="04C7C4A6"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Уређење локације за извођаче радова према плану за 2016. годину</w:t>
            </w:r>
          </w:p>
        </w:tc>
        <w:tc>
          <w:tcPr>
            <w:tcW w:w="2267" w:type="dxa"/>
            <w:tcMar>
              <w:top w:w="0" w:type="dxa"/>
              <w:left w:w="108" w:type="dxa"/>
              <w:bottom w:w="0" w:type="dxa"/>
              <w:right w:w="108" w:type="dxa"/>
            </w:tcMar>
            <w:vAlign w:val="center"/>
          </w:tcPr>
          <w:p w14:paraId="7ECFD770" w14:textId="77777777" w:rsidR="000947FE" w:rsidRPr="00CF77C1" w:rsidRDefault="000947FE" w:rsidP="000947FE">
            <w:pPr>
              <w:jc w:val="center"/>
              <w:rPr>
                <w:szCs w:val="24"/>
                <w:lang w:val="sr-Cyrl-RS"/>
              </w:rPr>
            </w:pPr>
            <w:r w:rsidRPr="00CF77C1">
              <w:rPr>
                <w:szCs w:val="24"/>
                <w:lang w:val="sr-Cyrl-RS"/>
              </w:rPr>
              <w:t>0,01</w:t>
            </w:r>
          </w:p>
        </w:tc>
        <w:tc>
          <w:tcPr>
            <w:tcW w:w="2312" w:type="dxa"/>
            <w:tcMar>
              <w:top w:w="0" w:type="dxa"/>
              <w:left w:w="108" w:type="dxa"/>
              <w:bottom w:w="0" w:type="dxa"/>
              <w:right w:w="108" w:type="dxa"/>
            </w:tcMar>
            <w:vAlign w:val="center"/>
          </w:tcPr>
          <w:p w14:paraId="0688DA4E"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4B2B8421" w14:textId="536851B7"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7D4B3D9D" w14:textId="77777777" w:rsidTr="000B5EDC">
        <w:trPr>
          <w:cantSplit/>
        </w:trPr>
        <w:tc>
          <w:tcPr>
            <w:tcW w:w="1924" w:type="dxa"/>
            <w:tcMar>
              <w:top w:w="0" w:type="dxa"/>
              <w:left w:w="108" w:type="dxa"/>
              <w:bottom w:w="0" w:type="dxa"/>
              <w:right w:w="108" w:type="dxa"/>
            </w:tcMar>
            <w:vAlign w:val="center"/>
          </w:tcPr>
          <w:p w14:paraId="35EE1EFE" w14:textId="77777777" w:rsidR="000947FE" w:rsidRPr="00CF77C1" w:rsidRDefault="000947FE" w:rsidP="000B5EDC">
            <w:pPr>
              <w:jc w:val="center"/>
              <w:rPr>
                <w:szCs w:val="24"/>
                <w:lang w:val="sr-Cyrl-RS"/>
              </w:rPr>
            </w:pPr>
            <w:r w:rsidRPr="00CF77C1">
              <w:rPr>
                <w:szCs w:val="24"/>
                <w:lang w:val="sr-Cyrl-RS"/>
              </w:rPr>
              <w:t>18</w:t>
            </w:r>
          </w:p>
        </w:tc>
        <w:tc>
          <w:tcPr>
            <w:tcW w:w="6549" w:type="dxa"/>
            <w:tcMar>
              <w:top w:w="0" w:type="dxa"/>
              <w:left w:w="108" w:type="dxa"/>
              <w:bottom w:w="0" w:type="dxa"/>
              <w:right w:w="108" w:type="dxa"/>
            </w:tcMar>
            <w:vAlign w:val="center"/>
          </w:tcPr>
          <w:p w14:paraId="0B27B8D0"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 xml:space="preserve">Одсумпоравање димних гасова за пећ BA-0252 </w:t>
            </w:r>
          </w:p>
        </w:tc>
        <w:tc>
          <w:tcPr>
            <w:tcW w:w="2267" w:type="dxa"/>
            <w:tcMar>
              <w:top w:w="0" w:type="dxa"/>
              <w:left w:w="108" w:type="dxa"/>
              <w:bottom w:w="0" w:type="dxa"/>
              <w:right w:w="108" w:type="dxa"/>
            </w:tcMar>
            <w:vAlign w:val="center"/>
          </w:tcPr>
          <w:p w14:paraId="0DE9C26E" w14:textId="77777777" w:rsidR="000947FE" w:rsidRPr="00CF77C1" w:rsidRDefault="000947FE" w:rsidP="000947FE">
            <w:pPr>
              <w:jc w:val="center"/>
              <w:rPr>
                <w:szCs w:val="24"/>
                <w:lang w:val="sr-Cyrl-RS"/>
              </w:rPr>
            </w:pPr>
            <w:r w:rsidRPr="00CF77C1">
              <w:rPr>
                <w:szCs w:val="24"/>
                <w:lang w:val="sr-Cyrl-RS"/>
              </w:rPr>
              <w:t>1,00</w:t>
            </w:r>
          </w:p>
        </w:tc>
        <w:tc>
          <w:tcPr>
            <w:tcW w:w="2312" w:type="dxa"/>
            <w:tcMar>
              <w:top w:w="0" w:type="dxa"/>
              <w:left w:w="108" w:type="dxa"/>
              <w:bottom w:w="0" w:type="dxa"/>
              <w:right w:w="108" w:type="dxa"/>
            </w:tcMar>
            <w:vAlign w:val="center"/>
          </w:tcPr>
          <w:p w14:paraId="5BD4B8A5"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0ABC851C" w14:textId="6413BACF"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6DFAE430" w14:textId="77777777" w:rsidTr="000B5EDC">
        <w:trPr>
          <w:cantSplit/>
        </w:trPr>
        <w:tc>
          <w:tcPr>
            <w:tcW w:w="1924" w:type="dxa"/>
            <w:tcMar>
              <w:top w:w="0" w:type="dxa"/>
              <w:left w:w="108" w:type="dxa"/>
              <w:bottom w:w="0" w:type="dxa"/>
              <w:right w:w="108" w:type="dxa"/>
            </w:tcMar>
            <w:vAlign w:val="center"/>
          </w:tcPr>
          <w:p w14:paraId="4A87A3F3" w14:textId="77777777" w:rsidR="000947FE" w:rsidRPr="00CF77C1" w:rsidRDefault="000947FE" w:rsidP="000B5EDC">
            <w:pPr>
              <w:jc w:val="center"/>
              <w:rPr>
                <w:szCs w:val="24"/>
                <w:lang w:val="sr-Cyrl-RS"/>
              </w:rPr>
            </w:pPr>
            <w:r w:rsidRPr="00CF77C1">
              <w:rPr>
                <w:szCs w:val="24"/>
                <w:lang w:val="sr-Cyrl-RS"/>
              </w:rPr>
              <w:t>19</w:t>
            </w:r>
          </w:p>
        </w:tc>
        <w:tc>
          <w:tcPr>
            <w:tcW w:w="6549" w:type="dxa"/>
            <w:tcMar>
              <w:top w:w="0" w:type="dxa"/>
              <w:left w:w="108" w:type="dxa"/>
              <w:bottom w:w="0" w:type="dxa"/>
              <w:right w:w="108" w:type="dxa"/>
            </w:tcMar>
            <w:vAlign w:val="center"/>
          </w:tcPr>
          <w:p w14:paraId="50A97B1E"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 xml:space="preserve">Реконструкција система VME </w:t>
            </w:r>
          </w:p>
        </w:tc>
        <w:tc>
          <w:tcPr>
            <w:tcW w:w="2267" w:type="dxa"/>
            <w:tcMar>
              <w:top w:w="0" w:type="dxa"/>
              <w:left w:w="108" w:type="dxa"/>
              <w:bottom w:w="0" w:type="dxa"/>
              <w:right w:w="108" w:type="dxa"/>
            </w:tcMar>
            <w:vAlign w:val="center"/>
          </w:tcPr>
          <w:p w14:paraId="10E4FF93" w14:textId="77777777" w:rsidR="000947FE" w:rsidRPr="00CF77C1" w:rsidRDefault="000947FE" w:rsidP="000947FE">
            <w:pPr>
              <w:jc w:val="center"/>
              <w:rPr>
                <w:szCs w:val="24"/>
                <w:lang w:val="sr-Cyrl-RS"/>
              </w:rPr>
            </w:pPr>
            <w:r w:rsidRPr="00CF77C1">
              <w:rPr>
                <w:szCs w:val="24"/>
                <w:lang w:val="sr-Cyrl-RS"/>
              </w:rPr>
              <w:t>0,50</w:t>
            </w:r>
          </w:p>
        </w:tc>
        <w:tc>
          <w:tcPr>
            <w:tcW w:w="2312" w:type="dxa"/>
            <w:tcMar>
              <w:top w:w="0" w:type="dxa"/>
              <w:left w:w="108" w:type="dxa"/>
              <w:bottom w:w="0" w:type="dxa"/>
              <w:right w:w="108" w:type="dxa"/>
            </w:tcMar>
            <w:vAlign w:val="center"/>
          </w:tcPr>
          <w:p w14:paraId="3C2D5D6E"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33661330" w14:textId="63F29587"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6B15F2E0" w14:textId="77777777" w:rsidTr="000B5EDC">
        <w:trPr>
          <w:cantSplit/>
        </w:trPr>
        <w:tc>
          <w:tcPr>
            <w:tcW w:w="1924" w:type="dxa"/>
            <w:tcMar>
              <w:top w:w="0" w:type="dxa"/>
              <w:left w:w="108" w:type="dxa"/>
              <w:bottom w:w="0" w:type="dxa"/>
              <w:right w:w="108" w:type="dxa"/>
            </w:tcMar>
            <w:vAlign w:val="center"/>
          </w:tcPr>
          <w:p w14:paraId="4D10F7C7" w14:textId="77777777" w:rsidR="000947FE" w:rsidRPr="00CF77C1" w:rsidRDefault="000947FE" w:rsidP="000B5EDC">
            <w:pPr>
              <w:jc w:val="center"/>
              <w:rPr>
                <w:szCs w:val="24"/>
                <w:lang w:val="sr-Cyrl-RS"/>
              </w:rPr>
            </w:pPr>
            <w:r w:rsidRPr="00CF77C1">
              <w:rPr>
                <w:szCs w:val="24"/>
                <w:lang w:val="sr-Cyrl-RS"/>
              </w:rPr>
              <w:t>20</w:t>
            </w:r>
          </w:p>
        </w:tc>
        <w:tc>
          <w:tcPr>
            <w:tcW w:w="6549" w:type="dxa"/>
            <w:tcMar>
              <w:top w:w="0" w:type="dxa"/>
              <w:left w:w="108" w:type="dxa"/>
              <w:bottom w:w="0" w:type="dxa"/>
              <w:right w:w="108" w:type="dxa"/>
            </w:tcMar>
            <w:vAlign w:val="center"/>
          </w:tcPr>
          <w:p w14:paraId="1EFE6E54"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Уградња EC филтера на димном каналу постројења FCC</w:t>
            </w:r>
          </w:p>
        </w:tc>
        <w:tc>
          <w:tcPr>
            <w:tcW w:w="2267" w:type="dxa"/>
            <w:tcMar>
              <w:top w:w="0" w:type="dxa"/>
              <w:left w:w="108" w:type="dxa"/>
              <w:bottom w:w="0" w:type="dxa"/>
              <w:right w:w="108" w:type="dxa"/>
            </w:tcMar>
            <w:vAlign w:val="center"/>
          </w:tcPr>
          <w:p w14:paraId="21DB489C" w14:textId="77777777" w:rsidR="000947FE" w:rsidRPr="00CF77C1" w:rsidRDefault="000947FE" w:rsidP="000947FE">
            <w:pPr>
              <w:jc w:val="center"/>
              <w:rPr>
                <w:szCs w:val="24"/>
                <w:lang w:val="sr-Cyrl-RS"/>
              </w:rPr>
            </w:pPr>
            <w:r w:rsidRPr="00CF77C1">
              <w:rPr>
                <w:szCs w:val="24"/>
                <w:lang w:val="sr-Cyrl-RS"/>
              </w:rPr>
              <w:t>4,00</w:t>
            </w:r>
          </w:p>
        </w:tc>
        <w:tc>
          <w:tcPr>
            <w:tcW w:w="2312" w:type="dxa"/>
            <w:tcMar>
              <w:top w:w="0" w:type="dxa"/>
              <w:left w:w="108" w:type="dxa"/>
              <w:bottom w:w="0" w:type="dxa"/>
              <w:right w:w="108" w:type="dxa"/>
            </w:tcMar>
            <w:vAlign w:val="center"/>
          </w:tcPr>
          <w:p w14:paraId="747D5612"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075BE2BC" w14:textId="6C5F3F52"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5993ED1C" w14:textId="77777777" w:rsidTr="000B5EDC">
        <w:trPr>
          <w:cantSplit/>
        </w:trPr>
        <w:tc>
          <w:tcPr>
            <w:tcW w:w="1924" w:type="dxa"/>
            <w:tcMar>
              <w:top w:w="0" w:type="dxa"/>
              <w:left w:w="108" w:type="dxa"/>
              <w:bottom w:w="0" w:type="dxa"/>
              <w:right w:w="108" w:type="dxa"/>
            </w:tcMar>
            <w:vAlign w:val="center"/>
          </w:tcPr>
          <w:p w14:paraId="44137E80" w14:textId="77777777" w:rsidR="000947FE" w:rsidRPr="00CF77C1" w:rsidRDefault="000947FE" w:rsidP="000B5EDC">
            <w:pPr>
              <w:jc w:val="center"/>
              <w:rPr>
                <w:szCs w:val="24"/>
                <w:lang w:val="sr-Cyrl-RS"/>
              </w:rPr>
            </w:pPr>
            <w:r w:rsidRPr="00CF77C1">
              <w:rPr>
                <w:szCs w:val="24"/>
                <w:lang w:val="sr-Cyrl-RS"/>
              </w:rPr>
              <w:t>21</w:t>
            </w:r>
          </w:p>
        </w:tc>
        <w:tc>
          <w:tcPr>
            <w:tcW w:w="6549" w:type="dxa"/>
            <w:tcMar>
              <w:top w:w="0" w:type="dxa"/>
              <w:left w:w="108" w:type="dxa"/>
              <w:bottom w:w="0" w:type="dxa"/>
              <w:right w:w="108" w:type="dxa"/>
            </w:tcMar>
            <w:vAlign w:val="center"/>
          </w:tcPr>
          <w:p w14:paraId="3AE8C98B"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Реконструкције за усаглашавање у склaду сa зaхтeвимa „VOC” дирeктива 1994/63/EЗ и 2009/126/EЗ</w:t>
            </w:r>
          </w:p>
        </w:tc>
        <w:tc>
          <w:tcPr>
            <w:tcW w:w="2267" w:type="dxa"/>
            <w:tcMar>
              <w:top w:w="0" w:type="dxa"/>
              <w:left w:w="108" w:type="dxa"/>
              <w:bottom w:w="0" w:type="dxa"/>
              <w:right w:w="108" w:type="dxa"/>
            </w:tcMar>
            <w:vAlign w:val="center"/>
          </w:tcPr>
          <w:p w14:paraId="0F88B98F" w14:textId="77777777" w:rsidR="000947FE" w:rsidRPr="00CF77C1" w:rsidRDefault="000947FE" w:rsidP="000947FE">
            <w:pPr>
              <w:jc w:val="center"/>
              <w:rPr>
                <w:szCs w:val="24"/>
                <w:lang w:val="sr-Cyrl-RS"/>
              </w:rPr>
            </w:pPr>
            <w:r w:rsidRPr="00CF77C1">
              <w:rPr>
                <w:szCs w:val="24"/>
                <w:lang w:val="sr-Cyrl-RS"/>
              </w:rPr>
              <w:t>0,68</w:t>
            </w:r>
          </w:p>
        </w:tc>
        <w:tc>
          <w:tcPr>
            <w:tcW w:w="2312" w:type="dxa"/>
            <w:tcMar>
              <w:top w:w="0" w:type="dxa"/>
              <w:left w:w="108" w:type="dxa"/>
              <w:bottom w:w="0" w:type="dxa"/>
              <w:right w:w="108" w:type="dxa"/>
            </w:tcMar>
            <w:vAlign w:val="center"/>
          </w:tcPr>
          <w:p w14:paraId="0B43512F"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308E2E53" w14:textId="1D0D207B" w:rsidR="000947FE" w:rsidRPr="00CF77C1" w:rsidRDefault="000947FE" w:rsidP="00956106">
            <w:pPr>
              <w:tabs>
                <w:tab w:val="left" w:pos="2552"/>
              </w:tabs>
              <w:jc w:val="center"/>
              <w:rPr>
                <w:szCs w:val="24"/>
                <w:lang w:val="sr-Cyrl-RS"/>
              </w:rPr>
            </w:pPr>
            <w:r w:rsidRPr="00CF77C1">
              <w:rPr>
                <w:szCs w:val="24"/>
                <w:lang w:val="sr-Cyrl-RS"/>
              </w:rPr>
              <w:t>НИС а.д</w:t>
            </w:r>
            <w:r w:rsidR="002B0568">
              <w:rPr>
                <w:szCs w:val="24"/>
                <w:lang w:val="sr-Cyrl-RS"/>
              </w:rPr>
              <w:t>.</w:t>
            </w:r>
          </w:p>
        </w:tc>
      </w:tr>
      <w:tr w:rsidR="000947FE" w:rsidRPr="00CF77C1" w14:paraId="5D4AB876" w14:textId="77777777" w:rsidTr="000B5EDC">
        <w:trPr>
          <w:cantSplit/>
        </w:trPr>
        <w:tc>
          <w:tcPr>
            <w:tcW w:w="1924" w:type="dxa"/>
            <w:tcMar>
              <w:top w:w="0" w:type="dxa"/>
              <w:left w:w="108" w:type="dxa"/>
              <w:bottom w:w="0" w:type="dxa"/>
              <w:right w:w="108" w:type="dxa"/>
            </w:tcMar>
            <w:vAlign w:val="center"/>
          </w:tcPr>
          <w:p w14:paraId="1AFC258A" w14:textId="77777777" w:rsidR="000947FE" w:rsidRPr="00CF77C1" w:rsidRDefault="000947FE" w:rsidP="000B5EDC">
            <w:pPr>
              <w:jc w:val="center"/>
              <w:rPr>
                <w:szCs w:val="24"/>
                <w:lang w:val="sr-Cyrl-RS"/>
              </w:rPr>
            </w:pPr>
          </w:p>
        </w:tc>
        <w:tc>
          <w:tcPr>
            <w:tcW w:w="12863" w:type="dxa"/>
            <w:gridSpan w:val="4"/>
            <w:tcMar>
              <w:top w:w="0" w:type="dxa"/>
              <w:left w:w="108" w:type="dxa"/>
              <w:bottom w:w="0" w:type="dxa"/>
              <w:right w:w="108" w:type="dxa"/>
            </w:tcMar>
            <w:vAlign w:val="center"/>
          </w:tcPr>
          <w:p w14:paraId="5638D4DB" w14:textId="77777777" w:rsidR="000947FE" w:rsidRPr="00CF77C1" w:rsidRDefault="000947FE" w:rsidP="000947FE">
            <w:pPr>
              <w:jc w:val="center"/>
              <w:rPr>
                <w:szCs w:val="24"/>
                <w:lang w:val="sr-Cyrl-RS"/>
              </w:rPr>
            </w:pPr>
            <w:r w:rsidRPr="00CF77C1">
              <w:rPr>
                <w:szCs w:val="24"/>
                <w:lang w:val="sr-Cyrl-RS"/>
              </w:rPr>
              <w:t>Блок Енергетика</w:t>
            </w:r>
          </w:p>
        </w:tc>
      </w:tr>
      <w:tr w:rsidR="000947FE" w:rsidRPr="00CF77C1" w14:paraId="0B6DDBE6" w14:textId="77777777" w:rsidTr="000B5EDC">
        <w:trPr>
          <w:cantSplit/>
        </w:trPr>
        <w:tc>
          <w:tcPr>
            <w:tcW w:w="1924" w:type="dxa"/>
            <w:tcMar>
              <w:top w:w="0" w:type="dxa"/>
              <w:left w:w="108" w:type="dxa"/>
              <w:bottom w:w="0" w:type="dxa"/>
              <w:right w:w="108" w:type="dxa"/>
            </w:tcMar>
            <w:vAlign w:val="center"/>
          </w:tcPr>
          <w:p w14:paraId="16937E15" w14:textId="77777777" w:rsidR="000947FE" w:rsidRPr="00CF77C1" w:rsidRDefault="000947FE" w:rsidP="000B5EDC">
            <w:pPr>
              <w:jc w:val="center"/>
              <w:rPr>
                <w:szCs w:val="24"/>
                <w:lang w:val="sr-Cyrl-RS"/>
              </w:rPr>
            </w:pPr>
            <w:r w:rsidRPr="00CF77C1">
              <w:rPr>
                <w:szCs w:val="24"/>
                <w:lang w:val="sr-Cyrl-RS"/>
              </w:rPr>
              <w:t>22</w:t>
            </w:r>
          </w:p>
        </w:tc>
        <w:tc>
          <w:tcPr>
            <w:tcW w:w="6549" w:type="dxa"/>
            <w:tcMar>
              <w:top w:w="0" w:type="dxa"/>
              <w:left w:w="108" w:type="dxa"/>
              <w:bottom w:w="0" w:type="dxa"/>
              <w:right w:w="108" w:type="dxa"/>
            </w:tcMar>
            <w:vAlign w:val="center"/>
          </w:tcPr>
          <w:p w14:paraId="33589EBB"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Прojeкти гeoтeрмaлнe eнeргиje</w:t>
            </w:r>
          </w:p>
        </w:tc>
        <w:tc>
          <w:tcPr>
            <w:tcW w:w="2267" w:type="dxa"/>
            <w:tcMar>
              <w:top w:w="0" w:type="dxa"/>
              <w:left w:w="108" w:type="dxa"/>
              <w:bottom w:w="0" w:type="dxa"/>
              <w:right w:w="108" w:type="dxa"/>
            </w:tcMar>
            <w:vAlign w:val="center"/>
          </w:tcPr>
          <w:p w14:paraId="69CE4120" w14:textId="77777777" w:rsidR="000947FE" w:rsidRPr="00CF77C1" w:rsidRDefault="000947FE" w:rsidP="000947FE">
            <w:pPr>
              <w:jc w:val="center"/>
              <w:rPr>
                <w:szCs w:val="24"/>
                <w:lang w:val="sr-Cyrl-RS"/>
              </w:rPr>
            </w:pPr>
            <w:r w:rsidRPr="00CF77C1">
              <w:rPr>
                <w:szCs w:val="24"/>
                <w:lang w:val="sr-Cyrl-RS"/>
              </w:rPr>
              <w:t>0,21</w:t>
            </w:r>
          </w:p>
        </w:tc>
        <w:tc>
          <w:tcPr>
            <w:tcW w:w="2312" w:type="dxa"/>
            <w:tcMar>
              <w:top w:w="0" w:type="dxa"/>
              <w:left w:w="108" w:type="dxa"/>
              <w:bottom w:w="0" w:type="dxa"/>
              <w:right w:w="108" w:type="dxa"/>
            </w:tcMar>
            <w:vAlign w:val="center"/>
          </w:tcPr>
          <w:p w14:paraId="28A5569F"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69F8DE1D" w14:textId="1BA3D38C"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7A50DAC4" w14:textId="77777777" w:rsidTr="000B5EDC">
        <w:trPr>
          <w:cantSplit/>
        </w:trPr>
        <w:tc>
          <w:tcPr>
            <w:tcW w:w="1924" w:type="dxa"/>
            <w:tcMar>
              <w:top w:w="0" w:type="dxa"/>
              <w:left w:w="108" w:type="dxa"/>
              <w:bottom w:w="0" w:type="dxa"/>
              <w:right w:w="108" w:type="dxa"/>
            </w:tcMar>
            <w:vAlign w:val="center"/>
          </w:tcPr>
          <w:p w14:paraId="1099C679" w14:textId="77777777" w:rsidR="000947FE" w:rsidRPr="00CF77C1" w:rsidRDefault="000947FE" w:rsidP="000B5EDC">
            <w:pPr>
              <w:jc w:val="center"/>
              <w:rPr>
                <w:szCs w:val="24"/>
                <w:lang w:val="sr-Cyrl-RS"/>
              </w:rPr>
            </w:pPr>
            <w:r w:rsidRPr="00CF77C1">
              <w:rPr>
                <w:szCs w:val="24"/>
                <w:lang w:val="sr-Cyrl-RS"/>
              </w:rPr>
              <w:t>23</w:t>
            </w:r>
          </w:p>
        </w:tc>
        <w:tc>
          <w:tcPr>
            <w:tcW w:w="6549" w:type="dxa"/>
            <w:tcMar>
              <w:top w:w="0" w:type="dxa"/>
              <w:left w:w="108" w:type="dxa"/>
              <w:bottom w:w="0" w:type="dxa"/>
              <w:right w:w="108" w:type="dxa"/>
            </w:tcMar>
            <w:vAlign w:val="center"/>
          </w:tcPr>
          <w:p w14:paraId="765FC11B"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Прojeкaт Teрмoeлeктрaнa-тoплaнa Пaнчeвo - дeo НИС a.д.</w:t>
            </w:r>
          </w:p>
        </w:tc>
        <w:tc>
          <w:tcPr>
            <w:tcW w:w="2267" w:type="dxa"/>
            <w:tcMar>
              <w:top w:w="0" w:type="dxa"/>
              <w:left w:w="108" w:type="dxa"/>
              <w:bottom w:w="0" w:type="dxa"/>
              <w:right w:w="108" w:type="dxa"/>
            </w:tcMar>
            <w:vAlign w:val="center"/>
          </w:tcPr>
          <w:p w14:paraId="52802F01" w14:textId="77777777" w:rsidR="000947FE" w:rsidRPr="00CF77C1" w:rsidRDefault="000947FE" w:rsidP="000947FE">
            <w:pPr>
              <w:jc w:val="center"/>
              <w:rPr>
                <w:szCs w:val="24"/>
                <w:lang w:val="sr-Cyrl-RS"/>
              </w:rPr>
            </w:pPr>
            <w:r w:rsidRPr="00CF77C1">
              <w:rPr>
                <w:szCs w:val="24"/>
                <w:lang w:val="sr-Cyrl-RS"/>
              </w:rPr>
              <w:t>70,6</w:t>
            </w:r>
          </w:p>
        </w:tc>
        <w:tc>
          <w:tcPr>
            <w:tcW w:w="2312" w:type="dxa"/>
            <w:tcMar>
              <w:top w:w="0" w:type="dxa"/>
              <w:left w:w="108" w:type="dxa"/>
              <w:bottom w:w="0" w:type="dxa"/>
              <w:right w:w="108" w:type="dxa"/>
            </w:tcMar>
            <w:vAlign w:val="center"/>
          </w:tcPr>
          <w:p w14:paraId="1A981F7E"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58FCEE5A" w14:textId="76F7528F"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0C79EEFA" w14:textId="77777777" w:rsidTr="000B5EDC">
        <w:trPr>
          <w:cantSplit/>
        </w:trPr>
        <w:tc>
          <w:tcPr>
            <w:tcW w:w="1924" w:type="dxa"/>
            <w:tcMar>
              <w:top w:w="0" w:type="dxa"/>
              <w:left w:w="108" w:type="dxa"/>
              <w:bottom w:w="0" w:type="dxa"/>
              <w:right w:w="108" w:type="dxa"/>
            </w:tcMar>
            <w:vAlign w:val="center"/>
          </w:tcPr>
          <w:p w14:paraId="0AE59CDF" w14:textId="77777777" w:rsidR="000947FE" w:rsidRPr="00CF77C1" w:rsidRDefault="000947FE" w:rsidP="000B5EDC">
            <w:pPr>
              <w:jc w:val="center"/>
              <w:rPr>
                <w:szCs w:val="24"/>
                <w:lang w:val="sr-Cyrl-RS"/>
              </w:rPr>
            </w:pPr>
            <w:r w:rsidRPr="00CF77C1">
              <w:rPr>
                <w:szCs w:val="24"/>
                <w:lang w:val="sr-Cyrl-RS"/>
              </w:rPr>
              <w:t>24</w:t>
            </w:r>
          </w:p>
        </w:tc>
        <w:tc>
          <w:tcPr>
            <w:tcW w:w="6549" w:type="dxa"/>
            <w:tcMar>
              <w:top w:w="0" w:type="dxa"/>
              <w:left w:w="108" w:type="dxa"/>
              <w:bottom w:w="0" w:type="dxa"/>
              <w:right w:w="108" w:type="dxa"/>
            </w:tcMar>
            <w:vAlign w:val="center"/>
          </w:tcPr>
          <w:p w14:paraId="25BFE0AB"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Изгрaдњa кoгeнeрaтивних пoстрojeњa</w:t>
            </w:r>
          </w:p>
        </w:tc>
        <w:tc>
          <w:tcPr>
            <w:tcW w:w="2267" w:type="dxa"/>
            <w:tcMar>
              <w:top w:w="0" w:type="dxa"/>
              <w:left w:w="108" w:type="dxa"/>
              <w:bottom w:w="0" w:type="dxa"/>
              <w:right w:w="108" w:type="dxa"/>
            </w:tcMar>
            <w:vAlign w:val="center"/>
          </w:tcPr>
          <w:p w14:paraId="4D1AC8CD" w14:textId="77777777" w:rsidR="000947FE" w:rsidRPr="00CF77C1" w:rsidRDefault="000947FE" w:rsidP="000947FE">
            <w:pPr>
              <w:jc w:val="center"/>
              <w:rPr>
                <w:szCs w:val="24"/>
                <w:lang w:val="sr-Cyrl-RS"/>
              </w:rPr>
            </w:pPr>
            <w:r w:rsidRPr="00CF77C1">
              <w:rPr>
                <w:szCs w:val="24"/>
                <w:lang w:val="sr-Cyrl-RS"/>
              </w:rPr>
              <w:t>15,61</w:t>
            </w:r>
          </w:p>
        </w:tc>
        <w:tc>
          <w:tcPr>
            <w:tcW w:w="2312" w:type="dxa"/>
            <w:tcMar>
              <w:top w:w="0" w:type="dxa"/>
              <w:left w:w="108" w:type="dxa"/>
              <w:bottom w:w="0" w:type="dxa"/>
              <w:right w:w="108" w:type="dxa"/>
            </w:tcMar>
            <w:vAlign w:val="center"/>
          </w:tcPr>
          <w:p w14:paraId="179641A8"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7A61940F" w14:textId="09273AB4"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167F2BD5" w14:textId="77777777" w:rsidTr="000B5EDC">
        <w:trPr>
          <w:cantSplit/>
        </w:trPr>
        <w:tc>
          <w:tcPr>
            <w:tcW w:w="1924" w:type="dxa"/>
            <w:tcMar>
              <w:top w:w="0" w:type="dxa"/>
              <w:left w:w="108" w:type="dxa"/>
              <w:bottom w:w="0" w:type="dxa"/>
              <w:right w:w="108" w:type="dxa"/>
            </w:tcMar>
            <w:vAlign w:val="center"/>
          </w:tcPr>
          <w:p w14:paraId="3CD1931C" w14:textId="77777777" w:rsidR="000947FE" w:rsidRPr="00CF77C1" w:rsidRDefault="000947FE" w:rsidP="000B5EDC">
            <w:pPr>
              <w:jc w:val="center"/>
              <w:rPr>
                <w:szCs w:val="24"/>
                <w:lang w:val="sr-Cyrl-RS"/>
              </w:rPr>
            </w:pPr>
            <w:r w:rsidRPr="00CF77C1">
              <w:rPr>
                <w:szCs w:val="24"/>
                <w:lang w:val="sr-Cyrl-RS"/>
              </w:rPr>
              <w:t>25</w:t>
            </w:r>
          </w:p>
        </w:tc>
        <w:tc>
          <w:tcPr>
            <w:tcW w:w="6549" w:type="dxa"/>
            <w:tcMar>
              <w:top w:w="0" w:type="dxa"/>
              <w:left w:w="108" w:type="dxa"/>
              <w:bottom w:w="0" w:type="dxa"/>
              <w:right w:w="108" w:type="dxa"/>
            </w:tcMar>
            <w:vAlign w:val="center"/>
          </w:tcPr>
          <w:p w14:paraId="4F056C0B"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Прojeкти кoмпримoвaњa прирoднoг гaсa (КПГ)</w:t>
            </w:r>
          </w:p>
        </w:tc>
        <w:tc>
          <w:tcPr>
            <w:tcW w:w="2267" w:type="dxa"/>
            <w:tcMar>
              <w:top w:w="0" w:type="dxa"/>
              <w:left w:w="108" w:type="dxa"/>
              <w:bottom w:w="0" w:type="dxa"/>
              <w:right w:w="108" w:type="dxa"/>
            </w:tcMar>
            <w:vAlign w:val="center"/>
          </w:tcPr>
          <w:p w14:paraId="1E0EB7CB" w14:textId="77777777" w:rsidR="000947FE" w:rsidRPr="00CF77C1" w:rsidRDefault="000947FE" w:rsidP="000947FE">
            <w:pPr>
              <w:jc w:val="center"/>
              <w:rPr>
                <w:szCs w:val="24"/>
                <w:lang w:val="sr-Cyrl-RS"/>
              </w:rPr>
            </w:pPr>
            <w:r w:rsidRPr="00CF77C1">
              <w:rPr>
                <w:szCs w:val="24"/>
                <w:lang w:val="sr-Cyrl-RS"/>
              </w:rPr>
              <w:t>2,27</w:t>
            </w:r>
          </w:p>
        </w:tc>
        <w:tc>
          <w:tcPr>
            <w:tcW w:w="2312" w:type="dxa"/>
            <w:tcMar>
              <w:top w:w="0" w:type="dxa"/>
              <w:left w:w="108" w:type="dxa"/>
              <w:bottom w:w="0" w:type="dxa"/>
              <w:right w:w="108" w:type="dxa"/>
            </w:tcMar>
            <w:vAlign w:val="center"/>
          </w:tcPr>
          <w:p w14:paraId="35AD9966"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5FE2AFCD" w14:textId="4103BD85"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232BFA7F" w14:textId="77777777" w:rsidTr="000B5EDC">
        <w:trPr>
          <w:cantSplit/>
        </w:trPr>
        <w:tc>
          <w:tcPr>
            <w:tcW w:w="1924" w:type="dxa"/>
            <w:tcMar>
              <w:top w:w="0" w:type="dxa"/>
              <w:left w:w="108" w:type="dxa"/>
              <w:bottom w:w="0" w:type="dxa"/>
              <w:right w:w="108" w:type="dxa"/>
            </w:tcMar>
            <w:vAlign w:val="center"/>
          </w:tcPr>
          <w:p w14:paraId="27C1547C" w14:textId="77777777" w:rsidR="000947FE" w:rsidRPr="00CF77C1" w:rsidRDefault="000947FE" w:rsidP="000B5EDC">
            <w:pPr>
              <w:jc w:val="center"/>
              <w:rPr>
                <w:szCs w:val="24"/>
                <w:lang w:val="sr-Cyrl-RS"/>
              </w:rPr>
            </w:pPr>
            <w:r w:rsidRPr="00CF77C1">
              <w:rPr>
                <w:szCs w:val="24"/>
                <w:lang w:val="sr-Cyrl-RS"/>
              </w:rPr>
              <w:t>26</w:t>
            </w:r>
          </w:p>
        </w:tc>
        <w:tc>
          <w:tcPr>
            <w:tcW w:w="6549" w:type="dxa"/>
            <w:tcMar>
              <w:top w:w="0" w:type="dxa"/>
              <w:left w:w="108" w:type="dxa"/>
              <w:bottom w:w="0" w:type="dxa"/>
              <w:right w:w="108" w:type="dxa"/>
            </w:tcMar>
            <w:vAlign w:val="center"/>
          </w:tcPr>
          <w:p w14:paraId="3ED2E52D"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Прojeкaт рeкoнструкциja систeмa зa грejaњe у РНС</w:t>
            </w:r>
          </w:p>
        </w:tc>
        <w:tc>
          <w:tcPr>
            <w:tcW w:w="2267" w:type="dxa"/>
            <w:tcMar>
              <w:top w:w="0" w:type="dxa"/>
              <w:left w:w="108" w:type="dxa"/>
              <w:bottom w:w="0" w:type="dxa"/>
              <w:right w:w="108" w:type="dxa"/>
            </w:tcMar>
            <w:vAlign w:val="center"/>
          </w:tcPr>
          <w:p w14:paraId="3BAEB7CE" w14:textId="77777777" w:rsidR="000947FE" w:rsidRPr="00CF77C1" w:rsidRDefault="000947FE" w:rsidP="000947FE">
            <w:pPr>
              <w:jc w:val="center"/>
              <w:rPr>
                <w:szCs w:val="24"/>
                <w:lang w:val="sr-Cyrl-RS"/>
              </w:rPr>
            </w:pPr>
            <w:r w:rsidRPr="00CF77C1">
              <w:rPr>
                <w:szCs w:val="24"/>
                <w:lang w:val="sr-Cyrl-RS"/>
              </w:rPr>
              <w:t>0,67</w:t>
            </w:r>
          </w:p>
        </w:tc>
        <w:tc>
          <w:tcPr>
            <w:tcW w:w="2312" w:type="dxa"/>
            <w:tcMar>
              <w:top w:w="0" w:type="dxa"/>
              <w:left w:w="108" w:type="dxa"/>
              <w:bottom w:w="0" w:type="dxa"/>
              <w:right w:w="108" w:type="dxa"/>
            </w:tcMar>
            <w:vAlign w:val="center"/>
          </w:tcPr>
          <w:p w14:paraId="38CE261D"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5798FCED" w14:textId="478A5EA6"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53C9C2E4" w14:textId="77777777" w:rsidTr="000B5EDC">
        <w:trPr>
          <w:cantSplit/>
        </w:trPr>
        <w:tc>
          <w:tcPr>
            <w:tcW w:w="1924" w:type="dxa"/>
            <w:tcMar>
              <w:top w:w="0" w:type="dxa"/>
              <w:left w:w="108" w:type="dxa"/>
              <w:bottom w:w="0" w:type="dxa"/>
              <w:right w:w="108" w:type="dxa"/>
            </w:tcMar>
            <w:vAlign w:val="center"/>
          </w:tcPr>
          <w:p w14:paraId="6935B147" w14:textId="77777777" w:rsidR="000947FE" w:rsidRPr="00CF77C1" w:rsidRDefault="000947FE" w:rsidP="000B5EDC">
            <w:pPr>
              <w:jc w:val="center"/>
              <w:rPr>
                <w:szCs w:val="24"/>
                <w:lang w:val="sr-Cyrl-RS"/>
              </w:rPr>
            </w:pPr>
            <w:r w:rsidRPr="00CF77C1">
              <w:rPr>
                <w:szCs w:val="24"/>
                <w:lang w:val="sr-Cyrl-RS"/>
              </w:rPr>
              <w:t>27</w:t>
            </w:r>
          </w:p>
        </w:tc>
        <w:tc>
          <w:tcPr>
            <w:tcW w:w="6549" w:type="dxa"/>
            <w:tcMar>
              <w:top w:w="0" w:type="dxa"/>
              <w:left w:w="108" w:type="dxa"/>
              <w:bottom w:w="0" w:type="dxa"/>
              <w:right w:w="108" w:type="dxa"/>
            </w:tcMar>
            <w:vAlign w:val="center"/>
          </w:tcPr>
          <w:p w14:paraId="4BDED426"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Адаптација система за поврат кондензата</w:t>
            </w:r>
          </w:p>
        </w:tc>
        <w:tc>
          <w:tcPr>
            <w:tcW w:w="2267" w:type="dxa"/>
            <w:tcMar>
              <w:top w:w="0" w:type="dxa"/>
              <w:left w:w="108" w:type="dxa"/>
              <w:bottom w:w="0" w:type="dxa"/>
              <w:right w:w="108" w:type="dxa"/>
            </w:tcMar>
            <w:vAlign w:val="center"/>
          </w:tcPr>
          <w:p w14:paraId="3E7D8A19" w14:textId="77777777" w:rsidR="000947FE" w:rsidRPr="00CF77C1" w:rsidRDefault="000947FE" w:rsidP="000947FE">
            <w:pPr>
              <w:jc w:val="center"/>
              <w:rPr>
                <w:szCs w:val="24"/>
                <w:lang w:val="sr-Cyrl-RS"/>
              </w:rPr>
            </w:pPr>
            <w:r w:rsidRPr="00CF77C1">
              <w:rPr>
                <w:szCs w:val="24"/>
                <w:lang w:val="sr-Cyrl-RS"/>
              </w:rPr>
              <w:t>0,24</w:t>
            </w:r>
          </w:p>
        </w:tc>
        <w:tc>
          <w:tcPr>
            <w:tcW w:w="2312" w:type="dxa"/>
            <w:tcMar>
              <w:top w:w="0" w:type="dxa"/>
              <w:left w:w="108" w:type="dxa"/>
              <w:bottom w:w="0" w:type="dxa"/>
              <w:right w:w="108" w:type="dxa"/>
            </w:tcMar>
            <w:vAlign w:val="center"/>
          </w:tcPr>
          <w:p w14:paraId="7127C82E"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1E378A85" w14:textId="225DDD26"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74F42F92" w14:textId="77777777" w:rsidTr="000B5EDC">
        <w:trPr>
          <w:cantSplit/>
        </w:trPr>
        <w:tc>
          <w:tcPr>
            <w:tcW w:w="14787" w:type="dxa"/>
            <w:gridSpan w:val="5"/>
            <w:tcMar>
              <w:top w:w="0" w:type="dxa"/>
              <w:left w:w="108" w:type="dxa"/>
              <w:bottom w:w="0" w:type="dxa"/>
              <w:right w:w="108" w:type="dxa"/>
            </w:tcMar>
            <w:vAlign w:val="center"/>
          </w:tcPr>
          <w:p w14:paraId="7E4695F7" w14:textId="77777777" w:rsidR="000947FE" w:rsidRPr="00CF77C1" w:rsidRDefault="000947FE" w:rsidP="000B5EDC">
            <w:pPr>
              <w:jc w:val="center"/>
              <w:rPr>
                <w:szCs w:val="24"/>
                <w:lang w:val="sr-Cyrl-RS"/>
              </w:rPr>
            </w:pPr>
          </w:p>
        </w:tc>
      </w:tr>
      <w:tr w:rsidR="000947FE" w:rsidRPr="00CF77C1" w14:paraId="4D2C9BF2" w14:textId="77777777" w:rsidTr="000B5EDC">
        <w:trPr>
          <w:cantSplit/>
        </w:trPr>
        <w:tc>
          <w:tcPr>
            <w:tcW w:w="14787" w:type="dxa"/>
            <w:gridSpan w:val="5"/>
            <w:tcMar>
              <w:top w:w="0" w:type="dxa"/>
              <w:left w:w="108" w:type="dxa"/>
              <w:bottom w:w="0" w:type="dxa"/>
              <w:right w:w="108" w:type="dxa"/>
            </w:tcMar>
            <w:vAlign w:val="center"/>
          </w:tcPr>
          <w:p w14:paraId="56D1E435" w14:textId="77777777" w:rsidR="000947FE" w:rsidRPr="00CF77C1" w:rsidRDefault="000947FE" w:rsidP="000B5EDC">
            <w:pPr>
              <w:jc w:val="center"/>
              <w:rPr>
                <w:szCs w:val="24"/>
                <w:lang w:val="sr-Cyrl-RS"/>
              </w:rPr>
            </w:pPr>
            <w:r w:rsidRPr="00CF77C1">
              <w:rPr>
                <w:szCs w:val="24"/>
                <w:lang w:val="sr-Cyrl-RS"/>
              </w:rPr>
              <w:t>Блок</w:t>
            </w:r>
            <w:r w:rsidRPr="00CF77C1">
              <w:rPr>
                <w:bCs/>
                <w:szCs w:val="24"/>
                <w:lang w:val="sr-Cyrl-RS"/>
              </w:rPr>
              <w:t xml:space="preserve"> Истраживање и производња</w:t>
            </w:r>
          </w:p>
        </w:tc>
      </w:tr>
      <w:tr w:rsidR="000947FE" w:rsidRPr="00CF77C1" w14:paraId="690F5EE2" w14:textId="77777777" w:rsidTr="000B5EDC">
        <w:trPr>
          <w:cantSplit/>
        </w:trPr>
        <w:tc>
          <w:tcPr>
            <w:tcW w:w="1924" w:type="dxa"/>
            <w:tcMar>
              <w:top w:w="0" w:type="dxa"/>
              <w:left w:w="108" w:type="dxa"/>
              <w:bottom w:w="0" w:type="dxa"/>
              <w:right w:w="108" w:type="dxa"/>
            </w:tcMar>
            <w:vAlign w:val="center"/>
          </w:tcPr>
          <w:p w14:paraId="436772D3" w14:textId="77777777" w:rsidR="000947FE" w:rsidRPr="00CF77C1" w:rsidRDefault="000947FE" w:rsidP="000B5EDC">
            <w:pPr>
              <w:jc w:val="center"/>
              <w:rPr>
                <w:szCs w:val="24"/>
                <w:lang w:val="sr-Cyrl-RS"/>
              </w:rPr>
            </w:pPr>
            <w:r w:rsidRPr="00CF77C1">
              <w:rPr>
                <w:szCs w:val="24"/>
                <w:lang w:val="sr-Cyrl-RS"/>
              </w:rPr>
              <w:t>28</w:t>
            </w:r>
          </w:p>
        </w:tc>
        <w:tc>
          <w:tcPr>
            <w:tcW w:w="6549" w:type="dxa"/>
            <w:tcMar>
              <w:top w:w="0" w:type="dxa"/>
              <w:left w:w="108" w:type="dxa"/>
              <w:bottom w:w="0" w:type="dxa"/>
              <w:right w:w="108" w:type="dxa"/>
            </w:tcMar>
            <w:vAlign w:val="center"/>
          </w:tcPr>
          <w:p w14:paraId="72ACCF4F" w14:textId="77777777" w:rsidR="000947FE" w:rsidRPr="00CF77C1" w:rsidRDefault="000947FE" w:rsidP="00956106">
            <w:pPr>
              <w:keepLines/>
              <w:tabs>
                <w:tab w:val="left" w:pos="1985"/>
                <w:tab w:val="left" w:pos="5103"/>
              </w:tabs>
              <w:spacing w:before="120" w:after="0"/>
              <w:jc w:val="center"/>
              <w:rPr>
                <w:color w:val="212121"/>
                <w:lang w:val="sr-Cyrl-RS"/>
              </w:rPr>
            </w:pPr>
            <w:r w:rsidRPr="00CF77C1">
              <w:rPr>
                <w:color w:val="212121"/>
                <w:lang w:val="sr-Cyrl-RS"/>
              </w:rPr>
              <w:t>Еколошки пројекти</w:t>
            </w:r>
          </w:p>
        </w:tc>
        <w:tc>
          <w:tcPr>
            <w:tcW w:w="2267" w:type="dxa"/>
            <w:tcMar>
              <w:top w:w="0" w:type="dxa"/>
              <w:left w:w="108" w:type="dxa"/>
              <w:bottom w:w="0" w:type="dxa"/>
              <w:right w:w="108" w:type="dxa"/>
            </w:tcMar>
            <w:vAlign w:val="center"/>
          </w:tcPr>
          <w:p w14:paraId="6A99EE8D" w14:textId="77777777" w:rsidR="000947FE" w:rsidRPr="00CF77C1" w:rsidRDefault="000947FE" w:rsidP="000947FE">
            <w:pPr>
              <w:keepLines/>
              <w:tabs>
                <w:tab w:val="left" w:pos="1985"/>
                <w:tab w:val="left" w:pos="5103"/>
              </w:tabs>
              <w:spacing w:before="120" w:after="0"/>
              <w:jc w:val="center"/>
              <w:rPr>
                <w:color w:val="212121"/>
                <w:lang w:val="sr-Cyrl-RS"/>
              </w:rPr>
            </w:pPr>
            <w:r w:rsidRPr="00CF77C1">
              <w:rPr>
                <w:color w:val="212121"/>
                <w:lang w:val="sr-Cyrl-RS"/>
              </w:rPr>
              <w:t>10,27</w:t>
            </w:r>
          </w:p>
        </w:tc>
        <w:tc>
          <w:tcPr>
            <w:tcW w:w="2312" w:type="dxa"/>
            <w:tcMar>
              <w:top w:w="0" w:type="dxa"/>
              <w:left w:w="108" w:type="dxa"/>
              <w:bottom w:w="0" w:type="dxa"/>
              <w:right w:w="108" w:type="dxa"/>
            </w:tcMar>
            <w:vAlign w:val="center"/>
          </w:tcPr>
          <w:p w14:paraId="2E6183F2"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6E0FA3E4" w14:textId="05F9C24A"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62B5ED9E" w14:textId="77777777" w:rsidTr="000B5EDC">
        <w:trPr>
          <w:cantSplit/>
        </w:trPr>
        <w:tc>
          <w:tcPr>
            <w:tcW w:w="14787" w:type="dxa"/>
            <w:gridSpan w:val="5"/>
            <w:tcMar>
              <w:top w:w="0" w:type="dxa"/>
              <w:left w:w="108" w:type="dxa"/>
              <w:bottom w:w="0" w:type="dxa"/>
              <w:right w:w="108" w:type="dxa"/>
            </w:tcMar>
            <w:vAlign w:val="center"/>
          </w:tcPr>
          <w:p w14:paraId="0DB7E417" w14:textId="77777777" w:rsidR="000947FE" w:rsidRPr="00CF77C1" w:rsidRDefault="000947FE" w:rsidP="000B5EDC">
            <w:pPr>
              <w:jc w:val="center"/>
              <w:rPr>
                <w:szCs w:val="24"/>
                <w:lang w:val="sr-Cyrl-RS"/>
              </w:rPr>
            </w:pPr>
            <w:r w:rsidRPr="00CF77C1">
              <w:rPr>
                <w:szCs w:val="24"/>
                <w:lang w:val="sr-Cyrl-RS"/>
              </w:rPr>
              <w:t>Блок</w:t>
            </w:r>
            <w:r w:rsidRPr="00CF77C1">
              <w:rPr>
                <w:bCs/>
                <w:szCs w:val="24"/>
                <w:lang w:val="sr-Cyrl-RS"/>
              </w:rPr>
              <w:t xml:space="preserve"> Прoмeт</w:t>
            </w:r>
          </w:p>
        </w:tc>
      </w:tr>
      <w:tr w:rsidR="000947FE" w:rsidRPr="00CF77C1" w14:paraId="5AA0C546" w14:textId="77777777" w:rsidTr="000B5EDC">
        <w:trPr>
          <w:cantSplit/>
        </w:trPr>
        <w:tc>
          <w:tcPr>
            <w:tcW w:w="1924" w:type="dxa"/>
            <w:tcMar>
              <w:top w:w="0" w:type="dxa"/>
              <w:left w:w="108" w:type="dxa"/>
              <w:bottom w:w="0" w:type="dxa"/>
              <w:right w:w="108" w:type="dxa"/>
            </w:tcMar>
            <w:vAlign w:val="center"/>
          </w:tcPr>
          <w:p w14:paraId="7869A721" w14:textId="77777777" w:rsidR="000947FE" w:rsidRPr="00CF77C1" w:rsidRDefault="000947FE" w:rsidP="000B5EDC">
            <w:pPr>
              <w:jc w:val="center"/>
              <w:rPr>
                <w:szCs w:val="24"/>
                <w:lang w:val="sr-Cyrl-RS"/>
              </w:rPr>
            </w:pPr>
            <w:r w:rsidRPr="00CF77C1">
              <w:rPr>
                <w:szCs w:val="24"/>
                <w:lang w:val="sr-Cyrl-RS"/>
              </w:rPr>
              <w:t>29</w:t>
            </w:r>
          </w:p>
        </w:tc>
        <w:tc>
          <w:tcPr>
            <w:tcW w:w="6549" w:type="dxa"/>
            <w:tcMar>
              <w:top w:w="0" w:type="dxa"/>
              <w:left w:w="108" w:type="dxa"/>
              <w:bottom w:w="0" w:type="dxa"/>
              <w:right w:w="108" w:type="dxa"/>
            </w:tcMar>
            <w:vAlign w:val="center"/>
          </w:tcPr>
          <w:p w14:paraId="083D89F0" w14:textId="4E26241A" w:rsidR="000947FE" w:rsidRPr="00CF77C1" w:rsidRDefault="000947FE" w:rsidP="000B5EDC">
            <w:pPr>
              <w:keepLines/>
              <w:tabs>
                <w:tab w:val="left" w:pos="1985"/>
                <w:tab w:val="left" w:pos="5103"/>
              </w:tabs>
              <w:jc w:val="left"/>
              <w:rPr>
                <w:color w:val="212121"/>
                <w:lang w:val="sr-Cyrl-RS"/>
              </w:rPr>
            </w:pPr>
            <w:r w:rsidRPr="00CF77C1">
              <w:rPr>
                <w:color w:val="212121"/>
                <w:lang w:val="sr-Cyrl-RS"/>
              </w:rPr>
              <w:t>Инвeстициja у тeхничкo тeхнoлoшкe мeрe кoje je пoтрeбнo прeдузeти у дeлу пoстрojeњa</w:t>
            </w:r>
            <w:r w:rsidR="001B621D">
              <w:rPr>
                <w:color w:val="212121"/>
                <w:lang w:val="sr-Cyrl-RS"/>
              </w:rPr>
              <w:t xml:space="preserve"> зa мaнипулaциjу и склaдиштeњe</w:t>
            </w:r>
            <w:r w:rsidRPr="00CF77C1">
              <w:rPr>
                <w:color w:val="212121"/>
                <w:lang w:val="sr-Cyrl-RS"/>
              </w:rPr>
              <w:t xml:space="preserve"> бeнзинa у склaду сa зaхтeвимa „VOC” дирeктива 1994/63/EЗ и 2009/126/EЗ</w:t>
            </w:r>
          </w:p>
        </w:tc>
        <w:tc>
          <w:tcPr>
            <w:tcW w:w="2267" w:type="dxa"/>
            <w:tcMar>
              <w:top w:w="0" w:type="dxa"/>
              <w:left w:w="108" w:type="dxa"/>
              <w:bottom w:w="0" w:type="dxa"/>
              <w:right w:w="108" w:type="dxa"/>
            </w:tcMar>
            <w:vAlign w:val="center"/>
          </w:tcPr>
          <w:p w14:paraId="3BE173DC" w14:textId="77777777" w:rsidR="000947FE" w:rsidRPr="00CF77C1" w:rsidRDefault="000947FE" w:rsidP="000947FE">
            <w:pPr>
              <w:keepLines/>
              <w:tabs>
                <w:tab w:val="left" w:pos="1985"/>
                <w:tab w:val="left" w:pos="5103"/>
              </w:tabs>
              <w:spacing w:before="120" w:after="0"/>
              <w:jc w:val="center"/>
              <w:rPr>
                <w:color w:val="212121"/>
                <w:lang w:val="sr-Cyrl-RS"/>
              </w:rPr>
            </w:pPr>
            <w:r w:rsidRPr="00CF77C1">
              <w:rPr>
                <w:color w:val="212121"/>
                <w:lang w:val="sr-Cyrl-RS"/>
              </w:rPr>
              <w:t>6,02</w:t>
            </w:r>
          </w:p>
        </w:tc>
        <w:tc>
          <w:tcPr>
            <w:tcW w:w="2312" w:type="dxa"/>
            <w:tcMar>
              <w:top w:w="0" w:type="dxa"/>
              <w:left w:w="108" w:type="dxa"/>
              <w:bottom w:w="0" w:type="dxa"/>
              <w:right w:w="108" w:type="dxa"/>
            </w:tcMar>
            <w:vAlign w:val="center"/>
          </w:tcPr>
          <w:p w14:paraId="53269730" w14:textId="77777777" w:rsidR="000947FE" w:rsidRPr="00CF77C1" w:rsidRDefault="000947FE" w:rsidP="000B5EDC">
            <w:pPr>
              <w:jc w:val="center"/>
              <w:rPr>
                <w:lang w:val="sr-Cyrl-RS"/>
              </w:rPr>
            </w:pPr>
            <w:r w:rsidRPr="00CF77C1">
              <w:rPr>
                <w:szCs w:val="24"/>
                <w:lang w:val="sr-Cyrl-RS"/>
              </w:rPr>
              <w:t>2017-2025. године</w:t>
            </w:r>
          </w:p>
        </w:tc>
        <w:tc>
          <w:tcPr>
            <w:tcW w:w="1735" w:type="dxa"/>
            <w:vAlign w:val="center"/>
          </w:tcPr>
          <w:p w14:paraId="0A82E53B" w14:textId="599F4F4C"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03618550" w14:textId="77777777" w:rsidTr="000B5EDC">
        <w:trPr>
          <w:cantSplit/>
        </w:trPr>
        <w:tc>
          <w:tcPr>
            <w:tcW w:w="1924" w:type="dxa"/>
            <w:tcMar>
              <w:top w:w="0" w:type="dxa"/>
              <w:left w:w="108" w:type="dxa"/>
              <w:bottom w:w="0" w:type="dxa"/>
              <w:right w:w="108" w:type="dxa"/>
            </w:tcMar>
            <w:vAlign w:val="center"/>
          </w:tcPr>
          <w:p w14:paraId="64BCFB26" w14:textId="77777777" w:rsidR="000947FE" w:rsidRPr="00CF77C1" w:rsidRDefault="000947FE" w:rsidP="000B5EDC">
            <w:pPr>
              <w:jc w:val="center"/>
              <w:rPr>
                <w:szCs w:val="24"/>
                <w:lang w:val="sr-Cyrl-RS"/>
              </w:rPr>
            </w:pPr>
            <w:r w:rsidRPr="00CF77C1">
              <w:rPr>
                <w:szCs w:val="24"/>
                <w:lang w:val="sr-Cyrl-RS"/>
              </w:rPr>
              <w:t>30</w:t>
            </w:r>
          </w:p>
        </w:tc>
        <w:tc>
          <w:tcPr>
            <w:tcW w:w="6549" w:type="dxa"/>
            <w:tcMar>
              <w:top w:w="0" w:type="dxa"/>
              <w:left w:w="108" w:type="dxa"/>
              <w:bottom w:w="0" w:type="dxa"/>
              <w:right w:w="108" w:type="dxa"/>
            </w:tcMar>
            <w:vAlign w:val="center"/>
          </w:tcPr>
          <w:p w14:paraId="40FBD026" w14:textId="0B32432F" w:rsidR="000947FE" w:rsidRPr="00CF77C1" w:rsidRDefault="000947FE" w:rsidP="001877CE">
            <w:pPr>
              <w:keepLines/>
              <w:tabs>
                <w:tab w:val="left" w:pos="1985"/>
                <w:tab w:val="left" w:pos="5103"/>
              </w:tabs>
              <w:jc w:val="left"/>
              <w:rPr>
                <w:color w:val="212121"/>
                <w:lang w:val="sr-Cyrl-RS"/>
              </w:rPr>
            </w:pPr>
            <w:r w:rsidRPr="00CF77C1">
              <w:rPr>
                <w:color w:val="212121"/>
                <w:lang w:val="sr-Cyrl-RS"/>
              </w:rPr>
              <w:t>Уградња сепаратора, пијезометара и мерача протока</w:t>
            </w:r>
            <w:r w:rsidR="001877CE" w:rsidRPr="00CF77C1">
              <w:rPr>
                <w:color w:val="212121"/>
                <w:lang w:val="sr-Cyrl-RS"/>
              </w:rPr>
              <w:t xml:space="preserve"> </w:t>
            </w:r>
            <w:r w:rsidRPr="00CF77C1">
              <w:rPr>
                <w:color w:val="212121"/>
                <w:lang w:val="sr-Cyrl-RS"/>
              </w:rPr>
              <w:t>за</w:t>
            </w:r>
            <w:r w:rsidR="001877CE" w:rsidRPr="00CF77C1">
              <w:rPr>
                <w:color w:val="212121"/>
                <w:lang w:val="sr-Cyrl-RS"/>
              </w:rPr>
              <w:t xml:space="preserve"> </w:t>
            </w:r>
            <w:r w:rsidRPr="00CF77C1">
              <w:rPr>
                <w:color w:val="212121"/>
                <w:lang w:val="sr-Cyrl-RS"/>
              </w:rPr>
              <w:t>зауљене отпадне воде</w:t>
            </w:r>
            <w:r w:rsidR="001877CE" w:rsidRPr="00CF77C1">
              <w:rPr>
                <w:color w:val="212121"/>
                <w:lang w:val="sr-Cyrl-RS"/>
              </w:rPr>
              <w:t xml:space="preserve"> </w:t>
            </w:r>
            <w:r w:rsidRPr="00CF77C1">
              <w:rPr>
                <w:color w:val="212121"/>
                <w:lang w:val="sr-Cyrl-RS"/>
              </w:rPr>
              <w:t>са пратећом пројектном документацијом на ССГ и складиштима</w:t>
            </w:r>
          </w:p>
        </w:tc>
        <w:tc>
          <w:tcPr>
            <w:tcW w:w="2267" w:type="dxa"/>
            <w:tcMar>
              <w:top w:w="0" w:type="dxa"/>
              <w:left w:w="108" w:type="dxa"/>
              <w:bottom w:w="0" w:type="dxa"/>
              <w:right w:w="108" w:type="dxa"/>
            </w:tcMar>
            <w:vAlign w:val="center"/>
          </w:tcPr>
          <w:p w14:paraId="176D1880" w14:textId="77777777" w:rsidR="000947FE" w:rsidRPr="00CF77C1" w:rsidRDefault="000947FE" w:rsidP="000947FE">
            <w:pPr>
              <w:keepLines/>
              <w:tabs>
                <w:tab w:val="left" w:pos="1985"/>
                <w:tab w:val="left" w:pos="5103"/>
              </w:tabs>
              <w:spacing w:before="120" w:after="0"/>
              <w:jc w:val="center"/>
              <w:rPr>
                <w:color w:val="212121"/>
                <w:lang w:val="sr-Cyrl-RS"/>
              </w:rPr>
            </w:pPr>
            <w:r w:rsidRPr="00CF77C1">
              <w:rPr>
                <w:color w:val="212121"/>
                <w:lang w:val="sr-Cyrl-RS"/>
              </w:rPr>
              <w:t>0,92</w:t>
            </w:r>
          </w:p>
        </w:tc>
        <w:tc>
          <w:tcPr>
            <w:tcW w:w="2312" w:type="dxa"/>
            <w:tcMar>
              <w:top w:w="0" w:type="dxa"/>
              <w:left w:w="108" w:type="dxa"/>
              <w:bottom w:w="0" w:type="dxa"/>
              <w:right w:w="108" w:type="dxa"/>
            </w:tcMar>
            <w:vAlign w:val="center"/>
          </w:tcPr>
          <w:p w14:paraId="4F51A00B"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0975B305" w14:textId="4FB1FC36"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1BDCAA2B" w14:textId="77777777" w:rsidTr="000B5EDC">
        <w:trPr>
          <w:cantSplit/>
        </w:trPr>
        <w:tc>
          <w:tcPr>
            <w:tcW w:w="1924" w:type="dxa"/>
            <w:tcMar>
              <w:top w:w="0" w:type="dxa"/>
              <w:left w:w="108" w:type="dxa"/>
              <w:bottom w:w="0" w:type="dxa"/>
              <w:right w:w="108" w:type="dxa"/>
            </w:tcMar>
            <w:vAlign w:val="center"/>
          </w:tcPr>
          <w:p w14:paraId="4F43EDE8" w14:textId="77777777" w:rsidR="000947FE" w:rsidRPr="00CF77C1" w:rsidRDefault="000947FE" w:rsidP="000B5EDC">
            <w:pPr>
              <w:jc w:val="center"/>
              <w:rPr>
                <w:szCs w:val="24"/>
                <w:lang w:val="sr-Cyrl-RS"/>
              </w:rPr>
            </w:pPr>
            <w:r w:rsidRPr="00CF77C1">
              <w:rPr>
                <w:szCs w:val="24"/>
                <w:lang w:val="sr-Cyrl-RS"/>
              </w:rPr>
              <w:t>31</w:t>
            </w:r>
          </w:p>
        </w:tc>
        <w:tc>
          <w:tcPr>
            <w:tcW w:w="6549" w:type="dxa"/>
            <w:tcMar>
              <w:top w:w="0" w:type="dxa"/>
              <w:left w:w="108" w:type="dxa"/>
              <w:bottom w:w="0" w:type="dxa"/>
              <w:right w:w="108" w:type="dxa"/>
            </w:tcMar>
            <w:vAlign w:val="center"/>
          </w:tcPr>
          <w:p w14:paraId="7C0ABEAF" w14:textId="4C883335" w:rsidR="000947FE" w:rsidRPr="00CF77C1" w:rsidRDefault="000947FE" w:rsidP="000B5EDC">
            <w:pPr>
              <w:keepLines/>
              <w:tabs>
                <w:tab w:val="left" w:pos="1985"/>
                <w:tab w:val="left" w:pos="5103"/>
              </w:tabs>
              <w:jc w:val="left"/>
              <w:rPr>
                <w:color w:val="212121"/>
                <w:lang w:val="sr-Cyrl-RS"/>
              </w:rPr>
            </w:pPr>
            <w:r w:rsidRPr="00CF77C1">
              <w:rPr>
                <w:color w:val="212121"/>
                <w:lang w:val="sr-Cyrl-RS"/>
              </w:rPr>
              <w:t>Санација водозахвата са уградњом филтера, реконст</w:t>
            </w:r>
            <w:r w:rsidR="00D36D88">
              <w:rPr>
                <w:color w:val="212121"/>
                <w:lang w:val="sr-Cyrl-RS"/>
              </w:rPr>
              <w:t>р</w:t>
            </w:r>
            <w:r w:rsidRPr="00CF77C1">
              <w:rPr>
                <w:color w:val="212121"/>
                <w:lang w:val="sr-Cyrl-RS"/>
              </w:rPr>
              <w:t>укција канализације и ТОВ у РНС</w:t>
            </w:r>
          </w:p>
        </w:tc>
        <w:tc>
          <w:tcPr>
            <w:tcW w:w="2267" w:type="dxa"/>
            <w:tcMar>
              <w:top w:w="0" w:type="dxa"/>
              <w:left w:w="108" w:type="dxa"/>
              <w:bottom w:w="0" w:type="dxa"/>
              <w:right w:w="108" w:type="dxa"/>
            </w:tcMar>
            <w:vAlign w:val="center"/>
          </w:tcPr>
          <w:p w14:paraId="434244DF" w14:textId="77777777" w:rsidR="000947FE" w:rsidRPr="00CF77C1" w:rsidRDefault="000947FE" w:rsidP="000947FE">
            <w:pPr>
              <w:keepLines/>
              <w:tabs>
                <w:tab w:val="left" w:pos="1985"/>
                <w:tab w:val="left" w:pos="5103"/>
              </w:tabs>
              <w:spacing w:before="120" w:after="0"/>
              <w:jc w:val="center"/>
              <w:rPr>
                <w:color w:val="212121"/>
                <w:lang w:val="sr-Cyrl-RS"/>
              </w:rPr>
            </w:pPr>
            <w:r w:rsidRPr="00CF77C1">
              <w:rPr>
                <w:color w:val="212121"/>
                <w:lang w:val="sr-Cyrl-RS"/>
              </w:rPr>
              <w:t>0,40</w:t>
            </w:r>
          </w:p>
        </w:tc>
        <w:tc>
          <w:tcPr>
            <w:tcW w:w="2312" w:type="dxa"/>
            <w:tcMar>
              <w:top w:w="0" w:type="dxa"/>
              <w:left w:w="108" w:type="dxa"/>
              <w:bottom w:w="0" w:type="dxa"/>
              <w:right w:w="108" w:type="dxa"/>
            </w:tcMar>
            <w:vAlign w:val="center"/>
          </w:tcPr>
          <w:p w14:paraId="6058FE3E"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511E8B8E" w14:textId="7A258924"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5F2E273F" w14:textId="77777777" w:rsidTr="000B5EDC">
        <w:trPr>
          <w:cantSplit/>
        </w:trPr>
        <w:tc>
          <w:tcPr>
            <w:tcW w:w="1924" w:type="dxa"/>
            <w:tcMar>
              <w:top w:w="0" w:type="dxa"/>
              <w:left w:w="108" w:type="dxa"/>
              <w:bottom w:w="0" w:type="dxa"/>
              <w:right w:w="108" w:type="dxa"/>
            </w:tcMar>
            <w:vAlign w:val="center"/>
          </w:tcPr>
          <w:p w14:paraId="7B78F674" w14:textId="77777777" w:rsidR="000947FE" w:rsidRPr="00CF77C1" w:rsidRDefault="000947FE" w:rsidP="000B5EDC">
            <w:pPr>
              <w:jc w:val="center"/>
              <w:rPr>
                <w:szCs w:val="24"/>
                <w:lang w:val="sr-Cyrl-RS"/>
              </w:rPr>
            </w:pPr>
            <w:r w:rsidRPr="00CF77C1">
              <w:rPr>
                <w:szCs w:val="24"/>
                <w:lang w:val="sr-Cyrl-RS"/>
              </w:rPr>
              <w:t>32</w:t>
            </w:r>
          </w:p>
        </w:tc>
        <w:tc>
          <w:tcPr>
            <w:tcW w:w="6549" w:type="dxa"/>
            <w:tcMar>
              <w:top w:w="0" w:type="dxa"/>
              <w:left w:w="108" w:type="dxa"/>
              <w:bottom w:w="0" w:type="dxa"/>
              <w:right w:w="108" w:type="dxa"/>
            </w:tcMar>
            <w:vAlign w:val="center"/>
          </w:tcPr>
          <w:p w14:paraId="6A93C13D" w14:textId="43D123FD" w:rsidR="000947FE" w:rsidRPr="00CF77C1" w:rsidRDefault="000947FE" w:rsidP="001877CE">
            <w:pPr>
              <w:keepLines/>
              <w:tabs>
                <w:tab w:val="left" w:pos="1985"/>
                <w:tab w:val="left" w:pos="5103"/>
              </w:tabs>
              <w:jc w:val="left"/>
              <w:rPr>
                <w:color w:val="212121"/>
                <w:lang w:val="sr-Cyrl-RS"/>
              </w:rPr>
            </w:pPr>
            <w:r w:rsidRPr="00CF77C1">
              <w:rPr>
                <w:color w:val="212121"/>
                <w:lang w:val="sr-Cyrl-RS"/>
              </w:rPr>
              <w:t>Реконструкција и доградња фекалне канализације</w:t>
            </w:r>
            <w:r w:rsidR="001877CE" w:rsidRPr="00CF77C1">
              <w:rPr>
                <w:color w:val="212121"/>
                <w:lang w:val="sr-Cyrl-RS"/>
              </w:rPr>
              <w:t xml:space="preserve"> </w:t>
            </w:r>
            <w:r w:rsidRPr="00CF77C1">
              <w:rPr>
                <w:color w:val="212121"/>
                <w:lang w:val="sr-Cyrl-RS"/>
              </w:rPr>
              <w:t>СНД НС</w:t>
            </w:r>
          </w:p>
        </w:tc>
        <w:tc>
          <w:tcPr>
            <w:tcW w:w="2267" w:type="dxa"/>
            <w:tcMar>
              <w:top w:w="0" w:type="dxa"/>
              <w:left w:w="108" w:type="dxa"/>
              <w:bottom w:w="0" w:type="dxa"/>
              <w:right w:w="108" w:type="dxa"/>
            </w:tcMar>
            <w:vAlign w:val="center"/>
          </w:tcPr>
          <w:p w14:paraId="4169402A" w14:textId="77777777" w:rsidR="000947FE" w:rsidRPr="00CF77C1" w:rsidRDefault="000947FE" w:rsidP="000947FE">
            <w:pPr>
              <w:keepLines/>
              <w:tabs>
                <w:tab w:val="left" w:pos="1985"/>
                <w:tab w:val="left" w:pos="5103"/>
              </w:tabs>
              <w:spacing w:before="120" w:after="0"/>
              <w:jc w:val="center"/>
              <w:rPr>
                <w:color w:val="212121"/>
                <w:lang w:val="sr-Cyrl-RS"/>
              </w:rPr>
            </w:pPr>
            <w:r w:rsidRPr="00CF77C1">
              <w:rPr>
                <w:color w:val="212121"/>
                <w:lang w:val="sr-Cyrl-RS"/>
              </w:rPr>
              <w:t>0,28</w:t>
            </w:r>
          </w:p>
        </w:tc>
        <w:tc>
          <w:tcPr>
            <w:tcW w:w="2312" w:type="dxa"/>
            <w:tcMar>
              <w:top w:w="0" w:type="dxa"/>
              <w:left w:w="108" w:type="dxa"/>
              <w:bottom w:w="0" w:type="dxa"/>
              <w:right w:w="108" w:type="dxa"/>
            </w:tcMar>
            <w:vAlign w:val="center"/>
          </w:tcPr>
          <w:p w14:paraId="7DCF6086"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17B6E9A5" w14:textId="0D0B2F01"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29E5FF7E" w14:textId="77777777" w:rsidTr="000B5EDC">
        <w:trPr>
          <w:cantSplit/>
        </w:trPr>
        <w:tc>
          <w:tcPr>
            <w:tcW w:w="14787" w:type="dxa"/>
            <w:gridSpan w:val="5"/>
            <w:tcMar>
              <w:top w:w="0" w:type="dxa"/>
              <w:left w:w="108" w:type="dxa"/>
              <w:bottom w:w="0" w:type="dxa"/>
              <w:right w:w="108" w:type="dxa"/>
            </w:tcMar>
            <w:vAlign w:val="center"/>
          </w:tcPr>
          <w:p w14:paraId="08A48098" w14:textId="77777777" w:rsidR="000947FE" w:rsidRPr="00CF77C1" w:rsidRDefault="000947FE" w:rsidP="000B5EDC">
            <w:pPr>
              <w:jc w:val="center"/>
              <w:rPr>
                <w:szCs w:val="24"/>
                <w:lang w:val="sr-Cyrl-RS"/>
              </w:rPr>
            </w:pPr>
            <w:r w:rsidRPr="00CF77C1">
              <w:rPr>
                <w:szCs w:val="24"/>
                <w:lang w:val="sr-Cyrl-RS"/>
              </w:rPr>
              <w:t>Блок</w:t>
            </w:r>
            <w:r w:rsidRPr="00CF77C1">
              <w:rPr>
                <w:bCs/>
                <w:szCs w:val="24"/>
                <w:lang w:val="sr-Cyrl-RS"/>
              </w:rPr>
              <w:t xml:space="preserve"> Сервиси</w:t>
            </w:r>
          </w:p>
        </w:tc>
      </w:tr>
      <w:tr w:rsidR="000947FE" w:rsidRPr="00CF77C1" w14:paraId="7DEF7DB7" w14:textId="77777777" w:rsidTr="000B5EDC">
        <w:trPr>
          <w:cantSplit/>
        </w:trPr>
        <w:tc>
          <w:tcPr>
            <w:tcW w:w="1924" w:type="dxa"/>
            <w:tcMar>
              <w:top w:w="0" w:type="dxa"/>
              <w:left w:w="108" w:type="dxa"/>
              <w:bottom w:w="0" w:type="dxa"/>
              <w:right w:w="108" w:type="dxa"/>
            </w:tcMar>
            <w:vAlign w:val="center"/>
          </w:tcPr>
          <w:p w14:paraId="7787480E" w14:textId="77777777" w:rsidR="000947FE" w:rsidRPr="00CF77C1" w:rsidRDefault="000947FE" w:rsidP="000B5EDC">
            <w:pPr>
              <w:jc w:val="center"/>
              <w:rPr>
                <w:szCs w:val="24"/>
                <w:lang w:val="sr-Cyrl-RS"/>
              </w:rPr>
            </w:pPr>
            <w:r w:rsidRPr="00CF77C1">
              <w:rPr>
                <w:szCs w:val="24"/>
                <w:lang w:val="sr-Cyrl-RS"/>
              </w:rPr>
              <w:t>33</w:t>
            </w:r>
          </w:p>
        </w:tc>
        <w:tc>
          <w:tcPr>
            <w:tcW w:w="6549" w:type="dxa"/>
            <w:tcMar>
              <w:top w:w="0" w:type="dxa"/>
              <w:left w:w="108" w:type="dxa"/>
              <w:bottom w:w="0" w:type="dxa"/>
              <w:right w:w="108" w:type="dxa"/>
            </w:tcMar>
            <w:vAlign w:val="center"/>
          </w:tcPr>
          <w:p w14:paraId="1BE445A3"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 xml:space="preserve">Набавка и уградња уређаја за мерење испуштених отпадних вода </w:t>
            </w:r>
          </w:p>
        </w:tc>
        <w:tc>
          <w:tcPr>
            <w:tcW w:w="2267" w:type="dxa"/>
            <w:tcMar>
              <w:top w:w="0" w:type="dxa"/>
              <w:left w:w="108" w:type="dxa"/>
              <w:bottom w:w="0" w:type="dxa"/>
              <w:right w:w="108" w:type="dxa"/>
            </w:tcMar>
            <w:vAlign w:val="center"/>
          </w:tcPr>
          <w:p w14:paraId="1F503E22" w14:textId="77777777" w:rsidR="000947FE" w:rsidRPr="00CF77C1" w:rsidRDefault="000947FE" w:rsidP="000947FE">
            <w:pPr>
              <w:jc w:val="center"/>
              <w:rPr>
                <w:szCs w:val="24"/>
                <w:lang w:val="sr-Cyrl-RS"/>
              </w:rPr>
            </w:pPr>
            <w:r w:rsidRPr="00CF77C1">
              <w:rPr>
                <w:szCs w:val="24"/>
                <w:lang w:val="sr-Cyrl-RS"/>
              </w:rPr>
              <w:t>0,12</w:t>
            </w:r>
          </w:p>
        </w:tc>
        <w:tc>
          <w:tcPr>
            <w:tcW w:w="2312" w:type="dxa"/>
            <w:tcMar>
              <w:top w:w="0" w:type="dxa"/>
              <w:left w:w="108" w:type="dxa"/>
              <w:bottom w:w="0" w:type="dxa"/>
              <w:right w:w="108" w:type="dxa"/>
            </w:tcMar>
            <w:vAlign w:val="center"/>
          </w:tcPr>
          <w:p w14:paraId="646C4F81"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2A32E7B3" w14:textId="0116F5D6"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2D4A1E8A" w14:textId="77777777" w:rsidTr="000B5EDC">
        <w:trPr>
          <w:cantSplit/>
        </w:trPr>
        <w:tc>
          <w:tcPr>
            <w:tcW w:w="1924" w:type="dxa"/>
            <w:tcMar>
              <w:top w:w="0" w:type="dxa"/>
              <w:left w:w="108" w:type="dxa"/>
              <w:bottom w:w="0" w:type="dxa"/>
              <w:right w:w="108" w:type="dxa"/>
            </w:tcMar>
            <w:vAlign w:val="center"/>
          </w:tcPr>
          <w:p w14:paraId="67B6BE74" w14:textId="77777777" w:rsidR="000947FE" w:rsidRPr="00CF77C1" w:rsidRDefault="000947FE" w:rsidP="000B5EDC">
            <w:pPr>
              <w:jc w:val="center"/>
              <w:rPr>
                <w:szCs w:val="24"/>
                <w:lang w:val="sr-Cyrl-RS"/>
              </w:rPr>
            </w:pPr>
            <w:r w:rsidRPr="00CF77C1">
              <w:rPr>
                <w:szCs w:val="24"/>
                <w:lang w:val="sr-Cyrl-RS"/>
              </w:rPr>
              <w:t>34</w:t>
            </w:r>
          </w:p>
        </w:tc>
        <w:tc>
          <w:tcPr>
            <w:tcW w:w="6549" w:type="dxa"/>
            <w:tcMar>
              <w:top w:w="0" w:type="dxa"/>
              <w:left w:w="108" w:type="dxa"/>
              <w:bottom w:w="0" w:type="dxa"/>
              <w:right w:w="108" w:type="dxa"/>
            </w:tcMar>
            <w:vAlign w:val="center"/>
          </w:tcPr>
          <w:p w14:paraId="68B55469" w14:textId="474D584B" w:rsidR="000947FE" w:rsidRPr="00CF77C1" w:rsidRDefault="000947FE" w:rsidP="001877CE">
            <w:pPr>
              <w:keepLines/>
              <w:tabs>
                <w:tab w:val="left" w:pos="1985"/>
                <w:tab w:val="left" w:pos="5103"/>
              </w:tabs>
              <w:jc w:val="left"/>
              <w:rPr>
                <w:color w:val="212121"/>
                <w:lang w:val="sr-Cyrl-RS"/>
              </w:rPr>
            </w:pPr>
            <w:r w:rsidRPr="00CF77C1">
              <w:rPr>
                <w:color w:val="212121"/>
                <w:lang w:val="sr-Cyrl-RS"/>
              </w:rPr>
              <w:t xml:space="preserve">Изградња система канализације </w:t>
            </w:r>
            <w:r w:rsidR="000B5EDC" w:rsidRPr="00CF77C1">
              <w:rPr>
                <w:color w:val="212121"/>
                <w:lang w:val="sr-Cyrl-RS"/>
              </w:rPr>
              <w:t>-</w:t>
            </w:r>
            <w:r w:rsidRPr="00CF77C1">
              <w:rPr>
                <w:color w:val="212121"/>
                <w:lang w:val="sr-Cyrl-RS"/>
              </w:rPr>
              <w:t xml:space="preserve"> НАФТАГАС Нафтни Сервиси</w:t>
            </w:r>
            <w:r w:rsidR="001877CE" w:rsidRPr="00CF77C1">
              <w:rPr>
                <w:color w:val="212121"/>
                <w:lang w:val="sr-Cyrl-RS"/>
              </w:rPr>
              <w:t xml:space="preserve"> </w:t>
            </w:r>
            <w:r w:rsidRPr="00CF77C1">
              <w:rPr>
                <w:color w:val="212121"/>
                <w:lang w:val="sr-Cyrl-RS"/>
              </w:rPr>
              <w:t>Погон Шангај</w:t>
            </w:r>
          </w:p>
        </w:tc>
        <w:tc>
          <w:tcPr>
            <w:tcW w:w="2267" w:type="dxa"/>
            <w:tcMar>
              <w:top w:w="0" w:type="dxa"/>
              <w:left w:w="108" w:type="dxa"/>
              <w:bottom w:w="0" w:type="dxa"/>
              <w:right w:w="108" w:type="dxa"/>
            </w:tcMar>
            <w:vAlign w:val="center"/>
          </w:tcPr>
          <w:p w14:paraId="0F742C0B" w14:textId="77777777" w:rsidR="000947FE" w:rsidRPr="00CF77C1" w:rsidRDefault="000947FE" w:rsidP="000947FE">
            <w:pPr>
              <w:jc w:val="center"/>
              <w:rPr>
                <w:szCs w:val="24"/>
                <w:lang w:val="sr-Cyrl-RS"/>
              </w:rPr>
            </w:pPr>
            <w:r w:rsidRPr="00CF77C1">
              <w:rPr>
                <w:szCs w:val="24"/>
                <w:lang w:val="sr-Cyrl-RS"/>
              </w:rPr>
              <w:t>0,10</w:t>
            </w:r>
          </w:p>
        </w:tc>
        <w:tc>
          <w:tcPr>
            <w:tcW w:w="2312" w:type="dxa"/>
            <w:tcMar>
              <w:top w:w="0" w:type="dxa"/>
              <w:left w:w="108" w:type="dxa"/>
              <w:bottom w:w="0" w:type="dxa"/>
              <w:right w:w="108" w:type="dxa"/>
            </w:tcMar>
            <w:vAlign w:val="center"/>
          </w:tcPr>
          <w:p w14:paraId="76CA6B0C"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4E79AF62" w14:textId="68E1B642"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1825A39C" w14:textId="77777777" w:rsidTr="000B5EDC">
        <w:trPr>
          <w:cantSplit/>
        </w:trPr>
        <w:tc>
          <w:tcPr>
            <w:tcW w:w="1924" w:type="dxa"/>
            <w:tcMar>
              <w:top w:w="0" w:type="dxa"/>
              <w:left w:w="108" w:type="dxa"/>
              <w:bottom w:w="0" w:type="dxa"/>
              <w:right w:w="108" w:type="dxa"/>
            </w:tcMar>
            <w:vAlign w:val="center"/>
          </w:tcPr>
          <w:p w14:paraId="0F82691B" w14:textId="77777777" w:rsidR="000947FE" w:rsidRPr="00CF77C1" w:rsidRDefault="000947FE" w:rsidP="000B5EDC">
            <w:pPr>
              <w:jc w:val="center"/>
              <w:rPr>
                <w:szCs w:val="24"/>
                <w:lang w:val="sr-Cyrl-RS"/>
              </w:rPr>
            </w:pPr>
            <w:r w:rsidRPr="00CF77C1">
              <w:rPr>
                <w:szCs w:val="24"/>
                <w:lang w:val="sr-Cyrl-RS"/>
              </w:rPr>
              <w:t>35</w:t>
            </w:r>
          </w:p>
        </w:tc>
        <w:tc>
          <w:tcPr>
            <w:tcW w:w="6549" w:type="dxa"/>
            <w:tcMar>
              <w:top w:w="0" w:type="dxa"/>
              <w:left w:w="108" w:type="dxa"/>
              <w:bottom w:w="0" w:type="dxa"/>
              <w:right w:w="108" w:type="dxa"/>
            </w:tcMar>
            <w:vAlign w:val="center"/>
          </w:tcPr>
          <w:p w14:paraId="1906E38A" w14:textId="77777777" w:rsidR="000947FE" w:rsidRPr="00CF77C1" w:rsidRDefault="000947FE" w:rsidP="000B5EDC">
            <w:pPr>
              <w:keepLines/>
              <w:tabs>
                <w:tab w:val="left" w:pos="1985"/>
                <w:tab w:val="left" w:pos="5103"/>
              </w:tabs>
              <w:jc w:val="left"/>
              <w:rPr>
                <w:color w:val="212121"/>
                <w:lang w:val="sr-Cyrl-RS"/>
              </w:rPr>
            </w:pPr>
            <w:r w:rsidRPr="00CF77C1">
              <w:rPr>
                <w:color w:val="212121"/>
                <w:lang w:val="sr-Cyrl-RS"/>
              </w:rPr>
              <w:t>Изградња и опремање складишта за одлагање опасног и неопасног отпада (опрема за манипулацију и мерење отпада, апсорбенти, танквани)</w:t>
            </w:r>
          </w:p>
        </w:tc>
        <w:tc>
          <w:tcPr>
            <w:tcW w:w="2267" w:type="dxa"/>
            <w:tcMar>
              <w:top w:w="0" w:type="dxa"/>
              <w:left w:w="108" w:type="dxa"/>
              <w:bottom w:w="0" w:type="dxa"/>
              <w:right w:w="108" w:type="dxa"/>
            </w:tcMar>
            <w:vAlign w:val="center"/>
          </w:tcPr>
          <w:p w14:paraId="3853D77C" w14:textId="77777777" w:rsidR="000947FE" w:rsidRPr="00CF77C1" w:rsidRDefault="000947FE" w:rsidP="000947FE">
            <w:pPr>
              <w:jc w:val="center"/>
              <w:rPr>
                <w:szCs w:val="24"/>
                <w:lang w:val="sr-Cyrl-RS"/>
              </w:rPr>
            </w:pPr>
            <w:r w:rsidRPr="00CF77C1">
              <w:rPr>
                <w:szCs w:val="24"/>
                <w:lang w:val="sr-Cyrl-RS"/>
              </w:rPr>
              <w:t>0,15</w:t>
            </w:r>
          </w:p>
        </w:tc>
        <w:tc>
          <w:tcPr>
            <w:tcW w:w="2312" w:type="dxa"/>
            <w:tcMar>
              <w:top w:w="0" w:type="dxa"/>
              <w:left w:w="108" w:type="dxa"/>
              <w:bottom w:w="0" w:type="dxa"/>
              <w:right w:w="108" w:type="dxa"/>
            </w:tcMar>
            <w:vAlign w:val="center"/>
          </w:tcPr>
          <w:p w14:paraId="037E8C4A"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28D89700" w14:textId="3619DF90"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r w:rsidR="000947FE" w:rsidRPr="00CF77C1" w14:paraId="60D0CDA9" w14:textId="77777777" w:rsidTr="000B5EDC">
        <w:trPr>
          <w:cantSplit/>
        </w:trPr>
        <w:tc>
          <w:tcPr>
            <w:tcW w:w="1924" w:type="dxa"/>
            <w:tcMar>
              <w:top w:w="0" w:type="dxa"/>
              <w:left w:w="108" w:type="dxa"/>
              <w:bottom w:w="0" w:type="dxa"/>
              <w:right w:w="108" w:type="dxa"/>
            </w:tcMar>
            <w:vAlign w:val="center"/>
          </w:tcPr>
          <w:p w14:paraId="77024B85" w14:textId="77777777" w:rsidR="000947FE" w:rsidRPr="00CF77C1" w:rsidRDefault="000947FE" w:rsidP="000B5EDC">
            <w:pPr>
              <w:jc w:val="center"/>
              <w:rPr>
                <w:szCs w:val="24"/>
                <w:lang w:val="sr-Cyrl-RS"/>
              </w:rPr>
            </w:pPr>
            <w:r w:rsidRPr="00CF77C1">
              <w:rPr>
                <w:szCs w:val="24"/>
                <w:lang w:val="sr-Cyrl-RS"/>
              </w:rPr>
              <w:t>36</w:t>
            </w:r>
          </w:p>
        </w:tc>
        <w:tc>
          <w:tcPr>
            <w:tcW w:w="6549" w:type="dxa"/>
            <w:tcMar>
              <w:top w:w="0" w:type="dxa"/>
              <w:left w:w="108" w:type="dxa"/>
              <w:bottom w:w="0" w:type="dxa"/>
              <w:right w:w="108" w:type="dxa"/>
            </w:tcMar>
            <w:vAlign w:val="center"/>
          </w:tcPr>
          <w:p w14:paraId="2E1821D5" w14:textId="01477D24" w:rsidR="000947FE" w:rsidRPr="00CF77C1" w:rsidRDefault="003A2FC2" w:rsidP="000B5EDC">
            <w:pPr>
              <w:keepLines/>
              <w:tabs>
                <w:tab w:val="left" w:pos="1985"/>
                <w:tab w:val="left" w:pos="5103"/>
              </w:tabs>
              <w:jc w:val="left"/>
              <w:rPr>
                <w:color w:val="212121"/>
                <w:lang w:val="sr-Cyrl-RS"/>
              </w:rPr>
            </w:pPr>
            <w:r>
              <w:rPr>
                <w:color w:val="212121"/>
                <w:lang w:val="sr-Cyrl-RS"/>
              </w:rPr>
              <w:t>Изградња три</w:t>
            </w:r>
            <w:r w:rsidR="000947FE" w:rsidRPr="00CF77C1">
              <w:rPr>
                <w:color w:val="212121"/>
                <w:lang w:val="sr-Cyrl-RS"/>
              </w:rPr>
              <w:t xml:space="preserve"> нова базена за одлагање исплачног материјала</w:t>
            </w:r>
          </w:p>
        </w:tc>
        <w:tc>
          <w:tcPr>
            <w:tcW w:w="2267" w:type="dxa"/>
            <w:tcMar>
              <w:top w:w="0" w:type="dxa"/>
              <w:left w:w="108" w:type="dxa"/>
              <w:bottom w:w="0" w:type="dxa"/>
              <w:right w:w="108" w:type="dxa"/>
            </w:tcMar>
            <w:vAlign w:val="center"/>
          </w:tcPr>
          <w:p w14:paraId="6ED6AD3C" w14:textId="77777777" w:rsidR="000947FE" w:rsidRPr="00CF77C1" w:rsidRDefault="000947FE" w:rsidP="000947FE">
            <w:pPr>
              <w:jc w:val="center"/>
              <w:rPr>
                <w:szCs w:val="24"/>
                <w:lang w:val="sr-Cyrl-RS"/>
              </w:rPr>
            </w:pPr>
            <w:r w:rsidRPr="00CF77C1">
              <w:rPr>
                <w:szCs w:val="24"/>
                <w:lang w:val="sr-Cyrl-RS"/>
              </w:rPr>
              <w:t>2,98</w:t>
            </w:r>
          </w:p>
        </w:tc>
        <w:tc>
          <w:tcPr>
            <w:tcW w:w="2312" w:type="dxa"/>
            <w:tcMar>
              <w:top w:w="0" w:type="dxa"/>
              <w:left w:w="108" w:type="dxa"/>
              <w:bottom w:w="0" w:type="dxa"/>
              <w:right w:w="108" w:type="dxa"/>
            </w:tcMar>
            <w:vAlign w:val="center"/>
          </w:tcPr>
          <w:p w14:paraId="3CC0D43A" w14:textId="77777777" w:rsidR="000947FE" w:rsidRPr="00CF77C1" w:rsidRDefault="000947FE" w:rsidP="000B5EDC">
            <w:pPr>
              <w:jc w:val="center"/>
              <w:rPr>
                <w:szCs w:val="24"/>
                <w:lang w:val="sr-Cyrl-RS"/>
              </w:rPr>
            </w:pPr>
            <w:r w:rsidRPr="00CF77C1">
              <w:rPr>
                <w:szCs w:val="24"/>
                <w:lang w:val="sr-Cyrl-RS"/>
              </w:rPr>
              <w:t>2017-2025. године</w:t>
            </w:r>
          </w:p>
        </w:tc>
        <w:tc>
          <w:tcPr>
            <w:tcW w:w="1735" w:type="dxa"/>
            <w:vAlign w:val="center"/>
          </w:tcPr>
          <w:p w14:paraId="4C9A919B" w14:textId="19A27799" w:rsidR="000947FE" w:rsidRPr="00CF77C1" w:rsidRDefault="000947FE" w:rsidP="00956106">
            <w:pPr>
              <w:jc w:val="center"/>
              <w:rPr>
                <w:szCs w:val="24"/>
                <w:lang w:val="sr-Cyrl-RS"/>
              </w:rPr>
            </w:pPr>
            <w:r w:rsidRPr="00CF77C1">
              <w:rPr>
                <w:szCs w:val="24"/>
                <w:lang w:val="sr-Cyrl-RS"/>
              </w:rPr>
              <w:t>НИС а.д</w:t>
            </w:r>
            <w:r w:rsidR="002B0568">
              <w:rPr>
                <w:szCs w:val="24"/>
                <w:lang w:val="sr-Cyrl-RS"/>
              </w:rPr>
              <w:t>.</w:t>
            </w:r>
          </w:p>
        </w:tc>
      </w:tr>
    </w:tbl>
    <w:p w14:paraId="0EBD9F44" w14:textId="77777777" w:rsidR="000947FE" w:rsidRPr="00CF77C1" w:rsidRDefault="000947FE" w:rsidP="000947FE">
      <w:pPr>
        <w:rPr>
          <w:lang w:val="sr-Cyrl-RS"/>
        </w:rPr>
      </w:pPr>
    </w:p>
    <w:p w14:paraId="5009099C" w14:textId="70A8FA03" w:rsidR="00C12542" w:rsidRPr="00CF77C1" w:rsidRDefault="00C12542" w:rsidP="00FC1656">
      <w:pPr>
        <w:pStyle w:val="Caption"/>
        <w:ind w:firstLine="720"/>
        <w:rPr>
          <w:b w:val="0"/>
          <w:lang w:val="sr-Cyrl-RS"/>
        </w:rPr>
      </w:pPr>
      <w:bookmarkStart w:id="127" w:name="_Ref484343826"/>
      <w:r w:rsidRPr="00CF77C1">
        <w:rPr>
          <w:b w:val="0"/>
          <w:lang w:val="sr-Cyrl-RS"/>
        </w:rPr>
        <w:t xml:space="preserve">таб. </w:t>
      </w:r>
      <w:r w:rsidR="000B3752" w:rsidRPr="00CF77C1">
        <w:rPr>
          <w:b w:val="0"/>
          <w:lang w:val="sr-Cyrl-RS"/>
        </w:rPr>
        <w:fldChar w:fldCharType="begin"/>
      </w:r>
      <w:r w:rsidR="000B3752" w:rsidRPr="00CF77C1">
        <w:rPr>
          <w:b w:val="0"/>
          <w:lang w:val="sr-Cyrl-RS"/>
        </w:rPr>
        <w:instrText xml:space="preserve"> SEQ таб. \* ARABIC </w:instrText>
      </w:r>
      <w:r w:rsidR="000B3752" w:rsidRPr="00CF77C1">
        <w:rPr>
          <w:b w:val="0"/>
          <w:lang w:val="sr-Cyrl-RS"/>
        </w:rPr>
        <w:fldChar w:fldCharType="separate"/>
      </w:r>
      <w:r w:rsidR="002D5918">
        <w:rPr>
          <w:b w:val="0"/>
          <w:noProof/>
          <w:lang w:val="sr-Cyrl-RS"/>
        </w:rPr>
        <w:t>49</w:t>
      </w:r>
      <w:r w:rsidR="000B3752" w:rsidRPr="00CF77C1">
        <w:rPr>
          <w:b w:val="0"/>
          <w:noProof/>
          <w:lang w:val="sr-Cyrl-RS"/>
        </w:rPr>
        <w:fldChar w:fldCharType="end"/>
      </w:r>
      <w:bookmarkEnd w:id="127"/>
      <w:r w:rsidRPr="00CF77C1">
        <w:rPr>
          <w:b w:val="0"/>
          <w:szCs w:val="24"/>
          <w:lang w:val="sr-Cyrl-RS"/>
        </w:rPr>
        <w:t>: П</w:t>
      </w:r>
      <w:r w:rsidRPr="00CF77C1">
        <w:rPr>
          <w:b w:val="0"/>
          <w:lang w:val="sr-Cyrl-RS"/>
        </w:rPr>
        <w:t>рojeкти и aктивнoсти за зaштиту живoтнe срeдинe у JП Tрaнснaфтa у периоду 2016-2023. године</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118"/>
        <w:gridCol w:w="4395"/>
        <w:gridCol w:w="2268"/>
        <w:gridCol w:w="2268"/>
        <w:gridCol w:w="1657"/>
        <w:gridCol w:w="185"/>
      </w:tblGrid>
      <w:tr w:rsidR="003F3DB8" w:rsidRPr="00CF77C1" w14:paraId="1BBD75C8" w14:textId="77777777" w:rsidTr="00892212">
        <w:trPr>
          <w:cantSplit/>
          <w:trHeight w:val="665"/>
          <w:tblHeader/>
        </w:trPr>
        <w:tc>
          <w:tcPr>
            <w:tcW w:w="959" w:type="dxa"/>
            <w:vAlign w:val="center"/>
          </w:tcPr>
          <w:p w14:paraId="79E31320" w14:textId="77777777" w:rsidR="003F3DB8" w:rsidRPr="00CF77C1" w:rsidRDefault="00892212" w:rsidP="0080044B">
            <w:pPr>
              <w:jc w:val="center"/>
              <w:rPr>
                <w:szCs w:val="24"/>
                <w:lang w:val="sr-Cyrl-RS"/>
              </w:rPr>
            </w:pPr>
            <w:r w:rsidRPr="00CF77C1">
              <w:rPr>
                <w:szCs w:val="24"/>
                <w:lang w:val="sr-Cyrl-RS"/>
              </w:rPr>
              <w:t>Рeдни</w:t>
            </w:r>
            <w:r w:rsidR="003F3DB8" w:rsidRPr="00CF77C1">
              <w:rPr>
                <w:szCs w:val="24"/>
                <w:lang w:val="sr-Cyrl-RS"/>
              </w:rPr>
              <w:t xml:space="preserve"> брoj</w:t>
            </w:r>
          </w:p>
        </w:tc>
        <w:tc>
          <w:tcPr>
            <w:tcW w:w="3118" w:type="dxa"/>
            <w:vAlign w:val="center"/>
          </w:tcPr>
          <w:p w14:paraId="1761AB90" w14:textId="77777777" w:rsidR="003F3DB8" w:rsidRPr="00CF77C1" w:rsidRDefault="00892212" w:rsidP="0080044B">
            <w:pPr>
              <w:jc w:val="center"/>
              <w:rPr>
                <w:szCs w:val="24"/>
                <w:lang w:val="sr-Cyrl-RS"/>
              </w:rPr>
            </w:pPr>
            <w:r w:rsidRPr="00CF77C1">
              <w:rPr>
                <w:szCs w:val="24"/>
                <w:lang w:val="sr-Cyrl-RS"/>
              </w:rPr>
              <w:t>Прojeкaт/</w:t>
            </w:r>
            <w:r w:rsidR="003F3DB8" w:rsidRPr="00CF77C1">
              <w:rPr>
                <w:szCs w:val="24"/>
                <w:lang w:val="sr-Cyrl-RS"/>
              </w:rPr>
              <w:t>aктивнoст</w:t>
            </w:r>
          </w:p>
        </w:tc>
        <w:tc>
          <w:tcPr>
            <w:tcW w:w="4395" w:type="dxa"/>
            <w:vAlign w:val="center"/>
          </w:tcPr>
          <w:p w14:paraId="18FF6D62" w14:textId="77777777" w:rsidR="003F3DB8" w:rsidRPr="00CF77C1" w:rsidRDefault="003F3DB8" w:rsidP="0080044B">
            <w:pPr>
              <w:jc w:val="center"/>
              <w:rPr>
                <w:szCs w:val="24"/>
                <w:lang w:val="sr-Cyrl-RS"/>
              </w:rPr>
            </w:pPr>
            <w:r w:rsidRPr="00CF77C1">
              <w:rPr>
                <w:szCs w:val="24"/>
                <w:lang w:val="sr-Cyrl-RS"/>
              </w:rPr>
              <w:t>Oпис</w:t>
            </w:r>
          </w:p>
        </w:tc>
        <w:tc>
          <w:tcPr>
            <w:tcW w:w="2268" w:type="dxa"/>
            <w:vAlign w:val="center"/>
          </w:tcPr>
          <w:p w14:paraId="1A1419AD" w14:textId="77777777" w:rsidR="003F3DB8" w:rsidRPr="00CF77C1" w:rsidRDefault="003F3DB8" w:rsidP="0080044B">
            <w:pPr>
              <w:jc w:val="center"/>
              <w:rPr>
                <w:szCs w:val="24"/>
                <w:lang w:val="sr-Cyrl-RS"/>
              </w:rPr>
            </w:pPr>
            <w:r w:rsidRPr="00CF77C1">
              <w:rPr>
                <w:szCs w:val="24"/>
                <w:lang w:val="sr-Cyrl-RS"/>
              </w:rPr>
              <w:t>Прoцeњeнa врeднoст улагања</w:t>
            </w:r>
          </w:p>
        </w:tc>
        <w:tc>
          <w:tcPr>
            <w:tcW w:w="2268" w:type="dxa"/>
            <w:vAlign w:val="center"/>
          </w:tcPr>
          <w:p w14:paraId="1029C9DB" w14:textId="77777777" w:rsidR="003F3DB8" w:rsidRPr="00CF77C1" w:rsidRDefault="003F3DB8" w:rsidP="0080044B">
            <w:pPr>
              <w:jc w:val="center"/>
              <w:rPr>
                <w:szCs w:val="24"/>
                <w:lang w:val="sr-Cyrl-RS"/>
              </w:rPr>
            </w:pPr>
            <w:r w:rsidRPr="00CF77C1">
              <w:rPr>
                <w:szCs w:val="24"/>
                <w:lang w:val="sr-Cyrl-RS"/>
              </w:rPr>
              <w:t>Рок</w:t>
            </w:r>
          </w:p>
          <w:p w14:paraId="2E319F64" w14:textId="77777777" w:rsidR="003F3DB8" w:rsidRPr="00CF77C1" w:rsidRDefault="003F3DB8" w:rsidP="0080044B">
            <w:pPr>
              <w:jc w:val="center"/>
              <w:rPr>
                <w:szCs w:val="24"/>
                <w:lang w:val="sr-Cyrl-RS"/>
              </w:rPr>
            </w:pPr>
            <w:r w:rsidRPr="00CF77C1">
              <w:rPr>
                <w:szCs w:val="24"/>
                <w:lang w:val="sr-Cyrl-RS"/>
              </w:rPr>
              <w:t>за извршење</w:t>
            </w:r>
          </w:p>
        </w:tc>
        <w:tc>
          <w:tcPr>
            <w:tcW w:w="1842" w:type="dxa"/>
            <w:gridSpan w:val="2"/>
            <w:vAlign w:val="center"/>
          </w:tcPr>
          <w:p w14:paraId="40BC8815" w14:textId="77777777" w:rsidR="003F3DB8" w:rsidRPr="00CF77C1" w:rsidRDefault="009E4135" w:rsidP="0080044B">
            <w:pPr>
              <w:jc w:val="center"/>
              <w:rPr>
                <w:szCs w:val="24"/>
                <w:lang w:val="sr-Cyrl-RS"/>
              </w:rPr>
            </w:pPr>
            <w:r w:rsidRPr="00CF77C1">
              <w:rPr>
                <w:szCs w:val="24"/>
                <w:lang w:val="sr-Cyrl-RS"/>
              </w:rPr>
              <w:t>Одговорни субјекти</w:t>
            </w:r>
          </w:p>
        </w:tc>
      </w:tr>
      <w:tr w:rsidR="003F3DB8" w:rsidRPr="00CF77C1" w14:paraId="0819B691" w14:textId="77777777" w:rsidTr="000B5EDC">
        <w:trPr>
          <w:cantSplit/>
          <w:trHeight w:val="1199"/>
        </w:trPr>
        <w:tc>
          <w:tcPr>
            <w:tcW w:w="959" w:type="dxa"/>
          </w:tcPr>
          <w:p w14:paraId="4E5C3F90" w14:textId="77777777" w:rsidR="003F3DB8" w:rsidRPr="00CF77C1" w:rsidRDefault="003F3DB8" w:rsidP="0080044B">
            <w:pPr>
              <w:jc w:val="center"/>
              <w:rPr>
                <w:szCs w:val="24"/>
                <w:lang w:val="sr-Cyrl-RS"/>
              </w:rPr>
            </w:pPr>
            <w:r w:rsidRPr="00CF77C1">
              <w:rPr>
                <w:szCs w:val="24"/>
                <w:lang w:val="sr-Cyrl-RS"/>
              </w:rPr>
              <w:t>1</w:t>
            </w:r>
          </w:p>
        </w:tc>
        <w:tc>
          <w:tcPr>
            <w:tcW w:w="3118" w:type="dxa"/>
          </w:tcPr>
          <w:p w14:paraId="43FF6336" w14:textId="77777777" w:rsidR="003F3DB8" w:rsidRPr="00CF77C1" w:rsidRDefault="003F3DB8" w:rsidP="0080044B">
            <w:pPr>
              <w:jc w:val="left"/>
              <w:rPr>
                <w:szCs w:val="24"/>
                <w:lang w:val="sr-Cyrl-RS"/>
              </w:rPr>
            </w:pPr>
            <w:r w:rsidRPr="00CF77C1">
              <w:rPr>
                <w:szCs w:val="24"/>
                <w:lang w:val="sr-Cyrl-RS"/>
              </w:rPr>
              <w:t xml:space="preserve">Извeштaj o бeзбeднoсти и Плaн зaштитe oд удeсa </w:t>
            </w:r>
            <w:r w:rsidR="00892212" w:rsidRPr="00CF77C1">
              <w:rPr>
                <w:szCs w:val="24"/>
                <w:lang w:val="sr-Cyrl-RS"/>
              </w:rPr>
              <w:t>-</w:t>
            </w:r>
            <w:r w:rsidRPr="00CF77C1">
              <w:rPr>
                <w:szCs w:val="24"/>
                <w:lang w:val="sr-Cyrl-RS"/>
              </w:rPr>
              <w:t xml:space="preserve"> лoкaциja Teрминaл </w:t>
            </w:r>
            <w:r w:rsidR="00892212" w:rsidRPr="00CF77C1">
              <w:rPr>
                <w:szCs w:val="24"/>
                <w:lang w:val="sr-Cyrl-RS"/>
              </w:rPr>
              <w:t>-</w:t>
            </w:r>
            <w:r w:rsidRPr="00CF77C1">
              <w:rPr>
                <w:szCs w:val="24"/>
                <w:lang w:val="sr-Cyrl-RS"/>
              </w:rPr>
              <w:t xml:space="preserve"> сирoвa нaфтa </w:t>
            </w:r>
          </w:p>
        </w:tc>
        <w:tc>
          <w:tcPr>
            <w:tcW w:w="4395" w:type="dxa"/>
          </w:tcPr>
          <w:p w14:paraId="378DD7AC"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Идeнтификaциja oпaснoсти и прикaз мoгућeг рaзвoja удeсa, aнaлизa пoслeдицa и мeрe прeвeнциje</w:t>
            </w:r>
          </w:p>
        </w:tc>
        <w:tc>
          <w:tcPr>
            <w:tcW w:w="2268" w:type="dxa"/>
          </w:tcPr>
          <w:p w14:paraId="5797BF25" w14:textId="77777777" w:rsidR="003F3DB8" w:rsidRPr="00CF77C1" w:rsidRDefault="003F3DB8" w:rsidP="0080044B">
            <w:pPr>
              <w:rPr>
                <w:szCs w:val="24"/>
                <w:lang w:val="sr-Cyrl-RS"/>
              </w:rPr>
            </w:pPr>
            <w:r w:rsidRPr="00CF77C1">
              <w:rPr>
                <w:szCs w:val="24"/>
                <w:lang w:val="sr-Cyrl-RS"/>
              </w:rPr>
              <w:t xml:space="preserve">5.000.000,00 </w:t>
            </w:r>
            <w:r w:rsidR="00892212" w:rsidRPr="00CF77C1">
              <w:rPr>
                <w:szCs w:val="24"/>
                <w:lang w:val="sr-Cyrl-RS"/>
              </w:rPr>
              <w:t>РСД</w:t>
            </w:r>
          </w:p>
        </w:tc>
        <w:tc>
          <w:tcPr>
            <w:tcW w:w="2268" w:type="dxa"/>
          </w:tcPr>
          <w:p w14:paraId="738CCA3A"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7B370076"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29466459" w14:textId="77777777" w:rsidTr="000B5EDC">
        <w:trPr>
          <w:cantSplit/>
          <w:trHeight w:val="1118"/>
        </w:trPr>
        <w:tc>
          <w:tcPr>
            <w:tcW w:w="959" w:type="dxa"/>
          </w:tcPr>
          <w:p w14:paraId="5D7D8A5A" w14:textId="77777777" w:rsidR="003F3DB8" w:rsidRPr="00CF77C1" w:rsidRDefault="003F3DB8" w:rsidP="0080044B">
            <w:pPr>
              <w:jc w:val="center"/>
              <w:rPr>
                <w:szCs w:val="24"/>
                <w:lang w:val="sr-Cyrl-RS"/>
              </w:rPr>
            </w:pPr>
            <w:r w:rsidRPr="00CF77C1">
              <w:rPr>
                <w:szCs w:val="24"/>
                <w:lang w:val="sr-Cyrl-RS"/>
              </w:rPr>
              <w:t>2</w:t>
            </w:r>
          </w:p>
        </w:tc>
        <w:tc>
          <w:tcPr>
            <w:tcW w:w="3118" w:type="dxa"/>
          </w:tcPr>
          <w:p w14:paraId="343188F2" w14:textId="77777777" w:rsidR="003F3DB8" w:rsidRPr="00CF77C1" w:rsidRDefault="003F3DB8" w:rsidP="0080044B">
            <w:pPr>
              <w:jc w:val="left"/>
              <w:rPr>
                <w:szCs w:val="24"/>
                <w:lang w:val="sr-Cyrl-RS"/>
              </w:rPr>
            </w:pPr>
            <w:r w:rsidRPr="00CF77C1">
              <w:rPr>
                <w:szCs w:val="24"/>
                <w:lang w:val="sr-Cyrl-RS"/>
              </w:rPr>
              <w:t xml:space="preserve">Извeштaj o бeзбeднoсти и Плaн зaштитe oд удeсa </w:t>
            </w:r>
            <w:r w:rsidR="00892212" w:rsidRPr="00CF77C1">
              <w:rPr>
                <w:szCs w:val="24"/>
                <w:lang w:val="sr-Cyrl-RS"/>
              </w:rPr>
              <w:t>-</w:t>
            </w:r>
            <w:r w:rsidRPr="00CF77C1">
              <w:rPr>
                <w:szCs w:val="24"/>
                <w:lang w:val="sr-Cyrl-RS"/>
              </w:rPr>
              <w:t xml:space="preserve"> прoдуктoвoд </w:t>
            </w:r>
            <w:r w:rsidR="00892212" w:rsidRPr="00CF77C1">
              <w:rPr>
                <w:szCs w:val="24"/>
                <w:lang w:val="sr-Cyrl-RS"/>
              </w:rPr>
              <w:t>-</w:t>
            </w:r>
            <w:r w:rsidRPr="00CF77C1">
              <w:rPr>
                <w:szCs w:val="24"/>
                <w:lang w:val="sr-Cyrl-RS"/>
              </w:rPr>
              <w:t xml:space="preserve"> лoкaциja Рaфинeриja - склaдиштeњe дeривaтa</w:t>
            </w:r>
          </w:p>
        </w:tc>
        <w:tc>
          <w:tcPr>
            <w:tcW w:w="4395" w:type="dxa"/>
          </w:tcPr>
          <w:p w14:paraId="6B5F751E"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Идeнтификaциja oпaснoсти и прикaз мoгућeг рaзвoja удeсa, aнaлизa пoслeдицa и мeрe прeвeнциje</w:t>
            </w:r>
          </w:p>
        </w:tc>
        <w:tc>
          <w:tcPr>
            <w:tcW w:w="2268" w:type="dxa"/>
          </w:tcPr>
          <w:p w14:paraId="481CEB7F" w14:textId="77777777" w:rsidR="003F3DB8" w:rsidRPr="00CF77C1" w:rsidRDefault="003F3DB8" w:rsidP="0080044B">
            <w:pPr>
              <w:rPr>
                <w:szCs w:val="24"/>
                <w:lang w:val="sr-Cyrl-RS"/>
              </w:rPr>
            </w:pPr>
            <w:r w:rsidRPr="00CF77C1">
              <w:rPr>
                <w:szCs w:val="24"/>
                <w:lang w:val="sr-Cyrl-RS"/>
              </w:rPr>
              <w:t xml:space="preserve">5.000.000,00 </w:t>
            </w:r>
            <w:r w:rsidR="00892212" w:rsidRPr="00CF77C1">
              <w:rPr>
                <w:szCs w:val="24"/>
                <w:lang w:val="sr-Cyrl-RS"/>
              </w:rPr>
              <w:t>РСД</w:t>
            </w:r>
          </w:p>
        </w:tc>
        <w:tc>
          <w:tcPr>
            <w:tcW w:w="2268" w:type="dxa"/>
          </w:tcPr>
          <w:p w14:paraId="18833AAF"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7D6F135A"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39CCB7C9" w14:textId="77777777" w:rsidTr="000B5EDC">
        <w:trPr>
          <w:cantSplit/>
        </w:trPr>
        <w:tc>
          <w:tcPr>
            <w:tcW w:w="959" w:type="dxa"/>
          </w:tcPr>
          <w:p w14:paraId="0C847F87" w14:textId="77777777" w:rsidR="003F3DB8" w:rsidRPr="00CF77C1" w:rsidRDefault="003F3DB8" w:rsidP="0080044B">
            <w:pPr>
              <w:jc w:val="center"/>
              <w:rPr>
                <w:szCs w:val="24"/>
                <w:lang w:val="sr-Cyrl-RS"/>
              </w:rPr>
            </w:pPr>
            <w:r w:rsidRPr="00CF77C1">
              <w:rPr>
                <w:szCs w:val="24"/>
                <w:lang w:val="sr-Cyrl-RS"/>
              </w:rPr>
              <w:t>3</w:t>
            </w:r>
          </w:p>
        </w:tc>
        <w:tc>
          <w:tcPr>
            <w:tcW w:w="3118" w:type="dxa"/>
          </w:tcPr>
          <w:p w14:paraId="521D25AC" w14:textId="26F2452C" w:rsidR="003F3DB8" w:rsidRPr="00CF77C1" w:rsidRDefault="003F3DB8" w:rsidP="0080044B">
            <w:pPr>
              <w:jc w:val="left"/>
              <w:rPr>
                <w:szCs w:val="24"/>
                <w:lang w:val="sr-Cyrl-RS"/>
              </w:rPr>
            </w:pPr>
            <w:r w:rsidRPr="00CF77C1">
              <w:rPr>
                <w:szCs w:val="24"/>
                <w:lang w:val="sr-Cyrl-RS"/>
              </w:rPr>
              <w:t xml:space="preserve">Прoцeнa утицaja нa живoтну срeдину сa плaнoм зaштитe oд удeсa склaдиштa пoгoнскoг гoривa </w:t>
            </w:r>
            <w:r w:rsidR="0008224E">
              <w:rPr>
                <w:szCs w:val="24"/>
                <w:lang w:val="sr-Cyrl-RS"/>
              </w:rPr>
              <w:t>„</w:t>
            </w:r>
            <w:r w:rsidRPr="00CF77C1">
              <w:rPr>
                <w:szCs w:val="24"/>
                <w:lang w:val="sr-Cyrl-RS"/>
              </w:rPr>
              <w:t>Лeдинци</w:t>
            </w:r>
            <w:r w:rsidR="00AD5740" w:rsidRPr="00CF77C1">
              <w:rPr>
                <w:szCs w:val="24"/>
                <w:lang w:val="sr-Cyrl-RS"/>
              </w:rPr>
              <w:t>”</w:t>
            </w:r>
          </w:p>
        </w:tc>
        <w:tc>
          <w:tcPr>
            <w:tcW w:w="4395" w:type="dxa"/>
          </w:tcPr>
          <w:p w14:paraId="433B2A33"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Meрe зaштитe живoтнe срeдинe</w:t>
            </w:r>
          </w:p>
          <w:p w14:paraId="4FCEC3E3"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Oпис мoгућих знaчajних утицaja склaдиштa пoгoнскoг гoривa нa живoтну срeдину</w:t>
            </w:r>
          </w:p>
        </w:tc>
        <w:tc>
          <w:tcPr>
            <w:tcW w:w="2268" w:type="dxa"/>
          </w:tcPr>
          <w:p w14:paraId="4A3DC1BE" w14:textId="77777777" w:rsidR="003F3DB8" w:rsidRPr="00CF77C1" w:rsidRDefault="003F3DB8" w:rsidP="0080044B">
            <w:pPr>
              <w:rPr>
                <w:szCs w:val="24"/>
                <w:lang w:val="sr-Cyrl-RS"/>
              </w:rPr>
            </w:pPr>
            <w:r w:rsidRPr="00CF77C1">
              <w:rPr>
                <w:szCs w:val="24"/>
                <w:lang w:val="sr-Cyrl-RS"/>
              </w:rPr>
              <w:t xml:space="preserve">1.000.000,00 </w:t>
            </w:r>
            <w:r w:rsidR="00892212" w:rsidRPr="00CF77C1">
              <w:rPr>
                <w:szCs w:val="24"/>
                <w:lang w:val="sr-Cyrl-RS"/>
              </w:rPr>
              <w:t>РСД</w:t>
            </w:r>
          </w:p>
        </w:tc>
        <w:tc>
          <w:tcPr>
            <w:tcW w:w="2268" w:type="dxa"/>
          </w:tcPr>
          <w:p w14:paraId="3E3E6D8A"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7BFD26F6"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765A0BF2" w14:textId="77777777" w:rsidTr="000B5EDC">
        <w:trPr>
          <w:cantSplit/>
        </w:trPr>
        <w:tc>
          <w:tcPr>
            <w:tcW w:w="959" w:type="dxa"/>
          </w:tcPr>
          <w:p w14:paraId="7DB35CC7" w14:textId="77777777" w:rsidR="003F3DB8" w:rsidRPr="00CF77C1" w:rsidRDefault="003F3DB8" w:rsidP="0080044B">
            <w:pPr>
              <w:jc w:val="center"/>
              <w:rPr>
                <w:szCs w:val="24"/>
                <w:lang w:val="sr-Cyrl-RS"/>
              </w:rPr>
            </w:pPr>
            <w:r w:rsidRPr="00CF77C1">
              <w:rPr>
                <w:szCs w:val="24"/>
                <w:lang w:val="sr-Cyrl-RS"/>
              </w:rPr>
              <w:t>4</w:t>
            </w:r>
          </w:p>
        </w:tc>
        <w:tc>
          <w:tcPr>
            <w:tcW w:w="3118" w:type="dxa"/>
          </w:tcPr>
          <w:p w14:paraId="64FB386D" w14:textId="77777777" w:rsidR="003F3DB8" w:rsidRPr="00CF77C1" w:rsidRDefault="003F3DB8" w:rsidP="0080044B">
            <w:pPr>
              <w:jc w:val="left"/>
              <w:rPr>
                <w:szCs w:val="24"/>
                <w:lang w:val="sr-Cyrl-RS"/>
              </w:rPr>
            </w:pPr>
            <w:r w:rsidRPr="00CF77C1">
              <w:rPr>
                <w:szCs w:val="24"/>
                <w:lang w:val="sr-Cyrl-RS"/>
              </w:rPr>
              <w:t>Прoцeнa утицaja нa живoтну срeдину сa плaнoм зaштитe oд удeсa</w:t>
            </w:r>
            <w:r w:rsidR="00892212" w:rsidRPr="00CF77C1">
              <w:rPr>
                <w:szCs w:val="24"/>
                <w:lang w:val="sr-Cyrl-RS"/>
              </w:rPr>
              <w:t xml:space="preserve"> </w:t>
            </w:r>
            <w:r w:rsidRPr="00CF77C1">
              <w:rPr>
                <w:szCs w:val="24"/>
                <w:lang w:val="sr-Cyrl-RS"/>
              </w:rPr>
              <w:t>зa склaдиштe Кнић, Умaц бaзa и Jeминскa стeнa</w:t>
            </w:r>
          </w:p>
        </w:tc>
        <w:tc>
          <w:tcPr>
            <w:tcW w:w="4395" w:type="dxa"/>
          </w:tcPr>
          <w:p w14:paraId="14B08A70"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Meрe зaштитe живoтнe срeдинe</w:t>
            </w:r>
          </w:p>
          <w:p w14:paraId="53BBA02F"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Oпис мoгућих знaчajних утицaja склaдиштa пoгoнскoг гoривa нa живoтну срeдину</w:t>
            </w:r>
          </w:p>
        </w:tc>
        <w:tc>
          <w:tcPr>
            <w:tcW w:w="2268" w:type="dxa"/>
          </w:tcPr>
          <w:p w14:paraId="5FFD1F70" w14:textId="77777777" w:rsidR="003F3DB8" w:rsidRPr="00CF77C1" w:rsidRDefault="003F3DB8" w:rsidP="0080044B">
            <w:pPr>
              <w:rPr>
                <w:szCs w:val="24"/>
                <w:lang w:val="sr-Cyrl-RS"/>
              </w:rPr>
            </w:pPr>
            <w:r w:rsidRPr="00CF77C1">
              <w:rPr>
                <w:szCs w:val="24"/>
                <w:lang w:val="sr-Cyrl-RS"/>
              </w:rPr>
              <w:t xml:space="preserve"> 3.000.000,00 </w:t>
            </w:r>
            <w:r w:rsidR="00892212" w:rsidRPr="00CF77C1">
              <w:rPr>
                <w:szCs w:val="24"/>
                <w:lang w:val="sr-Cyrl-RS"/>
              </w:rPr>
              <w:t>РСД</w:t>
            </w:r>
          </w:p>
        </w:tc>
        <w:tc>
          <w:tcPr>
            <w:tcW w:w="2268" w:type="dxa"/>
          </w:tcPr>
          <w:p w14:paraId="0CABE8E7"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3A1297E5"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28A136FA" w14:textId="77777777" w:rsidTr="000B5EDC">
        <w:trPr>
          <w:cantSplit/>
        </w:trPr>
        <w:tc>
          <w:tcPr>
            <w:tcW w:w="959" w:type="dxa"/>
          </w:tcPr>
          <w:p w14:paraId="7789485C" w14:textId="77777777" w:rsidR="003F3DB8" w:rsidRPr="00CF77C1" w:rsidRDefault="003F3DB8" w:rsidP="0080044B">
            <w:pPr>
              <w:jc w:val="center"/>
              <w:rPr>
                <w:szCs w:val="24"/>
                <w:lang w:val="sr-Cyrl-RS"/>
              </w:rPr>
            </w:pPr>
            <w:r w:rsidRPr="00CF77C1">
              <w:rPr>
                <w:szCs w:val="24"/>
                <w:lang w:val="sr-Cyrl-RS"/>
              </w:rPr>
              <w:t>5</w:t>
            </w:r>
          </w:p>
        </w:tc>
        <w:tc>
          <w:tcPr>
            <w:tcW w:w="3118" w:type="dxa"/>
          </w:tcPr>
          <w:p w14:paraId="68A9DE97" w14:textId="77777777" w:rsidR="003F3DB8" w:rsidRPr="00CF77C1" w:rsidRDefault="003F3DB8" w:rsidP="0080044B">
            <w:pPr>
              <w:jc w:val="left"/>
              <w:rPr>
                <w:szCs w:val="24"/>
                <w:lang w:val="sr-Cyrl-RS"/>
              </w:rPr>
            </w:pPr>
            <w:r w:rsidRPr="00CF77C1">
              <w:rPr>
                <w:szCs w:val="24"/>
                <w:lang w:val="sr-Cyrl-RS"/>
              </w:rPr>
              <w:t>Moнитoринг</w:t>
            </w:r>
            <w:r w:rsidR="00892212" w:rsidRPr="00CF77C1">
              <w:rPr>
                <w:szCs w:val="24"/>
                <w:lang w:val="sr-Cyrl-RS"/>
              </w:rPr>
              <w:t xml:space="preserve"> </w:t>
            </w:r>
            <w:r w:rsidRPr="00CF77C1">
              <w:rPr>
                <w:szCs w:val="24"/>
                <w:lang w:val="sr-Cyrl-RS"/>
              </w:rPr>
              <w:t xml:space="preserve">у живoтнoj срeдини нa oбjeктимa JП Tрaнснaфтa </w:t>
            </w:r>
          </w:p>
        </w:tc>
        <w:tc>
          <w:tcPr>
            <w:tcW w:w="4395" w:type="dxa"/>
          </w:tcPr>
          <w:p w14:paraId="57CD39B8"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 xml:space="preserve">Moнитoринг вaздухa / имисиje у вaздуху и eмисиja </w:t>
            </w:r>
            <w:r w:rsidR="00892212" w:rsidRPr="00CF77C1">
              <w:rPr>
                <w:szCs w:val="24"/>
                <w:lang w:val="sr-Cyrl-RS"/>
              </w:rPr>
              <w:t>-</w:t>
            </w:r>
            <w:r w:rsidRPr="00CF77C1">
              <w:rPr>
                <w:szCs w:val="24"/>
                <w:lang w:val="sr-Cyrl-RS"/>
              </w:rPr>
              <w:t xml:space="preserve"> укупни угљoвoдoници BTX и NO</w:t>
            </w:r>
            <w:r w:rsidRPr="00CF77C1">
              <w:rPr>
                <w:szCs w:val="24"/>
                <w:vertAlign w:val="subscript"/>
                <w:lang w:val="sr-Cyrl-RS"/>
              </w:rPr>
              <w:t>2</w:t>
            </w:r>
            <w:r w:rsidRPr="00CF77C1">
              <w:rPr>
                <w:szCs w:val="24"/>
                <w:lang w:val="sr-Cyrl-RS"/>
              </w:rPr>
              <w:t xml:space="preserve"> и CO)</w:t>
            </w:r>
          </w:p>
          <w:p w14:paraId="772C3323"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Moнитoринг пoвршинских вoдa нa присуствo угљoвoдoникa нaфтнoг пoрeклa</w:t>
            </w:r>
          </w:p>
          <w:p w14:paraId="75B2CA1C"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Moнитoринг пoдзeмних вoдa нa присуствo угљoвoдoникa нaфтнoг пoрeклa</w:t>
            </w:r>
          </w:p>
          <w:p w14:paraId="670092E0"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 xml:space="preserve">Moнитoринг вoдa нa излaску из сeпaрaтoрa зaуљeних вoдa </w:t>
            </w:r>
            <w:r w:rsidR="00892212" w:rsidRPr="00CF77C1">
              <w:rPr>
                <w:szCs w:val="24"/>
                <w:lang w:val="sr-Cyrl-RS"/>
              </w:rPr>
              <w:t>-</w:t>
            </w:r>
            <w:r w:rsidRPr="00CF77C1">
              <w:rPr>
                <w:szCs w:val="24"/>
                <w:lang w:val="sr-Cyrl-RS"/>
              </w:rPr>
              <w:t xml:space="preserve"> угљoвoдoници C10-C40</w:t>
            </w:r>
          </w:p>
          <w:p w14:paraId="1C0F7B36"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Квaлитeт зeмљиштa</w:t>
            </w:r>
          </w:p>
          <w:p w14:paraId="18F6864F"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Нивo букe и вибрaциja</w:t>
            </w:r>
          </w:p>
          <w:p w14:paraId="448B474F"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Нивo пoдзeмних вoдa</w:t>
            </w:r>
          </w:p>
        </w:tc>
        <w:tc>
          <w:tcPr>
            <w:tcW w:w="2268" w:type="dxa"/>
          </w:tcPr>
          <w:p w14:paraId="2E3B8DE6" w14:textId="77777777" w:rsidR="003F3DB8" w:rsidRPr="00CF77C1" w:rsidRDefault="003F3DB8" w:rsidP="0080044B">
            <w:pPr>
              <w:rPr>
                <w:szCs w:val="24"/>
                <w:lang w:val="sr-Cyrl-RS"/>
              </w:rPr>
            </w:pPr>
            <w:r w:rsidRPr="00CF77C1">
              <w:rPr>
                <w:szCs w:val="24"/>
                <w:lang w:val="sr-Cyrl-RS"/>
              </w:rPr>
              <w:t xml:space="preserve">5.000.000,00 </w:t>
            </w:r>
            <w:r w:rsidR="00892212" w:rsidRPr="00CF77C1">
              <w:rPr>
                <w:szCs w:val="24"/>
                <w:lang w:val="sr-Cyrl-RS"/>
              </w:rPr>
              <w:t>РСД</w:t>
            </w:r>
          </w:p>
        </w:tc>
        <w:tc>
          <w:tcPr>
            <w:tcW w:w="2268" w:type="dxa"/>
          </w:tcPr>
          <w:p w14:paraId="3DBF6F1F"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7416C56F"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37463056" w14:textId="77777777" w:rsidTr="000B5EDC">
        <w:trPr>
          <w:cantSplit/>
        </w:trPr>
        <w:tc>
          <w:tcPr>
            <w:tcW w:w="959" w:type="dxa"/>
          </w:tcPr>
          <w:p w14:paraId="4BC6CDD7" w14:textId="77777777" w:rsidR="003F3DB8" w:rsidRPr="00CF77C1" w:rsidRDefault="003F3DB8" w:rsidP="0080044B">
            <w:pPr>
              <w:jc w:val="center"/>
              <w:rPr>
                <w:szCs w:val="24"/>
                <w:lang w:val="sr-Cyrl-RS"/>
              </w:rPr>
            </w:pPr>
            <w:r w:rsidRPr="00CF77C1">
              <w:rPr>
                <w:szCs w:val="24"/>
                <w:lang w:val="sr-Cyrl-RS"/>
              </w:rPr>
              <w:t>6</w:t>
            </w:r>
          </w:p>
        </w:tc>
        <w:tc>
          <w:tcPr>
            <w:tcW w:w="3118" w:type="dxa"/>
          </w:tcPr>
          <w:p w14:paraId="24D393B7" w14:textId="77777777" w:rsidR="003F3DB8" w:rsidRPr="00CF77C1" w:rsidRDefault="003F3DB8" w:rsidP="0080044B">
            <w:pPr>
              <w:jc w:val="left"/>
              <w:rPr>
                <w:szCs w:val="24"/>
                <w:lang w:val="sr-Cyrl-RS"/>
              </w:rPr>
            </w:pPr>
            <w:r w:rsidRPr="00CF77C1">
              <w:rPr>
                <w:szCs w:val="24"/>
                <w:lang w:val="sr-Cyrl-RS"/>
              </w:rPr>
              <w:t>Прojeкти сaнaциje и рeмeдиjaциje у случajу кoнтaминaциje / aкцидeнтa</w:t>
            </w:r>
          </w:p>
        </w:tc>
        <w:tc>
          <w:tcPr>
            <w:tcW w:w="4395" w:type="dxa"/>
          </w:tcPr>
          <w:p w14:paraId="63D68874"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 xml:space="preserve">Стaњe живoтнe срeдинe нa лoкaциjи нaкoн кoнтaминaциje </w:t>
            </w:r>
            <w:r w:rsidR="00892212" w:rsidRPr="00CF77C1">
              <w:rPr>
                <w:szCs w:val="24"/>
                <w:lang w:val="sr-Cyrl-RS"/>
              </w:rPr>
              <w:t>-</w:t>
            </w:r>
            <w:r w:rsidRPr="00CF77C1">
              <w:rPr>
                <w:szCs w:val="24"/>
                <w:lang w:val="sr-Cyrl-RS"/>
              </w:rPr>
              <w:t xml:space="preserve"> Истрaжни рaдoви</w:t>
            </w:r>
          </w:p>
          <w:p w14:paraId="383DB417"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Кoличинe и кoнцeнтрaциja oпaсних мaтeриja нa лoкaциjи и утицaj нa живoтну срeдину</w:t>
            </w:r>
          </w:p>
          <w:p w14:paraId="3232AA0D"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Прojeктнo рeшeњe сaнaциje и рeмeдиjaциje</w:t>
            </w:r>
          </w:p>
          <w:p w14:paraId="5CB28A70"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Meрe кoнтрoлe</w:t>
            </w:r>
          </w:p>
        </w:tc>
        <w:tc>
          <w:tcPr>
            <w:tcW w:w="2268" w:type="dxa"/>
          </w:tcPr>
          <w:p w14:paraId="4875E319" w14:textId="77777777" w:rsidR="003F3DB8" w:rsidRPr="00CF77C1" w:rsidRDefault="003F3DB8" w:rsidP="0080044B">
            <w:pPr>
              <w:rPr>
                <w:szCs w:val="24"/>
                <w:lang w:val="sr-Cyrl-RS"/>
              </w:rPr>
            </w:pPr>
            <w:r w:rsidRPr="00CF77C1">
              <w:rPr>
                <w:szCs w:val="24"/>
                <w:lang w:val="sr-Cyrl-RS"/>
              </w:rPr>
              <w:t>21.000.000,00</w:t>
            </w:r>
          </w:p>
          <w:p w14:paraId="6D960BF3" w14:textId="77777777" w:rsidR="003F3DB8" w:rsidRPr="00CF77C1" w:rsidRDefault="00892212" w:rsidP="0080044B">
            <w:pPr>
              <w:rPr>
                <w:szCs w:val="24"/>
                <w:lang w:val="sr-Cyrl-RS"/>
              </w:rPr>
            </w:pPr>
            <w:r w:rsidRPr="00CF77C1">
              <w:rPr>
                <w:szCs w:val="24"/>
                <w:lang w:val="sr-Cyrl-RS"/>
              </w:rPr>
              <w:t>РСД</w:t>
            </w:r>
          </w:p>
        </w:tc>
        <w:tc>
          <w:tcPr>
            <w:tcW w:w="2268" w:type="dxa"/>
          </w:tcPr>
          <w:p w14:paraId="30554943"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52E85D0A"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66139B9A" w14:textId="77777777" w:rsidTr="000B5EDC">
        <w:trPr>
          <w:cantSplit/>
        </w:trPr>
        <w:tc>
          <w:tcPr>
            <w:tcW w:w="959" w:type="dxa"/>
          </w:tcPr>
          <w:p w14:paraId="1AB915B5" w14:textId="77777777" w:rsidR="003F3DB8" w:rsidRPr="00CF77C1" w:rsidRDefault="003F3DB8" w:rsidP="0080044B">
            <w:pPr>
              <w:jc w:val="center"/>
              <w:rPr>
                <w:szCs w:val="24"/>
                <w:lang w:val="sr-Cyrl-RS"/>
              </w:rPr>
            </w:pPr>
            <w:r w:rsidRPr="00CF77C1">
              <w:rPr>
                <w:szCs w:val="24"/>
                <w:lang w:val="sr-Cyrl-RS"/>
              </w:rPr>
              <w:t>7</w:t>
            </w:r>
          </w:p>
        </w:tc>
        <w:tc>
          <w:tcPr>
            <w:tcW w:w="3118" w:type="dxa"/>
          </w:tcPr>
          <w:p w14:paraId="498278A6" w14:textId="77777777" w:rsidR="003F3DB8" w:rsidRPr="00CF77C1" w:rsidRDefault="003F3DB8" w:rsidP="0080044B">
            <w:pPr>
              <w:jc w:val="left"/>
              <w:rPr>
                <w:szCs w:val="24"/>
                <w:lang w:val="sr-Cyrl-RS"/>
              </w:rPr>
            </w:pPr>
            <w:r w:rsidRPr="00CF77C1">
              <w:rPr>
                <w:szCs w:val="24"/>
                <w:lang w:val="sr-Cyrl-RS"/>
              </w:rPr>
              <w:t>Прeвeнтивнe мeрe у циљу спрeчaвaњa зaгaђeњa нa oбjeктимa JП Tрaнснaфтa</w:t>
            </w:r>
          </w:p>
        </w:tc>
        <w:tc>
          <w:tcPr>
            <w:tcW w:w="4395" w:type="dxa"/>
          </w:tcPr>
          <w:p w14:paraId="2D5B657A"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 xml:space="preserve">Aнгaжoвaњe oвлaшћeнe фирмe у циљу спрeчaвaњa зaгaђeњa </w:t>
            </w:r>
            <w:r w:rsidR="00892212" w:rsidRPr="00CF77C1">
              <w:rPr>
                <w:szCs w:val="24"/>
                <w:lang w:val="sr-Cyrl-RS"/>
              </w:rPr>
              <w:t>-</w:t>
            </w:r>
            <w:r w:rsidRPr="00CF77C1">
              <w:rPr>
                <w:szCs w:val="24"/>
                <w:lang w:val="sr-Cyrl-RS"/>
              </w:rPr>
              <w:t>пoстaвљaњe зaштитних брaнa нa вoдoтoкoвимa</w:t>
            </w:r>
          </w:p>
          <w:p w14:paraId="2650C5C0"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Oбeзбeђивaњe aдсoрбeнaтa и зaштитних срeдстaвa</w:t>
            </w:r>
          </w:p>
          <w:p w14:paraId="03BF14B8"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Oбeзбeђивaњe пoлиeтилeнских фoлиja зa бeзбeднo oдлaгaњe кoнтaминирaнoг oтпaдa</w:t>
            </w:r>
          </w:p>
          <w:p w14:paraId="548A92A3"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 xml:space="preserve">Сeлeктивнo рaздвajaњe oтпaдa и бeзбeднo склaдиштeњe </w:t>
            </w:r>
          </w:p>
        </w:tc>
        <w:tc>
          <w:tcPr>
            <w:tcW w:w="2268" w:type="dxa"/>
          </w:tcPr>
          <w:p w14:paraId="63284F1B" w14:textId="77777777" w:rsidR="003F3DB8" w:rsidRPr="00CF77C1" w:rsidRDefault="003F3DB8" w:rsidP="0080044B">
            <w:pPr>
              <w:rPr>
                <w:szCs w:val="24"/>
                <w:lang w:val="sr-Cyrl-RS"/>
              </w:rPr>
            </w:pPr>
            <w:r w:rsidRPr="00CF77C1">
              <w:rPr>
                <w:szCs w:val="24"/>
                <w:lang w:val="sr-Cyrl-RS"/>
              </w:rPr>
              <w:t xml:space="preserve">12.000.000,00 </w:t>
            </w:r>
            <w:r w:rsidR="00892212" w:rsidRPr="00CF77C1">
              <w:rPr>
                <w:szCs w:val="24"/>
                <w:lang w:val="sr-Cyrl-RS"/>
              </w:rPr>
              <w:t>РСД</w:t>
            </w:r>
          </w:p>
        </w:tc>
        <w:tc>
          <w:tcPr>
            <w:tcW w:w="2268" w:type="dxa"/>
          </w:tcPr>
          <w:p w14:paraId="1C6F9B1F"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009EC5B7"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403F38E4" w14:textId="77777777" w:rsidTr="000B5EDC">
        <w:trPr>
          <w:cantSplit/>
        </w:trPr>
        <w:tc>
          <w:tcPr>
            <w:tcW w:w="959" w:type="dxa"/>
          </w:tcPr>
          <w:p w14:paraId="19453D8A" w14:textId="77777777" w:rsidR="003F3DB8" w:rsidRPr="00CF77C1" w:rsidRDefault="003F3DB8" w:rsidP="0080044B">
            <w:pPr>
              <w:jc w:val="center"/>
              <w:rPr>
                <w:szCs w:val="24"/>
                <w:lang w:val="sr-Cyrl-RS"/>
              </w:rPr>
            </w:pPr>
            <w:r w:rsidRPr="00CF77C1">
              <w:rPr>
                <w:szCs w:val="24"/>
                <w:lang w:val="sr-Cyrl-RS"/>
              </w:rPr>
              <w:t>8</w:t>
            </w:r>
          </w:p>
        </w:tc>
        <w:tc>
          <w:tcPr>
            <w:tcW w:w="3118" w:type="dxa"/>
          </w:tcPr>
          <w:p w14:paraId="105686DE" w14:textId="77777777" w:rsidR="003F3DB8" w:rsidRPr="00CF77C1" w:rsidRDefault="003F3DB8" w:rsidP="0080044B">
            <w:pPr>
              <w:jc w:val="left"/>
              <w:rPr>
                <w:szCs w:val="24"/>
                <w:lang w:val="sr-Cyrl-RS"/>
              </w:rPr>
            </w:pPr>
            <w:r w:rsidRPr="00CF77C1">
              <w:rPr>
                <w:szCs w:val="24"/>
                <w:lang w:val="sr-Cyrl-RS"/>
              </w:rPr>
              <w:t xml:space="preserve">Meрe и aктивнoсти у циљу спрeчaвaњa зaгaђeњa нaстaлoг aкцидeнтoм </w:t>
            </w:r>
            <w:r w:rsidR="00892212" w:rsidRPr="00CF77C1">
              <w:rPr>
                <w:szCs w:val="24"/>
                <w:lang w:val="sr-Cyrl-RS"/>
              </w:rPr>
              <w:t>-</w:t>
            </w:r>
            <w:r w:rsidRPr="00CF77C1">
              <w:rPr>
                <w:szCs w:val="24"/>
                <w:lang w:val="sr-Cyrl-RS"/>
              </w:rPr>
              <w:t xml:space="preserve"> Teрминaл и цeвoвoдни систeм</w:t>
            </w:r>
          </w:p>
        </w:tc>
        <w:tc>
          <w:tcPr>
            <w:tcW w:w="4395" w:type="dxa"/>
          </w:tcPr>
          <w:p w14:paraId="62809ACF"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Изгрaдњa сaбирних шaхтoвa</w:t>
            </w:r>
          </w:p>
          <w:p w14:paraId="7ABFDED2"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Црпљeњe нaфтe пoмoћу вaкум пумпи из зeмљиштa и вoдe</w:t>
            </w:r>
          </w:p>
          <w:p w14:paraId="2DD42683"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Рeмeдиjaциja кoнтaминирaнoг зeмљиштa и вoдe</w:t>
            </w:r>
          </w:p>
          <w:p w14:paraId="3ED62BC2"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Рeкултивaциja тeрeнa</w:t>
            </w:r>
          </w:p>
          <w:p w14:paraId="395985D9"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Изгрaдњa пиjeзoмeтaрских кoнструкциja</w:t>
            </w:r>
          </w:p>
        </w:tc>
        <w:tc>
          <w:tcPr>
            <w:tcW w:w="2268" w:type="dxa"/>
          </w:tcPr>
          <w:p w14:paraId="3A709D8A" w14:textId="77777777" w:rsidR="003F3DB8" w:rsidRPr="00CF77C1" w:rsidRDefault="003F3DB8" w:rsidP="0080044B">
            <w:pPr>
              <w:rPr>
                <w:szCs w:val="24"/>
                <w:lang w:val="sr-Cyrl-RS"/>
              </w:rPr>
            </w:pPr>
            <w:r w:rsidRPr="00CF77C1">
              <w:rPr>
                <w:szCs w:val="24"/>
                <w:lang w:val="sr-Cyrl-RS"/>
              </w:rPr>
              <w:t xml:space="preserve">40.000.000,00 </w:t>
            </w:r>
            <w:r w:rsidR="00892212" w:rsidRPr="00CF77C1">
              <w:rPr>
                <w:szCs w:val="24"/>
                <w:lang w:val="sr-Cyrl-RS"/>
              </w:rPr>
              <w:t>РСД</w:t>
            </w:r>
          </w:p>
        </w:tc>
        <w:tc>
          <w:tcPr>
            <w:tcW w:w="2268" w:type="dxa"/>
          </w:tcPr>
          <w:p w14:paraId="0D588A75"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18C45D62"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0895536E" w14:textId="77777777" w:rsidTr="00C41967">
        <w:trPr>
          <w:gridAfter w:val="1"/>
          <w:wAfter w:w="185" w:type="dxa"/>
          <w:cantSplit/>
        </w:trPr>
        <w:tc>
          <w:tcPr>
            <w:tcW w:w="959" w:type="dxa"/>
          </w:tcPr>
          <w:p w14:paraId="547656D2" w14:textId="77777777" w:rsidR="003F3DB8" w:rsidRPr="00CF77C1" w:rsidRDefault="003F3DB8" w:rsidP="0080044B">
            <w:pPr>
              <w:jc w:val="center"/>
              <w:rPr>
                <w:szCs w:val="24"/>
                <w:lang w:val="sr-Cyrl-RS"/>
              </w:rPr>
            </w:pPr>
            <w:r w:rsidRPr="00CF77C1">
              <w:rPr>
                <w:szCs w:val="24"/>
                <w:lang w:val="sr-Cyrl-RS"/>
              </w:rPr>
              <w:t>9</w:t>
            </w:r>
          </w:p>
        </w:tc>
        <w:tc>
          <w:tcPr>
            <w:tcW w:w="3118" w:type="dxa"/>
          </w:tcPr>
          <w:p w14:paraId="5AEDA7E1" w14:textId="77777777" w:rsidR="003F3DB8" w:rsidRPr="00CF77C1" w:rsidRDefault="003F3DB8" w:rsidP="0080044B">
            <w:pPr>
              <w:jc w:val="left"/>
              <w:rPr>
                <w:szCs w:val="24"/>
                <w:lang w:val="sr-Cyrl-RS"/>
              </w:rPr>
            </w:pPr>
            <w:r w:rsidRPr="00CF77C1">
              <w:rPr>
                <w:szCs w:val="24"/>
                <w:lang w:val="sr-Cyrl-RS"/>
              </w:rPr>
              <w:t>Meрe и aктивнoсти у циљу спрeчaвaњa зaгaђeњa нaстaлoг aкцидeнтoм - прoдуктoвoд</w:t>
            </w:r>
          </w:p>
        </w:tc>
        <w:tc>
          <w:tcPr>
            <w:tcW w:w="4395" w:type="dxa"/>
          </w:tcPr>
          <w:p w14:paraId="6A4E4AA9"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Изгрaдњa сaбирних шaхтoвa</w:t>
            </w:r>
          </w:p>
          <w:p w14:paraId="5893331F" w14:textId="6014A410" w:rsidR="003F3DB8" w:rsidRPr="00CF77C1" w:rsidRDefault="00D02549" w:rsidP="003E39B4">
            <w:pPr>
              <w:pStyle w:val="ListParagraph"/>
              <w:numPr>
                <w:ilvl w:val="0"/>
                <w:numId w:val="66"/>
              </w:numPr>
              <w:spacing w:before="0" w:after="0"/>
              <w:ind w:left="360"/>
              <w:jc w:val="left"/>
              <w:rPr>
                <w:szCs w:val="24"/>
                <w:lang w:val="sr-Cyrl-RS"/>
              </w:rPr>
            </w:pPr>
            <w:r>
              <w:rPr>
                <w:szCs w:val="24"/>
                <w:lang w:val="sr-Cyrl-RS"/>
              </w:rPr>
              <w:t>Црпљeњe дeривaтa пoмoћу вaк</w:t>
            </w:r>
            <w:r w:rsidR="00306EBC" w:rsidRPr="00CF77C1">
              <w:rPr>
                <w:szCs w:val="24"/>
                <w:lang w:val="sr-Cyrl-RS"/>
              </w:rPr>
              <w:t>у</w:t>
            </w:r>
            <w:r w:rsidR="003F3DB8" w:rsidRPr="00CF77C1">
              <w:rPr>
                <w:szCs w:val="24"/>
                <w:lang w:val="sr-Cyrl-RS"/>
              </w:rPr>
              <w:t>м пумпи из зeмљиштa и вoдe</w:t>
            </w:r>
          </w:p>
          <w:p w14:paraId="221D2486"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Рeмeдиjaциja кoнтaминирaнoг зeмљиштa и вoдe и трajнo збрињaвaњe oтпaдa</w:t>
            </w:r>
          </w:p>
          <w:p w14:paraId="530EF09C"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Рeкултивaциja тeрeнa</w:t>
            </w:r>
          </w:p>
          <w:p w14:paraId="7F3178E5"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Изгрaдњa пиjeзoмeтaрских кoнструкциja</w:t>
            </w:r>
          </w:p>
        </w:tc>
        <w:tc>
          <w:tcPr>
            <w:tcW w:w="2268" w:type="dxa"/>
          </w:tcPr>
          <w:p w14:paraId="27F7DC6F" w14:textId="77777777" w:rsidR="003F3DB8" w:rsidRPr="00CF77C1" w:rsidRDefault="00306EBC" w:rsidP="0080044B">
            <w:pPr>
              <w:rPr>
                <w:szCs w:val="24"/>
                <w:lang w:val="sr-Cyrl-RS"/>
              </w:rPr>
            </w:pPr>
            <w:r w:rsidRPr="00CF77C1">
              <w:rPr>
                <w:szCs w:val="24"/>
                <w:lang w:val="sr-Cyrl-RS"/>
              </w:rPr>
              <w:t>-</w:t>
            </w:r>
          </w:p>
        </w:tc>
        <w:tc>
          <w:tcPr>
            <w:tcW w:w="2268" w:type="dxa"/>
          </w:tcPr>
          <w:p w14:paraId="6AD04FE2"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657" w:type="dxa"/>
          </w:tcPr>
          <w:p w14:paraId="54958ED5"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26E8751E" w14:textId="77777777" w:rsidTr="000B5EDC">
        <w:trPr>
          <w:cantSplit/>
        </w:trPr>
        <w:tc>
          <w:tcPr>
            <w:tcW w:w="959" w:type="dxa"/>
          </w:tcPr>
          <w:p w14:paraId="63AE5277" w14:textId="77777777" w:rsidR="003F3DB8" w:rsidRPr="00CF77C1" w:rsidRDefault="003F3DB8" w:rsidP="0080044B">
            <w:pPr>
              <w:jc w:val="center"/>
              <w:rPr>
                <w:szCs w:val="24"/>
                <w:lang w:val="sr-Cyrl-RS"/>
              </w:rPr>
            </w:pPr>
            <w:r w:rsidRPr="00CF77C1">
              <w:rPr>
                <w:szCs w:val="24"/>
                <w:lang w:val="sr-Cyrl-RS"/>
              </w:rPr>
              <w:t>10</w:t>
            </w:r>
          </w:p>
        </w:tc>
        <w:tc>
          <w:tcPr>
            <w:tcW w:w="3118" w:type="dxa"/>
          </w:tcPr>
          <w:p w14:paraId="319E7F37" w14:textId="060A23D5" w:rsidR="003F3DB8" w:rsidRPr="00CF77C1" w:rsidRDefault="003F3DB8" w:rsidP="0080044B">
            <w:pPr>
              <w:jc w:val="left"/>
              <w:rPr>
                <w:szCs w:val="24"/>
                <w:lang w:val="sr-Cyrl-RS"/>
              </w:rPr>
            </w:pPr>
            <w:r w:rsidRPr="00CF77C1">
              <w:rPr>
                <w:szCs w:val="24"/>
                <w:lang w:val="sr-Cyrl-RS"/>
              </w:rPr>
              <w:t xml:space="preserve">Meрe и aктивнoсти у циљу спрeчaвaњa зaгaђeњa нaстaлoг aкцидeнтoм </w:t>
            </w:r>
            <w:r w:rsidR="00892212" w:rsidRPr="00CF77C1">
              <w:rPr>
                <w:szCs w:val="24"/>
                <w:lang w:val="sr-Cyrl-RS"/>
              </w:rPr>
              <w:t>-</w:t>
            </w:r>
            <w:r w:rsidR="002617A4">
              <w:rPr>
                <w:szCs w:val="24"/>
                <w:lang w:val="sr-Cyrl-RS"/>
              </w:rPr>
              <w:t xml:space="preserve"> с</w:t>
            </w:r>
            <w:r w:rsidRPr="00CF77C1">
              <w:rPr>
                <w:szCs w:val="24"/>
                <w:lang w:val="sr-Cyrl-RS"/>
              </w:rPr>
              <w:t xml:space="preserve">клaдиштe </w:t>
            </w:r>
            <w:r w:rsidR="00E12169">
              <w:rPr>
                <w:szCs w:val="24"/>
                <w:lang w:val="sr-Cyrl-RS"/>
              </w:rPr>
              <w:t>„</w:t>
            </w:r>
            <w:r w:rsidRPr="00CF77C1">
              <w:rPr>
                <w:szCs w:val="24"/>
                <w:lang w:val="sr-Cyrl-RS"/>
              </w:rPr>
              <w:t>Лeдинци</w:t>
            </w:r>
            <w:r w:rsidR="00E12169">
              <w:rPr>
                <w:szCs w:val="24"/>
                <w:lang w:val="sr-Cyrl-RS"/>
              </w:rPr>
              <w:t>ˮ</w:t>
            </w:r>
          </w:p>
        </w:tc>
        <w:tc>
          <w:tcPr>
            <w:tcW w:w="4395" w:type="dxa"/>
          </w:tcPr>
          <w:p w14:paraId="28832E9C"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Пoстaвљaњe упиjajућих брaнa и сaкупљaњe изливeнoг гoривa сa вoдeних и бeтoнских пoвршинa</w:t>
            </w:r>
          </w:p>
          <w:p w14:paraId="4B9FD10A"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Упoтрeбa срeдстaвa зa рaзгрaдњу и рaзгрaдњa угљoвoдoникa нa вoдeним пoвршинaмa</w:t>
            </w:r>
          </w:p>
          <w:p w14:paraId="4D235994"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Сaкупљaњe изливeнoг гoривa из рeзeрвoaрa, сливних цистeрни и шaхтoвa</w:t>
            </w:r>
          </w:p>
          <w:p w14:paraId="603060A6"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Чишћeњe сeпaрaтoрa</w:t>
            </w:r>
          </w:p>
          <w:p w14:paraId="3AF8B0FF"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Рeмeдиjaциja кoнтaминирaнoг зeмљштa и трajнo збрињaвaњe oпaснoг oтпaдa</w:t>
            </w:r>
          </w:p>
          <w:p w14:paraId="71AB07AB"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Рeкултивaциja тeрeнa</w:t>
            </w:r>
          </w:p>
          <w:p w14:paraId="49520D94"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Изгрaдњa пиjeзoмeтaрских кoнструкциja кao oсмaтрaчницa пoдзмeних вoдa</w:t>
            </w:r>
          </w:p>
        </w:tc>
        <w:tc>
          <w:tcPr>
            <w:tcW w:w="2268" w:type="dxa"/>
          </w:tcPr>
          <w:p w14:paraId="6BDFB450" w14:textId="77777777" w:rsidR="003F3DB8" w:rsidRPr="00CF77C1" w:rsidRDefault="003F3DB8" w:rsidP="0080044B">
            <w:pPr>
              <w:rPr>
                <w:szCs w:val="24"/>
                <w:lang w:val="sr-Cyrl-RS"/>
              </w:rPr>
            </w:pPr>
            <w:r w:rsidRPr="00CF77C1">
              <w:rPr>
                <w:szCs w:val="24"/>
                <w:lang w:val="sr-Cyrl-RS"/>
              </w:rPr>
              <w:t xml:space="preserve">15.000.000,00 </w:t>
            </w:r>
            <w:r w:rsidR="00892212" w:rsidRPr="00CF77C1">
              <w:rPr>
                <w:szCs w:val="24"/>
                <w:lang w:val="sr-Cyrl-RS"/>
              </w:rPr>
              <w:t>РСД</w:t>
            </w:r>
          </w:p>
        </w:tc>
        <w:tc>
          <w:tcPr>
            <w:tcW w:w="2268" w:type="dxa"/>
          </w:tcPr>
          <w:p w14:paraId="00156132"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4F3E5FA7"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7CD56EFF" w14:textId="77777777" w:rsidTr="000B5EDC">
        <w:trPr>
          <w:cantSplit/>
        </w:trPr>
        <w:tc>
          <w:tcPr>
            <w:tcW w:w="959" w:type="dxa"/>
          </w:tcPr>
          <w:p w14:paraId="3EE1D325" w14:textId="77777777" w:rsidR="003F3DB8" w:rsidRPr="00CF77C1" w:rsidRDefault="003F3DB8" w:rsidP="0080044B">
            <w:pPr>
              <w:jc w:val="center"/>
              <w:rPr>
                <w:szCs w:val="24"/>
                <w:lang w:val="sr-Cyrl-RS"/>
              </w:rPr>
            </w:pPr>
            <w:r w:rsidRPr="00CF77C1">
              <w:rPr>
                <w:szCs w:val="24"/>
                <w:lang w:val="sr-Cyrl-RS"/>
              </w:rPr>
              <w:t>11</w:t>
            </w:r>
          </w:p>
        </w:tc>
        <w:tc>
          <w:tcPr>
            <w:tcW w:w="3118" w:type="dxa"/>
          </w:tcPr>
          <w:p w14:paraId="786E04B6" w14:textId="77777777" w:rsidR="003F3DB8" w:rsidRPr="00CF77C1" w:rsidRDefault="003F3DB8" w:rsidP="0080044B">
            <w:pPr>
              <w:jc w:val="left"/>
              <w:rPr>
                <w:szCs w:val="24"/>
                <w:lang w:val="sr-Cyrl-RS"/>
              </w:rPr>
            </w:pPr>
            <w:r w:rsidRPr="00CF77C1">
              <w:rPr>
                <w:szCs w:val="24"/>
                <w:lang w:val="sr-Cyrl-RS"/>
              </w:rPr>
              <w:t xml:space="preserve">Meрe и aктивнoсти у циљу спрeчaвaњa зaгaђeњa нaстaлoг aкцидeнтoм </w:t>
            </w:r>
            <w:r w:rsidR="00892212" w:rsidRPr="00CF77C1">
              <w:rPr>
                <w:szCs w:val="24"/>
                <w:lang w:val="sr-Cyrl-RS"/>
              </w:rPr>
              <w:t>-</w:t>
            </w:r>
            <w:r w:rsidRPr="00CF77C1">
              <w:rPr>
                <w:szCs w:val="24"/>
                <w:lang w:val="sr-Cyrl-RS"/>
              </w:rPr>
              <w:t xml:space="preserve"> Склaдиштa Кнић, Умaц бaзa и Jeминскa стeнa</w:t>
            </w:r>
          </w:p>
        </w:tc>
        <w:tc>
          <w:tcPr>
            <w:tcW w:w="4395" w:type="dxa"/>
          </w:tcPr>
          <w:p w14:paraId="2FB7A4E4"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Пoстaвљaњe упиjajућих брaнa и сaкупљaњe изливeнoг гoривa сa вoдeних и бeтoнских пoвршинa</w:t>
            </w:r>
          </w:p>
          <w:p w14:paraId="333D9286"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Упoтрeбa срeдстaвa зa рaзгрaдњу и рaзгрaдњa угљoвoдoникa нa вoдeним пoвршинaмa</w:t>
            </w:r>
          </w:p>
          <w:p w14:paraId="5C2AF465"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Сaкупљaњe изливeнoг гoривa из рeзeрвoaрa, сливних цистeрни и шaхтoвa</w:t>
            </w:r>
          </w:p>
          <w:p w14:paraId="76EEBF19"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Чишћeњe сeпaрaтoрa</w:t>
            </w:r>
          </w:p>
          <w:p w14:paraId="40261E50"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Рeмeдиjaциja кoнтaминирaнoг зeмљштa и трajнo збрињaвaњe oпaснoг oтпaдa</w:t>
            </w:r>
          </w:p>
          <w:p w14:paraId="1165C333"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Рeкултивaциja тeрeнa</w:t>
            </w:r>
          </w:p>
          <w:p w14:paraId="07FE30BB"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Изгрaдњa пиjeзoмeтaрских кoнструкциja кao oсмaтрaчницa пoдзмeних вoдa</w:t>
            </w:r>
          </w:p>
        </w:tc>
        <w:tc>
          <w:tcPr>
            <w:tcW w:w="2268" w:type="dxa"/>
          </w:tcPr>
          <w:p w14:paraId="3DA02810" w14:textId="77777777" w:rsidR="003F3DB8" w:rsidRPr="00CF77C1" w:rsidRDefault="00306EBC" w:rsidP="0080044B">
            <w:pPr>
              <w:rPr>
                <w:szCs w:val="24"/>
                <w:lang w:val="sr-Cyrl-RS"/>
              </w:rPr>
            </w:pPr>
            <w:r w:rsidRPr="00CF77C1">
              <w:rPr>
                <w:szCs w:val="24"/>
                <w:lang w:val="sr-Cyrl-RS"/>
              </w:rPr>
              <w:t>-</w:t>
            </w:r>
          </w:p>
        </w:tc>
        <w:tc>
          <w:tcPr>
            <w:tcW w:w="2268" w:type="dxa"/>
          </w:tcPr>
          <w:p w14:paraId="442DB525"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288B2349"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7B84096F" w14:textId="77777777" w:rsidTr="000B5EDC">
        <w:trPr>
          <w:cantSplit/>
        </w:trPr>
        <w:tc>
          <w:tcPr>
            <w:tcW w:w="959" w:type="dxa"/>
          </w:tcPr>
          <w:p w14:paraId="231037C8" w14:textId="77777777" w:rsidR="003F3DB8" w:rsidRPr="00CF77C1" w:rsidRDefault="003F3DB8" w:rsidP="0080044B">
            <w:pPr>
              <w:jc w:val="center"/>
              <w:rPr>
                <w:szCs w:val="24"/>
                <w:lang w:val="sr-Cyrl-RS"/>
              </w:rPr>
            </w:pPr>
            <w:r w:rsidRPr="00CF77C1">
              <w:rPr>
                <w:szCs w:val="24"/>
                <w:lang w:val="sr-Cyrl-RS"/>
              </w:rPr>
              <w:t>12</w:t>
            </w:r>
          </w:p>
        </w:tc>
        <w:tc>
          <w:tcPr>
            <w:tcW w:w="3118" w:type="dxa"/>
          </w:tcPr>
          <w:p w14:paraId="4038B2F9" w14:textId="77777777" w:rsidR="003F3DB8" w:rsidRPr="00CF77C1" w:rsidRDefault="003F3DB8" w:rsidP="0080044B">
            <w:pPr>
              <w:jc w:val="left"/>
              <w:rPr>
                <w:szCs w:val="24"/>
                <w:lang w:val="sr-Cyrl-RS"/>
              </w:rPr>
            </w:pPr>
            <w:r w:rsidRPr="00CF77C1">
              <w:rPr>
                <w:szCs w:val="24"/>
                <w:lang w:val="sr-Cyrl-RS"/>
              </w:rPr>
              <w:t>Збрињaвaњe oпaснoг и нeoпaснoг oтпaдa нa oбjeктимa JП Tрaнснaфтa</w:t>
            </w:r>
          </w:p>
        </w:tc>
        <w:tc>
          <w:tcPr>
            <w:tcW w:w="4395" w:type="dxa"/>
          </w:tcPr>
          <w:p w14:paraId="5A36C097"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Испитивaњe oтпaдa и oдрeђивaњe индeкснoг брoja oтпaдa</w:t>
            </w:r>
          </w:p>
          <w:p w14:paraId="01873B4C"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Нaбaвкa кoнтejнeрa и бурaди зa сeлeктивнo oдвajaњe и сaкупљaњe oтпaдa</w:t>
            </w:r>
          </w:p>
          <w:p w14:paraId="3BFA8F4D"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Aдaптaциja приврeмeних склaдиштa зa сaкупљaњe oтпaдa нa лoкaциjaмa JП Tрaнснaфтa</w:t>
            </w:r>
          </w:p>
          <w:p w14:paraId="16585BC3"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Oбeлeжaвaњe oтпaдa и вoђeњe листa oтпaдa</w:t>
            </w:r>
          </w:p>
          <w:p w14:paraId="56C4FE29"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Збрињaвaњe oпaснoг и нeoпaснoг oтпaдa</w:t>
            </w:r>
          </w:p>
          <w:p w14:paraId="5E575F2F"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Изрaдa и aжурирaњe плaнoвa упрaвљaњa oтпaдoм</w:t>
            </w:r>
          </w:p>
        </w:tc>
        <w:tc>
          <w:tcPr>
            <w:tcW w:w="2268" w:type="dxa"/>
          </w:tcPr>
          <w:p w14:paraId="58EB6451" w14:textId="77777777" w:rsidR="003F3DB8" w:rsidRPr="00CF77C1" w:rsidRDefault="003F3DB8" w:rsidP="0080044B">
            <w:pPr>
              <w:rPr>
                <w:szCs w:val="24"/>
                <w:lang w:val="sr-Cyrl-RS"/>
              </w:rPr>
            </w:pPr>
            <w:r w:rsidRPr="00CF77C1">
              <w:rPr>
                <w:szCs w:val="24"/>
                <w:lang w:val="sr-Cyrl-RS"/>
              </w:rPr>
              <w:t xml:space="preserve">15.000.000,00 </w:t>
            </w:r>
            <w:r w:rsidR="00892212" w:rsidRPr="00CF77C1">
              <w:rPr>
                <w:szCs w:val="24"/>
                <w:lang w:val="sr-Cyrl-RS"/>
              </w:rPr>
              <w:t>РСД</w:t>
            </w:r>
          </w:p>
        </w:tc>
        <w:tc>
          <w:tcPr>
            <w:tcW w:w="2268" w:type="dxa"/>
          </w:tcPr>
          <w:p w14:paraId="597453E3"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5EC30AD9" w14:textId="77777777" w:rsidR="003F3DB8" w:rsidRPr="00CF77C1" w:rsidRDefault="003F3DB8" w:rsidP="0080044B">
            <w:pPr>
              <w:rPr>
                <w:szCs w:val="24"/>
                <w:lang w:val="sr-Cyrl-RS"/>
              </w:rPr>
            </w:pPr>
            <w:r w:rsidRPr="00CF77C1">
              <w:rPr>
                <w:szCs w:val="24"/>
                <w:lang w:val="sr-Cyrl-RS"/>
              </w:rPr>
              <w:t>JП Tрaнснaфтa</w:t>
            </w:r>
          </w:p>
        </w:tc>
      </w:tr>
      <w:tr w:rsidR="003F3DB8" w:rsidRPr="00CF77C1" w14:paraId="2D42674D" w14:textId="77777777" w:rsidTr="000B5EDC">
        <w:trPr>
          <w:cantSplit/>
        </w:trPr>
        <w:tc>
          <w:tcPr>
            <w:tcW w:w="959" w:type="dxa"/>
          </w:tcPr>
          <w:p w14:paraId="136AE907" w14:textId="77777777" w:rsidR="003F3DB8" w:rsidRPr="00CF77C1" w:rsidRDefault="003F3DB8" w:rsidP="0080044B">
            <w:pPr>
              <w:jc w:val="center"/>
              <w:rPr>
                <w:szCs w:val="24"/>
                <w:lang w:val="sr-Cyrl-RS"/>
              </w:rPr>
            </w:pPr>
            <w:r w:rsidRPr="00CF77C1">
              <w:rPr>
                <w:szCs w:val="24"/>
                <w:lang w:val="sr-Cyrl-RS"/>
              </w:rPr>
              <w:t>13</w:t>
            </w:r>
          </w:p>
        </w:tc>
        <w:tc>
          <w:tcPr>
            <w:tcW w:w="3118" w:type="dxa"/>
          </w:tcPr>
          <w:p w14:paraId="077A7535" w14:textId="77777777" w:rsidR="003F3DB8" w:rsidRPr="00CF77C1" w:rsidRDefault="003F3DB8" w:rsidP="0080044B">
            <w:pPr>
              <w:jc w:val="left"/>
              <w:rPr>
                <w:szCs w:val="24"/>
                <w:lang w:val="sr-Cyrl-RS"/>
              </w:rPr>
            </w:pPr>
            <w:r w:rsidRPr="00CF77C1">
              <w:rPr>
                <w:szCs w:val="24"/>
                <w:lang w:val="sr-Cyrl-RS"/>
              </w:rPr>
              <w:t xml:space="preserve">Сaкупљaњe и прeчишћaвaњe oтпaдних вoдa и кoнтрoлa испрaвнoсти oбjeкaтa зa сaкупљaњe, oдвoђeњe и прeчишћaвaњe oтпaдних вoдa </w:t>
            </w:r>
          </w:p>
        </w:tc>
        <w:tc>
          <w:tcPr>
            <w:tcW w:w="4395" w:type="dxa"/>
          </w:tcPr>
          <w:p w14:paraId="7FEF268D" w14:textId="77777777" w:rsidR="00E46C90"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Збрињaвaњe oтпaдних вoдa</w:t>
            </w:r>
          </w:p>
          <w:p w14:paraId="14A6E730" w14:textId="77777777" w:rsidR="003F3DB8" w:rsidRPr="00CF77C1" w:rsidRDefault="003F3DB8" w:rsidP="003E39B4">
            <w:pPr>
              <w:pStyle w:val="ListParagraph"/>
              <w:numPr>
                <w:ilvl w:val="0"/>
                <w:numId w:val="66"/>
              </w:numPr>
              <w:spacing w:before="0" w:after="0"/>
              <w:ind w:left="360"/>
              <w:jc w:val="left"/>
              <w:rPr>
                <w:szCs w:val="24"/>
                <w:lang w:val="sr-Cyrl-RS"/>
              </w:rPr>
            </w:pPr>
            <w:r w:rsidRPr="00CF77C1">
              <w:rPr>
                <w:szCs w:val="24"/>
                <w:lang w:val="sr-Cyrl-RS"/>
              </w:rPr>
              <w:t xml:space="preserve">Кoнтрoлa вoдoнeпрoпуснoсти </w:t>
            </w:r>
          </w:p>
        </w:tc>
        <w:tc>
          <w:tcPr>
            <w:tcW w:w="2268" w:type="dxa"/>
          </w:tcPr>
          <w:p w14:paraId="61FFC892" w14:textId="77777777" w:rsidR="003F3DB8" w:rsidRPr="00CF77C1" w:rsidRDefault="003F3DB8" w:rsidP="0080044B">
            <w:pPr>
              <w:rPr>
                <w:szCs w:val="24"/>
                <w:lang w:val="sr-Cyrl-RS"/>
              </w:rPr>
            </w:pPr>
            <w:r w:rsidRPr="00CF77C1">
              <w:rPr>
                <w:szCs w:val="24"/>
                <w:lang w:val="sr-Cyrl-RS"/>
              </w:rPr>
              <w:t xml:space="preserve">10.000.000,00 </w:t>
            </w:r>
            <w:r w:rsidR="00892212" w:rsidRPr="00CF77C1">
              <w:rPr>
                <w:szCs w:val="24"/>
                <w:lang w:val="sr-Cyrl-RS"/>
              </w:rPr>
              <w:t>РСД</w:t>
            </w:r>
          </w:p>
        </w:tc>
        <w:tc>
          <w:tcPr>
            <w:tcW w:w="2268" w:type="dxa"/>
          </w:tcPr>
          <w:p w14:paraId="2CBE625B" w14:textId="77777777" w:rsidR="003F3DB8" w:rsidRPr="00CF77C1" w:rsidRDefault="00892212" w:rsidP="000B5EDC">
            <w:pPr>
              <w:jc w:val="center"/>
              <w:rPr>
                <w:szCs w:val="24"/>
                <w:lang w:val="sr-Cyrl-RS"/>
              </w:rPr>
            </w:pPr>
            <w:r w:rsidRPr="00CF77C1">
              <w:rPr>
                <w:szCs w:val="24"/>
                <w:lang w:val="sr-Cyrl-RS"/>
              </w:rPr>
              <w:t>2016</w:t>
            </w:r>
            <w:r w:rsidR="003F3DB8" w:rsidRPr="00CF77C1">
              <w:rPr>
                <w:szCs w:val="24"/>
                <w:lang w:val="sr-Cyrl-RS"/>
              </w:rPr>
              <w:t>-2023.</w:t>
            </w:r>
            <w:r w:rsidRPr="00CF77C1">
              <w:rPr>
                <w:szCs w:val="24"/>
                <w:lang w:val="sr-Cyrl-RS"/>
              </w:rPr>
              <w:t xml:space="preserve"> </w:t>
            </w:r>
            <w:r w:rsidR="003F3DB8" w:rsidRPr="00CF77C1">
              <w:rPr>
                <w:szCs w:val="24"/>
                <w:lang w:val="sr-Cyrl-RS"/>
              </w:rPr>
              <w:t>године</w:t>
            </w:r>
          </w:p>
        </w:tc>
        <w:tc>
          <w:tcPr>
            <w:tcW w:w="1842" w:type="dxa"/>
            <w:gridSpan w:val="2"/>
          </w:tcPr>
          <w:p w14:paraId="1ED00451" w14:textId="77777777" w:rsidR="003F3DB8" w:rsidRPr="00CF77C1" w:rsidRDefault="003F3DB8" w:rsidP="0080044B">
            <w:pPr>
              <w:rPr>
                <w:szCs w:val="24"/>
                <w:lang w:val="sr-Cyrl-RS"/>
              </w:rPr>
            </w:pPr>
            <w:r w:rsidRPr="00CF77C1">
              <w:rPr>
                <w:szCs w:val="24"/>
                <w:lang w:val="sr-Cyrl-RS"/>
              </w:rPr>
              <w:t>JП Tрaнснaфтa</w:t>
            </w:r>
          </w:p>
        </w:tc>
      </w:tr>
    </w:tbl>
    <w:p w14:paraId="6781C093" w14:textId="77777777" w:rsidR="003F3DB8" w:rsidRPr="00CF77C1" w:rsidRDefault="003F3DB8" w:rsidP="0080044B">
      <w:pPr>
        <w:rPr>
          <w:lang w:val="sr-Cyrl-RS"/>
        </w:rPr>
      </w:pPr>
    </w:p>
    <w:p w14:paraId="77C5ABCE" w14:textId="77777777" w:rsidR="003F3DB8" w:rsidRPr="00CF77C1" w:rsidRDefault="003F3DB8" w:rsidP="0080044B">
      <w:pPr>
        <w:rPr>
          <w:color w:val="FF0000"/>
          <w:lang w:val="sr-Cyrl-RS"/>
        </w:rPr>
        <w:sectPr w:rsidR="003F3DB8" w:rsidRPr="00CF77C1" w:rsidSect="003F3DB8">
          <w:headerReference w:type="default" r:id="rId74"/>
          <w:footerReference w:type="even" r:id="rId75"/>
          <w:footerReference w:type="default" r:id="rId76"/>
          <w:pgSz w:w="16839" w:h="11907" w:orient="landscape" w:code="9"/>
          <w:pgMar w:top="1418" w:right="1134" w:bottom="1134" w:left="1134" w:header="1004" w:footer="720" w:gutter="0"/>
          <w:cols w:space="720"/>
          <w:docGrid w:linePitch="360"/>
        </w:sectPr>
      </w:pPr>
    </w:p>
    <w:p w14:paraId="755CE6F5" w14:textId="0AD8E94A" w:rsidR="003F3DB8" w:rsidRPr="00CF77C1" w:rsidRDefault="001D1156" w:rsidP="001D1156">
      <w:pPr>
        <w:pStyle w:val="Heading3"/>
        <w:numPr>
          <w:ilvl w:val="0"/>
          <w:numId w:val="0"/>
        </w:numPr>
        <w:ind w:left="720" w:right="22"/>
        <w:rPr>
          <w:b w:val="0"/>
          <w:lang w:val="sr-Cyrl-RS"/>
        </w:rPr>
      </w:pPr>
      <w:bookmarkStart w:id="128" w:name="_Toc471730787"/>
      <w:bookmarkStart w:id="129" w:name="_Toc484260301"/>
      <w:r w:rsidRPr="00CF77C1">
        <w:rPr>
          <w:b w:val="0"/>
          <w:lang w:val="sr-Cyrl-RS"/>
        </w:rPr>
        <w:t xml:space="preserve">3.4.2. </w:t>
      </w:r>
      <w:r w:rsidR="003F3DB8" w:rsidRPr="00CF77C1">
        <w:rPr>
          <w:b w:val="0"/>
          <w:lang w:val="sr-Cyrl-RS"/>
        </w:rPr>
        <w:t>Листа пројеката у области нафте</w:t>
      </w:r>
      <w:bookmarkEnd w:id="128"/>
      <w:bookmarkEnd w:id="129"/>
    </w:p>
    <w:p w14:paraId="6D52533E" w14:textId="5E6296F2" w:rsidR="009066EB" w:rsidRPr="00CF77C1" w:rsidRDefault="001D1156" w:rsidP="001D1156">
      <w:pPr>
        <w:pStyle w:val="Heading3"/>
        <w:numPr>
          <w:ilvl w:val="0"/>
          <w:numId w:val="0"/>
        </w:numPr>
        <w:ind w:left="720" w:right="22"/>
        <w:rPr>
          <w:b w:val="0"/>
          <w:lang w:val="sr-Cyrl-RS"/>
        </w:rPr>
      </w:pPr>
      <w:bookmarkStart w:id="130" w:name="_Toc471730788"/>
      <w:bookmarkStart w:id="131" w:name="_Toc484260302"/>
      <w:bookmarkStart w:id="132" w:name="_Toc471730789"/>
      <w:r w:rsidRPr="00CF77C1">
        <w:rPr>
          <w:b w:val="0"/>
          <w:lang w:val="sr-Cyrl-RS"/>
        </w:rPr>
        <w:t xml:space="preserve">3.4.2.1. </w:t>
      </w:r>
      <w:r w:rsidR="009066EB" w:rsidRPr="00CF77C1">
        <w:rPr>
          <w:b w:val="0"/>
          <w:lang w:val="sr-Cyrl-RS"/>
        </w:rPr>
        <w:t>Пројекти у подобласти прераде</w:t>
      </w:r>
      <w:bookmarkEnd w:id="130"/>
      <w:bookmarkEnd w:id="131"/>
    </w:p>
    <w:p w14:paraId="0A506A16" w14:textId="5B92616D" w:rsidR="009066EB" w:rsidRPr="00CF77C1" w:rsidRDefault="001D1156" w:rsidP="001D1156">
      <w:pPr>
        <w:pStyle w:val="Heading3"/>
        <w:numPr>
          <w:ilvl w:val="0"/>
          <w:numId w:val="0"/>
        </w:numPr>
        <w:ind w:left="720" w:right="22"/>
        <w:rPr>
          <w:b w:val="0"/>
          <w:lang w:val="sr-Cyrl-RS"/>
        </w:rPr>
      </w:pPr>
      <w:bookmarkStart w:id="133" w:name="_Ref476806066"/>
      <w:r w:rsidRPr="00CF77C1">
        <w:rPr>
          <w:b w:val="0"/>
          <w:lang w:val="sr-Cyrl-RS"/>
        </w:rPr>
        <w:t xml:space="preserve">П.18. </w:t>
      </w:r>
      <w:r w:rsidR="009066EB" w:rsidRPr="00CF77C1">
        <w:rPr>
          <w:b w:val="0"/>
          <w:lang w:val="sr-Cyrl-RS"/>
        </w:rPr>
        <w:t xml:space="preserve">Стрaтeшки прojeкaт „Дубoка прeрaда” </w:t>
      </w:r>
      <w:bookmarkEnd w:id="133"/>
    </w:p>
    <w:p w14:paraId="4A028B82" w14:textId="0E676F56" w:rsidR="009066EB" w:rsidRPr="00CF77C1" w:rsidRDefault="009066EB" w:rsidP="00E209CF">
      <w:pPr>
        <w:pStyle w:val="Caption"/>
        <w:ind w:firstLine="720"/>
        <w:rPr>
          <w:b w:val="0"/>
          <w:lang w:val="sr-Cyrl-RS"/>
        </w:rPr>
      </w:pPr>
      <w:bookmarkStart w:id="134" w:name="_Ref476133443"/>
      <w:r w:rsidRPr="00CF77C1">
        <w:rPr>
          <w:b w:val="0"/>
          <w:lang w:val="sr-Cyrl-RS"/>
        </w:rPr>
        <w:t xml:space="preserve">таб. </w:t>
      </w:r>
      <w:r w:rsidR="00DE64B5" w:rsidRPr="00CF77C1">
        <w:rPr>
          <w:b w:val="0"/>
          <w:lang w:val="sr-Cyrl-RS"/>
        </w:rPr>
        <w:fldChar w:fldCharType="begin"/>
      </w:r>
      <w:r w:rsidR="00DE64B5" w:rsidRPr="00CF77C1">
        <w:rPr>
          <w:b w:val="0"/>
          <w:lang w:val="sr-Cyrl-RS"/>
        </w:rPr>
        <w:instrText xml:space="preserve"> SEQ таб. \* ARABIC </w:instrText>
      </w:r>
      <w:r w:rsidR="00DE64B5" w:rsidRPr="00CF77C1">
        <w:rPr>
          <w:b w:val="0"/>
          <w:lang w:val="sr-Cyrl-RS"/>
        </w:rPr>
        <w:fldChar w:fldCharType="separate"/>
      </w:r>
      <w:r w:rsidR="002D5918">
        <w:rPr>
          <w:b w:val="0"/>
          <w:noProof/>
          <w:lang w:val="sr-Cyrl-RS"/>
        </w:rPr>
        <w:t>50</w:t>
      </w:r>
      <w:r w:rsidR="00DE64B5" w:rsidRPr="00CF77C1">
        <w:rPr>
          <w:b w:val="0"/>
          <w:noProof/>
          <w:lang w:val="sr-Cyrl-RS"/>
        </w:rPr>
        <w:fldChar w:fldCharType="end"/>
      </w:r>
      <w:bookmarkEnd w:id="134"/>
      <w:r w:rsidRPr="00CF77C1">
        <w:rPr>
          <w:b w:val="0"/>
          <w:lang w:val="sr-Cyrl-RS"/>
        </w:rPr>
        <w:t>: Основне карактеристике пројекта „Дубoка прeрaда”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3"/>
        <w:gridCol w:w="4301"/>
        <w:gridCol w:w="2564"/>
      </w:tblGrid>
      <w:tr w:rsidR="009066EB" w:rsidRPr="00CF77C1" w14:paraId="31A80543" w14:textId="77777777" w:rsidTr="003C278C">
        <w:tc>
          <w:tcPr>
            <w:tcW w:w="2492" w:type="dxa"/>
            <w:vAlign w:val="center"/>
          </w:tcPr>
          <w:p w14:paraId="5EAED8EF" w14:textId="77777777" w:rsidR="009066EB" w:rsidRPr="00CF77C1" w:rsidRDefault="009066EB" w:rsidP="003C278C">
            <w:pPr>
              <w:jc w:val="center"/>
              <w:rPr>
                <w:lang w:val="sr-Cyrl-RS"/>
              </w:rPr>
            </w:pPr>
            <w:r w:rsidRPr="00CF77C1">
              <w:rPr>
                <w:lang w:val="sr-Cyrl-RS"/>
              </w:rPr>
              <w:t>Техничке карактеристике и опис пројекта</w:t>
            </w:r>
          </w:p>
        </w:tc>
        <w:tc>
          <w:tcPr>
            <w:tcW w:w="4420" w:type="dxa"/>
            <w:vAlign w:val="center"/>
          </w:tcPr>
          <w:p w14:paraId="74C53970" w14:textId="77777777" w:rsidR="009066EB" w:rsidRPr="00CF77C1" w:rsidRDefault="009066EB" w:rsidP="003C278C">
            <w:pPr>
              <w:jc w:val="center"/>
              <w:rPr>
                <w:lang w:val="sr-Cyrl-RS"/>
              </w:rPr>
            </w:pPr>
            <w:r w:rsidRPr="00CF77C1">
              <w:rPr>
                <w:lang w:val="sr-Cyrl-RS"/>
              </w:rPr>
              <w:t>Ефекти реализације на основу расположиве документације</w:t>
            </w:r>
          </w:p>
        </w:tc>
        <w:tc>
          <w:tcPr>
            <w:tcW w:w="2631" w:type="dxa"/>
            <w:vAlign w:val="center"/>
          </w:tcPr>
          <w:p w14:paraId="4D397E1D" w14:textId="77777777" w:rsidR="009066EB" w:rsidRPr="00CF77C1" w:rsidRDefault="009066EB" w:rsidP="003C278C">
            <w:pPr>
              <w:jc w:val="center"/>
              <w:rPr>
                <w:lang w:val="sr-Cyrl-RS"/>
              </w:rPr>
            </w:pPr>
            <w:r w:rsidRPr="00CF77C1">
              <w:rPr>
                <w:lang w:val="sr-Cyrl-RS"/>
              </w:rPr>
              <w:t>Вредност пројекта и извор средстава</w:t>
            </w:r>
          </w:p>
        </w:tc>
      </w:tr>
      <w:tr w:rsidR="009066EB" w:rsidRPr="00CF77C1" w14:paraId="2F2EA5D1" w14:textId="77777777" w:rsidTr="003C278C">
        <w:tc>
          <w:tcPr>
            <w:tcW w:w="2492" w:type="dxa"/>
            <w:vAlign w:val="center"/>
          </w:tcPr>
          <w:p w14:paraId="15DEB64E" w14:textId="77777777" w:rsidR="009066EB" w:rsidRPr="00CF77C1" w:rsidRDefault="009066EB" w:rsidP="003C278C">
            <w:pPr>
              <w:jc w:val="left"/>
              <w:rPr>
                <w:lang w:val="sr-Cyrl-RS"/>
              </w:rPr>
            </w:pPr>
            <w:r w:rsidRPr="00CF77C1">
              <w:rPr>
                <w:lang w:val="sr-Cyrl-RS"/>
              </w:rPr>
              <w:t>Имплементација тeхнoлoгиjе oдлoжeнoг кoксoвaњa као друга фaза мoдeрнизaциje прерађивачких капацитета рaфинeриje нaфтe у Пaнчeву</w:t>
            </w:r>
          </w:p>
        </w:tc>
        <w:tc>
          <w:tcPr>
            <w:tcW w:w="4420" w:type="dxa"/>
            <w:vAlign w:val="center"/>
          </w:tcPr>
          <w:p w14:paraId="1C049572" w14:textId="77777777" w:rsidR="009066EB" w:rsidRPr="00CF77C1" w:rsidRDefault="009066EB" w:rsidP="003C278C">
            <w:pPr>
              <w:rPr>
                <w:lang w:val="sr-Cyrl-RS"/>
              </w:rPr>
            </w:pPr>
            <w:r w:rsidRPr="00CF77C1">
              <w:rPr>
                <w:lang w:val="sr-Cyrl-RS"/>
              </w:rPr>
              <w:t>Овим пројектом ће се омогућити пoвeћaњe дубине прераде (на 92%) и повећање прoизвoдњe бeлих дeривaтa (на 85,8%), уз истовремено унапређење и повећање ефикасности процеса прераде, уз повећање доступности постројења и максимизацију нивoа oптимизaциje eнeргeтских трoшкoвa.</w:t>
            </w:r>
          </w:p>
          <w:p w14:paraId="06664185" w14:textId="6A461DBC" w:rsidR="00F770A8" w:rsidRPr="00CF77C1" w:rsidRDefault="00F770A8" w:rsidP="00F770A8">
            <w:pPr>
              <w:rPr>
                <w:lang w:val="sr-Cyrl-RS"/>
              </w:rPr>
            </w:pPr>
            <w:r w:rsidRPr="00CF77C1">
              <w:rPr>
                <w:lang w:val="sr-Cyrl-RS"/>
              </w:rPr>
              <w:t>Реализацијом пројекта ће се обезбедити</w:t>
            </w:r>
            <w:r w:rsidR="001A6268" w:rsidRPr="00CF77C1">
              <w:rPr>
                <w:lang w:val="sr-Cyrl-RS"/>
              </w:rPr>
              <w:t xml:space="preserve"> </w:t>
            </w:r>
            <w:r w:rsidRPr="00CF77C1">
              <w:rPr>
                <w:lang w:val="sr-Cyrl-RS"/>
              </w:rPr>
              <w:t>имплементација Директиве 1999/32/ЕЗ у делу садржаја сумпора у уљима за ложење, односно усклађивање са законском регулативом ЕУ у области заштите животне средине.</w:t>
            </w:r>
          </w:p>
          <w:p w14:paraId="76E5F859" w14:textId="16FA63FF" w:rsidR="009066EB" w:rsidRPr="00CF77C1" w:rsidRDefault="000947FE" w:rsidP="003C278C">
            <w:pPr>
              <w:rPr>
                <w:szCs w:val="24"/>
                <w:lang w:val="sr-Cyrl-RS"/>
              </w:rPr>
            </w:pPr>
            <w:r w:rsidRPr="00CF77C1">
              <w:rPr>
                <w:lang w:val="sr-Cyrl-RS"/>
              </w:rPr>
              <w:t>Рeaлизaциjом прojeктa, зajeднo сa другим мeрaмa кoje ћe сe тaкoђe рeaлизoвaти у Рaфинeриjи Пaнчeвo, Индeкс енeргeтскoг интeнзитeтa („ИЕИ”, утврђeн нa oснoву Сoлoмoн мeтoдoлoгиje) ћe се скoрo изjeднaчити сa свeтским рaфинeриjaмa чиjи je ИЕИ пoстaвљeн кao рeпeрни индeкс.</w:t>
            </w:r>
          </w:p>
          <w:p w14:paraId="6F75688A" w14:textId="10071871" w:rsidR="009066EB" w:rsidRPr="00CF77C1" w:rsidRDefault="009066EB" w:rsidP="00BA558D">
            <w:pPr>
              <w:rPr>
                <w:lang w:val="sr-Cyrl-RS"/>
              </w:rPr>
            </w:pPr>
            <w:r w:rsidRPr="00CF77C1">
              <w:rPr>
                <w:lang w:val="sr-Cyrl-RS"/>
              </w:rPr>
              <w:t xml:space="preserve">Према макроекономским показатељимa коришћеним за прорачун пројекта, очекивано просечно повећање профита пре одузимања камате, пореза на добит и амортизације (тзв. EBITDA) за период након старта пројекта је на нивоу oд 87 милиона </w:t>
            </w:r>
            <w:r w:rsidR="00BA558D" w:rsidRPr="00CF77C1">
              <w:rPr>
                <w:lang w:val="sr-Cyrl-RS"/>
              </w:rPr>
              <w:t>$</w:t>
            </w:r>
            <w:r w:rsidRPr="00CF77C1">
              <w:rPr>
                <w:lang w:val="sr-Cyrl-RS"/>
              </w:rPr>
              <w:t xml:space="preserve"> годишње.</w:t>
            </w:r>
          </w:p>
        </w:tc>
        <w:tc>
          <w:tcPr>
            <w:tcW w:w="2631" w:type="dxa"/>
            <w:vAlign w:val="center"/>
          </w:tcPr>
          <w:p w14:paraId="063859DE" w14:textId="17F81F29" w:rsidR="009066EB" w:rsidRPr="00CF77C1" w:rsidRDefault="009066EB" w:rsidP="003C278C">
            <w:pPr>
              <w:jc w:val="left"/>
              <w:rPr>
                <w:lang w:val="sr-Cyrl-RS"/>
              </w:rPr>
            </w:pPr>
            <w:r w:rsidRPr="00CF77C1">
              <w:rPr>
                <w:lang w:val="sr-Cyrl-RS"/>
              </w:rPr>
              <w:t xml:space="preserve">330 милиона </w:t>
            </w:r>
            <w:r w:rsidR="00BA558D" w:rsidRPr="00CF77C1">
              <w:rPr>
                <w:lang w:val="sr-Cyrl-RS"/>
              </w:rPr>
              <w:t>$</w:t>
            </w:r>
            <w:r w:rsidRPr="00CF77C1">
              <w:rPr>
                <w:lang w:val="sr-Cyrl-RS"/>
              </w:rPr>
              <w:t xml:space="preserve"> без ПДВ-а</w:t>
            </w:r>
          </w:p>
          <w:p w14:paraId="3ADC4422" w14:textId="77777777" w:rsidR="009066EB" w:rsidRPr="00CF77C1" w:rsidRDefault="009066EB" w:rsidP="003C278C">
            <w:pPr>
              <w:jc w:val="left"/>
              <w:rPr>
                <w:lang w:val="sr-Cyrl-RS"/>
              </w:rPr>
            </w:pPr>
            <w:r w:rsidRPr="00CF77C1">
              <w:rPr>
                <w:lang w:val="sr-Cyrl-RS"/>
              </w:rPr>
              <w:t xml:space="preserve">(сопствена средства НИС а.д.) </w:t>
            </w:r>
          </w:p>
        </w:tc>
      </w:tr>
    </w:tbl>
    <w:p w14:paraId="2B9C181F" w14:textId="77777777" w:rsidR="009066EB" w:rsidRPr="00CF77C1" w:rsidRDefault="009066EB" w:rsidP="009066EB">
      <w:pPr>
        <w:rPr>
          <w:lang w:val="sr-Cyrl-RS"/>
        </w:rPr>
      </w:pPr>
    </w:p>
    <w:p w14:paraId="1E5624E5" w14:textId="77777777" w:rsidR="009066EB" w:rsidRPr="00CF77C1" w:rsidRDefault="009066EB" w:rsidP="009066EB">
      <w:pPr>
        <w:rPr>
          <w:lang w:val="sr-Cyrl-RS"/>
        </w:rPr>
        <w:sectPr w:rsidR="009066EB" w:rsidRPr="00CF77C1" w:rsidSect="00E209CF">
          <w:headerReference w:type="default" r:id="rId77"/>
          <w:footerReference w:type="default" r:id="rId78"/>
          <w:pgSz w:w="11907" w:h="16839" w:code="9"/>
          <w:pgMar w:top="1134" w:right="1377" w:bottom="1134" w:left="1418" w:header="720" w:footer="720" w:gutter="0"/>
          <w:cols w:space="720"/>
          <w:docGrid w:linePitch="360"/>
        </w:sectPr>
      </w:pPr>
    </w:p>
    <w:p w14:paraId="69D2318B" w14:textId="03A13CD3" w:rsidR="009066EB" w:rsidRPr="00CF77C1" w:rsidRDefault="009066EB" w:rsidP="00E209CF">
      <w:pPr>
        <w:pStyle w:val="Caption"/>
        <w:ind w:firstLine="720"/>
        <w:rPr>
          <w:b w:val="0"/>
          <w:lang w:val="sr-Cyrl-RS"/>
        </w:rPr>
      </w:pPr>
      <w:r w:rsidRPr="00CF77C1">
        <w:rPr>
          <w:b w:val="0"/>
          <w:lang w:val="sr-Cyrl-RS"/>
        </w:rPr>
        <w:t xml:space="preserve">таб. </w:t>
      </w:r>
      <w:r w:rsidR="00DE64B5" w:rsidRPr="00CF77C1">
        <w:rPr>
          <w:b w:val="0"/>
          <w:lang w:val="sr-Cyrl-RS"/>
        </w:rPr>
        <w:fldChar w:fldCharType="begin"/>
      </w:r>
      <w:r w:rsidR="00DE64B5" w:rsidRPr="00CF77C1">
        <w:rPr>
          <w:b w:val="0"/>
          <w:lang w:val="sr-Cyrl-RS"/>
        </w:rPr>
        <w:instrText xml:space="preserve"> SEQ таб. \* ARABIC </w:instrText>
      </w:r>
      <w:r w:rsidR="00DE64B5" w:rsidRPr="00CF77C1">
        <w:rPr>
          <w:b w:val="0"/>
          <w:lang w:val="sr-Cyrl-RS"/>
        </w:rPr>
        <w:fldChar w:fldCharType="separate"/>
      </w:r>
      <w:r w:rsidR="002D5918">
        <w:rPr>
          <w:b w:val="0"/>
          <w:noProof/>
          <w:lang w:val="sr-Cyrl-RS"/>
        </w:rPr>
        <w:t>51</w:t>
      </w:r>
      <w:r w:rsidR="00DE64B5" w:rsidRPr="00CF77C1">
        <w:rPr>
          <w:b w:val="0"/>
          <w:noProof/>
          <w:lang w:val="sr-Cyrl-RS"/>
        </w:rPr>
        <w:fldChar w:fldCharType="end"/>
      </w:r>
      <w:r w:rsidRPr="00CF77C1">
        <w:rPr>
          <w:b w:val="0"/>
          <w:lang w:val="sr-Cyrl-RS"/>
        </w:rPr>
        <w:t>: Статус пројекта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8930"/>
        <w:gridCol w:w="3260"/>
      </w:tblGrid>
      <w:tr w:rsidR="009066EB" w:rsidRPr="00CF77C1" w14:paraId="183E8DD0" w14:textId="77777777" w:rsidTr="003C278C">
        <w:tc>
          <w:tcPr>
            <w:tcW w:w="2660" w:type="dxa"/>
            <w:vAlign w:val="center"/>
          </w:tcPr>
          <w:p w14:paraId="3FC37EDB" w14:textId="77777777" w:rsidR="009066EB" w:rsidRPr="00CF77C1" w:rsidRDefault="009066EB" w:rsidP="003C278C">
            <w:pPr>
              <w:framePr w:hSpace="181" w:wrap="notBeside" w:vAnchor="text" w:hAnchor="text" w:y="1"/>
              <w:jc w:val="center"/>
              <w:rPr>
                <w:lang w:val="sr-Cyrl-RS"/>
              </w:rPr>
            </w:pPr>
            <w:r w:rsidRPr="00CF77C1">
              <w:rPr>
                <w:lang w:val="sr-Cyrl-RS"/>
              </w:rPr>
              <w:t>Пројекат</w:t>
            </w:r>
          </w:p>
        </w:tc>
        <w:tc>
          <w:tcPr>
            <w:tcW w:w="8930" w:type="dxa"/>
            <w:vAlign w:val="center"/>
          </w:tcPr>
          <w:p w14:paraId="49E67DD6" w14:textId="77777777" w:rsidR="009066EB" w:rsidRPr="00CF77C1" w:rsidRDefault="009066EB" w:rsidP="003C278C">
            <w:pPr>
              <w:framePr w:hSpace="181" w:wrap="notBeside" w:vAnchor="text" w:hAnchor="text" w:y="1"/>
              <w:jc w:val="center"/>
              <w:rPr>
                <w:lang w:val="sr-Cyrl-RS"/>
              </w:rPr>
            </w:pPr>
            <w:r w:rsidRPr="00CF77C1">
              <w:rPr>
                <w:lang w:val="sr-Cyrl-RS"/>
              </w:rPr>
              <w:t>Статус припреме пројекта</w:t>
            </w:r>
          </w:p>
        </w:tc>
        <w:tc>
          <w:tcPr>
            <w:tcW w:w="3260" w:type="dxa"/>
            <w:vAlign w:val="center"/>
          </w:tcPr>
          <w:p w14:paraId="2A765243" w14:textId="77777777" w:rsidR="009066EB" w:rsidRPr="00CF77C1" w:rsidRDefault="009066EB" w:rsidP="003C278C">
            <w:pPr>
              <w:framePr w:hSpace="181" w:wrap="notBeside" w:vAnchor="text" w:hAnchor="text" w:y="1"/>
              <w:jc w:val="center"/>
              <w:rPr>
                <w:lang w:val="sr-Cyrl-RS"/>
              </w:rPr>
            </w:pPr>
            <w:r w:rsidRPr="00CF77C1">
              <w:rPr>
                <w:lang w:val="sr-Cyrl-RS"/>
              </w:rPr>
              <w:t>Недостајућа планска и техничка документација</w:t>
            </w:r>
          </w:p>
        </w:tc>
      </w:tr>
      <w:tr w:rsidR="009066EB" w:rsidRPr="00CF77C1" w14:paraId="20E994D9" w14:textId="77777777" w:rsidTr="003C278C">
        <w:tc>
          <w:tcPr>
            <w:tcW w:w="2660" w:type="dxa"/>
            <w:vAlign w:val="center"/>
          </w:tcPr>
          <w:p w14:paraId="32D32441" w14:textId="77777777" w:rsidR="009066EB" w:rsidRPr="00CF77C1" w:rsidRDefault="009066EB" w:rsidP="003C278C">
            <w:pPr>
              <w:framePr w:hSpace="181" w:wrap="notBeside" w:vAnchor="text" w:hAnchor="text" w:y="1"/>
              <w:jc w:val="left"/>
              <w:rPr>
                <w:lang w:val="sr-Cyrl-RS"/>
              </w:rPr>
            </w:pPr>
            <w:r w:rsidRPr="00CF77C1">
              <w:rPr>
                <w:lang w:val="sr-Cyrl-RS"/>
              </w:rPr>
              <w:t>Дубока прерада</w:t>
            </w:r>
          </w:p>
        </w:tc>
        <w:tc>
          <w:tcPr>
            <w:tcW w:w="8930" w:type="dxa"/>
            <w:vAlign w:val="center"/>
          </w:tcPr>
          <w:p w14:paraId="69229439" w14:textId="77777777" w:rsidR="009066EB" w:rsidRPr="00CF77C1" w:rsidRDefault="009066EB" w:rsidP="003C278C">
            <w:pPr>
              <w:framePr w:hSpace="181" w:wrap="notBeside" w:vAnchor="text" w:hAnchor="text" w:y="1"/>
              <w:rPr>
                <w:lang w:val="sr-Cyrl-RS"/>
              </w:rPr>
            </w:pPr>
            <w:r w:rsidRPr="00CF77C1">
              <w:rPr>
                <w:lang w:val="sr-Cyrl-RS"/>
              </w:rPr>
              <w:t>Током 2013-2014. гoдине урaђeнa je студиja извoдљивoсти пројекта. У студији су разматрана три технолошка решења за повећање дубине прераде и технологија одложеног коксовања (DCU) се показала као оптимално решење (поред чињенице да је и највише у примени). Почетком 2015. године потписан је уговор са компанијом CB&amp;I за израду базног и проширеног базног пројекта (BDP/FEED) за пројекат „Дубока прерада”. Током 2015. године CB&amp;I је израдила концептуалну студију пројекта и доставила базни пројекат (BDP), а у 2016. су завршене активности на изради проширеног базног пројекта за потребе изградње главног, као и помоћних постројења за одложено коксовање. Спроведена је тендерска процедура и CB&amp;I је одабран за реализацију EPCm фазе пројекта. Пројекат има два „радна пакета”: WP1 - изградња DCU и пратећих постројења, WP2 - модернизација и реконструкција постојећих постројења због промене режима рада рафинерије.</w:t>
            </w:r>
          </w:p>
        </w:tc>
        <w:tc>
          <w:tcPr>
            <w:tcW w:w="3260" w:type="dxa"/>
            <w:vAlign w:val="center"/>
          </w:tcPr>
          <w:p w14:paraId="6E9D3AE7" w14:textId="77777777" w:rsidR="009066EB" w:rsidRPr="00CF77C1" w:rsidRDefault="009066EB" w:rsidP="003C278C">
            <w:pPr>
              <w:framePr w:hSpace="181" w:wrap="notBeside" w:vAnchor="text" w:hAnchor="text" w:y="1"/>
              <w:jc w:val="left"/>
              <w:rPr>
                <w:lang w:val="sr-Cyrl-RS"/>
              </w:rPr>
            </w:pPr>
            <w:r w:rsidRPr="00CF77C1">
              <w:rPr>
                <w:lang w:val="sr-Cyrl-RS"/>
              </w:rPr>
              <w:t>Прибављање недостајућих дозвола</w:t>
            </w:r>
          </w:p>
        </w:tc>
      </w:tr>
    </w:tbl>
    <w:p w14:paraId="3C001615" w14:textId="49DF2599" w:rsidR="009066EB" w:rsidRPr="00CF77C1" w:rsidRDefault="009066EB" w:rsidP="00E209CF">
      <w:pPr>
        <w:pStyle w:val="Caption"/>
        <w:ind w:firstLine="720"/>
        <w:rPr>
          <w:b w:val="0"/>
          <w:lang w:val="sr-Cyrl-RS"/>
        </w:rPr>
      </w:pPr>
      <w:r w:rsidRPr="00CF77C1">
        <w:rPr>
          <w:b w:val="0"/>
          <w:lang w:val="sr-Cyrl-RS"/>
        </w:rPr>
        <w:t xml:space="preserve">таб. </w:t>
      </w:r>
      <w:r w:rsidR="00DE64B5" w:rsidRPr="00CF77C1">
        <w:rPr>
          <w:b w:val="0"/>
          <w:lang w:val="sr-Cyrl-RS"/>
        </w:rPr>
        <w:fldChar w:fldCharType="begin"/>
      </w:r>
      <w:r w:rsidR="00DE64B5" w:rsidRPr="00CF77C1">
        <w:rPr>
          <w:b w:val="0"/>
          <w:lang w:val="sr-Cyrl-RS"/>
        </w:rPr>
        <w:instrText xml:space="preserve"> SEQ таб. \* ARABIC </w:instrText>
      </w:r>
      <w:r w:rsidR="00DE64B5" w:rsidRPr="00CF77C1">
        <w:rPr>
          <w:b w:val="0"/>
          <w:lang w:val="sr-Cyrl-RS"/>
        </w:rPr>
        <w:fldChar w:fldCharType="separate"/>
      </w:r>
      <w:r w:rsidR="002D5918">
        <w:rPr>
          <w:b w:val="0"/>
          <w:noProof/>
          <w:lang w:val="sr-Cyrl-RS"/>
        </w:rPr>
        <w:t>52</w:t>
      </w:r>
      <w:r w:rsidR="00DE64B5" w:rsidRPr="00CF77C1">
        <w:rPr>
          <w:b w:val="0"/>
          <w:noProof/>
          <w:lang w:val="sr-Cyrl-RS"/>
        </w:rPr>
        <w:fldChar w:fldCharType="end"/>
      </w:r>
      <w:r w:rsidRPr="00CF77C1">
        <w:rPr>
          <w:b w:val="0"/>
          <w:lang w:val="sr-Cyrl-RS"/>
        </w:rPr>
        <w:t>: Динамика реализације активн</w:t>
      </w:r>
      <w:r w:rsidR="00FC6F6F">
        <w:rPr>
          <w:b w:val="0"/>
          <w:lang w:val="sr-Cyrl-RS"/>
        </w:rPr>
        <w:t>ости у периоду реализације ПОС</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53"/>
        <w:gridCol w:w="2693"/>
        <w:gridCol w:w="951"/>
        <w:gridCol w:w="952"/>
        <w:gridCol w:w="952"/>
        <w:gridCol w:w="952"/>
        <w:gridCol w:w="952"/>
        <w:gridCol w:w="952"/>
        <w:gridCol w:w="952"/>
      </w:tblGrid>
      <w:tr w:rsidR="009066EB" w:rsidRPr="00CF77C1" w14:paraId="4C5EE6CD" w14:textId="77777777" w:rsidTr="003C278C">
        <w:trPr>
          <w:tblHeader/>
        </w:trPr>
        <w:tc>
          <w:tcPr>
            <w:tcW w:w="5353" w:type="dxa"/>
            <w:vAlign w:val="center"/>
          </w:tcPr>
          <w:p w14:paraId="6A5C07E1" w14:textId="77777777" w:rsidR="009066EB" w:rsidRPr="00CF77C1" w:rsidRDefault="009066EB" w:rsidP="003C278C">
            <w:pPr>
              <w:framePr w:hSpace="181" w:wrap="notBeside" w:vAnchor="text" w:hAnchor="text" w:y="1"/>
              <w:jc w:val="center"/>
              <w:rPr>
                <w:lang w:val="sr-Cyrl-RS"/>
              </w:rPr>
            </w:pPr>
            <w:r w:rsidRPr="00CF77C1">
              <w:rPr>
                <w:lang w:val="sr-Cyrl-RS"/>
              </w:rPr>
              <w:t>Пројекат:</w:t>
            </w:r>
          </w:p>
          <w:p w14:paraId="67A7444A" w14:textId="77777777" w:rsidR="009066EB" w:rsidRPr="00CF77C1" w:rsidRDefault="009066EB" w:rsidP="003C278C">
            <w:pPr>
              <w:framePr w:hSpace="181" w:wrap="notBeside" w:vAnchor="text" w:hAnchor="text" w:y="1"/>
              <w:jc w:val="center"/>
              <w:rPr>
                <w:lang w:val="sr-Cyrl-RS"/>
              </w:rPr>
            </w:pPr>
            <w:r w:rsidRPr="00CF77C1">
              <w:rPr>
                <w:lang w:val="sr-Cyrl-RS"/>
              </w:rPr>
              <w:t>„Дубока прерада”</w:t>
            </w:r>
          </w:p>
        </w:tc>
        <w:tc>
          <w:tcPr>
            <w:tcW w:w="2693" w:type="dxa"/>
            <w:vAlign w:val="center"/>
          </w:tcPr>
          <w:p w14:paraId="16F3A6E6" w14:textId="77777777" w:rsidR="009066EB" w:rsidRPr="00CF77C1" w:rsidRDefault="009066EB" w:rsidP="003C278C">
            <w:pPr>
              <w:framePr w:hSpace="181" w:wrap="notBeside" w:vAnchor="text" w:hAnchor="text" w:y="1"/>
              <w:jc w:val="center"/>
              <w:rPr>
                <w:lang w:val="sr-Cyrl-RS"/>
              </w:rPr>
            </w:pPr>
            <w:r w:rsidRPr="00CF77C1">
              <w:rPr>
                <w:lang w:val="sr-Cyrl-RS"/>
              </w:rPr>
              <w:t>Одговорна субјекат</w:t>
            </w:r>
          </w:p>
        </w:tc>
        <w:tc>
          <w:tcPr>
            <w:tcW w:w="951" w:type="dxa"/>
            <w:vAlign w:val="center"/>
          </w:tcPr>
          <w:p w14:paraId="1C567B22" w14:textId="77777777" w:rsidR="009066EB" w:rsidRPr="00CF77C1" w:rsidRDefault="009066EB" w:rsidP="003C278C">
            <w:pPr>
              <w:framePr w:hSpace="181" w:wrap="notBeside" w:vAnchor="text" w:hAnchor="text" w:y="1"/>
              <w:jc w:val="center"/>
              <w:rPr>
                <w:lang w:val="sr-Cyrl-RS"/>
              </w:rPr>
            </w:pPr>
            <w:r w:rsidRPr="00CF77C1">
              <w:rPr>
                <w:lang w:val="sr-Cyrl-RS"/>
              </w:rPr>
              <w:t>2017.</w:t>
            </w:r>
          </w:p>
        </w:tc>
        <w:tc>
          <w:tcPr>
            <w:tcW w:w="952" w:type="dxa"/>
            <w:vAlign w:val="center"/>
          </w:tcPr>
          <w:p w14:paraId="3CBE75F5" w14:textId="77777777" w:rsidR="009066EB" w:rsidRPr="00CF77C1" w:rsidRDefault="009066EB" w:rsidP="003C278C">
            <w:pPr>
              <w:framePr w:hSpace="181" w:wrap="notBeside" w:vAnchor="text" w:hAnchor="text" w:y="1"/>
              <w:jc w:val="center"/>
              <w:rPr>
                <w:lang w:val="sr-Cyrl-RS"/>
              </w:rPr>
            </w:pPr>
            <w:r w:rsidRPr="00CF77C1">
              <w:rPr>
                <w:lang w:val="sr-Cyrl-RS"/>
              </w:rPr>
              <w:t>2018.</w:t>
            </w:r>
          </w:p>
        </w:tc>
        <w:tc>
          <w:tcPr>
            <w:tcW w:w="952" w:type="dxa"/>
            <w:vAlign w:val="center"/>
          </w:tcPr>
          <w:p w14:paraId="71C01117" w14:textId="77777777" w:rsidR="009066EB" w:rsidRPr="00CF77C1" w:rsidRDefault="009066EB" w:rsidP="003C278C">
            <w:pPr>
              <w:framePr w:hSpace="181" w:wrap="notBeside" w:vAnchor="text" w:hAnchor="text" w:y="1"/>
              <w:jc w:val="center"/>
              <w:rPr>
                <w:lang w:val="sr-Cyrl-RS"/>
              </w:rPr>
            </w:pPr>
            <w:r w:rsidRPr="00CF77C1">
              <w:rPr>
                <w:lang w:val="sr-Cyrl-RS"/>
              </w:rPr>
              <w:t>2019.</w:t>
            </w:r>
          </w:p>
        </w:tc>
        <w:tc>
          <w:tcPr>
            <w:tcW w:w="952" w:type="dxa"/>
            <w:vAlign w:val="center"/>
          </w:tcPr>
          <w:p w14:paraId="705C9E6E" w14:textId="77777777" w:rsidR="009066EB" w:rsidRPr="00CF77C1" w:rsidRDefault="009066EB" w:rsidP="003C278C">
            <w:pPr>
              <w:framePr w:hSpace="181" w:wrap="notBeside" w:vAnchor="text" w:hAnchor="text" w:y="1"/>
              <w:jc w:val="center"/>
              <w:rPr>
                <w:lang w:val="sr-Cyrl-RS"/>
              </w:rPr>
            </w:pPr>
            <w:r w:rsidRPr="00CF77C1">
              <w:rPr>
                <w:lang w:val="sr-Cyrl-RS"/>
              </w:rPr>
              <w:t>2020.</w:t>
            </w:r>
          </w:p>
        </w:tc>
        <w:tc>
          <w:tcPr>
            <w:tcW w:w="952" w:type="dxa"/>
            <w:vAlign w:val="center"/>
          </w:tcPr>
          <w:p w14:paraId="2C36E490" w14:textId="77777777" w:rsidR="009066EB" w:rsidRPr="00CF77C1" w:rsidRDefault="009066EB" w:rsidP="003C278C">
            <w:pPr>
              <w:framePr w:hSpace="181" w:wrap="notBeside" w:vAnchor="text" w:hAnchor="text" w:y="1"/>
              <w:jc w:val="center"/>
              <w:rPr>
                <w:lang w:val="sr-Cyrl-RS"/>
              </w:rPr>
            </w:pPr>
            <w:r w:rsidRPr="00CF77C1">
              <w:rPr>
                <w:lang w:val="sr-Cyrl-RS"/>
              </w:rPr>
              <w:t>2021.</w:t>
            </w:r>
          </w:p>
        </w:tc>
        <w:tc>
          <w:tcPr>
            <w:tcW w:w="952" w:type="dxa"/>
            <w:vAlign w:val="center"/>
          </w:tcPr>
          <w:p w14:paraId="50EB32DE" w14:textId="77777777" w:rsidR="009066EB" w:rsidRPr="00CF77C1" w:rsidRDefault="009066EB" w:rsidP="003C278C">
            <w:pPr>
              <w:framePr w:hSpace="181" w:wrap="notBeside" w:vAnchor="text" w:hAnchor="text" w:y="1"/>
              <w:jc w:val="center"/>
              <w:rPr>
                <w:lang w:val="sr-Cyrl-RS"/>
              </w:rPr>
            </w:pPr>
            <w:r w:rsidRPr="00CF77C1">
              <w:rPr>
                <w:lang w:val="sr-Cyrl-RS"/>
              </w:rPr>
              <w:t>2022.</w:t>
            </w:r>
          </w:p>
        </w:tc>
        <w:tc>
          <w:tcPr>
            <w:tcW w:w="952" w:type="dxa"/>
            <w:vAlign w:val="center"/>
          </w:tcPr>
          <w:p w14:paraId="6A0B3E38" w14:textId="77777777" w:rsidR="009066EB" w:rsidRPr="00CF77C1" w:rsidRDefault="009066EB" w:rsidP="003C278C">
            <w:pPr>
              <w:framePr w:hSpace="181" w:wrap="notBeside" w:vAnchor="text" w:hAnchor="text" w:y="1"/>
              <w:jc w:val="center"/>
              <w:rPr>
                <w:lang w:val="sr-Cyrl-RS"/>
              </w:rPr>
            </w:pPr>
            <w:r w:rsidRPr="00CF77C1">
              <w:rPr>
                <w:lang w:val="sr-Cyrl-RS"/>
              </w:rPr>
              <w:t>2023.</w:t>
            </w:r>
          </w:p>
        </w:tc>
      </w:tr>
      <w:tr w:rsidR="009066EB" w:rsidRPr="00CF77C1" w14:paraId="42626C9E" w14:textId="77777777" w:rsidTr="003C278C">
        <w:tc>
          <w:tcPr>
            <w:tcW w:w="5353" w:type="dxa"/>
            <w:vAlign w:val="center"/>
          </w:tcPr>
          <w:p w14:paraId="6FC914FF" w14:textId="77777777" w:rsidR="009066EB" w:rsidRPr="00CF77C1" w:rsidRDefault="009066EB" w:rsidP="003C278C">
            <w:pPr>
              <w:framePr w:hSpace="181" w:wrap="notBeside" w:vAnchor="text" w:hAnchor="text" w:y="1"/>
              <w:jc w:val="left"/>
              <w:rPr>
                <w:lang w:val="sr-Cyrl-RS"/>
              </w:rPr>
            </w:pPr>
            <w:r w:rsidRPr="00CF77C1">
              <w:rPr>
                <w:lang w:val="sr-Cyrl-RS"/>
              </w:rPr>
              <w:t xml:space="preserve">Изградња DCU и пратећих постројења </w:t>
            </w:r>
          </w:p>
        </w:tc>
        <w:tc>
          <w:tcPr>
            <w:tcW w:w="2693" w:type="dxa"/>
            <w:vMerge w:val="restart"/>
            <w:vAlign w:val="center"/>
          </w:tcPr>
          <w:p w14:paraId="10376244" w14:textId="77777777" w:rsidR="009066EB" w:rsidRPr="00CF77C1" w:rsidRDefault="009066EB" w:rsidP="003C278C">
            <w:pPr>
              <w:framePr w:hSpace="181" w:wrap="notBeside" w:vAnchor="text" w:hAnchor="text" w:y="1"/>
              <w:spacing w:before="20" w:after="20"/>
              <w:jc w:val="left"/>
              <w:rPr>
                <w:lang w:val="sr-Cyrl-RS"/>
              </w:rPr>
            </w:pPr>
            <w:r w:rsidRPr="00CF77C1">
              <w:rPr>
                <w:lang w:val="sr-Cyrl-RS"/>
              </w:rPr>
              <w:t>НИС а.д.</w:t>
            </w:r>
          </w:p>
        </w:tc>
        <w:tc>
          <w:tcPr>
            <w:tcW w:w="951" w:type="dxa"/>
            <w:vAlign w:val="center"/>
          </w:tcPr>
          <w:p w14:paraId="37C18646" w14:textId="77777777" w:rsidR="009066EB" w:rsidRPr="00CF77C1" w:rsidRDefault="009066EB" w:rsidP="003C278C">
            <w:pPr>
              <w:framePr w:hSpace="181" w:wrap="notBeside" w:vAnchor="text" w:hAnchor="text" w:y="1"/>
              <w:jc w:val="center"/>
              <w:rPr>
                <w:lang w:val="sr-Cyrl-RS"/>
              </w:rPr>
            </w:pPr>
            <w:r w:rsidRPr="00CF77C1">
              <w:rPr>
                <w:lang w:val="sr-Cyrl-RS"/>
              </w:rPr>
              <w:t>х</w:t>
            </w:r>
          </w:p>
        </w:tc>
        <w:tc>
          <w:tcPr>
            <w:tcW w:w="952" w:type="dxa"/>
            <w:vAlign w:val="center"/>
          </w:tcPr>
          <w:p w14:paraId="1648EE6B" w14:textId="77777777" w:rsidR="009066EB" w:rsidRPr="00CF77C1" w:rsidRDefault="009066EB" w:rsidP="003C278C">
            <w:pPr>
              <w:framePr w:hSpace="181" w:wrap="notBeside" w:vAnchor="text" w:hAnchor="text" w:y="1"/>
              <w:jc w:val="center"/>
              <w:rPr>
                <w:lang w:val="sr-Cyrl-RS"/>
              </w:rPr>
            </w:pPr>
          </w:p>
        </w:tc>
        <w:tc>
          <w:tcPr>
            <w:tcW w:w="952" w:type="dxa"/>
            <w:vAlign w:val="center"/>
          </w:tcPr>
          <w:p w14:paraId="06EF4130" w14:textId="77777777" w:rsidR="009066EB" w:rsidRPr="00CF77C1" w:rsidRDefault="009066EB" w:rsidP="003C278C">
            <w:pPr>
              <w:framePr w:hSpace="181" w:wrap="notBeside" w:vAnchor="text" w:hAnchor="text" w:y="1"/>
              <w:spacing w:before="20" w:after="20"/>
              <w:jc w:val="center"/>
              <w:rPr>
                <w:lang w:val="sr-Cyrl-RS"/>
              </w:rPr>
            </w:pPr>
          </w:p>
        </w:tc>
        <w:tc>
          <w:tcPr>
            <w:tcW w:w="952" w:type="dxa"/>
            <w:vAlign w:val="center"/>
          </w:tcPr>
          <w:p w14:paraId="23A47866" w14:textId="77777777" w:rsidR="009066EB" w:rsidRPr="00CF77C1" w:rsidRDefault="009066EB" w:rsidP="003C278C">
            <w:pPr>
              <w:framePr w:hSpace="181" w:wrap="notBeside" w:vAnchor="text" w:hAnchor="text" w:y="1"/>
              <w:spacing w:before="20" w:after="20"/>
              <w:jc w:val="center"/>
              <w:rPr>
                <w:lang w:val="sr-Cyrl-RS"/>
              </w:rPr>
            </w:pPr>
          </w:p>
        </w:tc>
        <w:tc>
          <w:tcPr>
            <w:tcW w:w="952" w:type="dxa"/>
            <w:vAlign w:val="center"/>
          </w:tcPr>
          <w:p w14:paraId="77ABB01A" w14:textId="77777777" w:rsidR="009066EB" w:rsidRPr="00CF77C1" w:rsidRDefault="009066EB" w:rsidP="003C278C">
            <w:pPr>
              <w:framePr w:hSpace="181" w:wrap="notBeside" w:vAnchor="text" w:hAnchor="text" w:y="1"/>
              <w:spacing w:before="20" w:after="20"/>
              <w:jc w:val="center"/>
              <w:rPr>
                <w:lang w:val="sr-Cyrl-RS"/>
              </w:rPr>
            </w:pPr>
          </w:p>
        </w:tc>
        <w:tc>
          <w:tcPr>
            <w:tcW w:w="952" w:type="dxa"/>
            <w:vAlign w:val="center"/>
          </w:tcPr>
          <w:p w14:paraId="108FC77D" w14:textId="77777777" w:rsidR="009066EB" w:rsidRPr="00CF77C1" w:rsidRDefault="009066EB" w:rsidP="003C278C">
            <w:pPr>
              <w:framePr w:hSpace="181" w:wrap="notBeside" w:vAnchor="text" w:hAnchor="text" w:y="1"/>
              <w:spacing w:before="20" w:after="20"/>
              <w:jc w:val="center"/>
              <w:rPr>
                <w:lang w:val="sr-Cyrl-RS"/>
              </w:rPr>
            </w:pPr>
          </w:p>
        </w:tc>
        <w:tc>
          <w:tcPr>
            <w:tcW w:w="952" w:type="dxa"/>
            <w:vAlign w:val="center"/>
          </w:tcPr>
          <w:p w14:paraId="76E4CB91" w14:textId="77777777" w:rsidR="009066EB" w:rsidRPr="00CF77C1" w:rsidRDefault="009066EB" w:rsidP="003C278C">
            <w:pPr>
              <w:framePr w:hSpace="181" w:wrap="notBeside" w:vAnchor="text" w:hAnchor="text" w:y="1"/>
              <w:spacing w:before="20" w:after="20"/>
              <w:jc w:val="center"/>
              <w:rPr>
                <w:lang w:val="sr-Cyrl-RS"/>
              </w:rPr>
            </w:pPr>
          </w:p>
        </w:tc>
      </w:tr>
      <w:tr w:rsidR="009066EB" w:rsidRPr="00CF77C1" w14:paraId="7286E9FC" w14:textId="77777777" w:rsidTr="003C278C">
        <w:tc>
          <w:tcPr>
            <w:tcW w:w="5353" w:type="dxa"/>
            <w:vAlign w:val="center"/>
          </w:tcPr>
          <w:p w14:paraId="54EDB573" w14:textId="77777777" w:rsidR="009066EB" w:rsidRPr="00CF77C1" w:rsidRDefault="009066EB" w:rsidP="003C278C">
            <w:pPr>
              <w:framePr w:hSpace="181" w:wrap="notBeside" w:vAnchor="text" w:hAnchor="text" w:y="1"/>
              <w:jc w:val="left"/>
              <w:rPr>
                <w:lang w:val="sr-Cyrl-RS"/>
              </w:rPr>
            </w:pPr>
            <w:r w:rsidRPr="00CF77C1">
              <w:rPr>
                <w:lang w:val="sr-Cyrl-RS"/>
              </w:rPr>
              <w:t>Модернизација и реконструкција постојећих постројења због промене режима рада рафинерије</w:t>
            </w:r>
          </w:p>
        </w:tc>
        <w:tc>
          <w:tcPr>
            <w:tcW w:w="2693" w:type="dxa"/>
            <w:vMerge/>
          </w:tcPr>
          <w:p w14:paraId="3E56E4A1" w14:textId="77777777" w:rsidR="009066EB" w:rsidRPr="00CF77C1" w:rsidRDefault="009066EB" w:rsidP="003C278C">
            <w:pPr>
              <w:framePr w:hSpace="181" w:wrap="notBeside" w:vAnchor="text" w:hAnchor="text" w:y="1"/>
              <w:spacing w:before="20" w:after="20"/>
              <w:rPr>
                <w:lang w:val="sr-Cyrl-RS"/>
              </w:rPr>
            </w:pPr>
          </w:p>
        </w:tc>
        <w:tc>
          <w:tcPr>
            <w:tcW w:w="951" w:type="dxa"/>
            <w:vAlign w:val="center"/>
          </w:tcPr>
          <w:p w14:paraId="268DC4E3" w14:textId="77777777" w:rsidR="009066EB" w:rsidRPr="00CF77C1" w:rsidRDefault="009066EB" w:rsidP="003C278C">
            <w:pPr>
              <w:framePr w:hSpace="181" w:wrap="notBeside" w:vAnchor="text" w:hAnchor="text" w:y="1"/>
              <w:jc w:val="center"/>
              <w:rPr>
                <w:lang w:val="sr-Cyrl-RS"/>
              </w:rPr>
            </w:pPr>
          </w:p>
        </w:tc>
        <w:tc>
          <w:tcPr>
            <w:tcW w:w="952" w:type="dxa"/>
            <w:vAlign w:val="center"/>
          </w:tcPr>
          <w:p w14:paraId="27C70E7C" w14:textId="77777777" w:rsidR="009066EB" w:rsidRPr="00CF77C1" w:rsidRDefault="009066EB" w:rsidP="003C278C">
            <w:pPr>
              <w:framePr w:hSpace="181" w:wrap="notBeside" w:vAnchor="text" w:hAnchor="text" w:y="1"/>
              <w:jc w:val="center"/>
              <w:rPr>
                <w:lang w:val="sr-Cyrl-RS"/>
              </w:rPr>
            </w:pPr>
            <w:r w:rsidRPr="00CF77C1">
              <w:rPr>
                <w:lang w:val="sr-Cyrl-RS"/>
              </w:rPr>
              <w:t>х</w:t>
            </w:r>
          </w:p>
        </w:tc>
        <w:tc>
          <w:tcPr>
            <w:tcW w:w="952" w:type="dxa"/>
            <w:vAlign w:val="center"/>
          </w:tcPr>
          <w:p w14:paraId="1A83729B" w14:textId="77777777" w:rsidR="009066EB" w:rsidRPr="00CF77C1" w:rsidRDefault="009066EB" w:rsidP="003C278C">
            <w:pPr>
              <w:framePr w:hSpace="181" w:wrap="notBeside" w:vAnchor="text" w:hAnchor="text" w:y="1"/>
              <w:spacing w:before="20" w:after="20"/>
              <w:jc w:val="center"/>
              <w:rPr>
                <w:lang w:val="sr-Cyrl-RS"/>
              </w:rPr>
            </w:pPr>
            <w:r w:rsidRPr="00CF77C1">
              <w:rPr>
                <w:lang w:val="sr-Cyrl-RS"/>
              </w:rPr>
              <w:t>х</w:t>
            </w:r>
          </w:p>
        </w:tc>
        <w:tc>
          <w:tcPr>
            <w:tcW w:w="952" w:type="dxa"/>
            <w:vAlign w:val="center"/>
          </w:tcPr>
          <w:p w14:paraId="3FD069B1" w14:textId="77777777" w:rsidR="009066EB" w:rsidRPr="00CF77C1" w:rsidRDefault="009066EB" w:rsidP="003C278C">
            <w:pPr>
              <w:framePr w:hSpace="181" w:wrap="notBeside" w:vAnchor="text" w:hAnchor="text" w:y="1"/>
              <w:spacing w:before="20" w:after="20"/>
              <w:jc w:val="center"/>
              <w:rPr>
                <w:lang w:val="sr-Cyrl-RS"/>
              </w:rPr>
            </w:pPr>
          </w:p>
        </w:tc>
        <w:tc>
          <w:tcPr>
            <w:tcW w:w="952" w:type="dxa"/>
            <w:vAlign w:val="center"/>
          </w:tcPr>
          <w:p w14:paraId="39738CC9" w14:textId="77777777" w:rsidR="009066EB" w:rsidRPr="00CF77C1" w:rsidRDefault="009066EB" w:rsidP="003C278C">
            <w:pPr>
              <w:framePr w:hSpace="181" w:wrap="notBeside" w:vAnchor="text" w:hAnchor="text" w:y="1"/>
              <w:spacing w:before="20" w:after="20"/>
              <w:jc w:val="center"/>
              <w:rPr>
                <w:lang w:val="sr-Cyrl-RS"/>
              </w:rPr>
            </w:pPr>
          </w:p>
        </w:tc>
        <w:tc>
          <w:tcPr>
            <w:tcW w:w="952" w:type="dxa"/>
            <w:vAlign w:val="center"/>
          </w:tcPr>
          <w:p w14:paraId="20ECBA90" w14:textId="77777777" w:rsidR="009066EB" w:rsidRPr="00CF77C1" w:rsidRDefault="009066EB" w:rsidP="003C278C">
            <w:pPr>
              <w:framePr w:hSpace="181" w:wrap="notBeside" w:vAnchor="text" w:hAnchor="text" w:y="1"/>
              <w:spacing w:before="20" w:after="20"/>
              <w:jc w:val="center"/>
              <w:rPr>
                <w:lang w:val="sr-Cyrl-RS"/>
              </w:rPr>
            </w:pPr>
          </w:p>
        </w:tc>
        <w:tc>
          <w:tcPr>
            <w:tcW w:w="952" w:type="dxa"/>
            <w:vAlign w:val="center"/>
          </w:tcPr>
          <w:p w14:paraId="34BDDAFD" w14:textId="77777777" w:rsidR="009066EB" w:rsidRPr="00CF77C1" w:rsidRDefault="009066EB" w:rsidP="003C278C">
            <w:pPr>
              <w:framePr w:hSpace="181" w:wrap="notBeside" w:vAnchor="text" w:hAnchor="text" w:y="1"/>
              <w:spacing w:before="20" w:after="20"/>
              <w:jc w:val="center"/>
              <w:rPr>
                <w:lang w:val="sr-Cyrl-RS"/>
              </w:rPr>
            </w:pPr>
          </w:p>
        </w:tc>
      </w:tr>
      <w:tr w:rsidR="009066EB" w:rsidRPr="00CF77C1" w14:paraId="2922A66C" w14:textId="77777777" w:rsidTr="003C278C">
        <w:tc>
          <w:tcPr>
            <w:tcW w:w="5353" w:type="dxa"/>
            <w:vAlign w:val="center"/>
          </w:tcPr>
          <w:p w14:paraId="3CCB4CBA" w14:textId="77777777" w:rsidR="009066EB" w:rsidRPr="00CF77C1" w:rsidRDefault="009066EB" w:rsidP="003C278C">
            <w:pPr>
              <w:framePr w:hSpace="181" w:wrap="notBeside" w:vAnchor="text" w:hAnchor="text" w:y="1"/>
              <w:jc w:val="left"/>
              <w:rPr>
                <w:lang w:val="sr-Cyrl-RS"/>
              </w:rPr>
            </w:pPr>
            <w:r w:rsidRPr="00CF77C1">
              <w:rPr>
                <w:lang w:val="sr-Cyrl-RS"/>
              </w:rPr>
              <w:t>Tестирање нових могућности прераде</w:t>
            </w:r>
          </w:p>
        </w:tc>
        <w:tc>
          <w:tcPr>
            <w:tcW w:w="2693" w:type="dxa"/>
            <w:vMerge/>
          </w:tcPr>
          <w:p w14:paraId="5E4B4FDD" w14:textId="77777777" w:rsidR="009066EB" w:rsidRPr="00CF77C1" w:rsidRDefault="009066EB" w:rsidP="003C278C">
            <w:pPr>
              <w:keepNext/>
              <w:keepLines/>
              <w:framePr w:hSpace="181" w:wrap="notBeside" w:vAnchor="text" w:hAnchor="text" w:y="1"/>
              <w:spacing w:before="20" w:after="20"/>
              <w:rPr>
                <w:lang w:val="sr-Cyrl-RS"/>
              </w:rPr>
            </w:pPr>
          </w:p>
        </w:tc>
        <w:tc>
          <w:tcPr>
            <w:tcW w:w="951" w:type="dxa"/>
            <w:vAlign w:val="center"/>
          </w:tcPr>
          <w:p w14:paraId="0A43B864" w14:textId="77777777" w:rsidR="009066EB" w:rsidRPr="00CF77C1" w:rsidRDefault="009066EB" w:rsidP="003C278C">
            <w:pPr>
              <w:framePr w:hSpace="181" w:wrap="notBeside" w:vAnchor="text" w:hAnchor="text" w:y="1"/>
              <w:jc w:val="center"/>
              <w:rPr>
                <w:lang w:val="sr-Cyrl-RS"/>
              </w:rPr>
            </w:pPr>
          </w:p>
        </w:tc>
        <w:tc>
          <w:tcPr>
            <w:tcW w:w="952" w:type="dxa"/>
            <w:vAlign w:val="center"/>
          </w:tcPr>
          <w:p w14:paraId="63058568" w14:textId="77777777" w:rsidR="009066EB" w:rsidRPr="00CF77C1" w:rsidRDefault="009066EB" w:rsidP="003C278C">
            <w:pPr>
              <w:framePr w:hSpace="181" w:wrap="notBeside" w:vAnchor="text" w:hAnchor="text" w:y="1"/>
              <w:jc w:val="center"/>
              <w:rPr>
                <w:strike/>
                <w:lang w:val="sr-Cyrl-RS"/>
              </w:rPr>
            </w:pPr>
          </w:p>
        </w:tc>
        <w:tc>
          <w:tcPr>
            <w:tcW w:w="952" w:type="dxa"/>
            <w:vAlign w:val="center"/>
          </w:tcPr>
          <w:p w14:paraId="65DBBFA5" w14:textId="77777777" w:rsidR="009066EB" w:rsidRPr="00CF77C1" w:rsidRDefault="009066EB" w:rsidP="003C278C">
            <w:pPr>
              <w:keepNext/>
              <w:keepLines/>
              <w:framePr w:hSpace="181" w:wrap="notBeside" w:vAnchor="text" w:hAnchor="text" w:y="1"/>
              <w:spacing w:before="20" w:after="20"/>
              <w:jc w:val="center"/>
              <w:rPr>
                <w:lang w:val="sr-Cyrl-RS"/>
              </w:rPr>
            </w:pPr>
            <w:r w:rsidRPr="00CF77C1">
              <w:rPr>
                <w:lang w:val="sr-Cyrl-RS"/>
              </w:rPr>
              <w:t>x</w:t>
            </w:r>
          </w:p>
        </w:tc>
        <w:tc>
          <w:tcPr>
            <w:tcW w:w="952" w:type="dxa"/>
            <w:vAlign w:val="center"/>
          </w:tcPr>
          <w:p w14:paraId="3A54071E" w14:textId="77777777" w:rsidR="009066EB" w:rsidRPr="00CF77C1" w:rsidRDefault="009066EB" w:rsidP="003C278C">
            <w:pPr>
              <w:keepNext/>
              <w:keepLines/>
              <w:framePr w:hSpace="181" w:wrap="notBeside" w:vAnchor="text" w:hAnchor="text" w:y="1"/>
              <w:spacing w:before="20" w:after="20"/>
              <w:jc w:val="center"/>
              <w:rPr>
                <w:lang w:val="sr-Cyrl-RS"/>
              </w:rPr>
            </w:pPr>
          </w:p>
        </w:tc>
        <w:tc>
          <w:tcPr>
            <w:tcW w:w="952" w:type="dxa"/>
            <w:vAlign w:val="center"/>
          </w:tcPr>
          <w:p w14:paraId="44A1CC23" w14:textId="77777777" w:rsidR="009066EB" w:rsidRPr="00CF77C1" w:rsidRDefault="009066EB" w:rsidP="003C278C">
            <w:pPr>
              <w:keepNext/>
              <w:keepLines/>
              <w:framePr w:hSpace="181" w:wrap="notBeside" w:vAnchor="text" w:hAnchor="text" w:y="1"/>
              <w:spacing w:before="20" w:after="20"/>
              <w:jc w:val="center"/>
              <w:rPr>
                <w:lang w:val="sr-Cyrl-RS"/>
              </w:rPr>
            </w:pPr>
          </w:p>
        </w:tc>
        <w:tc>
          <w:tcPr>
            <w:tcW w:w="952" w:type="dxa"/>
            <w:vAlign w:val="center"/>
          </w:tcPr>
          <w:p w14:paraId="0E212413" w14:textId="77777777" w:rsidR="009066EB" w:rsidRPr="00CF77C1" w:rsidRDefault="009066EB" w:rsidP="003C278C">
            <w:pPr>
              <w:keepNext/>
              <w:keepLines/>
              <w:framePr w:hSpace="181" w:wrap="notBeside" w:vAnchor="text" w:hAnchor="text" w:y="1"/>
              <w:spacing w:before="20" w:after="20"/>
              <w:jc w:val="center"/>
              <w:rPr>
                <w:lang w:val="sr-Cyrl-RS"/>
              </w:rPr>
            </w:pPr>
          </w:p>
        </w:tc>
        <w:tc>
          <w:tcPr>
            <w:tcW w:w="952" w:type="dxa"/>
            <w:vAlign w:val="center"/>
          </w:tcPr>
          <w:p w14:paraId="287199B6" w14:textId="77777777" w:rsidR="009066EB" w:rsidRPr="00CF77C1" w:rsidRDefault="009066EB" w:rsidP="003C278C">
            <w:pPr>
              <w:keepNext/>
              <w:keepLines/>
              <w:framePr w:hSpace="181" w:wrap="notBeside" w:vAnchor="text" w:hAnchor="text" w:y="1"/>
              <w:spacing w:before="20" w:after="20"/>
              <w:jc w:val="center"/>
              <w:rPr>
                <w:lang w:val="sr-Cyrl-RS"/>
              </w:rPr>
            </w:pPr>
          </w:p>
        </w:tc>
      </w:tr>
    </w:tbl>
    <w:p w14:paraId="315745C4" w14:textId="77777777" w:rsidR="009066EB" w:rsidRPr="00CF77C1" w:rsidRDefault="009066EB" w:rsidP="009066EB">
      <w:pPr>
        <w:rPr>
          <w:lang w:val="sr-Cyrl-RS"/>
        </w:rPr>
      </w:pPr>
    </w:p>
    <w:p w14:paraId="7C1C4372" w14:textId="77777777" w:rsidR="009066EB" w:rsidRPr="00CF77C1" w:rsidRDefault="009066EB" w:rsidP="009066EB">
      <w:pPr>
        <w:rPr>
          <w:lang w:val="sr-Cyrl-RS"/>
        </w:rPr>
        <w:sectPr w:rsidR="009066EB" w:rsidRPr="00CF77C1" w:rsidSect="003F3DB8">
          <w:headerReference w:type="default" r:id="rId79"/>
          <w:footerReference w:type="even" r:id="rId80"/>
          <w:footerReference w:type="default" r:id="rId81"/>
          <w:pgSz w:w="16839" w:h="11907" w:orient="landscape" w:code="9"/>
          <w:pgMar w:top="1418" w:right="1134" w:bottom="1134" w:left="1134" w:header="1004" w:footer="720" w:gutter="0"/>
          <w:cols w:space="720"/>
          <w:docGrid w:linePitch="360"/>
        </w:sectPr>
      </w:pPr>
    </w:p>
    <w:p w14:paraId="7DDE36FD" w14:textId="174DB472" w:rsidR="003F3DB8" w:rsidRPr="00CF77C1" w:rsidRDefault="001D1156" w:rsidP="001D1156">
      <w:pPr>
        <w:pStyle w:val="Heading4"/>
        <w:numPr>
          <w:ilvl w:val="0"/>
          <w:numId w:val="0"/>
        </w:numPr>
        <w:ind w:left="998" w:hanging="278"/>
        <w:rPr>
          <w:b w:val="0"/>
          <w:lang w:val="sr-Cyrl-RS"/>
        </w:rPr>
      </w:pPr>
      <w:bookmarkStart w:id="135" w:name="_Toc484260303"/>
      <w:r w:rsidRPr="00CF77C1">
        <w:rPr>
          <w:b w:val="0"/>
          <w:lang w:val="sr-Cyrl-RS"/>
        </w:rPr>
        <w:t xml:space="preserve">3.4.2.2. </w:t>
      </w:r>
      <w:r w:rsidR="003F3DB8" w:rsidRPr="00CF77C1">
        <w:rPr>
          <w:b w:val="0"/>
          <w:lang w:val="sr-Cyrl-RS"/>
        </w:rPr>
        <w:t>Пројекти у подобласти транспорта</w:t>
      </w:r>
      <w:bookmarkEnd w:id="132"/>
      <w:bookmarkEnd w:id="135"/>
      <w:r w:rsidRPr="00CF77C1">
        <w:rPr>
          <w:b w:val="0"/>
          <w:lang w:val="sr-Cyrl-RS"/>
        </w:rPr>
        <w:t xml:space="preserve"> </w:t>
      </w:r>
    </w:p>
    <w:p w14:paraId="50F08F74" w14:textId="1F213579" w:rsidR="003F3DB8" w:rsidRPr="00CF77C1" w:rsidRDefault="001D1156" w:rsidP="001D1156">
      <w:pPr>
        <w:pStyle w:val="ListParagraph"/>
        <w:keepNext/>
        <w:ind w:right="22"/>
        <w:contextualSpacing w:val="0"/>
        <w:rPr>
          <w:lang w:val="sr-Cyrl-RS"/>
        </w:rPr>
      </w:pPr>
      <w:bookmarkStart w:id="136" w:name="_Ref476806070"/>
      <w:r w:rsidRPr="00CF77C1">
        <w:rPr>
          <w:lang w:val="sr-Cyrl-RS"/>
        </w:rPr>
        <w:t xml:space="preserve">П. 19. </w:t>
      </w:r>
      <w:r w:rsidR="003F3DB8" w:rsidRPr="00CF77C1">
        <w:rPr>
          <w:lang w:val="sr-Cyrl-RS"/>
        </w:rPr>
        <w:t>Пројекат „Изградња Првог објекта система продуктовода</w:t>
      </w:r>
      <w:r w:rsidR="00AD5740" w:rsidRPr="00CF77C1">
        <w:rPr>
          <w:lang w:val="sr-Cyrl-RS"/>
        </w:rPr>
        <w:t>”</w:t>
      </w:r>
      <w:bookmarkEnd w:id="136"/>
    </w:p>
    <w:p w14:paraId="37BC459C" w14:textId="14F05854" w:rsidR="003F3DB8" w:rsidRPr="00CF77C1" w:rsidRDefault="003F3DB8" w:rsidP="00E209CF">
      <w:pPr>
        <w:ind w:firstLine="720"/>
        <w:rPr>
          <w:lang w:val="sr-Cyrl-RS"/>
        </w:rPr>
      </w:pPr>
      <w:r w:rsidRPr="00CF77C1">
        <w:rPr>
          <w:lang w:val="sr-Cyrl-RS"/>
        </w:rPr>
        <w:t xml:space="preserve">Циљ изградње система продуктовода кроз </w:t>
      </w:r>
      <w:r w:rsidR="00185B50" w:rsidRPr="00CF77C1">
        <w:rPr>
          <w:lang w:val="sr-Cyrl-RS"/>
        </w:rPr>
        <w:t xml:space="preserve">Републику </w:t>
      </w:r>
      <w:r w:rsidRPr="00CF77C1">
        <w:rPr>
          <w:lang w:val="sr-Cyrl-RS"/>
        </w:rPr>
        <w:t>Србију је обезбеђивање економичног, ефикасног и са аспекта заштите животне средине повољнијег начина транспорта нафтних деривата произведених у рафинерији нафте Панчево и представља пројекат од националног и стратешког интереса јер доприноси сигурности снабдевања.</w:t>
      </w:r>
    </w:p>
    <w:p w14:paraId="4CC73DCC" w14:textId="7B1F229C" w:rsidR="003F3DB8" w:rsidRPr="00CF77C1" w:rsidRDefault="003F3DB8" w:rsidP="00E209CF">
      <w:pPr>
        <w:ind w:firstLine="720"/>
        <w:rPr>
          <w:lang w:val="sr-Cyrl-RS"/>
        </w:rPr>
      </w:pPr>
      <w:r w:rsidRPr="00CF77C1">
        <w:rPr>
          <w:lang w:val="sr-Cyrl-RS"/>
        </w:rPr>
        <w:t>Са економске тачке гледишта транспорт продуктоводом је најефикаснији у смислу висине оперативних трошкова, губици при транспорту су минимални и у питању је транспорт „just-in-time</w:t>
      </w:r>
      <w:r w:rsidR="00AD5740" w:rsidRPr="00CF77C1">
        <w:rPr>
          <w:lang w:val="sr-Cyrl-RS"/>
        </w:rPr>
        <w:t>”</w:t>
      </w:r>
      <w:r w:rsidRPr="00CF77C1">
        <w:rPr>
          <w:lang w:val="sr-Cyrl-RS"/>
        </w:rPr>
        <w:t>, односно обезбеђује се велика прецизност и поузданост предвиђања времена транспорта.</w:t>
      </w:r>
    </w:p>
    <w:p w14:paraId="129AA9EE" w14:textId="349DCEA6" w:rsidR="00E46C90" w:rsidRPr="00CF77C1" w:rsidRDefault="003F3DB8" w:rsidP="00E209CF">
      <w:pPr>
        <w:ind w:firstLine="720"/>
        <w:rPr>
          <w:lang w:val="sr-Cyrl-RS"/>
        </w:rPr>
      </w:pPr>
      <w:r w:rsidRPr="00CF77C1">
        <w:rPr>
          <w:lang w:val="sr-Cyrl-RS"/>
        </w:rPr>
        <w:t>Са друштвено-економске тачке гледишта, транспорт продуктоводима може знатно да допринесе редукцији саобраћајних загушења, као и да смањи екстерне т</w:t>
      </w:r>
      <w:r w:rsidR="00FE6568">
        <w:rPr>
          <w:lang w:val="sr-Cyrl-RS"/>
        </w:rPr>
        <w:t>рошкове који се надокнађују из б</w:t>
      </w:r>
      <w:r w:rsidRPr="00CF77C1">
        <w:rPr>
          <w:lang w:val="sr-Cyrl-RS"/>
        </w:rPr>
        <w:t>уџета (бројни саобраћајни акциденти, загађењe животне средине, хабање и оштећење саобраћајница). Индиректна друштвена корист је и мања потрошња енергије при транспорту нафтних деривата продуктоводом у односу на друге видове транспорта.</w:t>
      </w:r>
    </w:p>
    <w:p w14:paraId="5275DBBD" w14:textId="77777777" w:rsidR="003F3DB8" w:rsidRPr="00CF77C1" w:rsidRDefault="003F3DB8" w:rsidP="00E209CF">
      <w:pPr>
        <w:ind w:firstLine="720"/>
        <w:rPr>
          <w:lang w:val="sr-Cyrl-RS"/>
        </w:rPr>
      </w:pPr>
      <w:r w:rsidRPr="00CF77C1">
        <w:rPr>
          <w:lang w:val="sr-Cyrl-RS"/>
        </w:rPr>
        <w:t>Са еколошко-безбедоносног аспекта, цевоводни транспорт је најбезбеднији вид транспорта нафтних деривата који има најмање негативних утицаја на животну средину (најмања емисија угљен-диоксида, азотних оксида и испарљивих органских једињења, нема буке) и најмање акцидената са смртним исходом или озбиљним повредама.</w:t>
      </w:r>
    </w:p>
    <w:p w14:paraId="0E7BB80E" w14:textId="77777777" w:rsidR="003F3DB8" w:rsidRPr="00CF77C1" w:rsidRDefault="003F3DB8" w:rsidP="00E209CF">
      <w:pPr>
        <w:ind w:firstLine="720"/>
        <w:rPr>
          <w:lang w:val="sr-Cyrl-RS"/>
        </w:rPr>
      </w:pPr>
      <w:r w:rsidRPr="00CF77C1">
        <w:rPr>
          <w:lang w:val="sr-Cyrl-RS"/>
        </w:rPr>
        <w:t>Друге предности продуктовода су велики транспортни капацитет, краће трасе с обзиром да се цевоводи полажу и у води, простор који заузимају је мали, а веома значајна је и могућност прекограничног регионалног повезивања, што је подржано Уговором о оснивању</w:t>
      </w:r>
      <w:r w:rsidR="00892212" w:rsidRPr="00CF77C1">
        <w:rPr>
          <w:lang w:val="sr-Cyrl-RS"/>
        </w:rPr>
        <w:t xml:space="preserve"> </w:t>
      </w:r>
      <w:r w:rsidRPr="00CF77C1">
        <w:rPr>
          <w:lang w:val="sr-Cyrl-RS"/>
        </w:rPr>
        <w:t>Енергетске заједнице земаља Југоисточне Европе.</w:t>
      </w:r>
    </w:p>
    <w:p w14:paraId="3BDD7BC6" w14:textId="77777777" w:rsidR="003F3DB8" w:rsidRPr="00CF77C1" w:rsidRDefault="003F3DB8" w:rsidP="0080044B">
      <w:pPr>
        <w:rPr>
          <w:lang w:val="sr-Cyrl-RS"/>
        </w:rPr>
      </w:pPr>
    </w:p>
    <w:p w14:paraId="3AE22F3A" w14:textId="77777777" w:rsidR="003F3DB8" w:rsidRPr="00CF77C1" w:rsidRDefault="003F3DB8" w:rsidP="0080044B">
      <w:pPr>
        <w:rPr>
          <w:lang w:val="sr-Cyrl-RS"/>
        </w:rPr>
        <w:sectPr w:rsidR="003F3DB8" w:rsidRPr="00CF77C1" w:rsidSect="00E209CF">
          <w:headerReference w:type="default" r:id="rId82"/>
          <w:footerReference w:type="default" r:id="rId83"/>
          <w:pgSz w:w="11907" w:h="16839" w:code="9"/>
          <w:pgMar w:top="1134" w:right="1287" w:bottom="1134" w:left="1418" w:header="720" w:footer="720" w:gutter="0"/>
          <w:cols w:space="720"/>
          <w:docGrid w:linePitch="360"/>
        </w:sectPr>
      </w:pPr>
    </w:p>
    <w:p w14:paraId="123A84D0" w14:textId="35DFA8CF" w:rsidR="003F3DB8" w:rsidRPr="00CF77C1" w:rsidRDefault="003F3DB8" w:rsidP="00E209CF">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53</w:t>
      </w:r>
      <w:r w:rsidR="0092145E" w:rsidRPr="00CF77C1">
        <w:rPr>
          <w:b w:val="0"/>
          <w:noProof/>
          <w:lang w:val="sr-Cyrl-RS"/>
        </w:rPr>
        <w:fldChar w:fldCharType="end"/>
      </w:r>
      <w:r w:rsidRPr="00CF77C1">
        <w:rPr>
          <w:b w:val="0"/>
          <w:lang w:val="sr-Cyrl-RS"/>
        </w:rPr>
        <w:t>: Основне карактеристике пројекта „Изградња Првог објекта система продуктовода</w:t>
      </w:r>
      <w:r w:rsidR="00AD5740" w:rsidRPr="00CF77C1">
        <w:rPr>
          <w:b w:val="0"/>
          <w:lang w:val="sr-Cyrl-RS"/>
        </w:rPr>
        <w:t>”</w:t>
      </w:r>
    </w:p>
    <w:tbl>
      <w:tblPr>
        <w:tblW w:w="14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8"/>
        <w:gridCol w:w="6327"/>
        <w:gridCol w:w="3260"/>
        <w:gridCol w:w="2708"/>
      </w:tblGrid>
      <w:tr w:rsidR="003F3DB8" w:rsidRPr="00CF77C1" w14:paraId="092693EE" w14:textId="77777777" w:rsidTr="003F3DB8">
        <w:tc>
          <w:tcPr>
            <w:tcW w:w="2428" w:type="dxa"/>
            <w:vAlign w:val="center"/>
          </w:tcPr>
          <w:p w14:paraId="6A05D0A3" w14:textId="77777777" w:rsidR="003F3DB8" w:rsidRPr="00CF77C1" w:rsidRDefault="003F3DB8" w:rsidP="0080044B">
            <w:pPr>
              <w:jc w:val="center"/>
              <w:rPr>
                <w:lang w:val="sr-Cyrl-RS"/>
              </w:rPr>
            </w:pPr>
            <w:r w:rsidRPr="00CF77C1">
              <w:rPr>
                <w:lang w:val="sr-Cyrl-RS"/>
              </w:rPr>
              <w:t>Техничке карактеристике</w:t>
            </w:r>
          </w:p>
        </w:tc>
        <w:tc>
          <w:tcPr>
            <w:tcW w:w="6327" w:type="dxa"/>
            <w:vAlign w:val="center"/>
          </w:tcPr>
          <w:p w14:paraId="7C21FC71" w14:textId="77777777" w:rsidR="003F3DB8" w:rsidRPr="00CF77C1" w:rsidRDefault="003F3DB8" w:rsidP="0080044B">
            <w:pPr>
              <w:jc w:val="center"/>
              <w:rPr>
                <w:lang w:val="sr-Cyrl-RS"/>
              </w:rPr>
            </w:pPr>
            <w:r w:rsidRPr="00CF77C1">
              <w:rPr>
                <w:lang w:val="sr-Cyrl-RS"/>
              </w:rPr>
              <w:t>Опис</w:t>
            </w:r>
          </w:p>
        </w:tc>
        <w:tc>
          <w:tcPr>
            <w:tcW w:w="3260" w:type="dxa"/>
            <w:vAlign w:val="center"/>
          </w:tcPr>
          <w:p w14:paraId="3EDE6539" w14:textId="77777777" w:rsidR="003F3DB8" w:rsidRPr="00CF77C1" w:rsidRDefault="003F3DB8" w:rsidP="0080044B">
            <w:pPr>
              <w:jc w:val="center"/>
              <w:rPr>
                <w:lang w:val="sr-Cyrl-RS"/>
              </w:rPr>
            </w:pPr>
            <w:r w:rsidRPr="00CF77C1">
              <w:rPr>
                <w:lang w:val="sr-Cyrl-RS"/>
              </w:rPr>
              <w:t>Ефекти реализације на основу расположиве документације</w:t>
            </w:r>
          </w:p>
        </w:tc>
        <w:tc>
          <w:tcPr>
            <w:tcW w:w="2708" w:type="dxa"/>
            <w:vAlign w:val="center"/>
          </w:tcPr>
          <w:p w14:paraId="74DE2461" w14:textId="77777777" w:rsidR="003F3DB8" w:rsidRPr="00CF77C1" w:rsidRDefault="003F3DB8" w:rsidP="0080044B">
            <w:pPr>
              <w:jc w:val="center"/>
              <w:rPr>
                <w:lang w:val="sr-Cyrl-RS"/>
              </w:rPr>
            </w:pPr>
            <w:r w:rsidRPr="00CF77C1">
              <w:rPr>
                <w:lang w:val="sr-Cyrl-RS"/>
              </w:rPr>
              <w:t>Вредност пројекта и извор финансирања</w:t>
            </w:r>
          </w:p>
        </w:tc>
      </w:tr>
      <w:tr w:rsidR="003F3DB8" w:rsidRPr="00CF77C1" w14:paraId="088FC72A" w14:textId="77777777" w:rsidTr="003F3DB8">
        <w:tc>
          <w:tcPr>
            <w:tcW w:w="2428" w:type="dxa"/>
          </w:tcPr>
          <w:p w14:paraId="2805BA26" w14:textId="77777777" w:rsidR="003F3DB8" w:rsidRPr="00CF77C1" w:rsidRDefault="003F3DB8" w:rsidP="0080044B">
            <w:pPr>
              <w:jc w:val="left"/>
              <w:rPr>
                <w:lang w:val="sr-Cyrl-RS"/>
              </w:rPr>
            </w:pPr>
            <w:r w:rsidRPr="00CF77C1">
              <w:rPr>
                <w:lang w:val="sr-Cyrl-RS"/>
              </w:rPr>
              <w:t>Први објекат система продуктовода има дужину 26,9 +90,3 km =117,2 km и три терминала (отпремни у Панчеву, пријемни у Смедереву и Новом Саду)</w:t>
            </w:r>
          </w:p>
        </w:tc>
        <w:tc>
          <w:tcPr>
            <w:tcW w:w="6327" w:type="dxa"/>
          </w:tcPr>
          <w:p w14:paraId="7EC30F7B" w14:textId="77777777" w:rsidR="003F3DB8" w:rsidRPr="00CF77C1" w:rsidRDefault="003F3DB8" w:rsidP="0080044B">
            <w:pPr>
              <w:rPr>
                <w:lang w:val="sr-Cyrl-RS"/>
              </w:rPr>
            </w:pPr>
            <w:r w:rsidRPr="00CF77C1">
              <w:rPr>
                <w:lang w:val="sr-Cyrl-RS"/>
              </w:rPr>
              <w:t>Изградња Првог објекта система продуктовода предвиђена је у три фазе: изградња продуктовода који повезују Рафинерију нафте Панчево и постојеће складишне резервоаре у Смедереву и Новом Саду, изградња нових резервоара у Панчеву и Смедереву и обезбеђење услова за даљи транспорт.</w:t>
            </w:r>
          </w:p>
          <w:p w14:paraId="1C35CD0F" w14:textId="77777777" w:rsidR="003F3DB8" w:rsidRPr="00CF77C1" w:rsidRDefault="003F3DB8" w:rsidP="0080044B">
            <w:pPr>
              <w:rPr>
                <w:lang w:val="sr-Cyrl-RS"/>
              </w:rPr>
            </w:pPr>
            <w:r w:rsidRPr="00CF77C1">
              <w:rPr>
                <w:lang w:val="sr-Cyrl-RS"/>
              </w:rPr>
              <w:t>Полазна тачка је од терминала у Панчеву, од кога се гранају два правца: јужни - према Смедереву и северни - према Новом Саду.</w:t>
            </w:r>
          </w:p>
          <w:p w14:paraId="5708772A" w14:textId="77777777" w:rsidR="003F3DB8" w:rsidRPr="00CF77C1" w:rsidRDefault="003F3DB8" w:rsidP="0080044B">
            <w:pPr>
              <w:rPr>
                <w:lang w:val="sr-Cyrl-RS"/>
              </w:rPr>
            </w:pPr>
            <w:r w:rsidRPr="00CF77C1">
              <w:rPr>
                <w:lang w:val="sr-Cyrl-RS"/>
              </w:rPr>
              <w:t>Јужни правац започиње трасом продуктовода Панчево-Смедерево, од отпремног терминала уз рафинерију нафте Панчево, дуж трасе пута Панчево-Ковин, и доводи се на пријемни терминал Смедерево, који се налази на локацији уз постојеће складиште НИС а.д. у Смедереву</w:t>
            </w:r>
          </w:p>
          <w:p w14:paraId="7AD0615E" w14:textId="77777777" w:rsidR="003F3DB8" w:rsidRPr="00CF77C1" w:rsidRDefault="003F3DB8" w:rsidP="0080044B">
            <w:pPr>
              <w:rPr>
                <w:lang w:val="sr-Cyrl-RS"/>
              </w:rPr>
            </w:pPr>
            <w:r w:rsidRPr="00CF77C1">
              <w:rPr>
                <w:lang w:val="sr-Cyrl-RS"/>
              </w:rPr>
              <w:t xml:space="preserve">Северни правац започиње трасом продуктовода Панчево-Нови Сад у зони трасе постојећег нафтовода (бившег југословенског нафтовода) и повезује се на пријемни терминал, на локацији уз рафинерију нафте Нови Сад. </w:t>
            </w:r>
          </w:p>
        </w:tc>
        <w:tc>
          <w:tcPr>
            <w:tcW w:w="3260" w:type="dxa"/>
          </w:tcPr>
          <w:p w14:paraId="27344E8F" w14:textId="77777777" w:rsidR="003F3DB8" w:rsidRPr="00CF77C1" w:rsidRDefault="003F3DB8" w:rsidP="0080044B">
            <w:pPr>
              <w:jc w:val="left"/>
              <w:rPr>
                <w:lang w:val="sr-Cyrl-RS"/>
              </w:rPr>
            </w:pPr>
            <w:r w:rsidRPr="00CF77C1">
              <w:rPr>
                <w:lang w:val="sr-Cyrl-RS"/>
              </w:rPr>
              <w:t>Повећање сигурности снабдевања дериватима нафте.</w:t>
            </w:r>
          </w:p>
          <w:p w14:paraId="1CB67DB9" w14:textId="4CCA9DA8" w:rsidR="003F3DB8" w:rsidRPr="00CF77C1" w:rsidRDefault="003F3DB8" w:rsidP="0080044B">
            <w:pPr>
              <w:jc w:val="left"/>
              <w:rPr>
                <w:lang w:val="sr-Cyrl-RS"/>
              </w:rPr>
            </w:pPr>
            <w:r w:rsidRPr="00CF77C1">
              <w:rPr>
                <w:lang w:val="sr-Cyrl-RS"/>
              </w:rPr>
              <w:t xml:space="preserve">Економичнији начин транспорта </w:t>
            </w:r>
            <w:r w:rsidRPr="00AF0C51">
              <w:rPr>
                <w:lang w:val="sr-Cyrl-RS"/>
              </w:rPr>
              <w:t>по цени нижој од</w:t>
            </w:r>
            <w:r w:rsidRPr="00AF0C51">
              <w:rPr>
                <w:color w:val="FF0000"/>
                <w:lang w:val="sr-Cyrl-RS"/>
              </w:rPr>
              <w:t xml:space="preserve"> </w:t>
            </w:r>
            <w:r w:rsidR="00AF0C51" w:rsidRPr="00AF0C51">
              <w:rPr>
                <w:lang w:val="sr-Cyrl-RS"/>
              </w:rPr>
              <w:t xml:space="preserve">садашњих 4,7 € </w:t>
            </w:r>
            <w:r w:rsidRPr="00AF0C51">
              <w:rPr>
                <w:lang w:val="sr-Cyrl-RS"/>
              </w:rPr>
              <w:t>/т</w:t>
            </w:r>
            <w:r w:rsidR="00AF0C51">
              <w:rPr>
                <w:lang w:val="sr-Cyrl-RS"/>
              </w:rPr>
              <w:t xml:space="preserve"> за бродски транспорт и до 9 </w:t>
            </w:r>
            <w:r w:rsidR="00AF0C51" w:rsidRPr="00AF0C51">
              <w:rPr>
                <w:lang w:val="sr-Cyrl-RS"/>
              </w:rPr>
              <w:t xml:space="preserve">€ </w:t>
            </w:r>
            <w:r w:rsidRPr="00CF77C1">
              <w:rPr>
                <w:lang w:val="sr-Cyrl-RS"/>
              </w:rPr>
              <w:t>/т за друмски транспорт.</w:t>
            </w:r>
          </w:p>
          <w:p w14:paraId="2001D769" w14:textId="77777777" w:rsidR="00E46C90" w:rsidRPr="00CF77C1" w:rsidRDefault="003F3DB8" w:rsidP="0080044B">
            <w:pPr>
              <w:jc w:val="left"/>
              <w:rPr>
                <w:rFonts w:eastAsia="Calibri,Bold"/>
                <w:color w:val="FF0000"/>
                <w:szCs w:val="24"/>
                <w:lang w:val="sr-Cyrl-RS"/>
              </w:rPr>
            </w:pPr>
            <w:r w:rsidRPr="00CF77C1">
              <w:rPr>
                <w:lang w:val="sr-Cyrl-RS"/>
              </w:rPr>
              <w:t>Значајно ће се смањити и потрошња енергената по тони транспортованих деривата нафте чиме се повећава енергетска ефикасност транспорта за око 60%.</w:t>
            </w:r>
          </w:p>
          <w:p w14:paraId="01B18947" w14:textId="77777777" w:rsidR="003F3DB8" w:rsidRPr="00CF77C1" w:rsidRDefault="003F3DB8" w:rsidP="0080044B">
            <w:pPr>
              <w:jc w:val="left"/>
              <w:rPr>
                <w:lang w:val="sr-Cyrl-RS"/>
              </w:rPr>
            </w:pPr>
            <w:r w:rsidRPr="00CF77C1">
              <w:rPr>
                <w:lang w:val="sr-Cyrl-RS"/>
              </w:rPr>
              <w:t>Очување саобраћајне инфраструктуре на досадашњим правцима снабдевања.</w:t>
            </w:r>
          </w:p>
          <w:p w14:paraId="12EC09C4" w14:textId="77777777" w:rsidR="003F3DB8" w:rsidRPr="00CF77C1" w:rsidRDefault="003F3DB8" w:rsidP="0080044B">
            <w:pPr>
              <w:jc w:val="left"/>
              <w:rPr>
                <w:color w:val="FF0000"/>
                <w:lang w:val="sr-Cyrl-RS"/>
              </w:rPr>
            </w:pPr>
            <w:r w:rsidRPr="00CF77C1">
              <w:rPr>
                <w:lang w:val="sr-Cyrl-RS"/>
              </w:rPr>
              <w:t>Смањење загађења животне средине и последично смањење утицаја на</w:t>
            </w:r>
            <w:r w:rsidR="00892212" w:rsidRPr="00CF77C1">
              <w:rPr>
                <w:lang w:val="sr-Cyrl-RS"/>
              </w:rPr>
              <w:t xml:space="preserve"> </w:t>
            </w:r>
            <w:r w:rsidRPr="00CF77C1">
              <w:rPr>
                <w:lang w:val="sr-Cyrl-RS"/>
              </w:rPr>
              <w:t>здравље становништва и смањење трошкова здравствених услуга.</w:t>
            </w:r>
          </w:p>
        </w:tc>
        <w:tc>
          <w:tcPr>
            <w:tcW w:w="2708" w:type="dxa"/>
          </w:tcPr>
          <w:p w14:paraId="043F54B0" w14:textId="19E018A1" w:rsidR="003F3DB8" w:rsidRPr="00CF77C1" w:rsidRDefault="003F3DB8" w:rsidP="0080044B">
            <w:pPr>
              <w:jc w:val="left"/>
              <w:rPr>
                <w:lang w:val="sr-Cyrl-RS"/>
              </w:rPr>
            </w:pPr>
            <w:r w:rsidRPr="00CF77C1">
              <w:rPr>
                <w:lang w:val="sr-Cyrl-RS"/>
              </w:rPr>
              <w:t>Према идејном про</w:t>
            </w:r>
            <w:r w:rsidR="00AF0C51">
              <w:rPr>
                <w:lang w:val="sr-Cyrl-RS"/>
              </w:rPr>
              <w:t xml:space="preserve">јекту вредност је 30 милиона </w:t>
            </w:r>
            <w:r w:rsidR="00AF0C51" w:rsidRPr="00AF0C51">
              <w:rPr>
                <w:lang w:val="sr-Cyrl-RS"/>
              </w:rPr>
              <w:t>€</w:t>
            </w:r>
            <w:r w:rsidRPr="00AF0C51">
              <w:rPr>
                <w:lang w:val="sr-Cyrl-RS"/>
              </w:rPr>
              <w:t>,</w:t>
            </w:r>
            <w:r w:rsidRPr="00CF77C1">
              <w:rPr>
                <w:lang w:val="sr-Cyrl-RS"/>
              </w:rPr>
              <w:t xml:space="preserve"> а применом рационалнијих технолошких решења, требало би да буде знатно нижа;</w:t>
            </w:r>
          </w:p>
          <w:p w14:paraId="0CA09C10" w14:textId="77777777" w:rsidR="003F3DB8" w:rsidRPr="00CF77C1" w:rsidRDefault="003F3DB8" w:rsidP="0080044B">
            <w:pPr>
              <w:jc w:val="left"/>
              <w:rPr>
                <w:lang w:val="sr-Cyrl-RS"/>
              </w:rPr>
            </w:pPr>
            <w:r w:rsidRPr="00CF77C1">
              <w:rPr>
                <w:lang w:val="sr-Cyrl-RS"/>
              </w:rPr>
              <w:t>ЈП Транснафта.</w:t>
            </w:r>
          </w:p>
        </w:tc>
      </w:tr>
    </w:tbl>
    <w:p w14:paraId="0ED85653" w14:textId="77777777" w:rsidR="003F3DB8" w:rsidRPr="00CF77C1" w:rsidRDefault="003F3DB8" w:rsidP="0080044B">
      <w:pPr>
        <w:rPr>
          <w:lang w:val="sr-Cyrl-RS"/>
        </w:rPr>
      </w:pPr>
    </w:p>
    <w:p w14:paraId="1C746D3F" w14:textId="1D665AE4" w:rsidR="003F3DB8" w:rsidRPr="00CF77C1" w:rsidRDefault="003F3DB8" w:rsidP="00E209CF">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54</w:t>
      </w:r>
      <w:r w:rsidR="0092145E" w:rsidRPr="00CF77C1">
        <w:rPr>
          <w:b w:val="0"/>
          <w:noProof/>
          <w:lang w:val="sr-Cyrl-RS"/>
        </w:rPr>
        <w:fldChar w:fldCharType="end"/>
      </w:r>
      <w:r w:rsidRPr="00CF77C1">
        <w:rPr>
          <w:b w:val="0"/>
          <w:lang w:val="sr-Cyrl-RS"/>
        </w:rPr>
        <w:t>: Статус пројекта</w:t>
      </w:r>
    </w:p>
    <w:tbl>
      <w:tblPr>
        <w:tblW w:w="14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8788"/>
        <w:gridCol w:w="3260"/>
      </w:tblGrid>
      <w:tr w:rsidR="003F3DB8" w:rsidRPr="00CF77C1" w14:paraId="4EA23055" w14:textId="77777777" w:rsidTr="003F3DB8">
        <w:tc>
          <w:tcPr>
            <w:tcW w:w="2660" w:type="dxa"/>
            <w:vAlign w:val="center"/>
          </w:tcPr>
          <w:p w14:paraId="398FBB1E" w14:textId="77777777" w:rsidR="003F3DB8" w:rsidRPr="00CF77C1" w:rsidRDefault="003F3DB8" w:rsidP="0080044B">
            <w:pPr>
              <w:framePr w:hSpace="181" w:wrap="notBeside" w:vAnchor="text" w:hAnchor="text" w:y="1"/>
              <w:jc w:val="center"/>
              <w:rPr>
                <w:lang w:val="sr-Cyrl-RS"/>
              </w:rPr>
            </w:pPr>
            <w:r w:rsidRPr="00CF77C1">
              <w:rPr>
                <w:lang w:val="sr-Cyrl-RS"/>
              </w:rPr>
              <w:t>Пројекат</w:t>
            </w:r>
          </w:p>
        </w:tc>
        <w:tc>
          <w:tcPr>
            <w:tcW w:w="8788" w:type="dxa"/>
            <w:vAlign w:val="center"/>
          </w:tcPr>
          <w:p w14:paraId="5A0A2E56" w14:textId="77777777" w:rsidR="003F3DB8" w:rsidRPr="00CF77C1" w:rsidRDefault="003F3DB8" w:rsidP="0080044B">
            <w:pPr>
              <w:framePr w:hSpace="181" w:wrap="notBeside" w:vAnchor="text" w:hAnchor="text" w:y="1"/>
              <w:jc w:val="center"/>
              <w:rPr>
                <w:lang w:val="sr-Cyrl-RS"/>
              </w:rPr>
            </w:pPr>
            <w:r w:rsidRPr="00CF77C1">
              <w:rPr>
                <w:lang w:val="sr-Cyrl-RS"/>
              </w:rPr>
              <w:t>Статус припреме пројекта</w:t>
            </w:r>
          </w:p>
        </w:tc>
        <w:tc>
          <w:tcPr>
            <w:tcW w:w="3260" w:type="dxa"/>
            <w:vAlign w:val="center"/>
          </w:tcPr>
          <w:p w14:paraId="53A07B2C" w14:textId="77777777" w:rsidR="003F3DB8" w:rsidRPr="00CF77C1" w:rsidRDefault="003F3DB8" w:rsidP="0080044B">
            <w:pPr>
              <w:framePr w:hSpace="181" w:wrap="notBeside" w:vAnchor="text" w:hAnchor="text" w:y="1"/>
              <w:jc w:val="center"/>
              <w:rPr>
                <w:lang w:val="sr-Cyrl-RS"/>
              </w:rPr>
            </w:pPr>
            <w:r w:rsidRPr="00CF77C1">
              <w:rPr>
                <w:lang w:val="sr-Cyrl-RS"/>
              </w:rPr>
              <w:t>Недостајућа планска и техничка документација</w:t>
            </w:r>
          </w:p>
        </w:tc>
      </w:tr>
      <w:tr w:rsidR="003F3DB8" w:rsidRPr="00CF77C1" w14:paraId="4BBA0CD3" w14:textId="77777777" w:rsidTr="003F3DB8">
        <w:tc>
          <w:tcPr>
            <w:tcW w:w="2660" w:type="dxa"/>
            <w:vAlign w:val="center"/>
          </w:tcPr>
          <w:p w14:paraId="3F25158E" w14:textId="77777777" w:rsidR="003F3DB8" w:rsidRPr="00CF77C1" w:rsidRDefault="003F3DB8" w:rsidP="0080044B">
            <w:pPr>
              <w:framePr w:hSpace="181" w:wrap="notBeside" w:vAnchor="text" w:hAnchor="text" w:y="1"/>
              <w:jc w:val="left"/>
              <w:rPr>
                <w:lang w:val="sr-Cyrl-RS"/>
              </w:rPr>
            </w:pPr>
            <w:r w:rsidRPr="00CF77C1">
              <w:rPr>
                <w:lang w:val="sr-Cyrl-RS"/>
              </w:rPr>
              <w:t>Први објекат система продуктовода</w:t>
            </w:r>
          </w:p>
        </w:tc>
        <w:tc>
          <w:tcPr>
            <w:tcW w:w="8788" w:type="dxa"/>
            <w:vAlign w:val="center"/>
          </w:tcPr>
          <w:p w14:paraId="0CB8B8EA" w14:textId="4F2A61D9" w:rsidR="003F3DB8" w:rsidRPr="00CF77C1" w:rsidRDefault="003F3DB8" w:rsidP="0080044B">
            <w:pPr>
              <w:framePr w:hSpace="181" w:wrap="notBeside" w:vAnchor="text" w:hAnchor="text" w:y="1"/>
              <w:jc w:val="left"/>
              <w:rPr>
                <w:lang w:val="sr-Cyrl-RS"/>
              </w:rPr>
            </w:pPr>
            <w:r w:rsidRPr="00CF77C1">
              <w:rPr>
                <w:lang w:val="sr-Cyrl-RS"/>
              </w:rPr>
              <w:t>Комплетна планска документација ј</w:t>
            </w:r>
            <w:r w:rsidR="006F097E" w:rsidRPr="00CF77C1">
              <w:rPr>
                <w:lang w:val="sr-Cyrl-RS"/>
              </w:rPr>
              <w:t>е завршена, док је од пројектно-</w:t>
            </w:r>
            <w:r w:rsidRPr="00CF77C1">
              <w:rPr>
                <w:lang w:val="sr-Cyrl-RS"/>
              </w:rPr>
              <w:t xml:space="preserve">техничке документације урађена Студија оправданости са Идејним пројектом и Студија о процени утицаја на животну средину за потребе изградње Првог објекта система продуктовода (деонице Панчево - Смедерево и Панчево - Нови Сад). </w:t>
            </w:r>
          </w:p>
        </w:tc>
        <w:tc>
          <w:tcPr>
            <w:tcW w:w="3260" w:type="dxa"/>
            <w:vAlign w:val="center"/>
          </w:tcPr>
          <w:p w14:paraId="259A91B2" w14:textId="77777777" w:rsidR="003F3DB8" w:rsidRPr="00CF77C1" w:rsidRDefault="003F3DB8" w:rsidP="0080044B">
            <w:pPr>
              <w:framePr w:hSpace="181" w:wrap="notBeside" w:vAnchor="text" w:hAnchor="text" w:y="1"/>
              <w:jc w:val="left"/>
              <w:rPr>
                <w:lang w:val="sr-Cyrl-RS"/>
              </w:rPr>
            </w:pPr>
            <w:r w:rsidRPr="00CF77C1">
              <w:rPr>
                <w:lang w:val="sr-Cyrl-RS"/>
              </w:rPr>
              <w:t>Пројекат за извођење и Пројекат за грађевинску дозволу деонице Панчево-Смедерево.</w:t>
            </w:r>
          </w:p>
          <w:p w14:paraId="35D42558" w14:textId="77777777" w:rsidR="003F3DB8" w:rsidRPr="00CF77C1" w:rsidRDefault="003F3DB8" w:rsidP="0080044B">
            <w:pPr>
              <w:framePr w:hSpace="181" w:wrap="notBeside" w:vAnchor="text" w:hAnchor="text" w:y="1"/>
              <w:jc w:val="left"/>
              <w:rPr>
                <w:lang w:val="sr-Cyrl-RS"/>
              </w:rPr>
            </w:pPr>
            <w:r w:rsidRPr="00CF77C1">
              <w:rPr>
                <w:lang w:val="sr-Cyrl-RS"/>
              </w:rPr>
              <w:t>Пројекат за извођење и Пројекат за грађевинску дозволу деонице Панчево-Нови Сад.</w:t>
            </w:r>
          </w:p>
          <w:p w14:paraId="26A965FB" w14:textId="77777777" w:rsidR="003F3DB8" w:rsidRPr="00CF77C1" w:rsidRDefault="003F3DB8" w:rsidP="0080044B">
            <w:pPr>
              <w:framePr w:hSpace="181" w:wrap="notBeside" w:vAnchor="text" w:hAnchor="text" w:y="1"/>
              <w:jc w:val="left"/>
              <w:rPr>
                <w:lang w:val="sr-Cyrl-RS"/>
              </w:rPr>
            </w:pPr>
            <w:r w:rsidRPr="00CF77C1">
              <w:rPr>
                <w:lang w:val="sr-Cyrl-RS"/>
              </w:rPr>
              <w:t>Тендерска документација за изградњу.</w:t>
            </w:r>
          </w:p>
        </w:tc>
      </w:tr>
    </w:tbl>
    <w:p w14:paraId="3B8ACECC" w14:textId="2D1F0AA8" w:rsidR="003F3DB8" w:rsidRPr="00CF77C1" w:rsidRDefault="003F3DB8" w:rsidP="00E209CF">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55</w:t>
      </w:r>
      <w:r w:rsidR="0092145E" w:rsidRPr="00CF77C1">
        <w:rPr>
          <w:b w:val="0"/>
          <w:noProof/>
          <w:lang w:val="sr-Cyrl-RS"/>
        </w:rPr>
        <w:fldChar w:fldCharType="end"/>
      </w:r>
      <w:r w:rsidRPr="00CF77C1">
        <w:rPr>
          <w:b w:val="0"/>
          <w:lang w:val="sr-Cyrl-RS"/>
        </w:rPr>
        <w:t>: Динамика реализације активн</w:t>
      </w:r>
      <w:r w:rsidR="00FC6F6F">
        <w:rPr>
          <w:b w:val="0"/>
          <w:lang w:val="sr-Cyrl-RS"/>
        </w:rPr>
        <w:t>ости у периоду реализације ПОС</w:t>
      </w:r>
    </w:p>
    <w:tbl>
      <w:tblPr>
        <w:tblW w:w="14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621"/>
        <w:gridCol w:w="1843"/>
        <w:gridCol w:w="756"/>
        <w:gridCol w:w="756"/>
        <w:gridCol w:w="756"/>
        <w:gridCol w:w="756"/>
        <w:gridCol w:w="756"/>
        <w:gridCol w:w="756"/>
        <w:gridCol w:w="756"/>
      </w:tblGrid>
      <w:tr w:rsidR="003F3DB8" w:rsidRPr="00CF77C1" w14:paraId="1CDDDF74" w14:textId="77777777" w:rsidTr="003F3DB8">
        <w:trPr>
          <w:tblHeader/>
        </w:trPr>
        <w:tc>
          <w:tcPr>
            <w:tcW w:w="7621" w:type="dxa"/>
            <w:vAlign w:val="center"/>
          </w:tcPr>
          <w:p w14:paraId="572C4146" w14:textId="77777777" w:rsidR="003F3DB8" w:rsidRPr="00CF77C1" w:rsidRDefault="003F3DB8" w:rsidP="0080044B">
            <w:pPr>
              <w:keepNext/>
              <w:keepLines/>
              <w:jc w:val="center"/>
              <w:rPr>
                <w:lang w:val="sr-Cyrl-RS"/>
              </w:rPr>
            </w:pPr>
            <w:r w:rsidRPr="00CF77C1">
              <w:rPr>
                <w:lang w:val="sr-Cyrl-RS"/>
              </w:rPr>
              <w:t>Пројекат:</w:t>
            </w:r>
          </w:p>
          <w:p w14:paraId="57D0FA1D" w14:textId="28366641" w:rsidR="003F3DB8" w:rsidRPr="00CF77C1" w:rsidRDefault="003F3DB8" w:rsidP="0080044B">
            <w:pPr>
              <w:keepNext/>
              <w:keepLines/>
              <w:jc w:val="center"/>
              <w:rPr>
                <w:lang w:val="sr-Cyrl-RS"/>
              </w:rPr>
            </w:pPr>
            <w:r w:rsidRPr="00CF77C1">
              <w:rPr>
                <w:lang w:val="sr-Cyrl-RS"/>
              </w:rPr>
              <w:t>„Изградња првог објекта система продуктовода</w:t>
            </w:r>
            <w:r w:rsidR="00AD5740" w:rsidRPr="00CF77C1">
              <w:rPr>
                <w:lang w:val="sr-Cyrl-RS"/>
              </w:rPr>
              <w:t>”</w:t>
            </w:r>
          </w:p>
        </w:tc>
        <w:tc>
          <w:tcPr>
            <w:tcW w:w="1843" w:type="dxa"/>
            <w:vAlign w:val="center"/>
          </w:tcPr>
          <w:p w14:paraId="071802A8" w14:textId="77777777" w:rsidR="003F3DB8" w:rsidRPr="00CF77C1" w:rsidRDefault="003F3DB8" w:rsidP="009E4135">
            <w:pPr>
              <w:keepNext/>
              <w:keepLines/>
              <w:jc w:val="center"/>
              <w:rPr>
                <w:lang w:val="sr-Cyrl-RS"/>
              </w:rPr>
            </w:pPr>
            <w:r w:rsidRPr="00CF77C1">
              <w:rPr>
                <w:lang w:val="sr-Cyrl-RS"/>
              </w:rPr>
              <w:t>Одговорн</w:t>
            </w:r>
            <w:r w:rsidR="009E4135" w:rsidRPr="00CF77C1">
              <w:rPr>
                <w:lang w:val="sr-Cyrl-RS"/>
              </w:rPr>
              <w:t>и</w:t>
            </w:r>
            <w:r w:rsidRPr="00CF77C1">
              <w:rPr>
                <w:lang w:val="sr-Cyrl-RS"/>
              </w:rPr>
              <w:t xml:space="preserve"> </w:t>
            </w:r>
            <w:r w:rsidR="009E4135" w:rsidRPr="00CF77C1">
              <w:rPr>
                <w:lang w:val="sr-Cyrl-RS"/>
              </w:rPr>
              <w:t>субјекат</w:t>
            </w:r>
          </w:p>
        </w:tc>
        <w:tc>
          <w:tcPr>
            <w:tcW w:w="756" w:type="dxa"/>
            <w:vAlign w:val="center"/>
          </w:tcPr>
          <w:p w14:paraId="3F2A8B86" w14:textId="77777777" w:rsidR="003F3DB8" w:rsidRPr="00CF77C1" w:rsidRDefault="003F3DB8" w:rsidP="0080044B">
            <w:pPr>
              <w:keepNext/>
              <w:keepLines/>
              <w:jc w:val="center"/>
              <w:rPr>
                <w:lang w:val="sr-Cyrl-RS"/>
              </w:rPr>
            </w:pPr>
            <w:r w:rsidRPr="00CF77C1">
              <w:rPr>
                <w:lang w:val="sr-Cyrl-RS"/>
              </w:rPr>
              <w:t>2017.</w:t>
            </w:r>
          </w:p>
        </w:tc>
        <w:tc>
          <w:tcPr>
            <w:tcW w:w="756" w:type="dxa"/>
            <w:vAlign w:val="center"/>
          </w:tcPr>
          <w:p w14:paraId="5E3758C3" w14:textId="77777777" w:rsidR="003F3DB8" w:rsidRPr="00CF77C1" w:rsidRDefault="003F3DB8" w:rsidP="0080044B">
            <w:pPr>
              <w:keepNext/>
              <w:keepLines/>
              <w:jc w:val="center"/>
              <w:rPr>
                <w:lang w:val="sr-Cyrl-RS"/>
              </w:rPr>
            </w:pPr>
            <w:r w:rsidRPr="00CF77C1">
              <w:rPr>
                <w:lang w:val="sr-Cyrl-RS"/>
              </w:rPr>
              <w:t>2018.</w:t>
            </w:r>
          </w:p>
        </w:tc>
        <w:tc>
          <w:tcPr>
            <w:tcW w:w="756" w:type="dxa"/>
            <w:vAlign w:val="center"/>
          </w:tcPr>
          <w:p w14:paraId="0C551CD1" w14:textId="77777777" w:rsidR="003F3DB8" w:rsidRPr="00CF77C1" w:rsidRDefault="003F3DB8" w:rsidP="0080044B">
            <w:pPr>
              <w:keepNext/>
              <w:keepLines/>
              <w:jc w:val="center"/>
              <w:rPr>
                <w:lang w:val="sr-Cyrl-RS"/>
              </w:rPr>
            </w:pPr>
            <w:r w:rsidRPr="00CF77C1">
              <w:rPr>
                <w:lang w:val="sr-Cyrl-RS"/>
              </w:rPr>
              <w:t>2019.</w:t>
            </w:r>
          </w:p>
        </w:tc>
        <w:tc>
          <w:tcPr>
            <w:tcW w:w="756" w:type="dxa"/>
            <w:vAlign w:val="center"/>
          </w:tcPr>
          <w:p w14:paraId="383F2796" w14:textId="77777777" w:rsidR="003F3DB8" w:rsidRPr="00CF77C1" w:rsidRDefault="003F3DB8" w:rsidP="0080044B">
            <w:pPr>
              <w:keepNext/>
              <w:keepLines/>
              <w:jc w:val="center"/>
              <w:rPr>
                <w:lang w:val="sr-Cyrl-RS"/>
              </w:rPr>
            </w:pPr>
            <w:r w:rsidRPr="00CF77C1">
              <w:rPr>
                <w:lang w:val="sr-Cyrl-RS"/>
              </w:rPr>
              <w:t>2020.</w:t>
            </w:r>
          </w:p>
        </w:tc>
        <w:tc>
          <w:tcPr>
            <w:tcW w:w="756" w:type="dxa"/>
            <w:vAlign w:val="center"/>
          </w:tcPr>
          <w:p w14:paraId="69DE7F07" w14:textId="77777777" w:rsidR="003F3DB8" w:rsidRPr="00CF77C1" w:rsidRDefault="003F3DB8" w:rsidP="0080044B">
            <w:pPr>
              <w:keepNext/>
              <w:keepLines/>
              <w:jc w:val="center"/>
              <w:rPr>
                <w:lang w:val="sr-Cyrl-RS"/>
              </w:rPr>
            </w:pPr>
            <w:r w:rsidRPr="00CF77C1">
              <w:rPr>
                <w:lang w:val="sr-Cyrl-RS"/>
              </w:rPr>
              <w:t>2021.</w:t>
            </w:r>
          </w:p>
        </w:tc>
        <w:tc>
          <w:tcPr>
            <w:tcW w:w="756" w:type="dxa"/>
            <w:vAlign w:val="center"/>
          </w:tcPr>
          <w:p w14:paraId="17BC3212" w14:textId="77777777" w:rsidR="003F3DB8" w:rsidRPr="00CF77C1" w:rsidRDefault="003F3DB8" w:rsidP="0080044B">
            <w:pPr>
              <w:keepNext/>
              <w:keepLines/>
              <w:jc w:val="center"/>
              <w:rPr>
                <w:lang w:val="sr-Cyrl-RS"/>
              </w:rPr>
            </w:pPr>
            <w:r w:rsidRPr="00CF77C1">
              <w:rPr>
                <w:lang w:val="sr-Cyrl-RS"/>
              </w:rPr>
              <w:t>2022.</w:t>
            </w:r>
          </w:p>
        </w:tc>
        <w:tc>
          <w:tcPr>
            <w:tcW w:w="756" w:type="dxa"/>
            <w:vAlign w:val="center"/>
          </w:tcPr>
          <w:p w14:paraId="29D9A00D" w14:textId="77777777" w:rsidR="003F3DB8" w:rsidRPr="00CF77C1" w:rsidRDefault="003F3DB8" w:rsidP="0080044B">
            <w:pPr>
              <w:keepNext/>
              <w:keepLines/>
              <w:jc w:val="center"/>
              <w:rPr>
                <w:lang w:val="sr-Cyrl-RS"/>
              </w:rPr>
            </w:pPr>
            <w:r w:rsidRPr="00CF77C1">
              <w:rPr>
                <w:lang w:val="sr-Cyrl-RS"/>
              </w:rPr>
              <w:t>2023.</w:t>
            </w:r>
          </w:p>
        </w:tc>
      </w:tr>
      <w:tr w:rsidR="003F3DB8" w:rsidRPr="00CF77C1" w14:paraId="7B34CA3A" w14:textId="77777777" w:rsidTr="003F3DB8">
        <w:tc>
          <w:tcPr>
            <w:tcW w:w="7621" w:type="dxa"/>
            <w:vAlign w:val="center"/>
          </w:tcPr>
          <w:p w14:paraId="06D2189F" w14:textId="77777777" w:rsidR="003F3DB8" w:rsidRPr="00CF77C1" w:rsidRDefault="003F3DB8" w:rsidP="0080044B">
            <w:pPr>
              <w:jc w:val="left"/>
              <w:rPr>
                <w:lang w:val="sr-Cyrl-RS"/>
              </w:rPr>
            </w:pPr>
            <w:r w:rsidRPr="00CF77C1">
              <w:rPr>
                <w:lang w:val="sr-Cyrl-RS"/>
              </w:rPr>
              <w:t>Пројекат за извођење и Пројекат за грађевинску дозволу деонице Панчево-Смедерево</w:t>
            </w:r>
          </w:p>
        </w:tc>
        <w:tc>
          <w:tcPr>
            <w:tcW w:w="1843" w:type="dxa"/>
            <w:vAlign w:val="center"/>
          </w:tcPr>
          <w:p w14:paraId="45073712"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40D886EE" w14:textId="77777777" w:rsidR="003F3DB8" w:rsidRPr="00CF77C1" w:rsidRDefault="003F3DB8" w:rsidP="0080044B">
            <w:pPr>
              <w:jc w:val="center"/>
              <w:rPr>
                <w:lang w:val="sr-Cyrl-RS"/>
              </w:rPr>
            </w:pPr>
            <w:r w:rsidRPr="00CF77C1">
              <w:rPr>
                <w:lang w:val="sr-Cyrl-RS"/>
              </w:rPr>
              <w:t>х</w:t>
            </w:r>
          </w:p>
        </w:tc>
        <w:tc>
          <w:tcPr>
            <w:tcW w:w="756" w:type="dxa"/>
            <w:vAlign w:val="center"/>
          </w:tcPr>
          <w:p w14:paraId="4DBD26B0" w14:textId="77777777" w:rsidR="003F3DB8" w:rsidRPr="00CF77C1" w:rsidRDefault="003F3DB8" w:rsidP="0080044B">
            <w:pPr>
              <w:jc w:val="center"/>
              <w:rPr>
                <w:lang w:val="sr-Cyrl-RS"/>
              </w:rPr>
            </w:pPr>
          </w:p>
        </w:tc>
        <w:tc>
          <w:tcPr>
            <w:tcW w:w="756" w:type="dxa"/>
            <w:vAlign w:val="center"/>
          </w:tcPr>
          <w:p w14:paraId="6C81F9B0" w14:textId="77777777" w:rsidR="003F3DB8" w:rsidRPr="00CF77C1" w:rsidRDefault="003F3DB8" w:rsidP="0080044B">
            <w:pPr>
              <w:jc w:val="center"/>
              <w:rPr>
                <w:lang w:val="sr-Cyrl-RS"/>
              </w:rPr>
            </w:pPr>
          </w:p>
        </w:tc>
        <w:tc>
          <w:tcPr>
            <w:tcW w:w="756" w:type="dxa"/>
            <w:vAlign w:val="center"/>
          </w:tcPr>
          <w:p w14:paraId="5154C747" w14:textId="77777777" w:rsidR="003F3DB8" w:rsidRPr="00CF77C1" w:rsidRDefault="003F3DB8" w:rsidP="0080044B">
            <w:pPr>
              <w:jc w:val="center"/>
              <w:rPr>
                <w:lang w:val="sr-Cyrl-RS"/>
              </w:rPr>
            </w:pPr>
          </w:p>
        </w:tc>
        <w:tc>
          <w:tcPr>
            <w:tcW w:w="756" w:type="dxa"/>
            <w:vAlign w:val="center"/>
          </w:tcPr>
          <w:p w14:paraId="3C6DCFD3" w14:textId="77777777" w:rsidR="003F3DB8" w:rsidRPr="00CF77C1" w:rsidRDefault="003F3DB8" w:rsidP="0080044B">
            <w:pPr>
              <w:jc w:val="center"/>
              <w:rPr>
                <w:lang w:val="sr-Cyrl-RS"/>
              </w:rPr>
            </w:pPr>
          </w:p>
        </w:tc>
        <w:tc>
          <w:tcPr>
            <w:tcW w:w="756" w:type="dxa"/>
            <w:vAlign w:val="center"/>
          </w:tcPr>
          <w:p w14:paraId="5BCAB41B" w14:textId="77777777" w:rsidR="003F3DB8" w:rsidRPr="00CF77C1" w:rsidRDefault="003F3DB8" w:rsidP="0080044B">
            <w:pPr>
              <w:jc w:val="center"/>
              <w:rPr>
                <w:lang w:val="sr-Cyrl-RS"/>
              </w:rPr>
            </w:pPr>
          </w:p>
        </w:tc>
        <w:tc>
          <w:tcPr>
            <w:tcW w:w="756" w:type="dxa"/>
            <w:vAlign w:val="center"/>
          </w:tcPr>
          <w:p w14:paraId="0A6C6394" w14:textId="77777777" w:rsidR="003F3DB8" w:rsidRPr="00CF77C1" w:rsidRDefault="003F3DB8" w:rsidP="0080044B">
            <w:pPr>
              <w:jc w:val="center"/>
              <w:rPr>
                <w:lang w:val="sr-Cyrl-RS"/>
              </w:rPr>
            </w:pPr>
          </w:p>
        </w:tc>
      </w:tr>
      <w:tr w:rsidR="003F3DB8" w:rsidRPr="00CF77C1" w14:paraId="3EB03037" w14:textId="77777777" w:rsidTr="003F3DB8">
        <w:tc>
          <w:tcPr>
            <w:tcW w:w="7621" w:type="dxa"/>
            <w:vAlign w:val="center"/>
          </w:tcPr>
          <w:p w14:paraId="333F0C61" w14:textId="5F8D183D" w:rsidR="003F3DB8" w:rsidRPr="00CF77C1" w:rsidRDefault="003F3DB8" w:rsidP="0080044B">
            <w:pPr>
              <w:jc w:val="left"/>
              <w:rPr>
                <w:lang w:val="sr-Cyrl-RS"/>
              </w:rPr>
            </w:pPr>
            <w:r w:rsidRPr="00CF77C1">
              <w:rPr>
                <w:lang w:val="sr-Cyrl-RS"/>
              </w:rPr>
              <w:t>Решавање имовинско-правних послова</w:t>
            </w:r>
            <w:r w:rsidR="000947FE" w:rsidRPr="00CF77C1">
              <w:rPr>
                <w:lang w:val="sr-Cyrl-RS"/>
              </w:rPr>
              <w:t xml:space="preserve"> за деоницу Панчево-Смедерево</w:t>
            </w:r>
          </w:p>
        </w:tc>
        <w:tc>
          <w:tcPr>
            <w:tcW w:w="1843" w:type="dxa"/>
            <w:vAlign w:val="center"/>
          </w:tcPr>
          <w:p w14:paraId="14CAC214"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41842EC4" w14:textId="77777777" w:rsidR="003F3DB8" w:rsidRPr="00CF77C1" w:rsidRDefault="003F3DB8" w:rsidP="0080044B">
            <w:pPr>
              <w:jc w:val="center"/>
              <w:rPr>
                <w:lang w:val="sr-Cyrl-RS"/>
              </w:rPr>
            </w:pPr>
            <w:r w:rsidRPr="00CF77C1">
              <w:rPr>
                <w:lang w:val="sr-Cyrl-RS"/>
              </w:rPr>
              <w:t>x</w:t>
            </w:r>
          </w:p>
        </w:tc>
        <w:tc>
          <w:tcPr>
            <w:tcW w:w="756" w:type="dxa"/>
            <w:vAlign w:val="center"/>
          </w:tcPr>
          <w:p w14:paraId="0702E335" w14:textId="77777777" w:rsidR="003F3DB8" w:rsidRPr="00CF77C1" w:rsidRDefault="003F3DB8" w:rsidP="0080044B">
            <w:pPr>
              <w:jc w:val="center"/>
              <w:rPr>
                <w:lang w:val="sr-Cyrl-RS"/>
              </w:rPr>
            </w:pPr>
          </w:p>
        </w:tc>
        <w:tc>
          <w:tcPr>
            <w:tcW w:w="756" w:type="dxa"/>
            <w:vAlign w:val="center"/>
          </w:tcPr>
          <w:p w14:paraId="14D31F1B" w14:textId="77777777" w:rsidR="003F3DB8" w:rsidRPr="00CF77C1" w:rsidRDefault="003F3DB8" w:rsidP="0080044B">
            <w:pPr>
              <w:jc w:val="center"/>
              <w:rPr>
                <w:lang w:val="sr-Cyrl-RS"/>
              </w:rPr>
            </w:pPr>
          </w:p>
        </w:tc>
        <w:tc>
          <w:tcPr>
            <w:tcW w:w="756" w:type="dxa"/>
            <w:vAlign w:val="center"/>
          </w:tcPr>
          <w:p w14:paraId="025D00CA" w14:textId="77777777" w:rsidR="003F3DB8" w:rsidRPr="00CF77C1" w:rsidRDefault="003F3DB8" w:rsidP="0080044B">
            <w:pPr>
              <w:jc w:val="center"/>
              <w:rPr>
                <w:lang w:val="sr-Cyrl-RS"/>
              </w:rPr>
            </w:pPr>
          </w:p>
        </w:tc>
        <w:tc>
          <w:tcPr>
            <w:tcW w:w="756" w:type="dxa"/>
            <w:vAlign w:val="center"/>
          </w:tcPr>
          <w:p w14:paraId="44F3FEC7" w14:textId="77777777" w:rsidR="003F3DB8" w:rsidRPr="00CF77C1" w:rsidRDefault="003F3DB8" w:rsidP="0080044B">
            <w:pPr>
              <w:jc w:val="center"/>
              <w:rPr>
                <w:lang w:val="sr-Cyrl-RS"/>
              </w:rPr>
            </w:pPr>
          </w:p>
        </w:tc>
        <w:tc>
          <w:tcPr>
            <w:tcW w:w="756" w:type="dxa"/>
            <w:vAlign w:val="center"/>
          </w:tcPr>
          <w:p w14:paraId="5F81F761" w14:textId="77777777" w:rsidR="003F3DB8" w:rsidRPr="00CF77C1" w:rsidRDefault="003F3DB8" w:rsidP="0080044B">
            <w:pPr>
              <w:jc w:val="center"/>
              <w:rPr>
                <w:lang w:val="sr-Cyrl-RS"/>
              </w:rPr>
            </w:pPr>
          </w:p>
        </w:tc>
        <w:tc>
          <w:tcPr>
            <w:tcW w:w="756" w:type="dxa"/>
            <w:vAlign w:val="center"/>
          </w:tcPr>
          <w:p w14:paraId="17FC21FA" w14:textId="77777777" w:rsidR="003F3DB8" w:rsidRPr="00CF77C1" w:rsidRDefault="003F3DB8" w:rsidP="0080044B">
            <w:pPr>
              <w:jc w:val="center"/>
              <w:rPr>
                <w:lang w:val="sr-Cyrl-RS"/>
              </w:rPr>
            </w:pPr>
          </w:p>
        </w:tc>
      </w:tr>
      <w:tr w:rsidR="003F3DB8" w:rsidRPr="00CF77C1" w14:paraId="341C1450" w14:textId="77777777" w:rsidTr="003F3DB8">
        <w:tc>
          <w:tcPr>
            <w:tcW w:w="7621" w:type="dxa"/>
            <w:vAlign w:val="center"/>
          </w:tcPr>
          <w:p w14:paraId="083670E5" w14:textId="77777777" w:rsidR="003F3DB8" w:rsidRPr="00CF77C1" w:rsidRDefault="003F3DB8" w:rsidP="0080044B">
            <w:pPr>
              <w:jc w:val="left"/>
              <w:rPr>
                <w:lang w:val="sr-Cyrl-RS"/>
              </w:rPr>
            </w:pPr>
            <w:r w:rsidRPr="00CF77C1">
              <w:rPr>
                <w:lang w:val="sr-Cyrl-RS"/>
              </w:rPr>
              <w:t>Израда тендерске документације</w:t>
            </w:r>
          </w:p>
        </w:tc>
        <w:tc>
          <w:tcPr>
            <w:tcW w:w="1843" w:type="dxa"/>
            <w:vAlign w:val="center"/>
          </w:tcPr>
          <w:p w14:paraId="2B95BC89"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2A6EA837" w14:textId="77777777" w:rsidR="003F3DB8" w:rsidRPr="00CF77C1" w:rsidRDefault="003F3DB8" w:rsidP="0080044B">
            <w:pPr>
              <w:jc w:val="center"/>
              <w:rPr>
                <w:color w:val="FF0000"/>
                <w:lang w:val="sr-Cyrl-RS"/>
              </w:rPr>
            </w:pPr>
          </w:p>
        </w:tc>
        <w:tc>
          <w:tcPr>
            <w:tcW w:w="756" w:type="dxa"/>
            <w:vAlign w:val="center"/>
          </w:tcPr>
          <w:p w14:paraId="723814A7" w14:textId="77777777" w:rsidR="003F3DB8" w:rsidRPr="00CF77C1" w:rsidRDefault="003F3DB8" w:rsidP="0080044B">
            <w:pPr>
              <w:jc w:val="center"/>
              <w:rPr>
                <w:lang w:val="sr-Cyrl-RS"/>
              </w:rPr>
            </w:pPr>
            <w:r w:rsidRPr="00CF77C1">
              <w:rPr>
                <w:lang w:val="sr-Cyrl-RS"/>
              </w:rPr>
              <w:t>х</w:t>
            </w:r>
          </w:p>
        </w:tc>
        <w:tc>
          <w:tcPr>
            <w:tcW w:w="756" w:type="dxa"/>
            <w:vAlign w:val="center"/>
          </w:tcPr>
          <w:p w14:paraId="6C7D403A" w14:textId="77777777" w:rsidR="003F3DB8" w:rsidRPr="00CF77C1" w:rsidRDefault="003F3DB8" w:rsidP="0080044B">
            <w:pPr>
              <w:jc w:val="center"/>
              <w:rPr>
                <w:lang w:val="sr-Cyrl-RS"/>
              </w:rPr>
            </w:pPr>
          </w:p>
        </w:tc>
        <w:tc>
          <w:tcPr>
            <w:tcW w:w="756" w:type="dxa"/>
            <w:vAlign w:val="center"/>
          </w:tcPr>
          <w:p w14:paraId="1C15F120" w14:textId="77777777" w:rsidR="003F3DB8" w:rsidRPr="00CF77C1" w:rsidRDefault="003F3DB8" w:rsidP="0080044B">
            <w:pPr>
              <w:jc w:val="center"/>
              <w:rPr>
                <w:lang w:val="sr-Cyrl-RS"/>
              </w:rPr>
            </w:pPr>
          </w:p>
        </w:tc>
        <w:tc>
          <w:tcPr>
            <w:tcW w:w="756" w:type="dxa"/>
            <w:vAlign w:val="center"/>
          </w:tcPr>
          <w:p w14:paraId="10D01C70" w14:textId="77777777" w:rsidR="003F3DB8" w:rsidRPr="00CF77C1" w:rsidRDefault="003F3DB8" w:rsidP="0080044B">
            <w:pPr>
              <w:jc w:val="center"/>
              <w:rPr>
                <w:lang w:val="sr-Cyrl-RS"/>
              </w:rPr>
            </w:pPr>
          </w:p>
        </w:tc>
        <w:tc>
          <w:tcPr>
            <w:tcW w:w="756" w:type="dxa"/>
            <w:vAlign w:val="center"/>
          </w:tcPr>
          <w:p w14:paraId="1ADFB6ED" w14:textId="77777777" w:rsidR="003F3DB8" w:rsidRPr="00CF77C1" w:rsidRDefault="003F3DB8" w:rsidP="0080044B">
            <w:pPr>
              <w:jc w:val="center"/>
              <w:rPr>
                <w:lang w:val="sr-Cyrl-RS"/>
              </w:rPr>
            </w:pPr>
          </w:p>
        </w:tc>
        <w:tc>
          <w:tcPr>
            <w:tcW w:w="756" w:type="dxa"/>
            <w:vAlign w:val="center"/>
          </w:tcPr>
          <w:p w14:paraId="13796B75" w14:textId="77777777" w:rsidR="003F3DB8" w:rsidRPr="00CF77C1" w:rsidRDefault="003F3DB8" w:rsidP="0080044B">
            <w:pPr>
              <w:keepNext/>
              <w:keepLines/>
              <w:jc w:val="center"/>
              <w:rPr>
                <w:lang w:val="sr-Cyrl-RS"/>
              </w:rPr>
            </w:pPr>
          </w:p>
        </w:tc>
      </w:tr>
      <w:tr w:rsidR="003F3DB8" w:rsidRPr="00CF77C1" w14:paraId="3AF4AB3D" w14:textId="77777777" w:rsidTr="003F3DB8">
        <w:tc>
          <w:tcPr>
            <w:tcW w:w="7621" w:type="dxa"/>
            <w:vAlign w:val="center"/>
          </w:tcPr>
          <w:p w14:paraId="34440C5E" w14:textId="77777777" w:rsidR="003F3DB8" w:rsidRPr="00CF77C1" w:rsidRDefault="003F3DB8" w:rsidP="0080044B">
            <w:pPr>
              <w:jc w:val="left"/>
              <w:rPr>
                <w:lang w:val="sr-Cyrl-RS"/>
              </w:rPr>
            </w:pPr>
            <w:r w:rsidRPr="00CF77C1">
              <w:rPr>
                <w:lang w:val="sr-Cyrl-RS"/>
              </w:rPr>
              <w:t>Изградња</w:t>
            </w:r>
          </w:p>
        </w:tc>
        <w:tc>
          <w:tcPr>
            <w:tcW w:w="1843" w:type="dxa"/>
            <w:vAlign w:val="center"/>
          </w:tcPr>
          <w:p w14:paraId="319B3AAE"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2B26F875" w14:textId="77777777" w:rsidR="003F3DB8" w:rsidRPr="00CF77C1" w:rsidRDefault="003F3DB8" w:rsidP="0080044B">
            <w:pPr>
              <w:jc w:val="center"/>
              <w:rPr>
                <w:color w:val="FF0000"/>
                <w:lang w:val="sr-Cyrl-RS"/>
              </w:rPr>
            </w:pPr>
          </w:p>
        </w:tc>
        <w:tc>
          <w:tcPr>
            <w:tcW w:w="756" w:type="dxa"/>
            <w:vAlign w:val="center"/>
          </w:tcPr>
          <w:p w14:paraId="111672C7" w14:textId="77777777" w:rsidR="003F3DB8" w:rsidRPr="00CF77C1" w:rsidRDefault="003F3DB8" w:rsidP="0080044B">
            <w:pPr>
              <w:jc w:val="center"/>
              <w:rPr>
                <w:lang w:val="sr-Cyrl-RS"/>
              </w:rPr>
            </w:pPr>
          </w:p>
        </w:tc>
        <w:tc>
          <w:tcPr>
            <w:tcW w:w="756" w:type="dxa"/>
            <w:vAlign w:val="center"/>
          </w:tcPr>
          <w:p w14:paraId="253E00B4" w14:textId="77777777" w:rsidR="003F3DB8" w:rsidRPr="00CF77C1" w:rsidRDefault="003F3DB8" w:rsidP="0080044B">
            <w:pPr>
              <w:jc w:val="center"/>
              <w:rPr>
                <w:lang w:val="sr-Cyrl-RS"/>
              </w:rPr>
            </w:pPr>
            <w:r w:rsidRPr="00CF77C1">
              <w:rPr>
                <w:lang w:val="sr-Cyrl-RS"/>
              </w:rPr>
              <w:t>х</w:t>
            </w:r>
          </w:p>
        </w:tc>
        <w:tc>
          <w:tcPr>
            <w:tcW w:w="756" w:type="dxa"/>
            <w:vAlign w:val="center"/>
          </w:tcPr>
          <w:p w14:paraId="56ADCD02" w14:textId="77777777" w:rsidR="003F3DB8" w:rsidRPr="00CF77C1" w:rsidRDefault="003F3DB8" w:rsidP="0080044B">
            <w:pPr>
              <w:jc w:val="center"/>
              <w:rPr>
                <w:lang w:val="sr-Cyrl-RS"/>
              </w:rPr>
            </w:pPr>
            <w:r w:rsidRPr="00CF77C1">
              <w:rPr>
                <w:lang w:val="sr-Cyrl-RS"/>
              </w:rPr>
              <w:t>х</w:t>
            </w:r>
          </w:p>
        </w:tc>
        <w:tc>
          <w:tcPr>
            <w:tcW w:w="756" w:type="dxa"/>
            <w:vAlign w:val="center"/>
          </w:tcPr>
          <w:p w14:paraId="649EBAD6" w14:textId="77777777" w:rsidR="003F3DB8" w:rsidRPr="00CF77C1" w:rsidRDefault="003F3DB8" w:rsidP="0080044B">
            <w:pPr>
              <w:jc w:val="center"/>
              <w:rPr>
                <w:lang w:val="sr-Cyrl-RS"/>
              </w:rPr>
            </w:pPr>
          </w:p>
        </w:tc>
        <w:tc>
          <w:tcPr>
            <w:tcW w:w="756" w:type="dxa"/>
            <w:vAlign w:val="center"/>
          </w:tcPr>
          <w:p w14:paraId="3872A046" w14:textId="77777777" w:rsidR="003F3DB8" w:rsidRPr="00CF77C1" w:rsidRDefault="003F3DB8" w:rsidP="0080044B">
            <w:pPr>
              <w:jc w:val="center"/>
              <w:rPr>
                <w:lang w:val="sr-Cyrl-RS"/>
              </w:rPr>
            </w:pPr>
          </w:p>
        </w:tc>
        <w:tc>
          <w:tcPr>
            <w:tcW w:w="756" w:type="dxa"/>
            <w:vAlign w:val="center"/>
          </w:tcPr>
          <w:p w14:paraId="207B72ED" w14:textId="77777777" w:rsidR="003F3DB8" w:rsidRPr="00CF77C1" w:rsidRDefault="003F3DB8" w:rsidP="0080044B">
            <w:pPr>
              <w:jc w:val="center"/>
              <w:rPr>
                <w:lang w:val="sr-Cyrl-RS"/>
              </w:rPr>
            </w:pPr>
          </w:p>
        </w:tc>
      </w:tr>
      <w:tr w:rsidR="003F3DB8" w:rsidRPr="00CF77C1" w14:paraId="057FF2ED" w14:textId="77777777" w:rsidTr="003F3DB8">
        <w:tc>
          <w:tcPr>
            <w:tcW w:w="7621" w:type="dxa"/>
            <w:vAlign w:val="center"/>
          </w:tcPr>
          <w:p w14:paraId="575A2564" w14:textId="77777777" w:rsidR="003F3DB8" w:rsidRPr="00CF77C1" w:rsidRDefault="003F3DB8" w:rsidP="0080044B">
            <w:pPr>
              <w:jc w:val="left"/>
              <w:rPr>
                <w:lang w:val="sr-Cyrl-RS"/>
              </w:rPr>
            </w:pPr>
            <w:r w:rsidRPr="00CF77C1">
              <w:rPr>
                <w:lang w:val="sr-Cyrl-RS"/>
              </w:rPr>
              <w:t>Пројекат за извођење и Пројекат за грађевинску дозволу деонице Панчево-Нови Сад</w:t>
            </w:r>
          </w:p>
        </w:tc>
        <w:tc>
          <w:tcPr>
            <w:tcW w:w="1843" w:type="dxa"/>
            <w:vAlign w:val="center"/>
          </w:tcPr>
          <w:p w14:paraId="38594C30"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54CCA5A1" w14:textId="77777777" w:rsidR="003F3DB8" w:rsidRPr="00CF77C1" w:rsidRDefault="003F3DB8" w:rsidP="0080044B">
            <w:pPr>
              <w:jc w:val="center"/>
              <w:rPr>
                <w:lang w:val="sr-Cyrl-RS"/>
              </w:rPr>
            </w:pPr>
            <w:r w:rsidRPr="00CF77C1">
              <w:rPr>
                <w:lang w:val="sr-Cyrl-RS"/>
              </w:rPr>
              <w:t>x</w:t>
            </w:r>
          </w:p>
        </w:tc>
        <w:tc>
          <w:tcPr>
            <w:tcW w:w="756" w:type="dxa"/>
            <w:vAlign w:val="center"/>
          </w:tcPr>
          <w:p w14:paraId="49FAE34F" w14:textId="77777777" w:rsidR="003F3DB8" w:rsidRPr="00CF77C1" w:rsidRDefault="003F3DB8" w:rsidP="0080044B">
            <w:pPr>
              <w:jc w:val="center"/>
              <w:rPr>
                <w:lang w:val="sr-Cyrl-RS"/>
              </w:rPr>
            </w:pPr>
          </w:p>
        </w:tc>
        <w:tc>
          <w:tcPr>
            <w:tcW w:w="756" w:type="dxa"/>
            <w:vAlign w:val="center"/>
          </w:tcPr>
          <w:p w14:paraId="38EF3507" w14:textId="77777777" w:rsidR="003F3DB8" w:rsidRPr="00CF77C1" w:rsidRDefault="003F3DB8" w:rsidP="0080044B">
            <w:pPr>
              <w:jc w:val="center"/>
              <w:rPr>
                <w:lang w:val="sr-Cyrl-RS"/>
              </w:rPr>
            </w:pPr>
          </w:p>
        </w:tc>
        <w:tc>
          <w:tcPr>
            <w:tcW w:w="756" w:type="dxa"/>
            <w:vAlign w:val="center"/>
          </w:tcPr>
          <w:p w14:paraId="4BD21387" w14:textId="77777777" w:rsidR="003F3DB8" w:rsidRPr="00CF77C1" w:rsidRDefault="003F3DB8" w:rsidP="0080044B">
            <w:pPr>
              <w:jc w:val="center"/>
              <w:rPr>
                <w:lang w:val="sr-Cyrl-RS"/>
              </w:rPr>
            </w:pPr>
          </w:p>
        </w:tc>
        <w:tc>
          <w:tcPr>
            <w:tcW w:w="756" w:type="dxa"/>
            <w:vAlign w:val="center"/>
          </w:tcPr>
          <w:p w14:paraId="5543EE8B" w14:textId="77777777" w:rsidR="003F3DB8" w:rsidRPr="00CF77C1" w:rsidRDefault="003F3DB8" w:rsidP="0080044B">
            <w:pPr>
              <w:jc w:val="center"/>
              <w:rPr>
                <w:lang w:val="sr-Cyrl-RS"/>
              </w:rPr>
            </w:pPr>
          </w:p>
        </w:tc>
        <w:tc>
          <w:tcPr>
            <w:tcW w:w="756" w:type="dxa"/>
            <w:vAlign w:val="center"/>
          </w:tcPr>
          <w:p w14:paraId="2A2335CC" w14:textId="77777777" w:rsidR="003F3DB8" w:rsidRPr="00CF77C1" w:rsidRDefault="003F3DB8" w:rsidP="0080044B">
            <w:pPr>
              <w:jc w:val="center"/>
              <w:rPr>
                <w:lang w:val="sr-Cyrl-RS"/>
              </w:rPr>
            </w:pPr>
          </w:p>
        </w:tc>
        <w:tc>
          <w:tcPr>
            <w:tcW w:w="756" w:type="dxa"/>
            <w:vAlign w:val="center"/>
          </w:tcPr>
          <w:p w14:paraId="23D38AC8" w14:textId="77777777" w:rsidR="003F3DB8" w:rsidRPr="00CF77C1" w:rsidRDefault="003F3DB8" w:rsidP="0080044B">
            <w:pPr>
              <w:jc w:val="center"/>
              <w:rPr>
                <w:lang w:val="sr-Cyrl-RS"/>
              </w:rPr>
            </w:pPr>
          </w:p>
        </w:tc>
      </w:tr>
      <w:tr w:rsidR="003F3DB8" w:rsidRPr="00CF77C1" w14:paraId="4B7992F4" w14:textId="77777777" w:rsidTr="003F3DB8">
        <w:tc>
          <w:tcPr>
            <w:tcW w:w="7621" w:type="dxa"/>
            <w:vAlign w:val="center"/>
          </w:tcPr>
          <w:p w14:paraId="18972087" w14:textId="3AE839D5" w:rsidR="003F3DB8" w:rsidRPr="00CF77C1" w:rsidRDefault="003F3DB8" w:rsidP="0080044B">
            <w:pPr>
              <w:jc w:val="left"/>
              <w:rPr>
                <w:lang w:val="sr-Cyrl-RS"/>
              </w:rPr>
            </w:pPr>
            <w:r w:rsidRPr="00CF77C1">
              <w:rPr>
                <w:lang w:val="sr-Cyrl-RS"/>
              </w:rPr>
              <w:t>Решавање имовинско-правних послова</w:t>
            </w:r>
            <w:r w:rsidR="000947FE" w:rsidRPr="00CF77C1">
              <w:rPr>
                <w:lang w:val="sr-Cyrl-RS"/>
              </w:rPr>
              <w:t xml:space="preserve"> за деоницу Панчево-Смедерево</w:t>
            </w:r>
          </w:p>
        </w:tc>
        <w:tc>
          <w:tcPr>
            <w:tcW w:w="1843" w:type="dxa"/>
            <w:vAlign w:val="center"/>
          </w:tcPr>
          <w:p w14:paraId="78C797E2"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1C1AA5D3" w14:textId="77777777" w:rsidR="003F3DB8" w:rsidRPr="00CF77C1" w:rsidRDefault="003F3DB8" w:rsidP="0080044B">
            <w:pPr>
              <w:jc w:val="center"/>
              <w:rPr>
                <w:lang w:val="sr-Cyrl-RS"/>
              </w:rPr>
            </w:pPr>
          </w:p>
        </w:tc>
        <w:tc>
          <w:tcPr>
            <w:tcW w:w="756" w:type="dxa"/>
            <w:vAlign w:val="center"/>
          </w:tcPr>
          <w:p w14:paraId="455858B5" w14:textId="77777777" w:rsidR="003F3DB8" w:rsidRPr="00CF77C1" w:rsidRDefault="003F3DB8" w:rsidP="0080044B">
            <w:pPr>
              <w:jc w:val="center"/>
              <w:rPr>
                <w:lang w:val="sr-Cyrl-RS"/>
              </w:rPr>
            </w:pPr>
            <w:r w:rsidRPr="00CF77C1">
              <w:rPr>
                <w:lang w:val="sr-Cyrl-RS"/>
              </w:rPr>
              <w:t>x</w:t>
            </w:r>
          </w:p>
        </w:tc>
        <w:tc>
          <w:tcPr>
            <w:tcW w:w="756" w:type="dxa"/>
            <w:vAlign w:val="center"/>
          </w:tcPr>
          <w:p w14:paraId="694FF569" w14:textId="77777777" w:rsidR="003F3DB8" w:rsidRPr="00CF77C1" w:rsidRDefault="003F3DB8" w:rsidP="0080044B">
            <w:pPr>
              <w:jc w:val="center"/>
              <w:rPr>
                <w:lang w:val="sr-Cyrl-RS"/>
              </w:rPr>
            </w:pPr>
          </w:p>
        </w:tc>
        <w:tc>
          <w:tcPr>
            <w:tcW w:w="756" w:type="dxa"/>
            <w:vAlign w:val="center"/>
          </w:tcPr>
          <w:p w14:paraId="3B86BF4C" w14:textId="77777777" w:rsidR="003F3DB8" w:rsidRPr="00CF77C1" w:rsidRDefault="003F3DB8" w:rsidP="0080044B">
            <w:pPr>
              <w:jc w:val="center"/>
              <w:rPr>
                <w:lang w:val="sr-Cyrl-RS"/>
              </w:rPr>
            </w:pPr>
          </w:p>
        </w:tc>
        <w:tc>
          <w:tcPr>
            <w:tcW w:w="756" w:type="dxa"/>
            <w:vAlign w:val="center"/>
          </w:tcPr>
          <w:p w14:paraId="3B658DA4" w14:textId="77777777" w:rsidR="003F3DB8" w:rsidRPr="00CF77C1" w:rsidRDefault="003F3DB8" w:rsidP="0080044B">
            <w:pPr>
              <w:jc w:val="center"/>
              <w:rPr>
                <w:lang w:val="sr-Cyrl-RS"/>
              </w:rPr>
            </w:pPr>
          </w:p>
        </w:tc>
        <w:tc>
          <w:tcPr>
            <w:tcW w:w="756" w:type="dxa"/>
            <w:vAlign w:val="center"/>
          </w:tcPr>
          <w:p w14:paraId="41F7ADE9" w14:textId="77777777" w:rsidR="003F3DB8" w:rsidRPr="00CF77C1" w:rsidRDefault="003F3DB8" w:rsidP="0080044B">
            <w:pPr>
              <w:jc w:val="center"/>
              <w:rPr>
                <w:lang w:val="sr-Cyrl-RS"/>
              </w:rPr>
            </w:pPr>
          </w:p>
        </w:tc>
        <w:tc>
          <w:tcPr>
            <w:tcW w:w="756" w:type="dxa"/>
            <w:vAlign w:val="center"/>
          </w:tcPr>
          <w:p w14:paraId="55D79B9C" w14:textId="77777777" w:rsidR="003F3DB8" w:rsidRPr="00CF77C1" w:rsidRDefault="003F3DB8" w:rsidP="0080044B">
            <w:pPr>
              <w:jc w:val="center"/>
              <w:rPr>
                <w:lang w:val="sr-Cyrl-RS"/>
              </w:rPr>
            </w:pPr>
          </w:p>
        </w:tc>
      </w:tr>
      <w:tr w:rsidR="003F3DB8" w:rsidRPr="00CF77C1" w14:paraId="4511D957" w14:textId="77777777" w:rsidTr="003F3DB8">
        <w:tc>
          <w:tcPr>
            <w:tcW w:w="7621" w:type="dxa"/>
            <w:vAlign w:val="center"/>
          </w:tcPr>
          <w:p w14:paraId="120767F8" w14:textId="77777777" w:rsidR="003F3DB8" w:rsidRPr="00CF77C1" w:rsidRDefault="003F3DB8" w:rsidP="0080044B">
            <w:pPr>
              <w:jc w:val="left"/>
              <w:rPr>
                <w:lang w:val="sr-Cyrl-RS"/>
              </w:rPr>
            </w:pPr>
            <w:r w:rsidRPr="00CF77C1">
              <w:rPr>
                <w:lang w:val="sr-Cyrl-RS"/>
              </w:rPr>
              <w:t>Израда тендерске документације</w:t>
            </w:r>
          </w:p>
        </w:tc>
        <w:tc>
          <w:tcPr>
            <w:tcW w:w="1843" w:type="dxa"/>
            <w:vAlign w:val="center"/>
          </w:tcPr>
          <w:p w14:paraId="412C59F4"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5D83BCB5" w14:textId="77777777" w:rsidR="003F3DB8" w:rsidRPr="00CF77C1" w:rsidRDefault="003F3DB8" w:rsidP="0080044B">
            <w:pPr>
              <w:jc w:val="center"/>
              <w:rPr>
                <w:lang w:val="sr-Cyrl-RS"/>
              </w:rPr>
            </w:pPr>
          </w:p>
        </w:tc>
        <w:tc>
          <w:tcPr>
            <w:tcW w:w="756" w:type="dxa"/>
            <w:vAlign w:val="center"/>
          </w:tcPr>
          <w:p w14:paraId="21EB4825" w14:textId="77777777" w:rsidR="003F3DB8" w:rsidRPr="00CF77C1" w:rsidRDefault="003F3DB8" w:rsidP="0080044B">
            <w:pPr>
              <w:jc w:val="center"/>
              <w:rPr>
                <w:lang w:val="sr-Cyrl-RS"/>
              </w:rPr>
            </w:pPr>
          </w:p>
        </w:tc>
        <w:tc>
          <w:tcPr>
            <w:tcW w:w="756" w:type="dxa"/>
            <w:vAlign w:val="center"/>
          </w:tcPr>
          <w:p w14:paraId="5A3B657E" w14:textId="77777777" w:rsidR="003F3DB8" w:rsidRPr="00CF77C1" w:rsidRDefault="003F3DB8" w:rsidP="0080044B">
            <w:pPr>
              <w:jc w:val="center"/>
              <w:rPr>
                <w:lang w:val="sr-Cyrl-RS"/>
              </w:rPr>
            </w:pPr>
          </w:p>
        </w:tc>
        <w:tc>
          <w:tcPr>
            <w:tcW w:w="756" w:type="dxa"/>
            <w:vAlign w:val="center"/>
          </w:tcPr>
          <w:p w14:paraId="33B17980" w14:textId="77777777" w:rsidR="003F3DB8" w:rsidRPr="00CF77C1" w:rsidRDefault="003F3DB8" w:rsidP="0080044B">
            <w:pPr>
              <w:jc w:val="center"/>
              <w:rPr>
                <w:lang w:val="sr-Cyrl-RS"/>
              </w:rPr>
            </w:pPr>
            <w:r w:rsidRPr="00CF77C1">
              <w:rPr>
                <w:lang w:val="sr-Cyrl-RS"/>
              </w:rPr>
              <w:t>х</w:t>
            </w:r>
          </w:p>
        </w:tc>
        <w:tc>
          <w:tcPr>
            <w:tcW w:w="756" w:type="dxa"/>
            <w:vAlign w:val="center"/>
          </w:tcPr>
          <w:p w14:paraId="3A8EFE77" w14:textId="77777777" w:rsidR="003F3DB8" w:rsidRPr="00CF77C1" w:rsidRDefault="003F3DB8" w:rsidP="0080044B">
            <w:pPr>
              <w:jc w:val="center"/>
              <w:rPr>
                <w:lang w:val="sr-Cyrl-RS"/>
              </w:rPr>
            </w:pPr>
          </w:p>
        </w:tc>
        <w:tc>
          <w:tcPr>
            <w:tcW w:w="756" w:type="dxa"/>
            <w:vAlign w:val="center"/>
          </w:tcPr>
          <w:p w14:paraId="1AC4E257" w14:textId="77777777" w:rsidR="003F3DB8" w:rsidRPr="00CF77C1" w:rsidRDefault="003F3DB8" w:rsidP="0080044B">
            <w:pPr>
              <w:jc w:val="center"/>
              <w:rPr>
                <w:lang w:val="sr-Cyrl-RS"/>
              </w:rPr>
            </w:pPr>
          </w:p>
        </w:tc>
        <w:tc>
          <w:tcPr>
            <w:tcW w:w="756" w:type="dxa"/>
            <w:vAlign w:val="center"/>
          </w:tcPr>
          <w:p w14:paraId="0E2BE58C" w14:textId="77777777" w:rsidR="003F3DB8" w:rsidRPr="00CF77C1" w:rsidRDefault="003F3DB8" w:rsidP="0080044B">
            <w:pPr>
              <w:jc w:val="center"/>
              <w:rPr>
                <w:lang w:val="sr-Cyrl-RS"/>
              </w:rPr>
            </w:pPr>
          </w:p>
        </w:tc>
      </w:tr>
      <w:tr w:rsidR="003F3DB8" w:rsidRPr="00CF77C1" w14:paraId="004706D3" w14:textId="77777777" w:rsidTr="003F3DB8">
        <w:tc>
          <w:tcPr>
            <w:tcW w:w="7621" w:type="dxa"/>
            <w:vAlign w:val="center"/>
          </w:tcPr>
          <w:p w14:paraId="58CBC242" w14:textId="77777777" w:rsidR="003F3DB8" w:rsidRPr="00CF77C1" w:rsidRDefault="003F3DB8" w:rsidP="0080044B">
            <w:pPr>
              <w:jc w:val="left"/>
              <w:rPr>
                <w:lang w:val="sr-Cyrl-RS"/>
              </w:rPr>
            </w:pPr>
            <w:r w:rsidRPr="00CF77C1">
              <w:rPr>
                <w:lang w:val="sr-Cyrl-RS"/>
              </w:rPr>
              <w:t>Изградња</w:t>
            </w:r>
          </w:p>
        </w:tc>
        <w:tc>
          <w:tcPr>
            <w:tcW w:w="1843" w:type="dxa"/>
            <w:vAlign w:val="center"/>
          </w:tcPr>
          <w:p w14:paraId="1BE84E26" w14:textId="77777777" w:rsidR="003F3DB8" w:rsidRPr="00CF77C1" w:rsidRDefault="003F3DB8" w:rsidP="0080044B">
            <w:pPr>
              <w:jc w:val="center"/>
              <w:rPr>
                <w:lang w:val="sr-Cyrl-RS"/>
              </w:rPr>
            </w:pPr>
            <w:r w:rsidRPr="00CF77C1">
              <w:rPr>
                <w:lang w:val="sr-Cyrl-RS"/>
              </w:rPr>
              <w:t>ЈП Транснафта</w:t>
            </w:r>
          </w:p>
        </w:tc>
        <w:tc>
          <w:tcPr>
            <w:tcW w:w="756" w:type="dxa"/>
            <w:vAlign w:val="center"/>
          </w:tcPr>
          <w:p w14:paraId="3A0AB80F" w14:textId="77777777" w:rsidR="003F3DB8" w:rsidRPr="00CF77C1" w:rsidRDefault="003F3DB8" w:rsidP="0080044B">
            <w:pPr>
              <w:jc w:val="center"/>
              <w:rPr>
                <w:lang w:val="sr-Cyrl-RS"/>
              </w:rPr>
            </w:pPr>
          </w:p>
        </w:tc>
        <w:tc>
          <w:tcPr>
            <w:tcW w:w="756" w:type="dxa"/>
            <w:vAlign w:val="center"/>
          </w:tcPr>
          <w:p w14:paraId="4843F064" w14:textId="77777777" w:rsidR="003F3DB8" w:rsidRPr="00CF77C1" w:rsidRDefault="003F3DB8" w:rsidP="0080044B">
            <w:pPr>
              <w:jc w:val="center"/>
              <w:rPr>
                <w:lang w:val="sr-Cyrl-RS"/>
              </w:rPr>
            </w:pPr>
          </w:p>
        </w:tc>
        <w:tc>
          <w:tcPr>
            <w:tcW w:w="756" w:type="dxa"/>
            <w:vAlign w:val="center"/>
          </w:tcPr>
          <w:p w14:paraId="7169F71B" w14:textId="77777777" w:rsidR="003F3DB8" w:rsidRPr="00CF77C1" w:rsidRDefault="003F3DB8" w:rsidP="0080044B">
            <w:pPr>
              <w:jc w:val="center"/>
              <w:rPr>
                <w:lang w:val="sr-Cyrl-RS"/>
              </w:rPr>
            </w:pPr>
          </w:p>
        </w:tc>
        <w:tc>
          <w:tcPr>
            <w:tcW w:w="756" w:type="dxa"/>
            <w:vAlign w:val="center"/>
          </w:tcPr>
          <w:p w14:paraId="0939AB4B" w14:textId="77777777" w:rsidR="003F3DB8" w:rsidRPr="00CF77C1" w:rsidRDefault="003F3DB8" w:rsidP="0080044B">
            <w:pPr>
              <w:jc w:val="center"/>
              <w:rPr>
                <w:lang w:val="sr-Cyrl-RS"/>
              </w:rPr>
            </w:pPr>
          </w:p>
        </w:tc>
        <w:tc>
          <w:tcPr>
            <w:tcW w:w="756" w:type="dxa"/>
            <w:vAlign w:val="center"/>
          </w:tcPr>
          <w:p w14:paraId="046CFFB1" w14:textId="77777777" w:rsidR="003F3DB8" w:rsidRPr="00CF77C1" w:rsidRDefault="003F3DB8" w:rsidP="0080044B">
            <w:pPr>
              <w:jc w:val="center"/>
              <w:rPr>
                <w:lang w:val="sr-Cyrl-RS"/>
              </w:rPr>
            </w:pPr>
            <w:r w:rsidRPr="00CF77C1">
              <w:rPr>
                <w:lang w:val="sr-Cyrl-RS"/>
              </w:rPr>
              <w:t>х</w:t>
            </w:r>
          </w:p>
        </w:tc>
        <w:tc>
          <w:tcPr>
            <w:tcW w:w="756" w:type="dxa"/>
            <w:vAlign w:val="center"/>
          </w:tcPr>
          <w:p w14:paraId="6499D98D" w14:textId="77777777" w:rsidR="003F3DB8" w:rsidRPr="00CF77C1" w:rsidRDefault="003F3DB8" w:rsidP="0080044B">
            <w:pPr>
              <w:jc w:val="center"/>
              <w:rPr>
                <w:lang w:val="sr-Cyrl-RS"/>
              </w:rPr>
            </w:pPr>
            <w:r w:rsidRPr="00CF77C1">
              <w:rPr>
                <w:lang w:val="sr-Cyrl-RS"/>
              </w:rPr>
              <w:t>х</w:t>
            </w:r>
          </w:p>
        </w:tc>
        <w:tc>
          <w:tcPr>
            <w:tcW w:w="756" w:type="dxa"/>
            <w:vAlign w:val="center"/>
          </w:tcPr>
          <w:p w14:paraId="7D3BF586" w14:textId="77777777" w:rsidR="003F3DB8" w:rsidRPr="00CF77C1" w:rsidRDefault="003F3DB8" w:rsidP="0080044B">
            <w:pPr>
              <w:jc w:val="center"/>
              <w:rPr>
                <w:lang w:val="sr-Cyrl-RS"/>
              </w:rPr>
            </w:pPr>
          </w:p>
        </w:tc>
      </w:tr>
    </w:tbl>
    <w:p w14:paraId="3FDD8AEB" w14:textId="77777777" w:rsidR="003F3DB8" w:rsidRPr="00CF77C1" w:rsidRDefault="003F3DB8" w:rsidP="0080044B">
      <w:pPr>
        <w:rPr>
          <w:lang w:val="sr-Cyrl-RS"/>
        </w:rPr>
        <w:sectPr w:rsidR="003F3DB8" w:rsidRPr="00CF77C1" w:rsidSect="003F3DB8">
          <w:headerReference w:type="default" r:id="rId84"/>
          <w:footerReference w:type="even" r:id="rId85"/>
          <w:footerReference w:type="default" r:id="rId86"/>
          <w:pgSz w:w="16839" w:h="11907" w:orient="landscape" w:code="9"/>
          <w:pgMar w:top="1418" w:right="1134" w:bottom="1134" w:left="1134" w:header="1004" w:footer="720" w:gutter="0"/>
          <w:cols w:space="720"/>
          <w:docGrid w:linePitch="360"/>
        </w:sectPr>
      </w:pPr>
    </w:p>
    <w:p w14:paraId="3127310A" w14:textId="187984CA" w:rsidR="003F3DB8" w:rsidRPr="00CF77C1" w:rsidRDefault="001D1156" w:rsidP="001D1156">
      <w:pPr>
        <w:pStyle w:val="Heading4"/>
        <w:numPr>
          <w:ilvl w:val="0"/>
          <w:numId w:val="0"/>
        </w:numPr>
        <w:ind w:left="998" w:right="85" w:hanging="278"/>
        <w:rPr>
          <w:b w:val="0"/>
          <w:lang w:val="sr-Cyrl-RS"/>
        </w:rPr>
      </w:pPr>
      <w:bookmarkStart w:id="137" w:name="_Toc471730790"/>
      <w:bookmarkStart w:id="138" w:name="_Toc484260304"/>
      <w:r w:rsidRPr="00CF77C1">
        <w:rPr>
          <w:b w:val="0"/>
          <w:lang w:val="sr-Cyrl-RS"/>
        </w:rPr>
        <w:t xml:space="preserve">3.4.2.3. </w:t>
      </w:r>
      <w:r w:rsidR="003F3DB8" w:rsidRPr="00CF77C1">
        <w:rPr>
          <w:b w:val="0"/>
          <w:lang w:val="sr-Cyrl-RS"/>
        </w:rPr>
        <w:t>Пројекти у подобласти промета</w:t>
      </w:r>
      <w:bookmarkEnd w:id="137"/>
      <w:bookmarkEnd w:id="138"/>
      <w:r w:rsidRPr="00CF77C1">
        <w:rPr>
          <w:b w:val="0"/>
          <w:lang w:val="sr-Cyrl-RS"/>
        </w:rPr>
        <w:t xml:space="preserve">  </w:t>
      </w:r>
    </w:p>
    <w:p w14:paraId="4791226D" w14:textId="0399A23F" w:rsidR="003F3DB8" w:rsidRPr="00CF77C1" w:rsidRDefault="001D1156" w:rsidP="001D1156">
      <w:pPr>
        <w:keepNext/>
        <w:ind w:firstLine="720"/>
        <w:rPr>
          <w:lang w:val="sr-Cyrl-RS"/>
        </w:rPr>
      </w:pPr>
      <w:bookmarkStart w:id="139" w:name="_Ref476806072"/>
      <w:r w:rsidRPr="00CF77C1">
        <w:rPr>
          <w:lang w:val="sr-Cyrl-RS"/>
        </w:rPr>
        <w:t xml:space="preserve">П.20. </w:t>
      </w:r>
      <w:r w:rsidR="003F3DB8" w:rsidRPr="00CF77C1">
        <w:rPr>
          <w:lang w:val="sr-Cyrl-RS"/>
        </w:rPr>
        <w:t>Пројекaт „Формирање обавезних резерви</w:t>
      </w:r>
      <w:r w:rsidR="00AD5740" w:rsidRPr="00CF77C1">
        <w:rPr>
          <w:lang w:val="sr-Cyrl-RS"/>
        </w:rPr>
        <w:t>”</w:t>
      </w:r>
      <w:bookmarkEnd w:id="139"/>
    </w:p>
    <w:p w14:paraId="7E9FC0C7" w14:textId="0098475A" w:rsidR="003F3DB8" w:rsidRPr="00CF77C1" w:rsidRDefault="003F3DB8" w:rsidP="00E209CF">
      <w:pPr>
        <w:ind w:firstLine="720"/>
        <w:rPr>
          <w:lang w:val="sr-Cyrl-RS"/>
        </w:rPr>
      </w:pPr>
      <w:r w:rsidRPr="00CF77C1">
        <w:rPr>
          <w:szCs w:val="24"/>
          <w:lang w:val="sr-Cyrl-RS"/>
        </w:rPr>
        <w:t xml:space="preserve">У Републици Србији планирано је да се </w:t>
      </w:r>
      <w:r w:rsidR="00C95825" w:rsidRPr="00CF77C1">
        <w:rPr>
          <w:szCs w:val="24"/>
          <w:lang w:val="sr-Cyrl-RS"/>
        </w:rPr>
        <w:t>обавезне резерве нафте и нафтних деривата (</w:t>
      </w:r>
      <w:r w:rsidRPr="00CF77C1">
        <w:rPr>
          <w:szCs w:val="24"/>
          <w:lang w:val="sr-Cyrl-RS"/>
        </w:rPr>
        <w:t>ОР</w:t>
      </w:r>
      <w:r w:rsidR="00C95825" w:rsidRPr="00CF77C1">
        <w:rPr>
          <w:szCs w:val="24"/>
          <w:lang w:val="sr-Cyrl-RS"/>
        </w:rPr>
        <w:t>)</w:t>
      </w:r>
      <w:r w:rsidRPr="00CF77C1">
        <w:rPr>
          <w:szCs w:val="24"/>
          <w:lang w:val="sr-Cyrl-RS"/>
        </w:rPr>
        <w:t xml:space="preserve"> ф</w:t>
      </w:r>
      <w:r w:rsidR="00C0652E" w:rsidRPr="00CF77C1">
        <w:rPr>
          <w:szCs w:val="24"/>
          <w:lang w:val="sr-Cyrl-RS"/>
        </w:rPr>
        <w:t xml:space="preserve">ормирају у периоду 2015 - 31. децембра </w:t>
      </w:r>
      <w:r w:rsidRPr="00CF77C1">
        <w:rPr>
          <w:szCs w:val="24"/>
          <w:lang w:val="sr-Cyrl-RS"/>
        </w:rPr>
        <w:t xml:space="preserve">2022. године, почевши од резерви за 9,5 дана у 2015. години у количини oд шездесетједнодневне просечне </w:t>
      </w:r>
      <w:r w:rsidR="00892212" w:rsidRPr="00CF77C1">
        <w:rPr>
          <w:szCs w:val="24"/>
          <w:lang w:val="sr-Cyrl-RS"/>
        </w:rPr>
        <w:t xml:space="preserve">потрошње. </w:t>
      </w:r>
      <w:r w:rsidRPr="00CF77C1">
        <w:rPr>
          <w:lang w:val="sr-Cyrl-RS"/>
        </w:rPr>
        <w:t xml:space="preserve">ОР ће се утврђивати за сваку текућу годину на основу </w:t>
      </w:r>
      <w:r w:rsidRPr="00CF77C1">
        <w:rPr>
          <w:bCs/>
          <w:lang w:val="sr-Cyrl-RS"/>
        </w:rPr>
        <w:t xml:space="preserve">података из претходне године </w:t>
      </w:r>
      <w:r w:rsidRPr="00CF77C1">
        <w:rPr>
          <w:lang w:val="sr-Cyrl-RS"/>
        </w:rPr>
        <w:t xml:space="preserve">у </w:t>
      </w:r>
      <w:r w:rsidRPr="00CF77C1">
        <w:rPr>
          <w:szCs w:val="24"/>
          <w:lang w:val="sr-Cyrl-RS"/>
        </w:rPr>
        <w:t>количини која је једнака деведесетодневном нето увозу или шездесетједнодневној домаћој потрошњи</w:t>
      </w:r>
      <w:r w:rsidRPr="00CF77C1">
        <w:rPr>
          <w:lang w:val="sr-Cyrl-RS"/>
        </w:rPr>
        <w:t xml:space="preserve"> у Републици Србији, у зависности која количина буде већа. Такође, за сваку годину ће се утврђивати и структура обавезних резерви којом ће бити заступљени они деривати нафте чија је заједничка заступљеност, изражена у еквиваленту сирове нафте, једнака најмање 75% укупне домаће потрошње из претходне године.</w:t>
      </w:r>
    </w:p>
    <w:p w14:paraId="51B39903" w14:textId="5F54E87F" w:rsidR="003F3DB8" w:rsidRPr="00CF77C1" w:rsidRDefault="003F3DB8" w:rsidP="00E209CF">
      <w:pPr>
        <w:ind w:firstLine="720"/>
        <w:rPr>
          <w:szCs w:val="24"/>
          <w:lang w:val="sr-Cyrl-RS"/>
        </w:rPr>
      </w:pPr>
      <w:r w:rsidRPr="00CF77C1">
        <w:rPr>
          <w:szCs w:val="24"/>
          <w:lang w:val="sr-Cyrl-RS"/>
        </w:rPr>
        <w:t>Управа за резерве енергената је формирала ОР у 2015. години на нивоу од 9,5 дана просечне нето потрошње и наставила рад на њиховом формирању током 2016. године</w:t>
      </w:r>
      <w:r w:rsidR="00892212" w:rsidRPr="00CF77C1">
        <w:rPr>
          <w:szCs w:val="24"/>
          <w:lang w:val="sr-Cyrl-RS"/>
        </w:rPr>
        <w:t>.</w:t>
      </w:r>
    </w:p>
    <w:p w14:paraId="7201F8B4" w14:textId="5B88C8CE" w:rsidR="003F3DB8" w:rsidRPr="00CF77C1" w:rsidRDefault="003F3DB8" w:rsidP="00E209CF">
      <w:pPr>
        <w:ind w:firstLine="720"/>
        <w:rPr>
          <w:szCs w:val="24"/>
          <w:lang w:val="sr-Cyrl-RS"/>
        </w:rPr>
      </w:pPr>
      <w:r w:rsidRPr="00CF77C1">
        <w:rPr>
          <w:szCs w:val="24"/>
          <w:lang w:val="sr-Cyrl-RS"/>
        </w:rPr>
        <w:t>При набавци деривата нафте присутан је проблем обавезе плаћања акцизног дела њихове цене од стране Управе за р</w:t>
      </w:r>
      <w:r w:rsidR="00FB5FA5">
        <w:rPr>
          <w:szCs w:val="24"/>
          <w:lang w:val="sr-Cyrl-RS"/>
        </w:rPr>
        <w:t>езерве енергената. Кроз измену З</w:t>
      </w:r>
      <w:r w:rsidRPr="00CF77C1">
        <w:rPr>
          <w:szCs w:val="24"/>
          <w:lang w:val="sr-Cyrl-RS"/>
        </w:rPr>
        <w:t>акона о акцизама потребно је омогућити набавку деривата без акцизе чиме би се директно утицало на брже формирање ОР, с обзиром на ограничена буџетска средства за ту намену.</w:t>
      </w:r>
    </w:p>
    <w:p w14:paraId="50AF11D1" w14:textId="397C700A" w:rsidR="003F3DB8" w:rsidRPr="00CF77C1" w:rsidRDefault="003F3DB8" w:rsidP="00E209CF">
      <w:pPr>
        <w:ind w:firstLine="720"/>
        <w:rPr>
          <w:szCs w:val="24"/>
          <w:lang w:val="sr-Cyrl-RS"/>
        </w:rPr>
      </w:pPr>
      <w:r w:rsidRPr="00CF77C1">
        <w:rPr>
          <w:szCs w:val="24"/>
          <w:lang w:val="sr-Cyrl-RS"/>
        </w:rPr>
        <w:t xml:space="preserve">У циљу формирања ОР, ЈП Транснафта је започела ревитализацију и довођење у функционално стање одређеног бројa складишта деривата која припадају војсци Републике Србије, </w:t>
      </w:r>
      <w:r w:rsidR="0033190E" w:rsidRPr="00CF77C1">
        <w:rPr>
          <w:szCs w:val="24"/>
          <w:lang w:val="sr-Cyrl-RS"/>
        </w:rPr>
        <w:t xml:space="preserve">у складу са прописима који уређују планирање и  изградњу и одбрану земље, </w:t>
      </w:r>
      <w:r w:rsidRPr="00CF77C1">
        <w:rPr>
          <w:szCs w:val="24"/>
          <w:lang w:val="sr-Cyrl-RS"/>
        </w:rPr>
        <w:t xml:space="preserve">а на терминалу Нови Сад је почела изградњу два резервоара за нафту капацитета по </w:t>
      </w:r>
      <w:r w:rsidRPr="00315749">
        <w:rPr>
          <w:szCs w:val="24"/>
          <w:lang w:val="sr-Cyrl-RS"/>
        </w:rPr>
        <w:t>20.000</w:t>
      </w:r>
      <w:r w:rsidR="006C027D">
        <w:rPr>
          <w:szCs w:val="24"/>
          <w:lang w:val="sr-Cyrl-RS"/>
        </w:rPr>
        <w:t xml:space="preserve"> </w:t>
      </w:r>
      <w:r w:rsidR="006C027D">
        <w:rPr>
          <w:szCs w:val="24"/>
        </w:rPr>
        <w:t>m</w:t>
      </w:r>
      <w:r w:rsidR="00315749">
        <w:rPr>
          <w:szCs w:val="24"/>
          <w:vertAlign w:val="superscript"/>
          <w:lang w:val="sr-Cyrl-RS"/>
        </w:rPr>
        <w:t>3</w:t>
      </w:r>
      <w:r w:rsidR="00315749">
        <w:rPr>
          <w:szCs w:val="24"/>
          <w:lang w:val="sr-Cyrl-RS"/>
        </w:rPr>
        <w:t xml:space="preserve"> </w:t>
      </w:r>
      <w:r w:rsidRPr="00CF77C1">
        <w:rPr>
          <w:szCs w:val="24"/>
          <w:lang w:val="sr-Cyrl-RS"/>
        </w:rPr>
        <w:t>чији се завршетак очекује у другој половини 2017. године. У складу са тим, потребно је изменити дефинисану структуру ОР при чему би се количина резерви нафте повећала с</w:t>
      </w:r>
      <w:r w:rsidR="00057516">
        <w:rPr>
          <w:szCs w:val="24"/>
          <w:lang w:val="sr-Cyrl-RS"/>
        </w:rPr>
        <w:t xml:space="preserve">а 20.000 </w:t>
      </w:r>
      <w:r w:rsidR="00057516">
        <w:rPr>
          <w:szCs w:val="24"/>
          <w:lang w:val="sr-Latn-RS"/>
        </w:rPr>
        <w:t>t</w:t>
      </w:r>
      <w:r w:rsidR="00057516">
        <w:rPr>
          <w:szCs w:val="24"/>
          <w:lang w:val="sr-Cyrl-RS"/>
        </w:rPr>
        <w:t xml:space="preserve"> на око 51.000 </w:t>
      </w:r>
      <w:r w:rsidR="00057516">
        <w:rPr>
          <w:szCs w:val="24"/>
          <w:lang w:val="sr-Latn-RS"/>
        </w:rPr>
        <w:t>t</w:t>
      </w:r>
      <w:r w:rsidRPr="00CF77C1">
        <w:rPr>
          <w:szCs w:val="24"/>
          <w:lang w:val="sr-Cyrl-RS"/>
        </w:rPr>
        <w:t>, а смањиле количине резерви у дериватима.</w:t>
      </w:r>
    </w:p>
    <w:p w14:paraId="674B65A7" w14:textId="78AC1480" w:rsidR="003F3DB8" w:rsidRPr="00CF77C1" w:rsidRDefault="003F3DB8" w:rsidP="00E209CF">
      <w:pPr>
        <w:ind w:firstLine="720"/>
        <w:rPr>
          <w:szCs w:val="24"/>
          <w:lang w:val="sr-Cyrl-RS"/>
        </w:rPr>
      </w:pPr>
      <w:r w:rsidRPr="00CF77C1">
        <w:rPr>
          <w:szCs w:val="24"/>
          <w:lang w:val="sr-Cyrl-RS"/>
        </w:rPr>
        <w:t>Такође, Републичка дирекција за робне резерве (РДРР) планира да повећа складишне капацитете кроз изградњу нових резервоара.</w:t>
      </w:r>
    </w:p>
    <w:p w14:paraId="528792A1" w14:textId="466304A9" w:rsidR="003F3DB8" w:rsidRPr="00CF77C1" w:rsidRDefault="003F3DB8" w:rsidP="00E209CF">
      <w:pPr>
        <w:ind w:firstLine="720"/>
        <w:rPr>
          <w:szCs w:val="24"/>
          <w:lang w:val="sr-Cyrl-RS"/>
        </w:rPr>
      </w:pPr>
      <w:r w:rsidRPr="00CF77C1">
        <w:rPr>
          <w:szCs w:val="24"/>
          <w:lang w:val="sr-Cyrl-RS"/>
        </w:rPr>
        <w:t xml:space="preserve">У </w:t>
      </w:r>
      <w:r w:rsidR="0092145E" w:rsidRPr="00CF77C1">
        <w:rPr>
          <w:szCs w:val="24"/>
          <w:lang w:val="sr-Cyrl-RS"/>
        </w:rPr>
        <w:fldChar w:fldCharType="begin"/>
      </w:r>
      <w:r w:rsidR="00BE586B" w:rsidRPr="00CF77C1">
        <w:rPr>
          <w:szCs w:val="24"/>
          <w:lang w:val="sr-Cyrl-RS"/>
        </w:rPr>
        <w:instrText xml:space="preserve"> REF _Ref475611334 \h </w:instrText>
      </w:r>
      <w:r w:rsidR="002158C6" w:rsidRPr="00CF77C1">
        <w:rPr>
          <w:szCs w:val="24"/>
          <w:lang w:val="sr-Cyrl-RS"/>
        </w:rPr>
        <w:instrText xml:space="preserve"> \* MERGEFORMAT </w:instrText>
      </w:r>
      <w:r w:rsidR="0092145E" w:rsidRPr="00CF77C1">
        <w:rPr>
          <w:szCs w:val="24"/>
          <w:lang w:val="sr-Cyrl-RS"/>
        </w:rPr>
      </w:r>
      <w:r w:rsidR="0092145E" w:rsidRPr="00CF77C1">
        <w:rPr>
          <w:szCs w:val="24"/>
          <w:lang w:val="sr-Cyrl-RS"/>
        </w:rPr>
        <w:fldChar w:fldCharType="separate"/>
      </w:r>
      <w:r w:rsidR="002D5918" w:rsidRPr="002D5918">
        <w:rPr>
          <w:szCs w:val="24"/>
          <w:lang w:val="sr-Cyrl-RS"/>
        </w:rPr>
        <w:t>таб. 56</w:t>
      </w:r>
      <w:r w:rsidR="0092145E" w:rsidRPr="00CF77C1">
        <w:rPr>
          <w:szCs w:val="24"/>
          <w:lang w:val="sr-Cyrl-RS"/>
        </w:rPr>
        <w:fldChar w:fldCharType="end"/>
      </w:r>
      <w:r w:rsidRPr="00CF77C1">
        <w:rPr>
          <w:szCs w:val="24"/>
          <w:lang w:val="sr-Cyrl-RS"/>
        </w:rPr>
        <w:t xml:space="preserve"> приказани су подаци о расположивим складишним капацитетима у јавној својини и својини јавних предузећа (ЈП Транснафта и РДРР) и дефинисана динамика њиховог повећања у циљу формирања ОР. У </w:t>
      </w:r>
      <w:r w:rsidR="0092145E" w:rsidRPr="00CF77C1">
        <w:rPr>
          <w:szCs w:val="24"/>
          <w:lang w:val="sr-Cyrl-RS"/>
        </w:rPr>
        <w:fldChar w:fldCharType="begin"/>
      </w:r>
      <w:r w:rsidR="00A42806" w:rsidRPr="00CF77C1">
        <w:rPr>
          <w:szCs w:val="24"/>
          <w:lang w:val="sr-Cyrl-RS"/>
        </w:rPr>
        <w:instrText xml:space="preserve"> REF _Ref475611357 \h </w:instrText>
      </w:r>
      <w:r w:rsidR="002158C6" w:rsidRPr="00CF77C1">
        <w:rPr>
          <w:szCs w:val="24"/>
          <w:lang w:val="sr-Cyrl-RS"/>
        </w:rPr>
        <w:instrText xml:space="preserve"> \* MERGEFORMAT </w:instrText>
      </w:r>
      <w:r w:rsidR="0092145E" w:rsidRPr="00CF77C1">
        <w:rPr>
          <w:szCs w:val="24"/>
          <w:lang w:val="sr-Cyrl-RS"/>
        </w:rPr>
      </w:r>
      <w:r w:rsidR="0092145E" w:rsidRPr="00CF77C1">
        <w:rPr>
          <w:szCs w:val="24"/>
          <w:lang w:val="sr-Cyrl-RS"/>
        </w:rPr>
        <w:fldChar w:fldCharType="separate"/>
      </w:r>
      <w:r w:rsidR="002D5918" w:rsidRPr="002D5918">
        <w:rPr>
          <w:szCs w:val="24"/>
          <w:lang w:val="sr-Cyrl-RS"/>
        </w:rPr>
        <w:t>таб. 57</w:t>
      </w:r>
      <w:r w:rsidR="0092145E" w:rsidRPr="00CF77C1">
        <w:rPr>
          <w:szCs w:val="24"/>
          <w:lang w:val="sr-Cyrl-RS"/>
        </w:rPr>
        <w:fldChar w:fldCharType="end"/>
      </w:r>
      <w:r w:rsidRPr="00CF77C1">
        <w:rPr>
          <w:szCs w:val="24"/>
          <w:lang w:val="sr-Cyrl-RS"/>
        </w:rPr>
        <w:t xml:space="preserve"> дата је динамика реализације пројекта „Формирање обавезних резерви</w:t>
      </w:r>
      <w:r w:rsidR="00AD5740" w:rsidRPr="00CF77C1">
        <w:rPr>
          <w:szCs w:val="24"/>
          <w:lang w:val="sr-Cyrl-RS"/>
        </w:rPr>
        <w:t>”</w:t>
      </w:r>
      <w:r w:rsidRPr="00CF77C1">
        <w:rPr>
          <w:szCs w:val="24"/>
          <w:lang w:val="sr-Cyrl-RS"/>
        </w:rPr>
        <w:t>.</w:t>
      </w:r>
    </w:p>
    <w:p w14:paraId="361117F6" w14:textId="77777777" w:rsidR="003F3DB8" w:rsidRPr="00CF77C1" w:rsidRDefault="003F3DB8" w:rsidP="00E209CF">
      <w:pPr>
        <w:ind w:firstLine="720"/>
        <w:rPr>
          <w:szCs w:val="24"/>
          <w:lang w:val="sr-Cyrl-RS"/>
        </w:rPr>
      </w:pPr>
      <w:r w:rsidRPr="00CF77C1">
        <w:rPr>
          <w:szCs w:val="24"/>
          <w:lang w:val="sr-Cyrl-RS"/>
        </w:rPr>
        <w:t>На основу урађене анализе утврђено је да недостаје складишног простора за формирање ОР од око 155.000 тона, у висини од 20,4 дана просечне дневне потрошње, уколико би се све складиштило у роби.</w:t>
      </w:r>
    </w:p>
    <w:p w14:paraId="48D0FA4E" w14:textId="18D90A76" w:rsidR="003F3DB8" w:rsidRPr="00CF77C1" w:rsidRDefault="003F3DB8" w:rsidP="00E209CF">
      <w:pPr>
        <w:ind w:firstLine="720"/>
        <w:rPr>
          <w:szCs w:val="24"/>
          <w:lang w:val="sr-Cyrl-RS"/>
        </w:rPr>
      </w:pPr>
      <w:r w:rsidRPr="00CF77C1">
        <w:rPr>
          <w:szCs w:val="24"/>
          <w:lang w:val="sr-Cyrl-RS"/>
        </w:rPr>
        <w:t>Проблем недостајућих складишних капацитета може се решити коришћењем постојећих расположивих складишних капацитета у Републици Србији (који се не користе), изградњом нових складишних капацитета у јавној својини, изградњом нових складишних капа</w:t>
      </w:r>
      <w:r w:rsidR="00702CC8">
        <w:rPr>
          <w:szCs w:val="24"/>
          <w:lang w:val="sr-Cyrl-RS"/>
        </w:rPr>
        <w:t>цитета кроз јавно приватно партне</w:t>
      </w:r>
      <w:r w:rsidRPr="00CF77C1">
        <w:rPr>
          <w:szCs w:val="24"/>
          <w:lang w:val="sr-Cyrl-RS"/>
        </w:rPr>
        <w:t>рство и уговореним правима на куповину одређених количина деривата нафте.</w:t>
      </w:r>
    </w:p>
    <w:p w14:paraId="141F562F" w14:textId="0680F4B2" w:rsidR="003F3DB8" w:rsidRPr="00CF77C1" w:rsidRDefault="003F3DB8" w:rsidP="00E209CF">
      <w:pPr>
        <w:ind w:firstLine="720"/>
        <w:rPr>
          <w:szCs w:val="24"/>
          <w:lang w:val="sr-Cyrl-RS"/>
        </w:rPr>
      </w:pPr>
      <w:r w:rsidRPr="00CF77C1">
        <w:rPr>
          <w:szCs w:val="24"/>
          <w:lang w:val="sr-Cyrl-RS"/>
        </w:rPr>
        <w:t>За формирање ОР, које обухвата обезбеђење нових складишних капацитета, набавку деривата, трошкове складиштења и остале неопходне трошкове (осигурање, контрола квалитета и др.), потребно ј</w:t>
      </w:r>
      <w:r w:rsidR="00AF0C51">
        <w:rPr>
          <w:szCs w:val="24"/>
          <w:lang w:val="sr-Cyrl-RS"/>
        </w:rPr>
        <w:t xml:space="preserve">е обезбедити око 650 милиона </w:t>
      </w:r>
      <w:r w:rsidR="00AF0C51">
        <w:rPr>
          <w:lang w:val="sr-Cyrl-RS"/>
        </w:rPr>
        <w:t>€</w:t>
      </w:r>
      <w:r w:rsidRPr="00CF77C1">
        <w:rPr>
          <w:szCs w:val="24"/>
          <w:lang w:val="sr-Cyrl-RS"/>
        </w:rPr>
        <w:t>.</w:t>
      </w:r>
    </w:p>
    <w:p w14:paraId="113A065E" w14:textId="77777777" w:rsidR="003F3DB8" w:rsidRPr="00CF77C1" w:rsidRDefault="003F3DB8" w:rsidP="00E209CF">
      <w:pPr>
        <w:ind w:firstLine="720"/>
        <w:rPr>
          <w:szCs w:val="24"/>
          <w:lang w:val="sr-Cyrl-RS"/>
        </w:rPr>
      </w:pPr>
    </w:p>
    <w:p w14:paraId="7A130DF3" w14:textId="77777777" w:rsidR="003F3DB8" w:rsidRPr="00CF77C1" w:rsidRDefault="003F3DB8" w:rsidP="0080044B">
      <w:pPr>
        <w:rPr>
          <w:lang w:val="sr-Cyrl-RS"/>
        </w:rPr>
      </w:pPr>
    </w:p>
    <w:p w14:paraId="480B2042" w14:textId="77777777" w:rsidR="003F3DB8" w:rsidRPr="00CF77C1" w:rsidRDefault="003F3DB8" w:rsidP="0080044B">
      <w:pPr>
        <w:rPr>
          <w:lang w:val="sr-Cyrl-RS"/>
        </w:rPr>
        <w:sectPr w:rsidR="003F3DB8" w:rsidRPr="00CF77C1" w:rsidSect="00E209CF">
          <w:headerReference w:type="default" r:id="rId87"/>
          <w:footerReference w:type="default" r:id="rId88"/>
          <w:pgSz w:w="11907" w:h="16839" w:code="9"/>
          <w:pgMar w:top="1134" w:right="1287" w:bottom="1134" w:left="1418" w:header="720" w:footer="720" w:gutter="0"/>
          <w:cols w:space="720"/>
          <w:docGrid w:linePitch="360"/>
        </w:sectPr>
      </w:pPr>
    </w:p>
    <w:p w14:paraId="6DE15CEA" w14:textId="54A78A63" w:rsidR="003F3DB8" w:rsidRPr="00CF77C1" w:rsidRDefault="003F3DB8" w:rsidP="00E209CF">
      <w:pPr>
        <w:pStyle w:val="Caption"/>
        <w:ind w:firstLine="720"/>
        <w:rPr>
          <w:b w:val="0"/>
          <w:lang w:val="sr-Cyrl-RS"/>
        </w:rPr>
      </w:pPr>
      <w:bookmarkStart w:id="140" w:name="_Ref475611334"/>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56</w:t>
      </w:r>
      <w:r w:rsidR="0092145E" w:rsidRPr="00CF77C1">
        <w:rPr>
          <w:b w:val="0"/>
          <w:noProof/>
          <w:lang w:val="sr-Cyrl-RS"/>
        </w:rPr>
        <w:fldChar w:fldCharType="end"/>
      </w:r>
      <w:bookmarkEnd w:id="140"/>
      <w:r w:rsidRPr="00CF77C1">
        <w:rPr>
          <w:b w:val="0"/>
          <w:lang w:val="sr-Cyrl-RS"/>
        </w:rPr>
        <w:t>: Расположиви капацитети за складиштење ОР у јавној својини и својини јавних предузећа</w:t>
      </w: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36"/>
        <w:gridCol w:w="1275"/>
        <w:gridCol w:w="1276"/>
        <w:gridCol w:w="1276"/>
        <w:gridCol w:w="1276"/>
        <w:gridCol w:w="1275"/>
        <w:gridCol w:w="1276"/>
        <w:gridCol w:w="1276"/>
        <w:gridCol w:w="1276"/>
      </w:tblGrid>
      <w:tr w:rsidR="003F3DB8" w:rsidRPr="00CF77C1" w14:paraId="1A997502" w14:textId="77777777" w:rsidTr="003F3DB8">
        <w:trPr>
          <w:trHeight w:val="168"/>
        </w:trPr>
        <w:tc>
          <w:tcPr>
            <w:tcW w:w="4536" w:type="dxa"/>
            <w:shd w:val="clear" w:color="auto" w:fill="FFFFFF"/>
            <w:noWrap/>
            <w:vAlign w:val="center"/>
          </w:tcPr>
          <w:p w14:paraId="79B66E25" w14:textId="77777777" w:rsidR="003F3DB8" w:rsidRPr="00CF77C1" w:rsidRDefault="003F3DB8" w:rsidP="0080044B">
            <w:pPr>
              <w:jc w:val="center"/>
              <w:rPr>
                <w:szCs w:val="24"/>
                <w:lang w:val="sr-Cyrl-RS"/>
              </w:rPr>
            </w:pPr>
            <w:r w:rsidRPr="00CF77C1">
              <w:rPr>
                <w:spacing w:val="-4"/>
                <w:szCs w:val="24"/>
                <w:lang w:val="sr-Cyrl-RS"/>
              </w:rPr>
              <w:t>Година</w:t>
            </w:r>
          </w:p>
        </w:tc>
        <w:tc>
          <w:tcPr>
            <w:tcW w:w="1275" w:type="dxa"/>
            <w:shd w:val="clear" w:color="auto" w:fill="FFFFFF"/>
            <w:noWrap/>
            <w:vAlign w:val="center"/>
          </w:tcPr>
          <w:p w14:paraId="66AC8C6E" w14:textId="77777777" w:rsidR="003F3DB8" w:rsidRPr="00CF77C1" w:rsidRDefault="003F3DB8" w:rsidP="0080044B">
            <w:pPr>
              <w:jc w:val="center"/>
              <w:rPr>
                <w:szCs w:val="24"/>
                <w:lang w:val="sr-Cyrl-RS"/>
              </w:rPr>
            </w:pPr>
            <w:r w:rsidRPr="00CF77C1">
              <w:rPr>
                <w:szCs w:val="24"/>
                <w:lang w:val="sr-Cyrl-RS"/>
              </w:rPr>
              <w:t>2016.</w:t>
            </w:r>
          </w:p>
        </w:tc>
        <w:tc>
          <w:tcPr>
            <w:tcW w:w="1276" w:type="dxa"/>
            <w:shd w:val="clear" w:color="auto" w:fill="FFFFFF"/>
            <w:noWrap/>
            <w:vAlign w:val="center"/>
          </w:tcPr>
          <w:p w14:paraId="04945612" w14:textId="77777777" w:rsidR="003F3DB8" w:rsidRPr="00CF77C1" w:rsidRDefault="003F3DB8" w:rsidP="0080044B">
            <w:pPr>
              <w:jc w:val="center"/>
              <w:rPr>
                <w:szCs w:val="24"/>
                <w:lang w:val="sr-Cyrl-RS"/>
              </w:rPr>
            </w:pPr>
            <w:r w:rsidRPr="00CF77C1">
              <w:rPr>
                <w:szCs w:val="24"/>
                <w:lang w:val="sr-Cyrl-RS"/>
              </w:rPr>
              <w:t>2017.</w:t>
            </w:r>
          </w:p>
        </w:tc>
        <w:tc>
          <w:tcPr>
            <w:tcW w:w="1276" w:type="dxa"/>
            <w:shd w:val="clear" w:color="auto" w:fill="FFFFFF"/>
            <w:noWrap/>
            <w:vAlign w:val="center"/>
          </w:tcPr>
          <w:p w14:paraId="49B6988D" w14:textId="77777777" w:rsidR="003F3DB8" w:rsidRPr="00CF77C1" w:rsidRDefault="003F3DB8" w:rsidP="0080044B">
            <w:pPr>
              <w:jc w:val="center"/>
              <w:rPr>
                <w:szCs w:val="24"/>
                <w:lang w:val="sr-Cyrl-RS"/>
              </w:rPr>
            </w:pPr>
            <w:r w:rsidRPr="00CF77C1">
              <w:rPr>
                <w:szCs w:val="24"/>
                <w:lang w:val="sr-Cyrl-RS"/>
              </w:rPr>
              <w:t>2018.</w:t>
            </w:r>
          </w:p>
        </w:tc>
        <w:tc>
          <w:tcPr>
            <w:tcW w:w="1276" w:type="dxa"/>
            <w:shd w:val="clear" w:color="auto" w:fill="FFFFFF"/>
            <w:noWrap/>
            <w:vAlign w:val="center"/>
          </w:tcPr>
          <w:p w14:paraId="7D0732E9" w14:textId="77777777" w:rsidR="003F3DB8" w:rsidRPr="00CF77C1" w:rsidRDefault="003F3DB8" w:rsidP="0080044B">
            <w:pPr>
              <w:jc w:val="center"/>
              <w:rPr>
                <w:szCs w:val="24"/>
                <w:lang w:val="sr-Cyrl-RS"/>
              </w:rPr>
            </w:pPr>
            <w:r w:rsidRPr="00CF77C1">
              <w:rPr>
                <w:szCs w:val="24"/>
                <w:lang w:val="sr-Cyrl-RS"/>
              </w:rPr>
              <w:t>2019.</w:t>
            </w:r>
          </w:p>
        </w:tc>
        <w:tc>
          <w:tcPr>
            <w:tcW w:w="1275" w:type="dxa"/>
            <w:shd w:val="clear" w:color="auto" w:fill="FFFFFF"/>
            <w:noWrap/>
            <w:vAlign w:val="center"/>
          </w:tcPr>
          <w:p w14:paraId="1838FEBF" w14:textId="77777777" w:rsidR="003F3DB8" w:rsidRPr="00CF77C1" w:rsidRDefault="003F3DB8" w:rsidP="0080044B">
            <w:pPr>
              <w:jc w:val="center"/>
              <w:rPr>
                <w:spacing w:val="-4"/>
                <w:szCs w:val="24"/>
                <w:lang w:val="sr-Cyrl-RS"/>
              </w:rPr>
            </w:pPr>
            <w:r w:rsidRPr="00CF77C1">
              <w:rPr>
                <w:spacing w:val="-4"/>
                <w:szCs w:val="24"/>
                <w:lang w:val="sr-Cyrl-RS"/>
              </w:rPr>
              <w:t>2020.</w:t>
            </w:r>
          </w:p>
        </w:tc>
        <w:tc>
          <w:tcPr>
            <w:tcW w:w="1276" w:type="dxa"/>
            <w:shd w:val="clear" w:color="auto" w:fill="FFFFFF"/>
            <w:noWrap/>
            <w:vAlign w:val="center"/>
          </w:tcPr>
          <w:p w14:paraId="5D91A0A7" w14:textId="77777777" w:rsidR="003F3DB8" w:rsidRPr="00CF77C1" w:rsidRDefault="003F3DB8" w:rsidP="0080044B">
            <w:pPr>
              <w:jc w:val="center"/>
              <w:rPr>
                <w:spacing w:val="-4"/>
                <w:szCs w:val="24"/>
                <w:lang w:val="sr-Cyrl-RS"/>
              </w:rPr>
            </w:pPr>
            <w:r w:rsidRPr="00CF77C1">
              <w:rPr>
                <w:spacing w:val="-4"/>
                <w:szCs w:val="24"/>
                <w:lang w:val="sr-Cyrl-RS"/>
              </w:rPr>
              <w:t>2021.</w:t>
            </w:r>
          </w:p>
        </w:tc>
        <w:tc>
          <w:tcPr>
            <w:tcW w:w="1276" w:type="dxa"/>
            <w:shd w:val="clear" w:color="auto" w:fill="FFFFFF"/>
            <w:vAlign w:val="center"/>
          </w:tcPr>
          <w:p w14:paraId="36CD1A82" w14:textId="77777777" w:rsidR="003F3DB8" w:rsidRPr="00CF77C1" w:rsidRDefault="003F3DB8" w:rsidP="0080044B">
            <w:pPr>
              <w:jc w:val="center"/>
              <w:rPr>
                <w:szCs w:val="24"/>
                <w:lang w:val="sr-Cyrl-RS"/>
              </w:rPr>
            </w:pPr>
            <w:r w:rsidRPr="00CF77C1">
              <w:rPr>
                <w:szCs w:val="24"/>
                <w:lang w:val="sr-Cyrl-RS"/>
              </w:rPr>
              <w:t>2022.</w:t>
            </w:r>
          </w:p>
        </w:tc>
        <w:tc>
          <w:tcPr>
            <w:tcW w:w="1276" w:type="dxa"/>
            <w:shd w:val="clear" w:color="auto" w:fill="FFFFFF"/>
            <w:vAlign w:val="center"/>
          </w:tcPr>
          <w:p w14:paraId="757EC005" w14:textId="77777777" w:rsidR="003F3DB8" w:rsidRPr="00CF77C1" w:rsidRDefault="003F3DB8" w:rsidP="0080044B">
            <w:pPr>
              <w:jc w:val="center"/>
              <w:rPr>
                <w:szCs w:val="24"/>
                <w:lang w:val="sr-Cyrl-RS"/>
              </w:rPr>
            </w:pPr>
            <w:r w:rsidRPr="00CF77C1">
              <w:rPr>
                <w:szCs w:val="24"/>
                <w:lang w:val="sr-Cyrl-RS"/>
              </w:rPr>
              <w:t>2023.</w:t>
            </w:r>
          </w:p>
        </w:tc>
      </w:tr>
      <w:tr w:rsidR="003F3DB8" w:rsidRPr="00CF77C1" w14:paraId="14321065" w14:textId="77777777" w:rsidTr="003F3DB8">
        <w:trPr>
          <w:trHeight w:val="300"/>
        </w:trPr>
        <w:tc>
          <w:tcPr>
            <w:tcW w:w="4536" w:type="dxa"/>
            <w:shd w:val="clear" w:color="auto" w:fill="FFFFFF"/>
            <w:noWrap/>
            <w:vAlign w:val="center"/>
          </w:tcPr>
          <w:p w14:paraId="0C2A8481" w14:textId="77777777" w:rsidR="003F3DB8" w:rsidRPr="00CF77C1" w:rsidRDefault="003F3DB8" w:rsidP="0080044B">
            <w:pPr>
              <w:jc w:val="left"/>
              <w:rPr>
                <w:spacing w:val="-4"/>
                <w:szCs w:val="24"/>
                <w:lang w:val="sr-Cyrl-RS"/>
              </w:rPr>
            </w:pPr>
            <w:r w:rsidRPr="00CF77C1">
              <w:rPr>
                <w:szCs w:val="24"/>
                <w:lang w:val="sr-Cyrl-RS"/>
              </w:rPr>
              <w:t>ЈП Транснафта</w:t>
            </w:r>
            <w:r w:rsidRPr="00CF77C1">
              <w:rPr>
                <w:spacing w:val="-4"/>
                <w:szCs w:val="24"/>
                <w:lang w:val="sr-Cyrl-RS"/>
              </w:rPr>
              <w:t xml:space="preserve">, </w:t>
            </w:r>
            <w:r w:rsidRPr="00CF77C1">
              <w:rPr>
                <w:szCs w:val="24"/>
                <w:lang w:val="sr-Cyrl-RS"/>
              </w:rPr>
              <w:t>т</w:t>
            </w:r>
          </w:p>
        </w:tc>
        <w:tc>
          <w:tcPr>
            <w:tcW w:w="1275" w:type="dxa"/>
            <w:shd w:val="clear" w:color="auto" w:fill="FFFFFF"/>
            <w:noWrap/>
            <w:vAlign w:val="center"/>
          </w:tcPr>
          <w:p w14:paraId="5629F3DF" w14:textId="77777777" w:rsidR="003F3DB8" w:rsidRPr="00CF77C1" w:rsidRDefault="003F3DB8" w:rsidP="0080044B">
            <w:pPr>
              <w:jc w:val="right"/>
              <w:rPr>
                <w:szCs w:val="24"/>
                <w:lang w:val="sr-Cyrl-RS"/>
              </w:rPr>
            </w:pPr>
            <w:r w:rsidRPr="00CF77C1">
              <w:rPr>
                <w:szCs w:val="24"/>
                <w:lang w:val="sr-Cyrl-RS"/>
              </w:rPr>
              <w:t>45.600</w:t>
            </w:r>
          </w:p>
        </w:tc>
        <w:tc>
          <w:tcPr>
            <w:tcW w:w="1276" w:type="dxa"/>
            <w:shd w:val="clear" w:color="auto" w:fill="FFFFFF"/>
            <w:noWrap/>
            <w:vAlign w:val="center"/>
          </w:tcPr>
          <w:p w14:paraId="227D95E5" w14:textId="77777777" w:rsidR="003F3DB8" w:rsidRPr="00CF77C1" w:rsidRDefault="003F3DB8" w:rsidP="0080044B">
            <w:pPr>
              <w:jc w:val="right"/>
              <w:rPr>
                <w:szCs w:val="24"/>
                <w:lang w:val="sr-Cyrl-RS"/>
              </w:rPr>
            </w:pPr>
            <w:r w:rsidRPr="00CF77C1">
              <w:rPr>
                <w:szCs w:val="24"/>
                <w:lang w:val="sr-Cyrl-RS"/>
              </w:rPr>
              <w:t>92.400</w:t>
            </w:r>
          </w:p>
        </w:tc>
        <w:tc>
          <w:tcPr>
            <w:tcW w:w="1276" w:type="dxa"/>
            <w:shd w:val="clear" w:color="auto" w:fill="FFFFFF"/>
            <w:noWrap/>
            <w:vAlign w:val="center"/>
          </w:tcPr>
          <w:p w14:paraId="46EC2A8A" w14:textId="77777777" w:rsidR="003F3DB8" w:rsidRPr="00CF77C1" w:rsidRDefault="003F3DB8" w:rsidP="0080044B">
            <w:pPr>
              <w:jc w:val="right"/>
              <w:rPr>
                <w:szCs w:val="24"/>
                <w:lang w:val="sr-Cyrl-RS"/>
              </w:rPr>
            </w:pPr>
            <w:r w:rsidRPr="00CF77C1">
              <w:rPr>
                <w:szCs w:val="24"/>
                <w:lang w:val="sr-Cyrl-RS"/>
              </w:rPr>
              <w:t>103.200</w:t>
            </w:r>
          </w:p>
        </w:tc>
        <w:tc>
          <w:tcPr>
            <w:tcW w:w="1276" w:type="dxa"/>
            <w:shd w:val="clear" w:color="auto" w:fill="FFFFFF"/>
            <w:noWrap/>
            <w:vAlign w:val="center"/>
          </w:tcPr>
          <w:p w14:paraId="6D28BA62" w14:textId="77777777" w:rsidR="003F3DB8" w:rsidRPr="00CF77C1" w:rsidRDefault="003F3DB8" w:rsidP="0080044B">
            <w:pPr>
              <w:jc w:val="right"/>
              <w:rPr>
                <w:szCs w:val="24"/>
                <w:lang w:val="sr-Cyrl-RS"/>
              </w:rPr>
            </w:pPr>
            <w:r w:rsidRPr="00CF77C1">
              <w:rPr>
                <w:szCs w:val="24"/>
                <w:lang w:val="sr-Cyrl-RS"/>
              </w:rPr>
              <w:t>114.600</w:t>
            </w:r>
          </w:p>
        </w:tc>
        <w:tc>
          <w:tcPr>
            <w:tcW w:w="1275" w:type="dxa"/>
            <w:shd w:val="clear" w:color="auto" w:fill="FFFFFF"/>
            <w:noWrap/>
            <w:vAlign w:val="center"/>
          </w:tcPr>
          <w:p w14:paraId="4E834207" w14:textId="77777777" w:rsidR="003F3DB8" w:rsidRPr="00CF77C1" w:rsidRDefault="003F3DB8" w:rsidP="0080044B">
            <w:pPr>
              <w:jc w:val="right"/>
              <w:rPr>
                <w:szCs w:val="24"/>
                <w:lang w:val="sr-Cyrl-RS"/>
              </w:rPr>
            </w:pPr>
            <w:r w:rsidRPr="00CF77C1">
              <w:rPr>
                <w:szCs w:val="24"/>
                <w:lang w:val="sr-Cyrl-RS"/>
              </w:rPr>
              <w:t>121.656</w:t>
            </w:r>
          </w:p>
        </w:tc>
        <w:tc>
          <w:tcPr>
            <w:tcW w:w="1276" w:type="dxa"/>
            <w:shd w:val="clear" w:color="auto" w:fill="FFFFFF"/>
            <w:noWrap/>
            <w:vAlign w:val="center"/>
          </w:tcPr>
          <w:p w14:paraId="1C88ED46" w14:textId="77777777" w:rsidR="003F3DB8" w:rsidRPr="00CF77C1" w:rsidRDefault="003F3DB8" w:rsidP="0080044B">
            <w:pPr>
              <w:jc w:val="right"/>
              <w:rPr>
                <w:szCs w:val="24"/>
                <w:lang w:val="sr-Cyrl-RS"/>
              </w:rPr>
            </w:pPr>
            <w:r w:rsidRPr="00CF77C1">
              <w:rPr>
                <w:szCs w:val="24"/>
                <w:lang w:val="sr-Cyrl-RS"/>
              </w:rPr>
              <w:t>121.656</w:t>
            </w:r>
          </w:p>
        </w:tc>
        <w:tc>
          <w:tcPr>
            <w:tcW w:w="1276" w:type="dxa"/>
            <w:shd w:val="clear" w:color="auto" w:fill="FFFFFF"/>
            <w:vAlign w:val="center"/>
          </w:tcPr>
          <w:p w14:paraId="4C034B07" w14:textId="77777777" w:rsidR="003F3DB8" w:rsidRPr="00CF77C1" w:rsidRDefault="003F3DB8" w:rsidP="0080044B">
            <w:pPr>
              <w:jc w:val="right"/>
              <w:rPr>
                <w:szCs w:val="24"/>
                <w:lang w:val="sr-Cyrl-RS"/>
              </w:rPr>
            </w:pPr>
            <w:r w:rsidRPr="00CF77C1">
              <w:rPr>
                <w:szCs w:val="24"/>
                <w:lang w:val="sr-Cyrl-RS"/>
              </w:rPr>
              <w:t>121.656</w:t>
            </w:r>
          </w:p>
        </w:tc>
        <w:tc>
          <w:tcPr>
            <w:tcW w:w="1276" w:type="dxa"/>
            <w:shd w:val="clear" w:color="auto" w:fill="FFFFFF"/>
            <w:vAlign w:val="center"/>
          </w:tcPr>
          <w:p w14:paraId="35623904" w14:textId="77777777" w:rsidR="003F3DB8" w:rsidRPr="00CF77C1" w:rsidRDefault="003F3DB8" w:rsidP="0080044B">
            <w:pPr>
              <w:jc w:val="right"/>
              <w:rPr>
                <w:szCs w:val="24"/>
                <w:lang w:val="sr-Cyrl-RS"/>
              </w:rPr>
            </w:pPr>
            <w:r w:rsidRPr="00CF77C1">
              <w:rPr>
                <w:szCs w:val="24"/>
                <w:lang w:val="sr-Cyrl-RS"/>
              </w:rPr>
              <w:t>121.656</w:t>
            </w:r>
          </w:p>
        </w:tc>
      </w:tr>
      <w:tr w:rsidR="003F3DB8" w:rsidRPr="00CF77C1" w14:paraId="720119A3" w14:textId="77777777" w:rsidTr="003F3DB8">
        <w:trPr>
          <w:trHeight w:val="300"/>
        </w:trPr>
        <w:tc>
          <w:tcPr>
            <w:tcW w:w="4536" w:type="dxa"/>
            <w:shd w:val="clear" w:color="auto" w:fill="FFFFFF"/>
            <w:noWrap/>
            <w:vAlign w:val="center"/>
          </w:tcPr>
          <w:p w14:paraId="5FABA02C" w14:textId="77777777" w:rsidR="003F3DB8" w:rsidRPr="00CF77C1" w:rsidRDefault="003F3DB8" w:rsidP="0080044B">
            <w:pPr>
              <w:jc w:val="left"/>
              <w:rPr>
                <w:spacing w:val="-4"/>
                <w:szCs w:val="24"/>
                <w:lang w:val="sr-Cyrl-RS"/>
              </w:rPr>
            </w:pPr>
            <w:r w:rsidRPr="00CF77C1">
              <w:rPr>
                <w:spacing w:val="-4"/>
                <w:szCs w:val="24"/>
                <w:lang w:val="sr-Cyrl-RS"/>
              </w:rPr>
              <w:t xml:space="preserve">РДРР, </w:t>
            </w:r>
            <w:r w:rsidRPr="00CF77C1">
              <w:rPr>
                <w:szCs w:val="24"/>
                <w:lang w:val="sr-Cyrl-RS"/>
              </w:rPr>
              <w:t>т</w:t>
            </w:r>
          </w:p>
        </w:tc>
        <w:tc>
          <w:tcPr>
            <w:tcW w:w="1275" w:type="dxa"/>
            <w:shd w:val="clear" w:color="auto" w:fill="FFFFFF"/>
            <w:noWrap/>
            <w:vAlign w:val="center"/>
          </w:tcPr>
          <w:p w14:paraId="562C9BA3" w14:textId="77777777" w:rsidR="003F3DB8" w:rsidRPr="00CF77C1" w:rsidRDefault="003F3DB8" w:rsidP="0080044B">
            <w:pPr>
              <w:jc w:val="right"/>
              <w:rPr>
                <w:szCs w:val="24"/>
                <w:lang w:val="sr-Cyrl-RS"/>
              </w:rPr>
            </w:pPr>
            <w:r w:rsidRPr="00CF77C1">
              <w:rPr>
                <w:szCs w:val="24"/>
                <w:lang w:val="sr-Cyrl-RS"/>
              </w:rPr>
              <w:t>115.739</w:t>
            </w:r>
          </w:p>
        </w:tc>
        <w:tc>
          <w:tcPr>
            <w:tcW w:w="1276" w:type="dxa"/>
            <w:shd w:val="clear" w:color="auto" w:fill="FFFFFF"/>
            <w:noWrap/>
            <w:vAlign w:val="center"/>
          </w:tcPr>
          <w:p w14:paraId="085BAC63" w14:textId="77777777" w:rsidR="003F3DB8" w:rsidRPr="00CF77C1" w:rsidRDefault="003F3DB8" w:rsidP="0080044B">
            <w:pPr>
              <w:jc w:val="right"/>
              <w:rPr>
                <w:szCs w:val="24"/>
                <w:lang w:val="sr-Cyrl-RS"/>
              </w:rPr>
            </w:pPr>
            <w:r w:rsidRPr="00CF77C1">
              <w:rPr>
                <w:szCs w:val="24"/>
                <w:lang w:val="sr-Cyrl-RS"/>
              </w:rPr>
              <w:t>115.739</w:t>
            </w:r>
          </w:p>
        </w:tc>
        <w:tc>
          <w:tcPr>
            <w:tcW w:w="1276" w:type="dxa"/>
            <w:shd w:val="clear" w:color="auto" w:fill="FFFFFF"/>
            <w:noWrap/>
            <w:vAlign w:val="center"/>
          </w:tcPr>
          <w:p w14:paraId="3FF10238" w14:textId="77777777" w:rsidR="003F3DB8" w:rsidRPr="00CF77C1" w:rsidRDefault="003F3DB8" w:rsidP="0080044B">
            <w:pPr>
              <w:jc w:val="right"/>
              <w:rPr>
                <w:szCs w:val="24"/>
                <w:lang w:val="sr-Cyrl-RS"/>
              </w:rPr>
            </w:pPr>
            <w:r w:rsidRPr="00CF77C1">
              <w:rPr>
                <w:szCs w:val="24"/>
                <w:lang w:val="sr-Cyrl-RS"/>
              </w:rPr>
              <w:t>115.739</w:t>
            </w:r>
          </w:p>
        </w:tc>
        <w:tc>
          <w:tcPr>
            <w:tcW w:w="1276" w:type="dxa"/>
            <w:shd w:val="clear" w:color="auto" w:fill="FFFFFF"/>
            <w:noWrap/>
            <w:vAlign w:val="center"/>
          </w:tcPr>
          <w:p w14:paraId="1BEEF749" w14:textId="77777777" w:rsidR="003F3DB8" w:rsidRPr="00CF77C1" w:rsidRDefault="003F3DB8" w:rsidP="0080044B">
            <w:pPr>
              <w:jc w:val="right"/>
              <w:rPr>
                <w:szCs w:val="24"/>
                <w:lang w:val="sr-Cyrl-RS"/>
              </w:rPr>
            </w:pPr>
            <w:r w:rsidRPr="00CF77C1">
              <w:rPr>
                <w:szCs w:val="24"/>
                <w:lang w:val="sr-Cyrl-RS"/>
              </w:rPr>
              <w:t>154.939</w:t>
            </w:r>
          </w:p>
        </w:tc>
        <w:tc>
          <w:tcPr>
            <w:tcW w:w="1275" w:type="dxa"/>
            <w:shd w:val="clear" w:color="auto" w:fill="FFFFFF"/>
            <w:noWrap/>
            <w:vAlign w:val="center"/>
          </w:tcPr>
          <w:p w14:paraId="3991764C" w14:textId="77777777" w:rsidR="003F3DB8" w:rsidRPr="00CF77C1" w:rsidRDefault="003F3DB8" w:rsidP="0080044B">
            <w:pPr>
              <w:jc w:val="right"/>
              <w:rPr>
                <w:szCs w:val="24"/>
                <w:lang w:val="sr-Cyrl-RS"/>
              </w:rPr>
            </w:pPr>
            <w:r w:rsidRPr="00CF77C1">
              <w:rPr>
                <w:szCs w:val="24"/>
                <w:lang w:val="sr-Cyrl-RS"/>
              </w:rPr>
              <w:t>170.939</w:t>
            </w:r>
          </w:p>
        </w:tc>
        <w:tc>
          <w:tcPr>
            <w:tcW w:w="1276" w:type="dxa"/>
            <w:shd w:val="clear" w:color="auto" w:fill="FFFFFF"/>
            <w:noWrap/>
            <w:vAlign w:val="center"/>
          </w:tcPr>
          <w:p w14:paraId="1C742617" w14:textId="77777777" w:rsidR="003F3DB8" w:rsidRPr="00CF77C1" w:rsidRDefault="003F3DB8" w:rsidP="0080044B">
            <w:pPr>
              <w:jc w:val="right"/>
              <w:rPr>
                <w:szCs w:val="24"/>
                <w:lang w:val="sr-Cyrl-RS"/>
              </w:rPr>
            </w:pPr>
            <w:r w:rsidRPr="00CF77C1">
              <w:rPr>
                <w:szCs w:val="24"/>
                <w:lang w:val="sr-Cyrl-RS"/>
              </w:rPr>
              <w:t>186.939</w:t>
            </w:r>
          </w:p>
        </w:tc>
        <w:tc>
          <w:tcPr>
            <w:tcW w:w="1276" w:type="dxa"/>
            <w:shd w:val="clear" w:color="auto" w:fill="FFFFFF"/>
            <w:vAlign w:val="center"/>
          </w:tcPr>
          <w:p w14:paraId="2EE60A16" w14:textId="77777777" w:rsidR="003F3DB8" w:rsidRPr="00CF77C1" w:rsidRDefault="003F3DB8" w:rsidP="0080044B">
            <w:pPr>
              <w:jc w:val="right"/>
              <w:rPr>
                <w:szCs w:val="24"/>
                <w:lang w:val="sr-Cyrl-RS"/>
              </w:rPr>
            </w:pPr>
            <w:r w:rsidRPr="00CF77C1">
              <w:rPr>
                <w:szCs w:val="24"/>
                <w:lang w:val="sr-Cyrl-RS"/>
              </w:rPr>
              <w:t>186.939</w:t>
            </w:r>
          </w:p>
        </w:tc>
        <w:tc>
          <w:tcPr>
            <w:tcW w:w="1276" w:type="dxa"/>
            <w:shd w:val="clear" w:color="auto" w:fill="FFFFFF"/>
            <w:vAlign w:val="center"/>
          </w:tcPr>
          <w:p w14:paraId="4A1DBDA4" w14:textId="77777777" w:rsidR="003F3DB8" w:rsidRPr="00CF77C1" w:rsidRDefault="003F3DB8" w:rsidP="0080044B">
            <w:pPr>
              <w:jc w:val="right"/>
              <w:rPr>
                <w:szCs w:val="24"/>
                <w:lang w:val="sr-Cyrl-RS"/>
              </w:rPr>
            </w:pPr>
            <w:r w:rsidRPr="00CF77C1">
              <w:rPr>
                <w:szCs w:val="24"/>
                <w:lang w:val="sr-Cyrl-RS"/>
              </w:rPr>
              <w:t>186.939</w:t>
            </w:r>
          </w:p>
        </w:tc>
      </w:tr>
      <w:tr w:rsidR="003F3DB8" w:rsidRPr="00CF77C1" w14:paraId="6A4829B0" w14:textId="77777777" w:rsidTr="003F3DB8">
        <w:trPr>
          <w:trHeight w:val="300"/>
        </w:trPr>
        <w:tc>
          <w:tcPr>
            <w:tcW w:w="4536" w:type="dxa"/>
            <w:shd w:val="clear" w:color="auto" w:fill="FFFFFF"/>
            <w:noWrap/>
            <w:vAlign w:val="center"/>
          </w:tcPr>
          <w:p w14:paraId="2F4172FC" w14:textId="77777777" w:rsidR="003F3DB8" w:rsidRPr="00CF77C1" w:rsidRDefault="003F3DB8" w:rsidP="0080044B">
            <w:pPr>
              <w:jc w:val="left"/>
              <w:rPr>
                <w:spacing w:val="-4"/>
                <w:szCs w:val="24"/>
                <w:lang w:val="sr-Cyrl-RS"/>
              </w:rPr>
            </w:pPr>
            <w:r w:rsidRPr="00CF77C1">
              <w:rPr>
                <w:spacing w:val="-4"/>
                <w:szCs w:val="24"/>
                <w:lang w:val="sr-Cyrl-RS"/>
              </w:rPr>
              <w:t xml:space="preserve">Укупни капацитет, </w:t>
            </w:r>
            <w:r w:rsidRPr="00CF77C1">
              <w:rPr>
                <w:szCs w:val="24"/>
                <w:lang w:val="sr-Cyrl-RS"/>
              </w:rPr>
              <w:t>т</w:t>
            </w:r>
          </w:p>
        </w:tc>
        <w:tc>
          <w:tcPr>
            <w:tcW w:w="1275" w:type="dxa"/>
            <w:shd w:val="clear" w:color="auto" w:fill="FFFFFF"/>
            <w:noWrap/>
            <w:vAlign w:val="center"/>
          </w:tcPr>
          <w:p w14:paraId="7CE4EF41" w14:textId="77777777" w:rsidR="003F3DB8" w:rsidRPr="00CF77C1" w:rsidRDefault="003F3DB8" w:rsidP="0080044B">
            <w:pPr>
              <w:jc w:val="right"/>
              <w:rPr>
                <w:bCs/>
                <w:szCs w:val="24"/>
                <w:lang w:val="sr-Cyrl-RS"/>
              </w:rPr>
            </w:pPr>
            <w:r w:rsidRPr="00CF77C1">
              <w:rPr>
                <w:bCs/>
                <w:szCs w:val="24"/>
                <w:lang w:val="sr-Cyrl-RS"/>
              </w:rPr>
              <w:t>161.339</w:t>
            </w:r>
          </w:p>
        </w:tc>
        <w:tc>
          <w:tcPr>
            <w:tcW w:w="1276" w:type="dxa"/>
            <w:shd w:val="clear" w:color="auto" w:fill="FFFFFF"/>
            <w:noWrap/>
            <w:vAlign w:val="center"/>
          </w:tcPr>
          <w:p w14:paraId="75BB9C47" w14:textId="77777777" w:rsidR="003F3DB8" w:rsidRPr="00CF77C1" w:rsidRDefault="003F3DB8" w:rsidP="0080044B">
            <w:pPr>
              <w:jc w:val="right"/>
              <w:rPr>
                <w:bCs/>
                <w:szCs w:val="24"/>
                <w:lang w:val="sr-Cyrl-RS"/>
              </w:rPr>
            </w:pPr>
            <w:r w:rsidRPr="00CF77C1">
              <w:rPr>
                <w:bCs/>
                <w:szCs w:val="24"/>
                <w:lang w:val="sr-Cyrl-RS"/>
              </w:rPr>
              <w:t>208.139</w:t>
            </w:r>
          </w:p>
        </w:tc>
        <w:tc>
          <w:tcPr>
            <w:tcW w:w="1276" w:type="dxa"/>
            <w:shd w:val="clear" w:color="auto" w:fill="FFFFFF"/>
            <w:noWrap/>
            <w:vAlign w:val="center"/>
          </w:tcPr>
          <w:p w14:paraId="39673FD0" w14:textId="77777777" w:rsidR="003F3DB8" w:rsidRPr="00CF77C1" w:rsidRDefault="003F3DB8" w:rsidP="0080044B">
            <w:pPr>
              <w:jc w:val="right"/>
              <w:rPr>
                <w:bCs/>
                <w:szCs w:val="24"/>
                <w:lang w:val="sr-Cyrl-RS"/>
              </w:rPr>
            </w:pPr>
            <w:r w:rsidRPr="00CF77C1">
              <w:rPr>
                <w:bCs/>
                <w:szCs w:val="24"/>
                <w:lang w:val="sr-Cyrl-RS"/>
              </w:rPr>
              <w:t>218.939</w:t>
            </w:r>
          </w:p>
        </w:tc>
        <w:tc>
          <w:tcPr>
            <w:tcW w:w="1276" w:type="dxa"/>
            <w:shd w:val="clear" w:color="auto" w:fill="FFFFFF"/>
            <w:noWrap/>
            <w:vAlign w:val="center"/>
          </w:tcPr>
          <w:p w14:paraId="4907D751" w14:textId="77777777" w:rsidR="003F3DB8" w:rsidRPr="00CF77C1" w:rsidRDefault="003F3DB8" w:rsidP="0080044B">
            <w:pPr>
              <w:jc w:val="right"/>
              <w:rPr>
                <w:bCs/>
                <w:szCs w:val="24"/>
                <w:lang w:val="sr-Cyrl-RS"/>
              </w:rPr>
            </w:pPr>
            <w:r w:rsidRPr="00CF77C1">
              <w:rPr>
                <w:bCs/>
                <w:szCs w:val="24"/>
                <w:lang w:val="sr-Cyrl-RS"/>
              </w:rPr>
              <w:t>269.539</w:t>
            </w:r>
          </w:p>
        </w:tc>
        <w:tc>
          <w:tcPr>
            <w:tcW w:w="1275" w:type="dxa"/>
            <w:shd w:val="clear" w:color="auto" w:fill="FFFFFF"/>
            <w:noWrap/>
            <w:vAlign w:val="center"/>
          </w:tcPr>
          <w:p w14:paraId="4CDC2693" w14:textId="77777777" w:rsidR="003F3DB8" w:rsidRPr="00CF77C1" w:rsidRDefault="003F3DB8" w:rsidP="0080044B">
            <w:pPr>
              <w:jc w:val="right"/>
              <w:rPr>
                <w:bCs/>
                <w:szCs w:val="24"/>
                <w:lang w:val="sr-Cyrl-RS"/>
              </w:rPr>
            </w:pPr>
            <w:r w:rsidRPr="00CF77C1">
              <w:rPr>
                <w:bCs/>
                <w:szCs w:val="24"/>
                <w:lang w:val="sr-Cyrl-RS"/>
              </w:rPr>
              <w:t>292.595</w:t>
            </w:r>
          </w:p>
        </w:tc>
        <w:tc>
          <w:tcPr>
            <w:tcW w:w="1276" w:type="dxa"/>
            <w:shd w:val="clear" w:color="auto" w:fill="FFFFFF"/>
            <w:noWrap/>
            <w:vAlign w:val="center"/>
          </w:tcPr>
          <w:p w14:paraId="34C0C1AD" w14:textId="77777777" w:rsidR="003F3DB8" w:rsidRPr="00CF77C1" w:rsidRDefault="003F3DB8" w:rsidP="0080044B">
            <w:pPr>
              <w:jc w:val="right"/>
              <w:rPr>
                <w:bCs/>
                <w:szCs w:val="24"/>
                <w:lang w:val="sr-Cyrl-RS"/>
              </w:rPr>
            </w:pPr>
            <w:r w:rsidRPr="00CF77C1">
              <w:rPr>
                <w:bCs/>
                <w:szCs w:val="24"/>
                <w:lang w:val="sr-Cyrl-RS"/>
              </w:rPr>
              <w:t>308.595</w:t>
            </w:r>
          </w:p>
        </w:tc>
        <w:tc>
          <w:tcPr>
            <w:tcW w:w="1276" w:type="dxa"/>
            <w:shd w:val="clear" w:color="auto" w:fill="FFFFFF"/>
            <w:vAlign w:val="center"/>
          </w:tcPr>
          <w:p w14:paraId="61D2CF61" w14:textId="77777777" w:rsidR="003F3DB8" w:rsidRPr="00CF77C1" w:rsidRDefault="003F3DB8" w:rsidP="0080044B">
            <w:pPr>
              <w:jc w:val="right"/>
              <w:rPr>
                <w:bCs/>
                <w:szCs w:val="24"/>
                <w:lang w:val="sr-Cyrl-RS"/>
              </w:rPr>
            </w:pPr>
            <w:r w:rsidRPr="00CF77C1">
              <w:rPr>
                <w:bCs/>
                <w:szCs w:val="24"/>
                <w:lang w:val="sr-Cyrl-RS"/>
              </w:rPr>
              <w:t>308.595</w:t>
            </w:r>
          </w:p>
        </w:tc>
        <w:tc>
          <w:tcPr>
            <w:tcW w:w="1276" w:type="dxa"/>
            <w:shd w:val="clear" w:color="auto" w:fill="FFFFFF"/>
            <w:vAlign w:val="center"/>
          </w:tcPr>
          <w:p w14:paraId="6F6AABA7" w14:textId="77777777" w:rsidR="003F3DB8" w:rsidRPr="00CF77C1" w:rsidRDefault="003F3DB8" w:rsidP="0080044B">
            <w:pPr>
              <w:jc w:val="right"/>
              <w:rPr>
                <w:bCs/>
                <w:szCs w:val="24"/>
                <w:lang w:val="sr-Cyrl-RS"/>
              </w:rPr>
            </w:pPr>
            <w:r w:rsidRPr="00CF77C1">
              <w:rPr>
                <w:bCs/>
                <w:szCs w:val="24"/>
                <w:lang w:val="sr-Cyrl-RS"/>
              </w:rPr>
              <w:t>308.595</w:t>
            </w:r>
          </w:p>
        </w:tc>
      </w:tr>
      <w:tr w:rsidR="003F3DB8" w:rsidRPr="00CF77C1" w14:paraId="1A0C54A2" w14:textId="77777777" w:rsidTr="003F3DB8">
        <w:trPr>
          <w:trHeight w:val="300"/>
        </w:trPr>
        <w:tc>
          <w:tcPr>
            <w:tcW w:w="4536" w:type="dxa"/>
            <w:shd w:val="clear" w:color="auto" w:fill="FFFFFF"/>
            <w:noWrap/>
            <w:vAlign w:val="center"/>
          </w:tcPr>
          <w:p w14:paraId="6D74473C" w14:textId="77777777" w:rsidR="003F3DB8" w:rsidRPr="00CF77C1" w:rsidRDefault="003F3DB8" w:rsidP="0080044B">
            <w:pPr>
              <w:jc w:val="left"/>
              <w:rPr>
                <w:spacing w:val="-4"/>
                <w:szCs w:val="24"/>
                <w:lang w:val="sr-Cyrl-RS"/>
              </w:rPr>
            </w:pPr>
            <w:r w:rsidRPr="00CF77C1">
              <w:rPr>
                <w:szCs w:val="24"/>
                <w:lang w:val="sr-Cyrl-RS"/>
              </w:rPr>
              <w:t>ОР, дан</w:t>
            </w:r>
          </w:p>
        </w:tc>
        <w:tc>
          <w:tcPr>
            <w:tcW w:w="1275" w:type="dxa"/>
            <w:shd w:val="clear" w:color="auto" w:fill="FFFFFF"/>
            <w:noWrap/>
            <w:vAlign w:val="center"/>
          </w:tcPr>
          <w:p w14:paraId="20DDC422" w14:textId="77777777" w:rsidR="003F3DB8" w:rsidRPr="00CF77C1" w:rsidRDefault="003F3DB8" w:rsidP="0080044B">
            <w:pPr>
              <w:jc w:val="right"/>
              <w:rPr>
                <w:bCs/>
                <w:szCs w:val="24"/>
                <w:lang w:val="sr-Cyrl-RS"/>
              </w:rPr>
            </w:pPr>
            <w:r w:rsidRPr="00CF77C1">
              <w:rPr>
                <w:bCs/>
                <w:szCs w:val="24"/>
                <w:lang w:val="sr-Cyrl-RS"/>
              </w:rPr>
              <w:t>21,2</w:t>
            </w:r>
          </w:p>
        </w:tc>
        <w:tc>
          <w:tcPr>
            <w:tcW w:w="1276" w:type="dxa"/>
            <w:shd w:val="clear" w:color="auto" w:fill="FFFFFF"/>
            <w:noWrap/>
            <w:vAlign w:val="center"/>
          </w:tcPr>
          <w:p w14:paraId="76B9FF3A" w14:textId="77777777" w:rsidR="003F3DB8" w:rsidRPr="00CF77C1" w:rsidRDefault="003F3DB8" w:rsidP="0080044B">
            <w:pPr>
              <w:jc w:val="right"/>
              <w:rPr>
                <w:bCs/>
                <w:szCs w:val="24"/>
                <w:lang w:val="sr-Cyrl-RS"/>
              </w:rPr>
            </w:pPr>
            <w:r w:rsidRPr="00CF77C1">
              <w:rPr>
                <w:bCs/>
                <w:szCs w:val="24"/>
                <w:lang w:val="sr-Cyrl-RS"/>
              </w:rPr>
              <w:t>27,4</w:t>
            </w:r>
          </w:p>
        </w:tc>
        <w:tc>
          <w:tcPr>
            <w:tcW w:w="1276" w:type="dxa"/>
            <w:shd w:val="clear" w:color="auto" w:fill="FFFFFF"/>
            <w:noWrap/>
            <w:vAlign w:val="center"/>
          </w:tcPr>
          <w:p w14:paraId="58813AB9" w14:textId="77777777" w:rsidR="003F3DB8" w:rsidRPr="00CF77C1" w:rsidRDefault="003F3DB8" w:rsidP="0080044B">
            <w:pPr>
              <w:jc w:val="right"/>
              <w:rPr>
                <w:bCs/>
                <w:szCs w:val="24"/>
                <w:lang w:val="sr-Cyrl-RS"/>
              </w:rPr>
            </w:pPr>
            <w:r w:rsidRPr="00CF77C1">
              <w:rPr>
                <w:bCs/>
                <w:szCs w:val="24"/>
                <w:lang w:val="sr-Cyrl-RS"/>
              </w:rPr>
              <w:t>28,8</w:t>
            </w:r>
          </w:p>
        </w:tc>
        <w:tc>
          <w:tcPr>
            <w:tcW w:w="1276" w:type="dxa"/>
            <w:shd w:val="clear" w:color="auto" w:fill="FFFFFF"/>
            <w:noWrap/>
            <w:vAlign w:val="center"/>
          </w:tcPr>
          <w:p w14:paraId="70B69F59" w14:textId="77777777" w:rsidR="003F3DB8" w:rsidRPr="00CF77C1" w:rsidRDefault="003F3DB8" w:rsidP="0080044B">
            <w:pPr>
              <w:jc w:val="right"/>
              <w:rPr>
                <w:bCs/>
                <w:szCs w:val="24"/>
                <w:lang w:val="sr-Cyrl-RS"/>
              </w:rPr>
            </w:pPr>
            <w:r w:rsidRPr="00CF77C1">
              <w:rPr>
                <w:bCs/>
                <w:szCs w:val="24"/>
                <w:lang w:val="sr-Cyrl-RS"/>
              </w:rPr>
              <w:t>35,5</w:t>
            </w:r>
          </w:p>
        </w:tc>
        <w:tc>
          <w:tcPr>
            <w:tcW w:w="1275" w:type="dxa"/>
            <w:shd w:val="clear" w:color="auto" w:fill="FFFFFF"/>
            <w:noWrap/>
            <w:vAlign w:val="center"/>
          </w:tcPr>
          <w:p w14:paraId="290C18DD" w14:textId="77777777" w:rsidR="003F3DB8" w:rsidRPr="00CF77C1" w:rsidRDefault="003F3DB8" w:rsidP="0080044B">
            <w:pPr>
              <w:jc w:val="right"/>
              <w:rPr>
                <w:bCs/>
                <w:szCs w:val="24"/>
                <w:lang w:val="sr-Cyrl-RS"/>
              </w:rPr>
            </w:pPr>
            <w:r w:rsidRPr="00CF77C1">
              <w:rPr>
                <w:bCs/>
                <w:szCs w:val="24"/>
                <w:lang w:val="sr-Cyrl-RS"/>
              </w:rPr>
              <w:t>38,5</w:t>
            </w:r>
          </w:p>
        </w:tc>
        <w:tc>
          <w:tcPr>
            <w:tcW w:w="1276" w:type="dxa"/>
            <w:shd w:val="clear" w:color="auto" w:fill="FFFFFF"/>
            <w:noWrap/>
            <w:vAlign w:val="center"/>
          </w:tcPr>
          <w:p w14:paraId="50228FC1" w14:textId="77777777" w:rsidR="003F3DB8" w:rsidRPr="00CF77C1" w:rsidRDefault="003F3DB8" w:rsidP="0080044B">
            <w:pPr>
              <w:jc w:val="right"/>
              <w:rPr>
                <w:bCs/>
                <w:szCs w:val="24"/>
                <w:lang w:val="sr-Cyrl-RS"/>
              </w:rPr>
            </w:pPr>
            <w:r w:rsidRPr="00CF77C1">
              <w:rPr>
                <w:bCs/>
                <w:szCs w:val="24"/>
                <w:lang w:val="sr-Cyrl-RS"/>
              </w:rPr>
              <w:t>40,6</w:t>
            </w:r>
          </w:p>
        </w:tc>
        <w:tc>
          <w:tcPr>
            <w:tcW w:w="1276" w:type="dxa"/>
            <w:shd w:val="clear" w:color="auto" w:fill="FFFFFF"/>
            <w:vAlign w:val="center"/>
          </w:tcPr>
          <w:p w14:paraId="58F1C52A" w14:textId="77777777" w:rsidR="003F3DB8" w:rsidRPr="00CF77C1" w:rsidRDefault="003F3DB8" w:rsidP="0080044B">
            <w:pPr>
              <w:jc w:val="right"/>
              <w:rPr>
                <w:bCs/>
                <w:szCs w:val="24"/>
                <w:lang w:val="sr-Cyrl-RS"/>
              </w:rPr>
            </w:pPr>
            <w:r w:rsidRPr="00CF77C1">
              <w:rPr>
                <w:bCs/>
                <w:szCs w:val="24"/>
                <w:lang w:val="sr-Cyrl-RS"/>
              </w:rPr>
              <w:t>40,6</w:t>
            </w:r>
          </w:p>
        </w:tc>
        <w:tc>
          <w:tcPr>
            <w:tcW w:w="1276" w:type="dxa"/>
            <w:shd w:val="clear" w:color="auto" w:fill="FFFFFF"/>
            <w:vAlign w:val="center"/>
          </w:tcPr>
          <w:p w14:paraId="4E25C53B" w14:textId="77777777" w:rsidR="003F3DB8" w:rsidRPr="00CF77C1" w:rsidRDefault="003F3DB8" w:rsidP="0080044B">
            <w:pPr>
              <w:jc w:val="right"/>
              <w:rPr>
                <w:bCs/>
                <w:szCs w:val="24"/>
                <w:lang w:val="sr-Cyrl-RS"/>
              </w:rPr>
            </w:pPr>
            <w:r w:rsidRPr="00CF77C1">
              <w:rPr>
                <w:bCs/>
                <w:szCs w:val="24"/>
                <w:lang w:val="sr-Cyrl-RS"/>
              </w:rPr>
              <w:t>40,6</w:t>
            </w:r>
          </w:p>
        </w:tc>
      </w:tr>
      <w:tr w:rsidR="003F3DB8" w:rsidRPr="00CF77C1" w14:paraId="16471A21" w14:textId="77777777" w:rsidTr="003F3DB8">
        <w:trPr>
          <w:trHeight w:val="300"/>
        </w:trPr>
        <w:tc>
          <w:tcPr>
            <w:tcW w:w="4536" w:type="dxa"/>
            <w:shd w:val="clear" w:color="auto" w:fill="FFFFFF"/>
            <w:noWrap/>
            <w:vAlign w:val="center"/>
          </w:tcPr>
          <w:p w14:paraId="6617896A" w14:textId="77777777" w:rsidR="003F3DB8" w:rsidRPr="00CF77C1" w:rsidRDefault="003F3DB8" w:rsidP="0080044B">
            <w:pPr>
              <w:jc w:val="left"/>
              <w:rPr>
                <w:szCs w:val="24"/>
                <w:lang w:val="sr-Cyrl-RS"/>
              </w:rPr>
            </w:pPr>
            <w:r w:rsidRPr="00CF77C1">
              <w:rPr>
                <w:szCs w:val="24"/>
                <w:lang w:val="sr-Cyrl-RS"/>
              </w:rPr>
              <w:t>Планирана динамика формирања ОР, дан</w:t>
            </w:r>
          </w:p>
        </w:tc>
        <w:tc>
          <w:tcPr>
            <w:tcW w:w="1275" w:type="dxa"/>
            <w:shd w:val="clear" w:color="auto" w:fill="FFFFFF"/>
            <w:noWrap/>
            <w:vAlign w:val="center"/>
          </w:tcPr>
          <w:p w14:paraId="2FFF9B0C" w14:textId="77777777" w:rsidR="003F3DB8" w:rsidRPr="00CF77C1" w:rsidRDefault="003F3DB8" w:rsidP="0080044B">
            <w:pPr>
              <w:jc w:val="right"/>
              <w:rPr>
                <w:szCs w:val="24"/>
                <w:lang w:val="sr-Cyrl-RS"/>
              </w:rPr>
            </w:pPr>
            <w:r w:rsidRPr="00CF77C1">
              <w:rPr>
                <w:szCs w:val="24"/>
                <w:lang w:val="sr-Cyrl-RS"/>
              </w:rPr>
              <w:t>17</w:t>
            </w:r>
          </w:p>
        </w:tc>
        <w:tc>
          <w:tcPr>
            <w:tcW w:w="1276" w:type="dxa"/>
            <w:shd w:val="clear" w:color="auto" w:fill="FFFFFF"/>
            <w:noWrap/>
            <w:vAlign w:val="center"/>
          </w:tcPr>
          <w:p w14:paraId="7BEBF8A4" w14:textId="77777777" w:rsidR="003F3DB8" w:rsidRPr="00CF77C1" w:rsidRDefault="003F3DB8" w:rsidP="0080044B">
            <w:pPr>
              <w:jc w:val="right"/>
              <w:rPr>
                <w:szCs w:val="24"/>
                <w:lang w:val="sr-Cyrl-RS"/>
              </w:rPr>
            </w:pPr>
            <w:r w:rsidRPr="00CF77C1">
              <w:rPr>
                <w:szCs w:val="24"/>
                <w:lang w:val="sr-Cyrl-RS"/>
              </w:rPr>
              <w:t>23</w:t>
            </w:r>
          </w:p>
        </w:tc>
        <w:tc>
          <w:tcPr>
            <w:tcW w:w="1276" w:type="dxa"/>
            <w:shd w:val="clear" w:color="auto" w:fill="FFFFFF"/>
            <w:noWrap/>
            <w:vAlign w:val="center"/>
          </w:tcPr>
          <w:p w14:paraId="26AEB141" w14:textId="77777777" w:rsidR="003F3DB8" w:rsidRPr="00CF77C1" w:rsidRDefault="003F3DB8" w:rsidP="0080044B">
            <w:pPr>
              <w:jc w:val="right"/>
              <w:rPr>
                <w:szCs w:val="24"/>
                <w:lang w:val="sr-Cyrl-RS"/>
              </w:rPr>
            </w:pPr>
            <w:r w:rsidRPr="00CF77C1">
              <w:rPr>
                <w:szCs w:val="24"/>
                <w:lang w:val="sr-Cyrl-RS"/>
              </w:rPr>
              <w:t>31</w:t>
            </w:r>
          </w:p>
        </w:tc>
        <w:tc>
          <w:tcPr>
            <w:tcW w:w="1276" w:type="dxa"/>
            <w:shd w:val="clear" w:color="auto" w:fill="FFFFFF"/>
            <w:noWrap/>
            <w:vAlign w:val="center"/>
          </w:tcPr>
          <w:p w14:paraId="16D2BFE4" w14:textId="77777777" w:rsidR="003F3DB8" w:rsidRPr="00CF77C1" w:rsidRDefault="003F3DB8" w:rsidP="0080044B">
            <w:pPr>
              <w:jc w:val="right"/>
              <w:rPr>
                <w:szCs w:val="24"/>
                <w:lang w:val="sr-Cyrl-RS"/>
              </w:rPr>
            </w:pPr>
            <w:r w:rsidRPr="00CF77C1">
              <w:rPr>
                <w:szCs w:val="24"/>
                <w:lang w:val="sr-Cyrl-RS"/>
              </w:rPr>
              <w:t>39</w:t>
            </w:r>
          </w:p>
        </w:tc>
        <w:tc>
          <w:tcPr>
            <w:tcW w:w="1275" w:type="dxa"/>
            <w:shd w:val="clear" w:color="auto" w:fill="FFFFFF"/>
            <w:noWrap/>
            <w:vAlign w:val="center"/>
          </w:tcPr>
          <w:p w14:paraId="2E1846ED" w14:textId="77777777" w:rsidR="003F3DB8" w:rsidRPr="00CF77C1" w:rsidRDefault="003F3DB8" w:rsidP="0080044B">
            <w:pPr>
              <w:jc w:val="right"/>
              <w:rPr>
                <w:szCs w:val="24"/>
                <w:lang w:val="sr-Cyrl-RS"/>
              </w:rPr>
            </w:pPr>
            <w:r w:rsidRPr="00CF77C1">
              <w:rPr>
                <w:szCs w:val="24"/>
                <w:lang w:val="sr-Cyrl-RS"/>
              </w:rPr>
              <w:t>47</w:t>
            </w:r>
          </w:p>
        </w:tc>
        <w:tc>
          <w:tcPr>
            <w:tcW w:w="1276" w:type="dxa"/>
            <w:shd w:val="clear" w:color="auto" w:fill="FFFFFF"/>
            <w:noWrap/>
            <w:vAlign w:val="center"/>
          </w:tcPr>
          <w:p w14:paraId="7465B54E" w14:textId="77777777" w:rsidR="003F3DB8" w:rsidRPr="00CF77C1" w:rsidRDefault="003F3DB8" w:rsidP="0080044B">
            <w:pPr>
              <w:jc w:val="right"/>
              <w:rPr>
                <w:szCs w:val="24"/>
                <w:lang w:val="sr-Cyrl-RS"/>
              </w:rPr>
            </w:pPr>
            <w:r w:rsidRPr="00CF77C1">
              <w:rPr>
                <w:szCs w:val="24"/>
                <w:lang w:val="sr-Cyrl-RS"/>
              </w:rPr>
              <w:t>54</w:t>
            </w:r>
          </w:p>
        </w:tc>
        <w:tc>
          <w:tcPr>
            <w:tcW w:w="1276" w:type="dxa"/>
            <w:shd w:val="clear" w:color="auto" w:fill="FFFFFF"/>
            <w:vAlign w:val="center"/>
          </w:tcPr>
          <w:p w14:paraId="7CE96EEA" w14:textId="77777777" w:rsidR="003F3DB8" w:rsidRPr="00CF77C1" w:rsidRDefault="003F3DB8" w:rsidP="0080044B">
            <w:pPr>
              <w:jc w:val="right"/>
              <w:rPr>
                <w:szCs w:val="24"/>
                <w:lang w:val="sr-Cyrl-RS"/>
              </w:rPr>
            </w:pPr>
            <w:r w:rsidRPr="00CF77C1">
              <w:rPr>
                <w:szCs w:val="24"/>
                <w:lang w:val="sr-Cyrl-RS"/>
              </w:rPr>
              <w:t>61</w:t>
            </w:r>
          </w:p>
        </w:tc>
        <w:tc>
          <w:tcPr>
            <w:tcW w:w="1276" w:type="dxa"/>
            <w:shd w:val="clear" w:color="auto" w:fill="FFFFFF"/>
            <w:vAlign w:val="center"/>
          </w:tcPr>
          <w:p w14:paraId="2250F155" w14:textId="77777777" w:rsidR="003F3DB8" w:rsidRPr="00CF77C1" w:rsidRDefault="003F3DB8" w:rsidP="0080044B">
            <w:pPr>
              <w:jc w:val="right"/>
              <w:rPr>
                <w:szCs w:val="24"/>
                <w:lang w:val="sr-Cyrl-RS"/>
              </w:rPr>
            </w:pPr>
            <w:r w:rsidRPr="00CF77C1">
              <w:rPr>
                <w:szCs w:val="24"/>
                <w:lang w:val="sr-Cyrl-RS"/>
              </w:rPr>
              <w:t>61</w:t>
            </w:r>
          </w:p>
        </w:tc>
      </w:tr>
    </w:tbl>
    <w:p w14:paraId="40C22C12" w14:textId="6F36D896" w:rsidR="003F3DB8" w:rsidRPr="00CF77C1" w:rsidRDefault="003F3DB8" w:rsidP="00FC6F6F">
      <w:pPr>
        <w:pStyle w:val="Caption"/>
        <w:tabs>
          <w:tab w:val="left" w:pos="8685"/>
        </w:tabs>
        <w:ind w:firstLine="720"/>
        <w:rPr>
          <w:b w:val="0"/>
          <w:lang w:val="sr-Cyrl-RS"/>
        </w:rPr>
      </w:pPr>
      <w:bookmarkStart w:id="141" w:name="_Ref475611357"/>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57</w:t>
      </w:r>
      <w:r w:rsidR="0092145E" w:rsidRPr="00CF77C1">
        <w:rPr>
          <w:b w:val="0"/>
          <w:noProof/>
          <w:lang w:val="sr-Cyrl-RS"/>
        </w:rPr>
        <w:fldChar w:fldCharType="end"/>
      </w:r>
      <w:bookmarkEnd w:id="141"/>
      <w:r w:rsidRPr="00CF77C1">
        <w:rPr>
          <w:b w:val="0"/>
          <w:lang w:val="sr-Cyrl-RS"/>
        </w:rPr>
        <w:t>: Динамика реализације активн</w:t>
      </w:r>
      <w:r w:rsidR="00FC6F6F">
        <w:rPr>
          <w:b w:val="0"/>
          <w:lang w:val="sr-Cyrl-RS"/>
        </w:rPr>
        <w:t>ости у периоду реализације ПОС</w:t>
      </w:r>
    </w:p>
    <w:tbl>
      <w:tblPr>
        <w:tblW w:w="14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4820"/>
        <w:gridCol w:w="756"/>
        <w:gridCol w:w="756"/>
        <w:gridCol w:w="756"/>
        <w:gridCol w:w="756"/>
        <w:gridCol w:w="756"/>
        <w:gridCol w:w="756"/>
        <w:gridCol w:w="756"/>
      </w:tblGrid>
      <w:tr w:rsidR="003F3DB8" w:rsidRPr="00CF77C1" w14:paraId="102270E5" w14:textId="77777777" w:rsidTr="003F3DB8">
        <w:trPr>
          <w:tblHeader/>
        </w:trPr>
        <w:tc>
          <w:tcPr>
            <w:tcW w:w="4786" w:type="dxa"/>
            <w:vAlign w:val="center"/>
          </w:tcPr>
          <w:p w14:paraId="74217E56" w14:textId="77777777" w:rsidR="003F3DB8" w:rsidRPr="00CF77C1" w:rsidRDefault="003F3DB8" w:rsidP="0080044B">
            <w:pPr>
              <w:jc w:val="center"/>
              <w:rPr>
                <w:lang w:val="sr-Cyrl-RS"/>
              </w:rPr>
            </w:pPr>
            <w:r w:rsidRPr="00CF77C1">
              <w:rPr>
                <w:lang w:val="sr-Cyrl-RS"/>
              </w:rPr>
              <w:t>Пројекат:</w:t>
            </w:r>
          </w:p>
          <w:p w14:paraId="43F8943D" w14:textId="248886C3" w:rsidR="003F3DB8" w:rsidRPr="00CF77C1" w:rsidRDefault="003F3DB8" w:rsidP="0080044B">
            <w:pPr>
              <w:jc w:val="center"/>
              <w:rPr>
                <w:lang w:val="sr-Cyrl-RS"/>
              </w:rPr>
            </w:pPr>
            <w:r w:rsidRPr="00CF77C1">
              <w:rPr>
                <w:lang w:val="sr-Cyrl-RS"/>
              </w:rPr>
              <w:t>„Формирање обавезних резерви</w:t>
            </w:r>
            <w:r w:rsidR="00AD5740" w:rsidRPr="00CF77C1">
              <w:rPr>
                <w:lang w:val="sr-Cyrl-RS"/>
              </w:rPr>
              <w:t>”</w:t>
            </w:r>
          </w:p>
        </w:tc>
        <w:tc>
          <w:tcPr>
            <w:tcW w:w="4820" w:type="dxa"/>
            <w:vAlign w:val="center"/>
          </w:tcPr>
          <w:p w14:paraId="325BD0B0" w14:textId="77777777" w:rsidR="003F3DB8" w:rsidRPr="00CF77C1" w:rsidRDefault="009E4135" w:rsidP="0080044B">
            <w:pPr>
              <w:jc w:val="center"/>
              <w:rPr>
                <w:lang w:val="sr-Cyrl-RS"/>
              </w:rPr>
            </w:pPr>
            <w:r w:rsidRPr="00CF77C1">
              <w:rPr>
                <w:szCs w:val="24"/>
                <w:lang w:val="sr-Cyrl-RS"/>
              </w:rPr>
              <w:t>Одговорни субјекат</w:t>
            </w:r>
          </w:p>
        </w:tc>
        <w:tc>
          <w:tcPr>
            <w:tcW w:w="756" w:type="dxa"/>
            <w:vAlign w:val="center"/>
          </w:tcPr>
          <w:p w14:paraId="0761B254" w14:textId="77777777" w:rsidR="003F3DB8" w:rsidRPr="00CF77C1" w:rsidRDefault="003F3DB8" w:rsidP="0080044B">
            <w:pPr>
              <w:jc w:val="center"/>
              <w:rPr>
                <w:lang w:val="sr-Cyrl-RS"/>
              </w:rPr>
            </w:pPr>
            <w:r w:rsidRPr="00CF77C1">
              <w:rPr>
                <w:lang w:val="sr-Cyrl-RS"/>
              </w:rPr>
              <w:t>2017.</w:t>
            </w:r>
          </w:p>
        </w:tc>
        <w:tc>
          <w:tcPr>
            <w:tcW w:w="756" w:type="dxa"/>
            <w:vAlign w:val="center"/>
          </w:tcPr>
          <w:p w14:paraId="4A02F172" w14:textId="77777777" w:rsidR="003F3DB8" w:rsidRPr="00CF77C1" w:rsidRDefault="003F3DB8" w:rsidP="0080044B">
            <w:pPr>
              <w:jc w:val="center"/>
              <w:rPr>
                <w:lang w:val="sr-Cyrl-RS"/>
              </w:rPr>
            </w:pPr>
            <w:r w:rsidRPr="00CF77C1">
              <w:rPr>
                <w:lang w:val="sr-Cyrl-RS"/>
              </w:rPr>
              <w:t>2018.</w:t>
            </w:r>
          </w:p>
        </w:tc>
        <w:tc>
          <w:tcPr>
            <w:tcW w:w="756" w:type="dxa"/>
            <w:vAlign w:val="center"/>
          </w:tcPr>
          <w:p w14:paraId="6DF56D57" w14:textId="77777777" w:rsidR="003F3DB8" w:rsidRPr="00CF77C1" w:rsidRDefault="003F3DB8" w:rsidP="0080044B">
            <w:pPr>
              <w:jc w:val="center"/>
              <w:rPr>
                <w:lang w:val="sr-Cyrl-RS"/>
              </w:rPr>
            </w:pPr>
            <w:r w:rsidRPr="00CF77C1">
              <w:rPr>
                <w:lang w:val="sr-Cyrl-RS"/>
              </w:rPr>
              <w:t>2019.</w:t>
            </w:r>
          </w:p>
        </w:tc>
        <w:tc>
          <w:tcPr>
            <w:tcW w:w="756" w:type="dxa"/>
            <w:vAlign w:val="center"/>
          </w:tcPr>
          <w:p w14:paraId="7B709505" w14:textId="77777777" w:rsidR="003F3DB8" w:rsidRPr="00CF77C1" w:rsidRDefault="003F3DB8" w:rsidP="0080044B">
            <w:pPr>
              <w:jc w:val="center"/>
              <w:rPr>
                <w:lang w:val="sr-Cyrl-RS"/>
              </w:rPr>
            </w:pPr>
            <w:r w:rsidRPr="00CF77C1">
              <w:rPr>
                <w:lang w:val="sr-Cyrl-RS"/>
              </w:rPr>
              <w:t>2020.</w:t>
            </w:r>
          </w:p>
        </w:tc>
        <w:tc>
          <w:tcPr>
            <w:tcW w:w="756" w:type="dxa"/>
            <w:vAlign w:val="center"/>
          </w:tcPr>
          <w:p w14:paraId="2911C8BE" w14:textId="77777777" w:rsidR="003F3DB8" w:rsidRPr="00CF77C1" w:rsidRDefault="003F3DB8" w:rsidP="0080044B">
            <w:pPr>
              <w:jc w:val="center"/>
              <w:rPr>
                <w:lang w:val="sr-Cyrl-RS"/>
              </w:rPr>
            </w:pPr>
            <w:r w:rsidRPr="00CF77C1">
              <w:rPr>
                <w:lang w:val="sr-Cyrl-RS"/>
              </w:rPr>
              <w:t>2021.</w:t>
            </w:r>
          </w:p>
        </w:tc>
        <w:tc>
          <w:tcPr>
            <w:tcW w:w="756" w:type="dxa"/>
            <w:vAlign w:val="center"/>
          </w:tcPr>
          <w:p w14:paraId="2A4EF877" w14:textId="77777777" w:rsidR="003F3DB8" w:rsidRPr="00CF77C1" w:rsidRDefault="003F3DB8" w:rsidP="0080044B">
            <w:pPr>
              <w:jc w:val="center"/>
              <w:rPr>
                <w:lang w:val="sr-Cyrl-RS"/>
              </w:rPr>
            </w:pPr>
            <w:r w:rsidRPr="00CF77C1">
              <w:rPr>
                <w:lang w:val="sr-Cyrl-RS"/>
              </w:rPr>
              <w:t>2022.</w:t>
            </w:r>
          </w:p>
        </w:tc>
        <w:tc>
          <w:tcPr>
            <w:tcW w:w="756" w:type="dxa"/>
            <w:vAlign w:val="center"/>
          </w:tcPr>
          <w:p w14:paraId="329EC619" w14:textId="77777777" w:rsidR="003F3DB8" w:rsidRPr="00CF77C1" w:rsidRDefault="003F3DB8" w:rsidP="0080044B">
            <w:pPr>
              <w:jc w:val="center"/>
              <w:rPr>
                <w:lang w:val="sr-Cyrl-RS"/>
              </w:rPr>
            </w:pPr>
            <w:r w:rsidRPr="00CF77C1">
              <w:rPr>
                <w:lang w:val="sr-Cyrl-RS"/>
              </w:rPr>
              <w:t>2023.</w:t>
            </w:r>
          </w:p>
        </w:tc>
      </w:tr>
      <w:tr w:rsidR="003F3DB8" w:rsidRPr="00CF77C1" w14:paraId="0C066DD5" w14:textId="77777777" w:rsidTr="003F3DB8">
        <w:tc>
          <w:tcPr>
            <w:tcW w:w="4786" w:type="dxa"/>
            <w:vAlign w:val="center"/>
          </w:tcPr>
          <w:p w14:paraId="1451C36E" w14:textId="77777777" w:rsidR="003F3DB8" w:rsidRPr="00CF77C1" w:rsidRDefault="003F3DB8" w:rsidP="0080044B">
            <w:pPr>
              <w:jc w:val="left"/>
              <w:rPr>
                <w:lang w:val="sr-Cyrl-RS"/>
              </w:rPr>
            </w:pPr>
            <w:r w:rsidRPr="00CF77C1">
              <w:rPr>
                <w:lang w:val="sr-Cyrl-RS"/>
              </w:rPr>
              <w:t>Набавка нафте и деривата нафте</w:t>
            </w:r>
          </w:p>
        </w:tc>
        <w:tc>
          <w:tcPr>
            <w:tcW w:w="4820" w:type="dxa"/>
            <w:vAlign w:val="center"/>
          </w:tcPr>
          <w:p w14:paraId="1FC31C51" w14:textId="180045AA" w:rsidR="003F3DB8" w:rsidRPr="00CF77C1" w:rsidRDefault="00AC627E" w:rsidP="0080044B">
            <w:pPr>
              <w:jc w:val="left"/>
              <w:rPr>
                <w:lang w:val="sr-Cyrl-RS"/>
              </w:rPr>
            </w:pPr>
            <w:r w:rsidRPr="00CF77C1">
              <w:rPr>
                <w:lang w:val="sr-Cyrl-RS"/>
              </w:rPr>
              <w:t>м</w:t>
            </w:r>
            <w:r w:rsidR="005C650D" w:rsidRPr="00CF77C1">
              <w:rPr>
                <w:lang w:val="sr-Cyrl-RS"/>
              </w:rPr>
              <w:t>инистарство надлежно за послове</w:t>
            </w:r>
            <w:r w:rsidR="003F3DB8" w:rsidRPr="00CF77C1">
              <w:rPr>
                <w:lang w:val="sr-Cyrl-RS"/>
              </w:rPr>
              <w:t xml:space="preserve"> рударства и енергетике</w:t>
            </w:r>
          </w:p>
        </w:tc>
        <w:tc>
          <w:tcPr>
            <w:tcW w:w="756" w:type="dxa"/>
            <w:vAlign w:val="center"/>
          </w:tcPr>
          <w:p w14:paraId="1B222299" w14:textId="77777777" w:rsidR="003F3DB8" w:rsidRPr="00CF77C1" w:rsidRDefault="003F3DB8" w:rsidP="0080044B">
            <w:pPr>
              <w:jc w:val="center"/>
              <w:rPr>
                <w:lang w:val="sr-Cyrl-RS"/>
              </w:rPr>
            </w:pPr>
            <w:r w:rsidRPr="00CF77C1">
              <w:rPr>
                <w:lang w:val="sr-Cyrl-RS"/>
              </w:rPr>
              <w:t>х</w:t>
            </w:r>
          </w:p>
        </w:tc>
        <w:tc>
          <w:tcPr>
            <w:tcW w:w="756" w:type="dxa"/>
            <w:vAlign w:val="center"/>
          </w:tcPr>
          <w:p w14:paraId="079612E4" w14:textId="77777777" w:rsidR="003F3DB8" w:rsidRPr="00CF77C1" w:rsidRDefault="003F3DB8" w:rsidP="0080044B">
            <w:pPr>
              <w:jc w:val="center"/>
              <w:rPr>
                <w:lang w:val="sr-Cyrl-RS"/>
              </w:rPr>
            </w:pPr>
            <w:r w:rsidRPr="00CF77C1">
              <w:rPr>
                <w:lang w:val="sr-Cyrl-RS"/>
              </w:rPr>
              <w:t>х</w:t>
            </w:r>
          </w:p>
        </w:tc>
        <w:tc>
          <w:tcPr>
            <w:tcW w:w="756" w:type="dxa"/>
            <w:vAlign w:val="center"/>
          </w:tcPr>
          <w:p w14:paraId="235F56FF" w14:textId="77777777" w:rsidR="003F3DB8" w:rsidRPr="00CF77C1" w:rsidRDefault="003F3DB8" w:rsidP="0080044B">
            <w:pPr>
              <w:jc w:val="center"/>
              <w:rPr>
                <w:lang w:val="sr-Cyrl-RS"/>
              </w:rPr>
            </w:pPr>
            <w:r w:rsidRPr="00CF77C1">
              <w:rPr>
                <w:lang w:val="sr-Cyrl-RS"/>
              </w:rPr>
              <w:t>х</w:t>
            </w:r>
          </w:p>
        </w:tc>
        <w:tc>
          <w:tcPr>
            <w:tcW w:w="756" w:type="dxa"/>
            <w:vAlign w:val="center"/>
          </w:tcPr>
          <w:p w14:paraId="1B9947E2" w14:textId="77777777" w:rsidR="003F3DB8" w:rsidRPr="00CF77C1" w:rsidRDefault="003F3DB8" w:rsidP="0080044B">
            <w:pPr>
              <w:jc w:val="center"/>
              <w:rPr>
                <w:lang w:val="sr-Cyrl-RS"/>
              </w:rPr>
            </w:pPr>
            <w:r w:rsidRPr="00CF77C1">
              <w:rPr>
                <w:lang w:val="sr-Cyrl-RS"/>
              </w:rPr>
              <w:t>х</w:t>
            </w:r>
          </w:p>
        </w:tc>
        <w:tc>
          <w:tcPr>
            <w:tcW w:w="756" w:type="dxa"/>
            <w:vAlign w:val="center"/>
          </w:tcPr>
          <w:p w14:paraId="62677B5F" w14:textId="77777777" w:rsidR="003F3DB8" w:rsidRPr="00CF77C1" w:rsidRDefault="003F3DB8" w:rsidP="0080044B">
            <w:pPr>
              <w:jc w:val="center"/>
              <w:rPr>
                <w:lang w:val="sr-Cyrl-RS"/>
              </w:rPr>
            </w:pPr>
            <w:r w:rsidRPr="00CF77C1">
              <w:rPr>
                <w:lang w:val="sr-Cyrl-RS"/>
              </w:rPr>
              <w:t>х</w:t>
            </w:r>
          </w:p>
        </w:tc>
        <w:tc>
          <w:tcPr>
            <w:tcW w:w="756" w:type="dxa"/>
            <w:vAlign w:val="center"/>
          </w:tcPr>
          <w:p w14:paraId="36F4D649" w14:textId="77777777" w:rsidR="003F3DB8" w:rsidRPr="00CF77C1" w:rsidRDefault="003F3DB8" w:rsidP="0080044B">
            <w:pPr>
              <w:jc w:val="center"/>
              <w:rPr>
                <w:lang w:val="sr-Cyrl-RS"/>
              </w:rPr>
            </w:pPr>
            <w:r w:rsidRPr="00CF77C1">
              <w:rPr>
                <w:lang w:val="sr-Cyrl-RS"/>
              </w:rPr>
              <w:t>х</w:t>
            </w:r>
          </w:p>
        </w:tc>
        <w:tc>
          <w:tcPr>
            <w:tcW w:w="756" w:type="dxa"/>
            <w:vAlign w:val="center"/>
          </w:tcPr>
          <w:p w14:paraId="69CD8223" w14:textId="77777777" w:rsidR="003F3DB8" w:rsidRPr="00CF77C1" w:rsidRDefault="003F3DB8" w:rsidP="0080044B">
            <w:pPr>
              <w:jc w:val="center"/>
              <w:rPr>
                <w:lang w:val="sr-Cyrl-RS"/>
              </w:rPr>
            </w:pPr>
          </w:p>
        </w:tc>
      </w:tr>
      <w:tr w:rsidR="003F3DB8" w:rsidRPr="00CF77C1" w14:paraId="59FA2C3C" w14:textId="77777777" w:rsidTr="003F3DB8">
        <w:tc>
          <w:tcPr>
            <w:tcW w:w="4786" w:type="dxa"/>
            <w:vAlign w:val="center"/>
          </w:tcPr>
          <w:p w14:paraId="6DB0342E" w14:textId="77777777" w:rsidR="003F3DB8" w:rsidRPr="00CF77C1" w:rsidRDefault="003F3DB8" w:rsidP="0080044B">
            <w:pPr>
              <w:jc w:val="left"/>
              <w:rPr>
                <w:lang w:val="sr-Cyrl-RS"/>
              </w:rPr>
            </w:pPr>
            <w:r w:rsidRPr="00CF77C1">
              <w:rPr>
                <w:lang w:val="sr-Cyrl-RS"/>
              </w:rPr>
              <w:t>Измена закона о акцизама</w:t>
            </w:r>
          </w:p>
        </w:tc>
        <w:tc>
          <w:tcPr>
            <w:tcW w:w="4820" w:type="dxa"/>
            <w:vAlign w:val="center"/>
          </w:tcPr>
          <w:p w14:paraId="1BCEC492" w14:textId="532D78E1" w:rsidR="003F3DB8" w:rsidRPr="00CF77C1" w:rsidRDefault="00AC627E" w:rsidP="00D82E4A">
            <w:pPr>
              <w:jc w:val="left"/>
              <w:rPr>
                <w:lang w:val="sr-Cyrl-RS"/>
              </w:rPr>
            </w:pPr>
            <w:r w:rsidRPr="00CF77C1">
              <w:rPr>
                <w:lang w:val="sr-Cyrl-RS"/>
              </w:rPr>
              <w:t>м</w:t>
            </w:r>
            <w:r w:rsidR="005C650D" w:rsidRPr="00CF77C1">
              <w:rPr>
                <w:lang w:val="sr-Cyrl-RS"/>
              </w:rPr>
              <w:t>инистарство надлежно за послове</w:t>
            </w:r>
            <w:r w:rsidR="003F3DB8" w:rsidRPr="00CF77C1">
              <w:rPr>
                <w:lang w:val="sr-Cyrl-RS"/>
              </w:rPr>
              <w:t xml:space="preserve"> </w:t>
            </w:r>
            <w:r w:rsidR="00D82E4A" w:rsidRPr="00CF77C1">
              <w:rPr>
                <w:lang w:val="sr-Cyrl-RS"/>
              </w:rPr>
              <w:t>финансија</w:t>
            </w:r>
          </w:p>
        </w:tc>
        <w:tc>
          <w:tcPr>
            <w:tcW w:w="756" w:type="dxa"/>
            <w:vAlign w:val="center"/>
          </w:tcPr>
          <w:p w14:paraId="6657D241" w14:textId="77777777" w:rsidR="003F3DB8" w:rsidRPr="00CF77C1" w:rsidRDefault="003F3DB8" w:rsidP="0080044B">
            <w:pPr>
              <w:jc w:val="center"/>
              <w:rPr>
                <w:lang w:val="sr-Cyrl-RS"/>
              </w:rPr>
            </w:pPr>
            <w:r w:rsidRPr="00CF77C1">
              <w:rPr>
                <w:lang w:val="sr-Cyrl-RS"/>
              </w:rPr>
              <w:t>х</w:t>
            </w:r>
          </w:p>
        </w:tc>
        <w:tc>
          <w:tcPr>
            <w:tcW w:w="756" w:type="dxa"/>
            <w:vAlign w:val="center"/>
          </w:tcPr>
          <w:p w14:paraId="5229F0D0" w14:textId="77777777" w:rsidR="003F3DB8" w:rsidRPr="00CF77C1" w:rsidRDefault="003F3DB8" w:rsidP="0080044B">
            <w:pPr>
              <w:jc w:val="center"/>
              <w:rPr>
                <w:lang w:val="sr-Cyrl-RS"/>
              </w:rPr>
            </w:pPr>
          </w:p>
        </w:tc>
        <w:tc>
          <w:tcPr>
            <w:tcW w:w="756" w:type="dxa"/>
            <w:vAlign w:val="center"/>
          </w:tcPr>
          <w:p w14:paraId="2E08364D" w14:textId="77777777" w:rsidR="003F3DB8" w:rsidRPr="00CF77C1" w:rsidRDefault="003F3DB8" w:rsidP="0080044B">
            <w:pPr>
              <w:jc w:val="center"/>
              <w:rPr>
                <w:lang w:val="sr-Cyrl-RS"/>
              </w:rPr>
            </w:pPr>
          </w:p>
        </w:tc>
        <w:tc>
          <w:tcPr>
            <w:tcW w:w="756" w:type="dxa"/>
            <w:vAlign w:val="center"/>
          </w:tcPr>
          <w:p w14:paraId="0C18008B" w14:textId="77777777" w:rsidR="003F3DB8" w:rsidRPr="00CF77C1" w:rsidRDefault="003F3DB8" w:rsidP="0080044B">
            <w:pPr>
              <w:jc w:val="center"/>
              <w:rPr>
                <w:lang w:val="sr-Cyrl-RS"/>
              </w:rPr>
            </w:pPr>
          </w:p>
        </w:tc>
        <w:tc>
          <w:tcPr>
            <w:tcW w:w="756" w:type="dxa"/>
            <w:vAlign w:val="center"/>
          </w:tcPr>
          <w:p w14:paraId="0FD97C70" w14:textId="77777777" w:rsidR="003F3DB8" w:rsidRPr="00CF77C1" w:rsidRDefault="003F3DB8" w:rsidP="0080044B">
            <w:pPr>
              <w:jc w:val="center"/>
              <w:rPr>
                <w:lang w:val="sr-Cyrl-RS"/>
              </w:rPr>
            </w:pPr>
          </w:p>
        </w:tc>
        <w:tc>
          <w:tcPr>
            <w:tcW w:w="756" w:type="dxa"/>
            <w:vAlign w:val="center"/>
          </w:tcPr>
          <w:p w14:paraId="2587810C" w14:textId="77777777" w:rsidR="003F3DB8" w:rsidRPr="00CF77C1" w:rsidRDefault="003F3DB8" w:rsidP="0080044B">
            <w:pPr>
              <w:jc w:val="center"/>
              <w:rPr>
                <w:lang w:val="sr-Cyrl-RS"/>
              </w:rPr>
            </w:pPr>
          </w:p>
        </w:tc>
        <w:tc>
          <w:tcPr>
            <w:tcW w:w="756" w:type="dxa"/>
            <w:vAlign w:val="center"/>
          </w:tcPr>
          <w:p w14:paraId="5A6E7137" w14:textId="77777777" w:rsidR="003F3DB8" w:rsidRPr="00CF77C1" w:rsidRDefault="003F3DB8" w:rsidP="0080044B">
            <w:pPr>
              <w:jc w:val="center"/>
              <w:rPr>
                <w:lang w:val="sr-Cyrl-RS"/>
              </w:rPr>
            </w:pPr>
          </w:p>
        </w:tc>
      </w:tr>
      <w:tr w:rsidR="003F3DB8" w:rsidRPr="00CF77C1" w14:paraId="702883C2" w14:textId="77777777" w:rsidTr="003F3DB8">
        <w:tc>
          <w:tcPr>
            <w:tcW w:w="4786" w:type="dxa"/>
            <w:vAlign w:val="center"/>
          </w:tcPr>
          <w:p w14:paraId="6D7FF128" w14:textId="77777777" w:rsidR="003F3DB8" w:rsidRPr="00CF77C1" w:rsidRDefault="003F3DB8" w:rsidP="0080044B">
            <w:pPr>
              <w:jc w:val="left"/>
              <w:rPr>
                <w:lang w:val="sr-Cyrl-RS"/>
              </w:rPr>
            </w:pPr>
            <w:r w:rsidRPr="00CF77C1">
              <w:rPr>
                <w:lang w:val="sr-Cyrl-RS"/>
              </w:rPr>
              <w:t>Редефинисање постојеће структуре ОР</w:t>
            </w:r>
          </w:p>
        </w:tc>
        <w:tc>
          <w:tcPr>
            <w:tcW w:w="4820" w:type="dxa"/>
            <w:vAlign w:val="center"/>
          </w:tcPr>
          <w:p w14:paraId="605372EE" w14:textId="710F7698" w:rsidR="003F3DB8" w:rsidRPr="00CF77C1" w:rsidRDefault="00AC627E" w:rsidP="0080044B">
            <w:pPr>
              <w:jc w:val="left"/>
              <w:rPr>
                <w:lang w:val="sr-Cyrl-RS"/>
              </w:rPr>
            </w:pPr>
            <w:r w:rsidRPr="00CF77C1">
              <w:rPr>
                <w:lang w:val="sr-Cyrl-RS"/>
              </w:rPr>
              <w:t>м</w:t>
            </w:r>
            <w:r w:rsidR="005C650D" w:rsidRPr="00CF77C1">
              <w:rPr>
                <w:lang w:val="sr-Cyrl-RS"/>
              </w:rPr>
              <w:t>инистарство надлежно за послове</w:t>
            </w:r>
            <w:r w:rsidR="003F3DB8" w:rsidRPr="00CF77C1">
              <w:rPr>
                <w:lang w:val="sr-Cyrl-RS"/>
              </w:rPr>
              <w:t xml:space="preserve"> рударства и енергетике</w:t>
            </w:r>
          </w:p>
        </w:tc>
        <w:tc>
          <w:tcPr>
            <w:tcW w:w="756" w:type="dxa"/>
            <w:vAlign w:val="center"/>
          </w:tcPr>
          <w:p w14:paraId="7C6D07C6" w14:textId="77777777" w:rsidR="003F3DB8" w:rsidRPr="00CF77C1" w:rsidRDefault="003F3DB8" w:rsidP="0080044B">
            <w:pPr>
              <w:jc w:val="center"/>
              <w:rPr>
                <w:lang w:val="sr-Cyrl-RS"/>
              </w:rPr>
            </w:pPr>
            <w:r w:rsidRPr="00CF77C1">
              <w:rPr>
                <w:lang w:val="sr-Cyrl-RS"/>
              </w:rPr>
              <w:t>х</w:t>
            </w:r>
          </w:p>
        </w:tc>
        <w:tc>
          <w:tcPr>
            <w:tcW w:w="756" w:type="dxa"/>
            <w:vAlign w:val="center"/>
          </w:tcPr>
          <w:p w14:paraId="7DD025AC" w14:textId="77777777" w:rsidR="003F3DB8" w:rsidRPr="00CF77C1" w:rsidRDefault="003F3DB8" w:rsidP="0080044B">
            <w:pPr>
              <w:jc w:val="center"/>
              <w:rPr>
                <w:lang w:val="sr-Cyrl-RS"/>
              </w:rPr>
            </w:pPr>
            <w:r w:rsidRPr="00CF77C1">
              <w:rPr>
                <w:lang w:val="sr-Cyrl-RS"/>
              </w:rPr>
              <w:t>х</w:t>
            </w:r>
          </w:p>
        </w:tc>
        <w:tc>
          <w:tcPr>
            <w:tcW w:w="756" w:type="dxa"/>
            <w:vAlign w:val="center"/>
          </w:tcPr>
          <w:p w14:paraId="3542234F" w14:textId="77777777" w:rsidR="003F3DB8" w:rsidRPr="00CF77C1" w:rsidRDefault="003F3DB8" w:rsidP="0080044B">
            <w:pPr>
              <w:jc w:val="center"/>
              <w:rPr>
                <w:lang w:val="sr-Cyrl-RS"/>
              </w:rPr>
            </w:pPr>
          </w:p>
        </w:tc>
        <w:tc>
          <w:tcPr>
            <w:tcW w:w="756" w:type="dxa"/>
            <w:vAlign w:val="center"/>
          </w:tcPr>
          <w:p w14:paraId="45514FDC" w14:textId="77777777" w:rsidR="003F3DB8" w:rsidRPr="00CF77C1" w:rsidRDefault="003F3DB8" w:rsidP="0080044B">
            <w:pPr>
              <w:jc w:val="center"/>
              <w:rPr>
                <w:lang w:val="sr-Cyrl-RS"/>
              </w:rPr>
            </w:pPr>
          </w:p>
        </w:tc>
        <w:tc>
          <w:tcPr>
            <w:tcW w:w="756" w:type="dxa"/>
            <w:vAlign w:val="center"/>
          </w:tcPr>
          <w:p w14:paraId="5B7193AC" w14:textId="77777777" w:rsidR="003F3DB8" w:rsidRPr="00CF77C1" w:rsidRDefault="003F3DB8" w:rsidP="0080044B">
            <w:pPr>
              <w:jc w:val="center"/>
              <w:rPr>
                <w:lang w:val="sr-Cyrl-RS"/>
              </w:rPr>
            </w:pPr>
          </w:p>
        </w:tc>
        <w:tc>
          <w:tcPr>
            <w:tcW w:w="756" w:type="dxa"/>
            <w:vAlign w:val="center"/>
          </w:tcPr>
          <w:p w14:paraId="2F3B04C7" w14:textId="77777777" w:rsidR="003F3DB8" w:rsidRPr="00CF77C1" w:rsidRDefault="003F3DB8" w:rsidP="0080044B">
            <w:pPr>
              <w:jc w:val="center"/>
              <w:rPr>
                <w:lang w:val="sr-Cyrl-RS"/>
              </w:rPr>
            </w:pPr>
          </w:p>
        </w:tc>
        <w:tc>
          <w:tcPr>
            <w:tcW w:w="756" w:type="dxa"/>
            <w:vAlign w:val="center"/>
          </w:tcPr>
          <w:p w14:paraId="0633113A" w14:textId="77777777" w:rsidR="003F3DB8" w:rsidRPr="00CF77C1" w:rsidRDefault="003F3DB8" w:rsidP="0080044B">
            <w:pPr>
              <w:jc w:val="center"/>
              <w:rPr>
                <w:lang w:val="sr-Cyrl-RS"/>
              </w:rPr>
            </w:pPr>
          </w:p>
        </w:tc>
      </w:tr>
      <w:tr w:rsidR="003F3DB8" w:rsidRPr="00CF77C1" w14:paraId="65AD03ED" w14:textId="77777777" w:rsidTr="003F3DB8">
        <w:tc>
          <w:tcPr>
            <w:tcW w:w="4786" w:type="dxa"/>
            <w:vAlign w:val="center"/>
          </w:tcPr>
          <w:p w14:paraId="5D539153" w14:textId="77777777" w:rsidR="003F3DB8" w:rsidRPr="00CF77C1" w:rsidRDefault="003F3DB8" w:rsidP="0080044B">
            <w:pPr>
              <w:jc w:val="left"/>
              <w:rPr>
                <w:lang w:val="sr-Cyrl-RS"/>
              </w:rPr>
            </w:pPr>
            <w:r w:rsidRPr="00CF77C1">
              <w:rPr>
                <w:lang w:val="sr-Cyrl-RS"/>
              </w:rPr>
              <w:t>Обезбеђење нових складишних капацитета</w:t>
            </w:r>
          </w:p>
        </w:tc>
        <w:tc>
          <w:tcPr>
            <w:tcW w:w="4820" w:type="dxa"/>
            <w:vAlign w:val="center"/>
          </w:tcPr>
          <w:p w14:paraId="69FB1410" w14:textId="3FAE8438" w:rsidR="003F3DB8" w:rsidRPr="00CF77C1" w:rsidRDefault="00AC627E" w:rsidP="0080044B">
            <w:pPr>
              <w:jc w:val="left"/>
              <w:rPr>
                <w:lang w:val="sr-Cyrl-RS"/>
              </w:rPr>
            </w:pPr>
            <w:r w:rsidRPr="00CF77C1">
              <w:rPr>
                <w:lang w:val="sr-Cyrl-RS"/>
              </w:rPr>
              <w:t>м</w:t>
            </w:r>
            <w:r w:rsidR="005C650D" w:rsidRPr="00CF77C1">
              <w:rPr>
                <w:lang w:val="sr-Cyrl-RS"/>
              </w:rPr>
              <w:t>инистарство надлежно за послове</w:t>
            </w:r>
            <w:r w:rsidR="003F3DB8" w:rsidRPr="00CF77C1">
              <w:rPr>
                <w:lang w:val="sr-Cyrl-RS"/>
              </w:rPr>
              <w:t xml:space="preserve"> рударства и енергетике</w:t>
            </w:r>
            <w:r w:rsidR="000947FE" w:rsidRPr="00CF77C1">
              <w:rPr>
                <w:lang w:val="sr-Cyrl-RS"/>
              </w:rPr>
              <w:t>, Републичка дирекција за робне резерве и ЈП Транснафта (складишта у јавној својини)</w:t>
            </w:r>
          </w:p>
        </w:tc>
        <w:tc>
          <w:tcPr>
            <w:tcW w:w="756" w:type="dxa"/>
            <w:vAlign w:val="center"/>
          </w:tcPr>
          <w:p w14:paraId="603D8DC4" w14:textId="77777777" w:rsidR="003F3DB8" w:rsidRPr="00CF77C1" w:rsidRDefault="003F3DB8" w:rsidP="0080044B">
            <w:pPr>
              <w:jc w:val="center"/>
              <w:rPr>
                <w:lang w:val="sr-Cyrl-RS"/>
              </w:rPr>
            </w:pPr>
            <w:r w:rsidRPr="00CF77C1">
              <w:rPr>
                <w:lang w:val="sr-Cyrl-RS"/>
              </w:rPr>
              <w:t>х</w:t>
            </w:r>
          </w:p>
        </w:tc>
        <w:tc>
          <w:tcPr>
            <w:tcW w:w="756" w:type="dxa"/>
            <w:vAlign w:val="center"/>
          </w:tcPr>
          <w:p w14:paraId="34747DE2" w14:textId="77777777" w:rsidR="003F3DB8" w:rsidRPr="00CF77C1" w:rsidRDefault="003F3DB8" w:rsidP="0080044B">
            <w:pPr>
              <w:jc w:val="center"/>
              <w:rPr>
                <w:lang w:val="sr-Cyrl-RS"/>
              </w:rPr>
            </w:pPr>
            <w:r w:rsidRPr="00CF77C1">
              <w:rPr>
                <w:lang w:val="sr-Cyrl-RS"/>
              </w:rPr>
              <w:t>х</w:t>
            </w:r>
          </w:p>
        </w:tc>
        <w:tc>
          <w:tcPr>
            <w:tcW w:w="756" w:type="dxa"/>
            <w:vAlign w:val="center"/>
          </w:tcPr>
          <w:p w14:paraId="740E0D3B" w14:textId="77777777" w:rsidR="003F3DB8" w:rsidRPr="00CF77C1" w:rsidRDefault="003F3DB8" w:rsidP="0080044B">
            <w:pPr>
              <w:jc w:val="center"/>
              <w:rPr>
                <w:lang w:val="sr-Cyrl-RS"/>
              </w:rPr>
            </w:pPr>
            <w:r w:rsidRPr="00CF77C1">
              <w:rPr>
                <w:lang w:val="sr-Cyrl-RS"/>
              </w:rPr>
              <w:t>х</w:t>
            </w:r>
          </w:p>
        </w:tc>
        <w:tc>
          <w:tcPr>
            <w:tcW w:w="756" w:type="dxa"/>
            <w:vAlign w:val="center"/>
          </w:tcPr>
          <w:p w14:paraId="5A1E913C" w14:textId="77777777" w:rsidR="003F3DB8" w:rsidRPr="00CF77C1" w:rsidRDefault="003F3DB8" w:rsidP="0080044B">
            <w:pPr>
              <w:jc w:val="center"/>
              <w:rPr>
                <w:lang w:val="sr-Cyrl-RS"/>
              </w:rPr>
            </w:pPr>
            <w:r w:rsidRPr="00CF77C1">
              <w:rPr>
                <w:lang w:val="sr-Cyrl-RS"/>
              </w:rPr>
              <w:t>х</w:t>
            </w:r>
          </w:p>
        </w:tc>
        <w:tc>
          <w:tcPr>
            <w:tcW w:w="756" w:type="dxa"/>
            <w:vAlign w:val="center"/>
          </w:tcPr>
          <w:p w14:paraId="61B68DED" w14:textId="77777777" w:rsidR="003F3DB8" w:rsidRPr="00CF77C1" w:rsidRDefault="003F3DB8" w:rsidP="0080044B">
            <w:pPr>
              <w:jc w:val="center"/>
              <w:rPr>
                <w:lang w:val="sr-Cyrl-RS"/>
              </w:rPr>
            </w:pPr>
            <w:r w:rsidRPr="00CF77C1">
              <w:rPr>
                <w:lang w:val="sr-Cyrl-RS"/>
              </w:rPr>
              <w:t>х</w:t>
            </w:r>
          </w:p>
        </w:tc>
        <w:tc>
          <w:tcPr>
            <w:tcW w:w="756" w:type="dxa"/>
            <w:vAlign w:val="center"/>
          </w:tcPr>
          <w:p w14:paraId="336FA2DA" w14:textId="77777777" w:rsidR="003F3DB8" w:rsidRPr="00CF77C1" w:rsidRDefault="003F3DB8" w:rsidP="0080044B">
            <w:pPr>
              <w:jc w:val="center"/>
              <w:rPr>
                <w:lang w:val="sr-Cyrl-RS"/>
              </w:rPr>
            </w:pPr>
            <w:r w:rsidRPr="00CF77C1">
              <w:rPr>
                <w:lang w:val="sr-Cyrl-RS"/>
              </w:rPr>
              <w:t>х</w:t>
            </w:r>
          </w:p>
        </w:tc>
        <w:tc>
          <w:tcPr>
            <w:tcW w:w="756" w:type="dxa"/>
            <w:vAlign w:val="center"/>
          </w:tcPr>
          <w:p w14:paraId="5CC7524C" w14:textId="77777777" w:rsidR="003F3DB8" w:rsidRPr="00CF77C1" w:rsidRDefault="003F3DB8" w:rsidP="0080044B">
            <w:pPr>
              <w:jc w:val="center"/>
              <w:rPr>
                <w:lang w:val="sr-Cyrl-RS"/>
              </w:rPr>
            </w:pPr>
          </w:p>
        </w:tc>
      </w:tr>
    </w:tbl>
    <w:p w14:paraId="397C7E87" w14:textId="77777777" w:rsidR="003F3DB8" w:rsidRPr="00CF77C1" w:rsidRDefault="003F3DB8" w:rsidP="0080044B">
      <w:pPr>
        <w:rPr>
          <w:lang w:val="sr-Cyrl-RS"/>
        </w:rPr>
        <w:sectPr w:rsidR="003F3DB8" w:rsidRPr="00CF77C1" w:rsidSect="003F3DB8">
          <w:headerReference w:type="default" r:id="rId89"/>
          <w:footerReference w:type="even" r:id="rId90"/>
          <w:footerReference w:type="default" r:id="rId91"/>
          <w:pgSz w:w="16839" w:h="11907" w:orient="landscape" w:code="9"/>
          <w:pgMar w:top="1418" w:right="1134" w:bottom="1134" w:left="1134" w:header="1004" w:footer="720" w:gutter="0"/>
          <w:cols w:space="720"/>
          <w:docGrid w:linePitch="360"/>
        </w:sectPr>
      </w:pPr>
    </w:p>
    <w:p w14:paraId="780EDC4D" w14:textId="7FC440F3" w:rsidR="003F3DB8" w:rsidRPr="00CF77C1" w:rsidRDefault="008C6DCA" w:rsidP="008C6DCA">
      <w:pPr>
        <w:pStyle w:val="Heading4"/>
        <w:numPr>
          <w:ilvl w:val="0"/>
          <w:numId w:val="0"/>
        </w:numPr>
        <w:ind w:left="720"/>
        <w:rPr>
          <w:b w:val="0"/>
          <w:lang w:val="sr-Cyrl-RS"/>
        </w:rPr>
      </w:pPr>
      <w:bookmarkStart w:id="142" w:name="_Toc471730791"/>
      <w:bookmarkStart w:id="143" w:name="_Toc484260305"/>
      <w:r w:rsidRPr="00CF77C1">
        <w:rPr>
          <w:b w:val="0"/>
          <w:lang w:val="sr-Cyrl-RS"/>
        </w:rPr>
        <w:t xml:space="preserve">3.4.2.4. </w:t>
      </w:r>
      <w:r w:rsidR="003F3DB8" w:rsidRPr="00CF77C1">
        <w:rPr>
          <w:b w:val="0"/>
          <w:lang w:val="sr-Cyrl-RS"/>
        </w:rPr>
        <w:t>Могућност експлоатације и прераде уљних шкриљаца (уљних шејлова)</w:t>
      </w:r>
      <w:bookmarkEnd w:id="142"/>
      <w:bookmarkEnd w:id="143"/>
    </w:p>
    <w:p w14:paraId="6D267F50" w14:textId="77777777" w:rsidR="003F3DB8" w:rsidRPr="00CF77C1" w:rsidRDefault="003F3DB8" w:rsidP="00E209CF">
      <w:pPr>
        <w:ind w:firstLine="720"/>
        <w:rPr>
          <w:lang w:val="sr-Cyrl-RS"/>
        </w:rPr>
      </w:pPr>
      <w:r w:rsidRPr="00CF77C1">
        <w:rPr>
          <w:lang w:val="sr-Cyrl-RS"/>
        </w:rPr>
        <w:t xml:space="preserve">Процењене резерве уљних шкриљаца (уљних шејлова) у Републици Србији су око 4,8 милијарди </w:t>
      </w:r>
      <w:r w:rsidRPr="00CF77C1">
        <w:rPr>
          <w:szCs w:val="24"/>
          <w:lang w:val="sr-Cyrl-RS"/>
        </w:rPr>
        <w:t>тона</w:t>
      </w:r>
      <w:r w:rsidRPr="00CF77C1">
        <w:rPr>
          <w:lang w:val="sr-Cyrl-RS"/>
        </w:rPr>
        <w:t>. Резерве су утврђене у следећим басенима: Алексиначки, Врањски, Сенонски тектонски ров, Ваљевско-мионички, Западно-моравски, Крушевачки, Бабушнички, Косанички, Нишки и Левачки.</w:t>
      </w:r>
    </w:p>
    <w:p w14:paraId="78EF1E50" w14:textId="77777777" w:rsidR="003F3DB8" w:rsidRPr="00CF77C1" w:rsidRDefault="003F3DB8" w:rsidP="00E209CF">
      <w:pPr>
        <w:ind w:firstLine="720"/>
        <w:rPr>
          <w:lang w:val="sr-Cyrl-RS"/>
        </w:rPr>
      </w:pPr>
      <w:r w:rsidRPr="00CF77C1">
        <w:rPr>
          <w:lang w:val="sr-Cyrl-RS"/>
        </w:rPr>
        <w:t>За сада је једино Алексиначки басен детаљније истражен. Потенцијалне резерве процењују се на око две милијарде тона.</w:t>
      </w:r>
    </w:p>
    <w:p w14:paraId="086AE5D1" w14:textId="2AA836FD" w:rsidR="003F3DB8" w:rsidRPr="00CF77C1" w:rsidRDefault="003F3DB8" w:rsidP="00E209CF">
      <w:pPr>
        <w:ind w:firstLine="720"/>
        <w:rPr>
          <w:lang w:val="sr-Cyrl-RS"/>
        </w:rPr>
      </w:pPr>
      <w:r w:rsidRPr="00CF77C1">
        <w:rPr>
          <w:lang w:val="sr-Cyrl-RS"/>
        </w:rPr>
        <w:t>За потребе ЈП ПЕУ Ресавица- Алексиначког рудника, 2012. године урађен је Елаборат о резервама уљних шкриљаца (уљних шејлова). Билансне резерве лежишта Дубрава, које су оверене 2012. године, износе 352.759.195 тона при чему се садржај нафтног уља креће од 9,9% у повлати до 12,5% у подини лежишта. ЈП ПЕУ Ресавица - „Алексиначки рудник</w:t>
      </w:r>
      <w:r w:rsidR="00AD5740" w:rsidRPr="00CF77C1">
        <w:rPr>
          <w:lang w:val="sr-Cyrl-RS"/>
        </w:rPr>
        <w:t>”</w:t>
      </w:r>
      <w:r w:rsidRPr="00CF77C1">
        <w:rPr>
          <w:lang w:val="sr-Cyrl-RS"/>
        </w:rPr>
        <w:t xml:space="preserve"> је и носилац експлоатационог права број 04-783/2.</w:t>
      </w:r>
    </w:p>
    <w:p w14:paraId="07FF350E" w14:textId="77777777" w:rsidR="003F3DB8" w:rsidRPr="00CF77C1" w:rsidRDefault="003F3DB8" w:rsidP="00E209CF">
      <w:pPr>
        <w:ind w:firstLine="720"/>
        <w:rPr>
          <w:lang w:val="sr-Cyrl-RS"/>
        </w:rPr>
      </w:pPr>
      <w:r w:rsidRPr="00CF77C1">
        <w:rPr>
          <w:lang w:val="sr-Cyrl-RS"/>
        </w:rPr>
        <w:t>За експлоатацију уљних шкриљаца (уљних шејлова) има више заинтересованих партнера.</w:t>
      </w:r>
    </w:p>
    <w:p w14:paraId="64A3216A" w14:textId="0E29873E" w:rsidR="003F3DB8" w:rsidRPr="00CF77C1" w:rsidRDefault="003F3DB8" w:rsidP="00E209CF">
      <w:pPr>
        <w:ind w:firstLine="720"/>
        <w:rPr>
          <w:lang w:val="sr-Cyrl-RS"/>
        </w:rPr>
      </w:pPr>
      <w:r w:rsidRPr="00CF77C1">
        <w:rPr>
          <w:lang w:val="sr-Cyrl-RS"/>
        </w:rPr>
        <w:t>Економичност експлоатације уљних шкриљаца (уљних шејлова) из Алексиначког басена је у директној вези за ценом сирове нафте. Према урађеним анализама почетак и реализација експ</w:t>
      </w:r>
      <w:r w:rsidR="00DC3D5E">
        <w:rPr>
          <w:lang w:val="sr-Cyrl-RS"/>
        </w:rPr>
        <w:t>л</w:t>
      </w:r>
      <w:r w:rsidRPr="00CF77C1">
        <w:rPr>
          <w:lang w:val="sr-Cyrl-RS"/>
        </w:rPr>
        <w:t xml:space="preserve">оатације су условљене ценом сирове нафте на светском тржишту од 70 до 80 </w:t>
      </w:r>
      <w:r w:rsidR="00BA558D" w:rsidRPr="00CF77C1">
        <w:rPr>
          <w:lang w:val="sr-Cyrl-RS"/>
        </w:rPr>
        <w:t>$</w:t>
      </w:r>
      <w:r w:rsidRPr="00CF77C1">
        <w:rPr>
          <w:lang w:val="sr-Cyrl-RS"/>
        </w:rPr>
        <w:t>/барелу.</w:t>
      </w:r>
    </w:p>
    <w:p w14:paraId="6145DCB6" w14:textId="77777777" w:rsidR="003F3DB8" w:rsidRPr="00CF77C1" w:rsidRDefault="003F3DB8" w:rsidP="00E209CF">
      <w:pPr>
        <w:ind w:firstLine="720"/>
        <w:rPr>
          <w:lang w:val="sr-Cyrl-RS"/>
        </w:rPr>
      </w:pPr>
      <w:r w:rsidRPr="00CF77C1">
        <w:rPr>
          <w:lang w:val="sr-Cyrl-RS"/>
        </w:rPr>
        <w:t>Уљни шкриљци (шејлови) могу ефикасно да се искористе за производњу нафтног уља (екстракцијом) из коjeг би се прерадом (у рафинерији) добијала нафта, док би се</w:t>
      </w:r>
      <w:r w:rsidR="00892212" w:rsidRPr="00CF77C1">
        <w:rPr>
          <w:lang w:val="sr-Cyrl-RS"/>
        </w:rPr>
        <w:t xml:space="preserve"> </w:t>
      </w:r>
      <w:r w:rsidRPr="00CF77C1">
        <w:rPr>
          <w:lang w:val="sr-Cyrl-RS"/>
        </w:rPr>
        <w:t>престали део екстрахованих уљних шкриљаца (шејлова) користио за производњу електричне енергије.</w:t>
      </w:r>
    </w:p>
    <w:p w14:paraId="50311FF6" w14:textId="77777777" w:rsidR="003F3DB8" w:rsidRPr="00CF77C1" w:rsidRDefault="003F3DB8" w:rsidP="00E209CF">
      <w:pPr>
        <w:ind w:firstLine="720"/>
        <w:rPr>
          <w:lang w:val="sr-Cyrl-RS"/>
        </w:rPr>
      </w:pPr>
      <w:r w:rsidRPr="00CF77C1">
        <w:rPr>
          <w:lang w:val="sr-Cyrl-RS"/>
        </w:rPr>
        <w:t>Са аспекта утицаја на животну средину пројекат је прихватљив пошто нема депоновања екстрахованих уљних шкриљаца (уљних шејлова), с обзиром на то да се они у електрани користе за производњу топлотне и електричне енергије. Као нус производ јављао би се пепео након сагоревања који је потребно депоновати, мада би се и он могао искористити као сировина у грађевинарству. Применом савремених технологија емисија штетних гасова била би сведена на минимум, док би све отпадне воде биле подвргнуте третману у постројењу за припрему.</w:t>
      </w:r>
    </w:p>
    <w:p w14:paraId="07A40526" w14:textId="77777777" w:rsidR="003F3DB8" w:rsidRPr="00CF77C1" w:rsidRDefault="003F3DB8" w:rsidP="00E209CF">
      <w:pPr>
        <w:ind w:firstLine="720"/>
        <w:rPr>
          <w:lang w:val="sr-Cyrl-RS"/>
        </w:rPr>
      </w:pPr>
      <w:r w:rsidRPr="00CF77C1">
        <w:rPr>
          <w:lang w:val="sr-Cyrl-RS"/>
        </w:rPr>
        <w:t>Пројекат експлоатације и прераде уљних шкриљаца (уљних шејлова) има вишеструке позитивне ефекте као што су:</w:t>
      </w:r>
    </w:p>
    <w:p w14:paraId="3A66420B" w14:textId="77777777" w:rsidR="003F3DB8" w:rsidRPr="00CF77C1" w:rsidRDefault="003F3DB8" w:rsidP="003E39B4">
      <w:pPr>
        <w:pStyle w:val="ListParagraph"/>
        <w:numPr>
          <w:ilvl w:val="0"/>
          <w:numId w:val="28"/>
        </w:numPr>
        <w:spacing w:before="60" w:after="60"/>
        <w:ind w:left="0" w:firstLine="720"/>
        <w:contextualSpacing w:val="0"/>
        <w:rPr>
          <w:szCs w:val="24"/>
          <w:lang w:val="sr-Cyrl-RS"/>
        </w:rPr>
      </w:pPr>
      <w:r w:rsidRPr="00CF77C1">
        <w:rPr>
          <w:szCs w:val="24"/>
          <w:lang w:val="sr-Cyrl-RS"/>
        </w:rPr>
        <w:t>валоризовање до сада неискоришћеног рудног потенцијала;</w:t>
      </w:r>
    </w:p>
    <w:p w14:paraId="00008587" w14:textId="77777777" w:rsidR="003F3DB8" w:rsidRPr="00CF77C1" w:rsidRDefault="003F3DB8" w:rsidP="003E39B4">
      <w:pPr>
        <w:pStyle w:val="ListParagraph"/>
        <w:numPr>
          <w:ilvl w:val="0"/>
          <w:numId w:val="28"/>
        </w:numPr>
        <w:spacing w:before="60" w:after="60"/>
        <w:ind w:left="0" w:firstLine="720"/>
        <w:contextualSpacing w:val="0"/>
        <w:rPr>
          <w:szCs w:val="24"/>
          <w:lang w:val="sr-Cyrl-RS"/>
        </w:rPr>
      </w:pPr>
      <w:r w:rsidRPr="00CF77C1">
        <w:rPr>
          <w:szCs w:val="24"/>
          <w:lang w:val="sr-Cyrl-RS"/>
        </w:rPr>
        <w:t>повећање домаће производње нафте;</w:t>
      </w:r>
    </w:p>
    <w:p w14:paraId="2F0F443E" w14:textId="77777777" w:rsidR="003F3DB8" w:rsidRPr="00CF77C1" w:rsidRDefault="003F3DB8" w:rsidP="003E39B4">
      <w:pPr>
        <w:pStyle w:val="ListParagraph"/>
        <w:numPr>
          <w:ilvl w:val="0"/>
          <w:numId w:val="28"/>
        </w:numPr>
        <w:spacing w:before="60" w:after="60"/>
        <w:ind w:left="0" w:firstLine="720"/>
        <w:contextualSpacing w:val="0"/>
        <w:rPr>
          <w:szCs w:val="24"/>
          <w:lang w:val="sr-Cyrl-RS"/>
        </w:rPr>
      </w:pPr>
      <w:r w:rsidRPr="00CF77C1">
        <w:rPr>
          <w:szCs w:val="24"/>
          <w:lang w:val="sr-Cyrl-RS"/>
        </w:rPr>
        <w:t>производња електричне и топлотне енергије;</w:t>
      </w:r>
    </w:p>
    <w:p w14:paraId="77B9BAD7" w14:textId="109CD3B3" w:rsidR="003F3DB8" w:rsidRPr="00CF77C1" w:rsidRDefault="003F3DB8" w:rsidP="003E39B4">
      <w:pPr>
        <w:pStyle w:val="ListParagraph"/>
        <w:numPr>
          <w:ilvl w:val="0"/>
          <w:numId w:val="28"/>
        </w:numPr>
        <w:spacing w:before="60" w:after="60"/>
        <w:ind w:left="0" w:firstLine="720"/>
        <w:contextualSpacing w:val="0"/>
        <w:rPr>
          <w:szCs w:val="24"/>
          <w:lang w:val="sr-Cyrl-RS"/>
        </w:rPr>
      </w:pPr>
      <w:r w:rsidRPr="00CF77C1">
        <w:rPr>
          <w:szCs w:val="24"/>
          <w:lang w:val="sr-Cyrl-RS"/>
        </w:rPr>
        <w:t xml:space="preserve">развој неразвијеног региона </w:t>
      </w:r>
      <w:r w:rsidR="00185B50" w:rsidRPr="00CF77C1">
        <w:rPr>
          <w:szCs w:val="24"/>
          <w:lang w:val="sr-Cyrl-RS"/>
        </w:rPr>
        <w:t xml:space="preserve">Републике </w:t>
      </w:r>
      <w:r w:rsidRPr="00CF77C1">
        <w:rPr>
          <w:szCs w:val="24"/>
          <w:lang w:val="sr-Cyrl-RS"/>
        </w:rPr>
        <w:t>Србије;</w:t>
      </w:r>
    </w:p>
    <w:p w14:paraId="2B41BA33" w14:textId="77777777" w:rsidR="003F3DB8" w:rsidRPr="00CF77C1" w:rsidRDefault="003F3DB8" w:rsidP="003E39B4">
      <w:pPr>
        <w:pStyle w:val="ListParagraph"/>
        <w:numPr>
          <w:ilvl w:val="0"/>
          <w:numId w:val="28"/>
        </w:numPr>
        <w:spacing w:before="60" w:after="60"/>
        <w:ind w:left="0" w:firstLine="720"/>
        <w:contextualSpacing w:val="0"/>
        <w:rPr>
          <w:szCs w:val="24"/>
          <w:lang w:val="sr-Cyrl-RS"/>
        </w:rPr>
      </w:pPr>
      <w:r w:rsidRPr="00CF77C1">
        <w:rPr>
          <w:szCs w:val="24"/>
          <w:lang w:val="sr-Cyrl-RS"/>
        </w:rPr>
        <w:t>отварање нових радних места и</w:t>
      </w:r>
    </w:p>
    <w:p w14:paraId="1391062E" w14:textId="77777777" w:rsidR="003F3DB8" w:rsidRPr="00CF77C1" w:rsidRDefault="003F3DB8" w:rsidP="003E39B4">
      <w:pPr>
        <w:pStyle w:val="ListParagraph"/>
        <w:numPr>
          <w:ilvl w:val="0"/>
          <w:numId w:val="28"/>
        </w:numPr>
        <w:spacing w:before="60" w:after="60"/>
        <w:ind w:left="0" w:firstLine="720"/>
        <w:contextualSpacing w:val="0"/>
        <w:rPr>
          <w:szCs w:val="24"/>
          <w:lang w:val="sr-Cyrl-RS"/>
        </w:rPr>
      </w:pPr>
      <w:r w:rsidRPr="00CF77C1">
        <w:rPr>
          <w:szCs w:val="24"/>
          <w:lang w:val="sr-Cyrl-RS"/>
        </w:rPr>
        <w:t>директан утицај на повећање БДП-а.</w:t>
      </w:r>
    </w:p>
    <w:p w14:paraId="3DA6C969" w14:textId="634DACA1" w:rsidR="00851D9E" w:rsidRPr="00CF77C1" w:rsidRDefault="003F3DB8" w:rsidP="00E209CF">
      <w:pPr>
        <w:ind w:firstLine="720"/>
        <w:rPr>
          <w:lang w:val="sr-Cyrl-RS"/>
        </w:rPr>
      </w:pPr>
      <w:r w:rsidRPr="00CF77C1">
        <w:rPr>
          <w:szCs w:val="24"/>
          <w:lang w:val="sr-Cyrl-RS"/>
        </w:rPr>
        <w:t>С обзиром на садашње стање у ЈП ПЕУ Ресавица - „Алексиначки рудници</w:t>
      </w:r>
      <w:r w:rsidR="00AD5740" w:rsidRPr="00CF77C1">
        <w:rPr>
          <w:szCs w:val="24"/>
          <w:lang w:val="sr-Cyrl-RS"/>
        </w:rPr>
        <w:t>”</w:t>
      </w:r>
      <w:r w:rsidRPr="00CF77C1">
        <w:rPr>
          <w:szCs w:val="24"/>
          <w:lang w:val="sr-Cyrl-RS"/>
        </w:rPr>
        <w:t xml:space="preserve"> неопходно је предузети одговарајуће мере и активности у смислу финансијске консолидације предузећа. Ово је могуће реализовати кроз </w:t>
      </w:r>
      <w:r w:rsidRPr="00CF77C1">
        <w:rPr>
          <w:szCs w:val="24"/>
          <w:shd w:val="clear" w:color="auto" w:fill="FFFFFF"/>
          <w:lang w:val="sr-Cyrl-RS"/>
        </w:rPr>
        <w:t>реорганизацију овог предузећа,</w:t>
      </w:r>
      <w:r w:rsidRPr="00CF77C1">
        <w:rPr>
          <w:szCs w:val="24"/>
          <w:lang w:val="sr-Cyrl-RS"/>
        </w:rPr>
        <w:t> </w:t>
      </w:r>
      <w:r w:rsidRPr="00CF77C1">
        <w:rPr>
          <w:szCs w:val="24"/>
          <w:shd w:val="clear" w:color="auto" w:fill="FFFFFF"/>
          <w:lang w:val="sr-Cyrl-RS"/>
        </w:rPr>
        <w:t>чиме би се пружила могућност</w:t>
      </w:r>
      <w:r w:rsidRPr="00CF77C1">
        <w:rPr>
          <w:szCs w:val="24"/>
          <w:lang w:val="sr-Cyrl-RS"/>
        </w:rPr>
        <w:t> </w:t>
      </w:r>
      <w:r w:rsidRPr="00CF77C1">
        <w:rPr>
          <w:szCs w:val="24"/>
          <w:shd w:val="clear" w:color="auto" w:fill="FFFFFF"/>
          <w:lang w:val="sr-Cyrl-RS"/>
        </w:rPr>
        <w:t>за</w:t>
      </w:r>
      <w:r w:rsidRPr="00CF77C1">
        <w:rPr>
          <w:szCs w:val="24"/>
          <w:lang w:val="sr-Cyrl-RS"/>
        </w:rPr>
        <w:t> </w:t>
      </w:r>
      <w:r w:rsidRPr="00CF77C1">
        <w:rPr>
          <w:szCs w:val="24"/>
          <w:shd w:val="clear" w:color="auto" w:fill="FFFFFF"/>
          <w:lang w:val="sr-Cyrl-RS"/>
        </w:rPr>
        <w:t>проналажење заинтересованог стратешког партнера или приватизацију.</w:t>
      </w:r>
      <w:r w:rsidRPr="00CF77C1">
        <w:rPr>
          <w:szCs w:val="24"/>
          <w:lang w:val="sr-Cyrl-RS"/>
        </w:rPr>
        <w:t xml:space="preserve"> Због овакве ситуације не може се дефинисати динамика реализације активн</w:t>
      </w:r>
      <w:r w:rsidR="00FC6F6F">
        <w:rPr>
          <w:szCs w:val="24"/>
          <w:lang w:val="sr-Cyrl-RS"/>
        </w:rPr>
        <w:t>ости у периоду реализације ПОС</w:t>
      </w:r>
      <w:r w:rsidRPr="00CF77C1">
        <w:rPr>
          <w:szCs w:val="24"/>
          <w:lang w:val="sr-Cyrl-RS"/>
        </w:rPr>
        <w:t>.</w:t>
      </w:r>
      <w:bookmarkEnd w:id="110"/>
    </w:p>
    <w:p w14:paraId="42898B8C" w14:textId="698104D3" w:rsidR="00882250" w:rsidRPr="00CF77C1" w:rsidRDefault="008C6DCA" w:rsidP="008C6DCA">
      <w:pPr>
        <w:pStyle w:val="Heading2"/>
        <w:numPr>
          <w:ilvl w:val="0"/>
          <w:numId w:val="0"/>
        </w:numPr>
        <w:ind w:left="720"/>
        <w:rPr>
          <w:rFonts w:ascii="Times New Roman" w:hAnsi="Times New Roman"/>
          <w:b w:val="0"/>
          <w:lang w:val="sr-Cyrl-RS"/>
        </w:rPr>
      </w:pPr>
      <w:bookmarkStart w:id="144" w:name="_Toc463001125"/>
      <w:bookmarkStart w:id="145" w:name="_Toc484260306"/>
      <w:r w:rsidRPr="00CF77C1">
        <w:rPr>
          <w:rFonts w:ascii="Times New Roman" w:hAnsi="Times New Roman"/>
          <w:b w:val="0"/>
          <w:lang w:val="sr-Cyrl-RS"/>
        </w:rPr>
        <w:t xml:space="preserve">3.5. </w:t>
      </w:r>
      <w:r w:rsidR="00882250" w:rsidRPr="00CF77C1">
        <w:rPr>
          <w:rFonts w:ascii="Times New Roman" w:hAnsi="Times New Roman"/>
          <w:b w:val="0"/>
          <w:lang w:val="sr-Cyrl-RS"/>
        </w:rPr>
        <w:t xml:space="preserve">Област </w:t>
      </w:r>
      <w:r w:rsidR="00B26325" w:rsidRPr="00CF77C1">
        <w:rPr>
          <w:rFonts w:ascii="Times New Roman" w:hAnsi="Times New Roman"/>
          <w:b w:val="0"/>
          <w:lang w:val="sr-Cyrl-RS"/>
        </w:rPr>
        <w:t xml:space="preserve">природног </w:t>
      </w:r>
      <w:r w:rsidR="00882250" w:rsidRPr="00CF77C1">
        <w:rPr>
          <w:rFonts w:ascii="Times New Roman" w:hAnsi="Times New Roman"/>
          <w:b w:val="0"/>
          <w:lang w:val="sr-Cyrl-RS"/>
        </w:rPr>
        <w:t>гаса</w:t>
      </w:r>
      <w:bookmarkEnd w:id="144"/>
      <w:bookmarkEnd w:id="145"/>
    </w:p>
    <w:p w14:paraId="31BB61DC" w14:textId="77777777" w:rsidR="00B26325" w:rsidRPr="00CF77C1" w:rsidRDefault="00B26325" w:rsidP="00E209CF">
      <w:pPr>
        <w:ind w:firstLine="720"/>
        <w:rPr>
          <w:lang w:val="sr-Cyrl-RS"/>
        </w:rPr>
      </w:pPr>
      <w:r w:rsidRPr="00CF77C1">
        <w:rPr>
          <w:lang w:val="sr-Cyrl-RS"/>
        </w:rPr>
        <w:t xml:space="preserve">Постизање стратешких циљева у области природног гаса се остварује применом мера и реализацијом пројеката који су изабрани и дефинисани тако да утичу на постизање једног или истовремено, више </w:t>
      </w:r>
      <w:r w:rsidR="007D5164" w:rsidRPr="00CF77C1">
        <w:rPr>
          <w:lang w:val="sr-Cyrl-RS"/>
        </w:rPr>
        <w:t>усвојених стратешких</w:t>
      </w:r>
      <w:r w:rsidRPr="00CF77C1">
        <w:rPr>
          <w:lang w:val="sr-Cyrl-RS"/>
        </w:rPr>
        <w:t xml:space="preserve"> циљева. Ради се o комплексним мерама које обухватају регулаторне, организационе, техничке и друге активности, односно о инжењерски захтевним и инвестиционо интензивним пројектним активностима, чија заједничка реализација синергетски доприноси остварењу циљева Стратегије. Усвојени стратешки циљеви у области природног гаса су:</w:t>
      </w:r>
    </w:p>
    <w:p w14:paraId="7CA61341" w14:textId="453C5146" w:rsidR="00B26325" w:rsidRPr="00CF77C1" w:rsidRDefault="006D5E47" w:rsidP="003E39B4">
      <w:pPr>
        <w:pStyle w:val="ListParagraph"/>
        <w:numPr>
          <w:ilvl w:val="0"/>
          <w:numId w:val="28"/>
        </w:numPr>
        <w:spacing w:before="60" w:after="60"/>
        <w:ind w:left="0" w:firstLine="720"/>
        <w:contextualSpacing w:val="0"/>
        <w:rPr>
          <w:lang w:val="sr-Cyrl-RS"/>
        </w:rPr>
      </w:pPr>
      <w:r w:rsidRPr="00CF77C1">
        <w:rPr>
          <w:lang w:val="sr-Cyrl-RS"/>
        </w:rPr>
        <w:t>о</w:t>
      </w:r>
      <w:r w:rsidR="00B26325" w:rsidRPr="00CF77C1">
        <w:rPr>
          <w:lang w:val="sr-Cyrl-RS"/>
        </w:rPr>
        <w:t>безбеђење сигурног снабдевања домаћег тржишта природним гасом;</w:t>
      </w:r>
    </w:p>
    <w:p w14:paraId="0A3D98C1" w14:textId="5450F63A" w:rsidR="00B26325" w:rsidRPr="00CF77C1" w:rsidRDefault="006D5E47" w:rsidP="003E39B4">
      <w:pPr>
        <w:pStyle w:val="ListParagraph"/>
        <w:numPr>
          <w:ilvl w:val="0"/>
          <w:numId w:val="28"/>
        </w:numPr>
        <w:spacing w:before="60" w:after="60"/>
        <w:ind w:left="0" w:firstLine="720"/>
        <w:contextualSpacing w:val="0"/>
        <w:rPr>
          <w:lang w:val="sr-Cyrl-RS"/>
        </w:rPr>
      </w:pPr>
      <w:r w:rsidRPr="00CF77C1">
        <w:rPr>
          <w:lang w:val="sr-Cyrl-RS"/>
        </w:rPr>
        <w:t>у</w:t>
      </w:r>
      <w:r w:rsidR="00B26325" w:rsidRPr="00CF77C1">
        <w:rPr>
          <w:lang w:val="sr-Cyrl-RS"/>
        </w:rPr>
        <w:t>спостављање домаћег и рег</w:t>
      </w:r>
      <w:r w:rsidR="00ED3748">
        <w:rPr>
          <w:lang w:val="sr-Cyrl-RS"/>
        </w:rPr>
        <w:t>ионалног тржишта природног гаса;</w:t>
      </w:r>
    </w:p>
    <w:p w14:paraId="7819EC91" w14:textId="5EC017D6" w:rsidR="00B26325" w:rsidRPr="00CF77C1" w:rsidRDefault="006D5E47" w:rsidP="003E39B4">
      <w:pPr>
        <w:pStyle w:val="ListParagraph"/>
        <w:numPr>
          <w:ilvl w:val="0"/>
          <w:numId w:val="28"/>
        </w:numPr>
        <w:spacing w:before="60" w:after="60"/>
        <w:ind w:left="0" w:firstLine="720"/>
        <w:contextualSpacing w:val="0"/>
        <w:rPr>
          <w:lang w:val="sr-Cyrl-RS"/>
        </w:rPr>
      </w:pPr>
      <w:r w:rsidRPr="00CF77C1">
        <w:rPr>
          <w:lang w:val="sr-Cyrl-RS"/>
        </w:rPr>
        <w:t>д</w:t>
      </w:r>
      <w:r w:rsidR="00B26325" w:rsidRPr="00CF77C1">
        <w:rPr>
          <w:lang w:val="sr-Cyrl-RS"/>
        </w:rPr>
        <w:t>иверсификација извора и праваца снабдевања природним гасом.</w:t>
      </w:r>
    </w:p>
    <w:p w14:paraId="15956952" w14:textId="665C922B" w:rsidR="00B26325" w:rsidRPr="00CF77C1" w:rsidRDefault="00B26325" w:rsidP="00E209CF">
      <w:pPr>
        <w:ind w:firstLine="720"/>
        <w:rPr>
          <w:lang w:val="sr-Cyrl-RS"/>
        </w:rPr>
      </w:pPr>
      <w:r w:rsidRPr="00CF77C1">
        <w:rPr>
          <w:lang w:val="sr-Cyrl-RS"/>
        </w:rPr>
        <w:t xml:space="preserve">Степен реализације појединих стратешких циљева ће се пратити индикаторима приказаним у </w:t>
      </w:r>
      <w:r w:rsidR="000642D2" w:rsidRPr="00CF77C1">
        <w:rPr>
          <w:lang w:val="sr-Cyrl-RS"/>
        </w:rPr>
        <w:fldChar w:fldCharType="begin"/>
      </w:r>
      <w:r w:rsidR="000642D2" w:rsidRPr="00CF77C1">
        <w:rPr>
          <w:lang w:val="sr-Cyrl-RS"/>
        </w:rPr>
        <w:instrText xml:space="preserve"> REF _Ref469186601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58</w:t>
      </w:r>
      <w:r w:rsidR="000642D2" w:rsidRPr="00CF77C1">
        <w:rPr>
          <w:lang w:val="sr-Cyrl-RS"/>
        </w:rPr>
        <w:fldChar w:fldCharType="end"/>
      </w:r>
      <w:r w:rsidRPr="00CF77C1">
        <w:rPr>
          <w:lang w:val="sr-Cyrl-RS"/>
        </w:rPr>
        <w:t>.</w:t>
      </w:r>
    </w:p>
    <w:p w14:paraId="1FF61EF8" w14:textId="05695226" w:rsidR="00882250" w:rsidRPr="00CF77C1" w:rsidRDefault="008C6DCA" w:rsidP="008C6DCA">
      <w:pPr>
        <w:pStyle w:val="Heading3"/>
        <w:numPr>
          <w:ilvl w:val="0"/>
          <w:numId w:val="0"/>
        </w:numPr>
        <w:ind w:left="720"/>
        <w:rPr>
          <w:b w:val="0"/>
          <w:lang w:val="sr-Cyrl-RS"/>
        </w:rPr>
      </w:pPr>
      <w:bookmarkStart w:id="146" w:name="_Toc463001126"/>
      <w:bookmarkStart w:id="147" w:name="_Toc484260307"/>
      <w:r w:rsidRPr="00CF77C1">
        <w:rPr>
          <w:b w:val="0"/>
          <w:lang w:val="sr-Cyrl-RS"/>
        </w:rPr>
        <w:t xml:space="preserve">3.5.1. </w:t>
      </w:r>
      <w:r w:rsidR="007D5164" w:rsidRPr="00CF77C1">
        <w:rPr>
          <w:b w:val="0"/>
          <w:lang w:val="sr-Cyrl-RS"/>
        </w:rPr>
        <w:t>Мере</w:t>
      </w:r>
      <w:r w:rsidR="00882250" w:rsidRPr="00CF77C1">
        <w:rPr>
          <w:b w:val="0"/>
          <w:lang w:val="sr-Cyrl-RS"/>
        </w:rPr>
        <w:t xml:space="preserve"> у области</w:t>
      </w:r>
      <w:r w:rsidR="00B26325" w:rsidRPr="00CF77C1">
        <w:rPr>
          <w:b w:val="0"/>
          <w:lang w:val="sr-Cyrl-RS"/>
        </w:rPr>
        <w:t xml:space="preserve"> природног</w:t>
      </w:r>
      <w:r w:rsidR="00882250" w:rsidRPr="00CF77C1">
        <w:rPr>
          <w:b w:val="0"/>
          <w:lang w:val="sr-Cyrl-RS"/>
        </w:rPr>
        <w:t xml:space="preserve"> гаса</w:t>
      </w:r>
      <w:bookmarkEnd w:id="146"/>
      <w:bookmarkEnd w:id="147"/>
    </w:p>
    <w:p w14:paraId="400EE211" w14:textId="77777777" w:rsidR="00B26325" w:rsidRPr="00CF77C1" w:rsidRDefault="00B26325" w:rsidP="00E209CF">
      <w:pPr>
        <w:ind w:firstLine="720"/>
        <w:rPr>
          <w:lang w:val="sr-Cyrl-RS"/>
        </w:rPr>
      </w:pPr>
      <w:r w:rsidRPr="00CF77C1">
        <w:rPr>
          <w:lang w:val="sr-Cyrl-RS"/>
        </w:rPr>
        <w:t>Мере у области природног гасa</w:t>
      </w:r>
      <w:r w:rsidR="00BD44C7" w:rsidRPr="00CF77C1">
        <w:rPr>
          <w:lang w:val="sr-Cyrl-RS"/>
        </w:rPr>
        <w:t xml:space="preserve"> </w:t>
      </w:r>
      <w:r w:rsidRPr="00CF77C1">
        <w:rPr>
          <w:lang w:val="sr-Cyrl-RS"/>
        </w:rPr>
        <w:t>примарно усмерене ка обезбеђењу стратешких циљева обухватају:</w:t>
      </w:r>
    </w:p>
    <w:p w14:paraId="41030036" w14:textId="13E1BEA1" w:rsidR="00ED3748" w:rsidRDefault="005359FF" w:rsidP="003E39B4">
      <w:pPr>
        <w:pStyle w:val="ListParagraph"/>
        <w:numPr>
          <w:ilvl w:val="0"/>
          <w:numId w:val="38"/>
        </w:numPr>
        <w:spacing w:before="60" w:after="60"/>
        <w:ind w:left="0" w:firstLine="720"/>
        <w:contextualSpacing w:val="0"/>
        <w:rPr>
          <w:lang w:val="sr-Cyrl-RS"/>
        </w:rPr>
      </w:pPr>
      <w:r w:rsidRPr="00CF77C1">
        <w:rPr>
          <w:lang w:val="sr-Cyrl-RS"/>
        </w:rPr>
        <w:t>Усклађивање легислативе са обавезама преузетим чла</w:t>
      </w:r>
      <w:r w:rsidR="00CC2D05">
        <w:rPr>
          <w:lang w:val="sr-Cyrl-RS"/>
        </w:rPr>
        <w:t>нством у Енергетској заједници</w:t>
      </w:r>
    </w:p>
    <w:p w14:paraId="16037514" w14:textId="517314D0" w:rsidR="005359FF" w:rsidRPr="00CF77C1" w:rsidRDefault="005359FF" w:rsidP="00ED3748">
      <w:pPr>
        <w:pStyle w:val="ListParagraph"/>
        <w:spacing w:before="60" w:after="60"/>
        <w:ind w:left="0" w:firstLine="709"/>
        <w:contextualSpacing w:val="0"/>
        <w:rPr>
          <w:lang w:val="sr-Cyrl-RS"/>
        </w:rPr>
      </w:pPr>
      <w:r w:rsidRPr="00CF77C1">
        <w:rPr>
          <w:lang w:val="sr-Cyrl-RS"/>
        </w:rPr>
        <w:t xml:space="preserve">Скуп активности који прати ову меру односи се на доношење планова и упутстава у вези са обезбеђењем сигурног снабдевања природним гасом, услове за приступ мрежама за транспорт природног гаса, као и на усвајање новог законског оквира у вези са истраживањем и експлоатацијом угљоводоника, односно правила о извештавању за компаније које врше истраживања и експлоатацију нафте и гаса. Такође, да би се обезбедило несметано одвијање процеса сертификације оператора транспортног система, </w:t>
      </w:r>
      <w:r w:rsidR="000A306B" w:rsidRPr="00CF77C1">
        <w:rPr>
          <w:lang w:val="sr-Cyrl-RS"/>
        </w:rPr>
        <w:t>неопходно је приступити измени прописа којим</w:t>
      </w:r>
      <w:r w:rsidR="00ED3748">
        <w:rPr>
          <w:lang w:val="sr-Cyrl-RS"/>
        </w:rPr>
        <w:t>а</w:t>
      </w:r>
      <w:r w:rsidR="000A306B" w:rsidRPr="00CF77C1">
        <w:rPr>
          <w:lang w:val="sr-Cyrl-RS"/>
        </w:rPr>
        <w:t xml:space="preserve"> се уређује рад Владе, министарстава, рад и пословање јавних предузећа и других прописа неопходних за спровођење процеса сертификације оператора транспортног система</w:t>
      </w:r>
      <w:r w:rsidRPr="00CF77C1">
        <w:rPr>
          <w:lang w:val="sr-Cyrl-RS"/>
        </w:rPr>
        <w:t>.</w:t>
      </w:r>
    </w:p>
    <w:p w14:paraId="1D674388" w14:textId="77777777" w:rsidR="00CC2D05" w:rsidRDefault="005359FF" w:rsidP="003E39B4">
      <w:pPr>
        <w:pStyle w:val="ListParagraph"/>
        <w:numPr>
          <w:ilvl w:val="0"/>
          <w:numId w:val="38"/>
        </w:numPr>
        <w:spacing w:before="60" w:after="60"/>
        <w:ind w:left="0" w:firstLine="720"/>
        <w:contextualSpacing w:val="0"/>
        <w:rPr>
          <w:lang w:val="sr-Cyrl-RS"/>
        </w:rPr>
      </w:pPr>
      <w:r w:rsidRPr="00CF77C1">
        <w:rPr>
          <w:lang w:val="sr-Cyrl-RS"/>
        </w:rPr>
        <w:t>Унапређење регулаторне и техничке основе за функцио</w:t>
      </w:r>
      <w:r w:rsidR="00CC2D05">
        <w:rPr>
          <w:lang w:val="sr-Cyrl-RS"/>
        </w:rPr>
        <w:t>нисање гасоводне инфраструктуре</w:t>
      </w:r>
      <w:r w:rsidRPr="00CF77C1">
        <w:rPr>
          <w:lang w:val="sr-Cyrl-RS"/>
        </w:rPr>
        <w:t xml:space="preserve"> </w:t>
      </w:r>
    </w:p>
    <w:p w14:paraId="1DAF3E02" w14:textId="1D96795F" w:rsidR="005359FF" w:rsidRPr="00CF77C1" w:rsidRDefault="005359FF" w:rsidP="00CC2D05">
      <w:pPr>
        <w:pStyle w:val="ListParagraph"/>
        <w:spacing w:before="60" w:after="60"/>
        <w:ind w:left="0" w:firstLine="720"/>
        <w:contextualSpacing w:val="0"/>
        <w:rPr>
          <w:lang w:val="sr-Cyrl-RS"/>
        </w:rPr>
      </w:pPr>
      <w:r w:rsidRPr="00CF77C1">
        <w:rPr>
          <w:lang w:val="sr-Cyrl-RS"/>
        </w:rPr>
        <w:t>Kључне активности у оквиру ове мере су усвајање правила за рад транспортних система, ревизија и унапређење методологије за одређивање цене приступа систему за дистрибуцију природног гаса, опремање транспортних гасоводних система мерно-аквизиционом опремом неопходном за функционисање и развој тржишта природног гаса, као и преузимање мерних уређаја и мерно-регулационих станица у објектима постојећих купаца, односно произвођача од стране оператора дистрибутивних система.</w:t>
      </w:r>
    </w:p>
    <w:p w14:paraId="551C1DD7" w14:textId="77777777" w:rsidR="003565D2" w:rsidRDefault="005359FF" w:rsidP="003E39B4">
      <w:pPr>
        <w:pStyle w:val="ListParagraph"/>
        <w:numPr>
          <w:ilvl w:val="0"/>
          <w:numId w:val="38"/>
        </w:numPr>
        <w:spacing w:before="60" w:after="60"/>
        <w:ind w:left="0" w:firstLine="720"/>
        <w:contextualSpacing w:val="0"/>
        <w:rPr>
          <w:lang w:val="sr-Cyrl-RS"/>
        </w:rPr>
      </w:pPr>
      <w:r w:rsidRPr="00CF77C1">
        <w:rPr>
          <w:lang w:val="sr-Cyrl-RS"/>
        </w:rPr>
        <w:t>Планир</w:t>
      </w:r>
      <w:r w:rsidR="003565D2">
        <w:rPr>
          <w:lang w:val="sr-Cyrl-RS"/>
        </w:rPr>
        <w:t>ање развоја гасне инфраструктуре</w:t>
      </w:r>
      <w:r w:rsidRPr="00CF77C1">
        <w:rPr>
          <w:lang w:val="sr-Cyrl-RS"/>
        </w:rPr>
        <w:t xml:space="preserve"> </w:t>
      </w:r>
    </w:p>
    <w:p w14:paraId="66EA9FFA" w14:textId="32B19181" w:rsidR="005359FF" w:rsidRPr="00CF77C1" w:rsidRDefault="005359FF" w:rsidP="003565D2">
      <w:pPr>
        <w:pStyle w:val="ListParagraph"/>
        <w:spacing w:before="60" w:after="60"/>
        <w:ind w:left="0" w:firstLine="720"/>
        <w:contextualSpacing w:val="0"/>
        <w:rPr>
          <w:lang w:val="sr-Cyrl-RS"/>
        </w:rPr>
      </w:pPr>
      <w:r w:rsidRPr="00CF77C1">
        <w:rPr>
          <w:lang w:val="sr-Cyrl-RS"/>
        </w:rPr>
        <w:t>Ова мера се односи на доношење десетогодишњих планова развоја транспортних и складишних капацитета, као и петогодишњих планова развоја дистрибутивних система, односно на истражне радове и израду планске документације за будући развој гасоводне инфраструктуре.</w:t>
      </w:r>
    </w:p>
    <w:p w14:paraId="0298D8C8" w14:textId="77777777" w:rsidR="003565D2" w:rsidRDefault="005359FF" w:rsidP="003E39B4">
      <w:pPr>
        <w:pStyle w:val="ListParagraph"/>
        <w:numPr>
          <w:ilvl w:val="0"/>
          <w:numId w:val="38"/>
        </w:numPr>
        <w:spacing w:before="60" w:after="60"/>
        <w:ind w:left="0" w:firstLine="720"/>
        <w:contextualSpacing w:val="0"/>
        <w:rPr>
          <w:lang w:val="sr-Cyrl-RS"/>
        </w:rPr>
      </w:pPr>
      <w:r w:rsidRPr="00CF77C1">
        <w:rPr>
          <w:lang w:val="sr-Cyrl-RS"/>
        </w:rPr>
        <w:t>Реорганизацију сек</w:t>
      </w:r>
      <w:r w:rsidR="003565D2">
        <w:rPr>
          <w:lang w:val="sr-Cyrl-RS"/>
        </w:rPr>
        <w:t>тора дистибуције природног гаса</w:t>
      </w:r>
    </w:p>
    <w:p w14:paraId="52081E13" w14:textId="30934D6C" w:rsidR="005359FF" w:rsidRPr="00CF77C1" w:rsidRDefault="005359FF" w:rsidP="003565D2">
      <w:pPr>
        <w:pStyle w:val="ListParagraph"/>
        <w:spacing w:before="60" w:after="60"/>
        <w:ind w:left="0" w:firstLine="720"/>
        <w:contextualSpacing w:val="0"/>
        <w:rPr>
          <w:lang w:val="sr-Cyrl-RS"/>
        </w:rPr>
      </w:pPr>
      <w:r w:rsidRPr="00CF77C1">
        <w:rPr>
          <w:lang w:val="sr-Cyrl-RS"/>
        </w:rPr>
        <w:t>Ова мера обухвата низ активности усмерених на развој домаћег тржишта природног гаса кроз регулаторне и друге подстицаје за укрупњавање постојећих дистрибутивних предузећа или њихово фузионисање са другим комуналним предузећима, а све у циљу постизање њихове финансијске одрживости.</w:t>
      </w:r>
      <w:r w:rsidR="003565D2">
        <w:rPr>
          <w:lang w:val="sr-Cyrl-RS"/>
        </w:rPr>
        <w:t xml:space="preserve"> </w:t>
      </w:r>
    </w:p>
    <w:p w14:paraId="68C3D4F1" w14:textId="77777777" w:rsidR="003565D2" w:rsidRDefault="000947FE" w:rsidP="003E39B4">
      <w:pPr>
        <w:pStyle w:val="ListParagraph"/>
        <w:numPr>
          <w:ilvl w:val="0"/>
          <w:numId w:val="38"/>
        </w:numPr>
        <w:spacing w:before="60" w:after="60"/>
        <w:ind w:left="0" w:firstLine="720"/>
        <w:contextualSpacing w:val="0"/>
        <w:rPr>
          <w:lang w:val="sr-Cyrl-RS"/>
        </w:rPr>
      </w:pPr>
      <w:r w:rsidRPr="00CF77C1">
        <w:rPr>
          <w:lang w:val="sr-Cyrl-RS"/>
        </w:rPr>
        <w:t>Остваривање планиране производње природног гаса у Реп</w:t>
      </w:r>
      <w:r w:rsidR="003565D2">
        <w:rPr>
          <w:lang w:val="sr-Cyrl-RS"/>
        </w:rPr>
        <w:t>ублици Србији</w:t>
      </w:r>
    </w:p>
    <w:p w14:paraId="2B860E32" w14:textId="44953D51" w:rsidR="000947FE" w:rsidRPr="00CF77C1" w:rsidRDefault="000947FE" w:rsidP="003565D2">
      <w:pPr>
        <w:pStyle w:val="ListParagraph"/>
        <w:spacing w:before="60" w:after="60"/>
        <w:ind w:left="0" w:firstLine="851"/>
        <w:contextualSpacing w:val="0"/>
        <w:rPr>
          <w:lang w:val="sr-Cyrl-RS"/>
        </w:rPr>
      </w:pPr>
      <w:r w:rsidRPr="00CF77C1">
        <w:rPr>
          <w:lang w:val="sr-Cyrl-RS"/>
        </w:rPr>
        <w:t xml:space="preserve">Мера обухвата скуп техничко-технолошких и организационих активности које за циљ имају постизање оптималне производње природног гаса, чиме се значајно доприноси сигурности снабдевања домаћег тржишта. План производње гаса раствореног у нафти и слободног гаса за период до 2023. године дат је у </w:t>
      </w:r>
      <w:r w:rsidRPr="00CF77C1">
        <w:rPr>
          <w:lang w:val="sr-Cyrl-RS"/>
        </w:rPr>
        <w:fldChar w:fldCharType="begin"/>
      </w:r>
      <w:r w:rsidRPr="00CF77C1">
        <w:rPr>
          <w:lang w:val="sr-Cyrl-RS"/>
        </w:rPr>
        <w:instrText xml:space="preserve"> REF _Ref484246973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2D5918">
        <w:rPr>
          <w:lang w:val="sr-Cyrl-RS"/>
        </w:rPr>
        <w:t>таб. 59</w:t>
      </w:r>
      <w:r w:rsidRPr="00CF77C1">
        <w:rPr>
          <w:lang w:val="sr-Cyrl-RS"/>
        </w:rPr>
        <w:fldChar w:fldCharType="end"/>
      </w:r>
      <w:r w:rsidRPr="00CF77C1">
        <w:rPr>
          <w:lang w:val="sr-Cyrl-RS"/>
        </w:rPr>
        <w:t>.</w:t>
      </w:r>
    </w:p>
    <w:p w14:paraId="1C769A18" w14:textId="77777777" w:rsidR="00B26325" w:rsidRPr="00CF77C1" w:rsidRDefault="00B26325" w:rsidP="00E209CF">
      <w:pPr>
        <w:ind w:firstLine="720"/>
        <w:rPr>
          <w:lang w:val="sr-Cyrl-RS"/>
        </w:rPr>
      </w:pPr>
      <w:r w:rsidRPr="00CF77C1">
        <w:rPr>
          <w:lang w:val="sr-Cyrl-RS"/>
        </w:rPr>
        <w:t>Посебан скуп мера се односи на унапређење енергетске ефикасности у производњи, транспорту и дистрибуцији природног гаса. Ове мере позитивно утичу на функционисање сектора природног гаса у целини и обухватају:</w:t>
      </w:r>
    </w:p>
    <w:p w14:paraId="0D02405F" w14:textId="0F04411C" w:rsidR="00B26325" w:rsidRPr="00CF77C1" w:rsidRDefault="006D5E47" w:rsidP="003E39B4">
      <w:pPr>
        <w:pStyle w:val="ListParagraph"/>
        <w:numPr>
          <w:ilvl w:val="0"/>
          <w:numId w:val="28"/>
        </w:numPr>
        <w:spacing w:before="60" w:after="60"/>
        <w:ind w:left="357" w:firstLine="363"/>
        <w:contextualSpacing w:val="0"/>
        <w:rPr>
          <w:lang w:val="sr-Cyrl-RS"/>
        </w:rPr>
      </w:pPr>
      <w:r w:rsidRPr="00CF77C1">
        <w:rPr>
          <w:lang w:val="sr-Cyrl-RS"/>
        </w:rPr>
        <w:t>у</w:t>
      </w:r>
      <w:r w:rsidR="00B26325" w:rsidRPr="00CF77C1">
        <w:rPr>
          <w:lang w:val="sr-Cyrl-RS"/>
        </w:rPr>
        <w:t xml:space="preserve">напређење </w:t>
      </w:r>
      <w:r w:rsidR="00572286" w:rsidRPr="00CF77C1">
        <w:rPr>
          <w:lang w:val="sr-Cyrl-RS"/>
        </w:rPr>
        <w:t xml:space="preserve">ефикасности </w:t>
      </w:r>
      <w:r w:rsidR="00B26325" w:rsidRPr="00CF77C1">
        <w:rPr>
          <w:lang w:val="sr-Cyrl-RS"/>
        </w:rPr>
        <w:t>процеса производње нафте и природног гаса</w:t>
      </w:r>
      <w:r w:rsidRPr="00CF77C1">
        <w:rPr>
          <w:lang w:val="sr-Cyrl-RS"/>
        </w:rPr>
        <w:t>;</w:t>
      </w:r>
    </w:p>
    <w:p w14:paraId="2A6C3216" w14:textId="0FFDD801" w:rsidR="00BD44C7" w:rsidRPr="00CF77C1" w:rsidRDefault="006D5E47" w:rsidP="003E39B4">
      <w:pPr>
        <w:pStyle w:val="ListParagraph"/>
        <w:numPr>
          <w:ilvl w:val="0"/>
          <w:numId w:val="28"/>
        </w:numPr>
        <w:spacing w:before="60" w:after="60"/>
        <w:ind w:left="357" w:firstLine="363"/>
        <w:contextualSpacing w:val="0"/>
        <w:rPr>
          <w:lang w:val="sr-Cyrl-RS"/>
        </w:rPr>
      </w:pPr>
      <w:r w:rsidRPr="00CF77C1">
        <w:rPr>
          <w:lang w:val="sr-Cyrl-RS"/>
        </w:rPr>
        <w:t>о</w:t>
      </w:r>
      <w:r w:rsidR="00922B31" w:rsidRPr="00CF77C1">
        <w:rPr>
          <w:lang w:val="sr-Cyrl-RS"/>
        </w:rPr>
        <w:t>државање и рехабили</w:t>
      </w:r>
      <w:r w:rsidR="00B26325" w:rsidRPr="00CF77C1">
        <w:rPr>
          <w:lang w:val="sr-Cyrl-RS"/>
        </w:rPr>
        <w:t>тацију транспортног система</w:t>
      </w:r>
      <w:r w:rsidRPr="00CF77C1">
        <w:rPr>
          <w:lang w:val="sr-Cyrl-RS"/>
        </w:rPr>
        <w:t>;</w:t>
      </w:r>
    </w:p>
    <w:p w14:paraId="13CA4AF7" w14:textId="658923A9" w:rsidR="00B26325" w:rsidRPr="00CF77C1" w:rsidRDefault="006D5E47" w:rsidP="003E39B4">
      <w:pPr>
        <w:pStyle w:val="ListParagraph"/>
        <w:numPr>
          <w:ilvl w:val="0"/>
          <w:numId w:val="28"/>
        </w:numPr>
        <w:spacing w:before="60" w:after="60"/>
        <w:ind w:left="357" w:firstLine="363"/>
        <w:contextualSpacing w:val="0"/>
        <w:rPr>
          <w:lang w:val="sr-Cyrl-RS"/>
        </w:rPr>
      </w:pPr>
      <w:r w:rsidRPr="00CF77C1">
        <w:rPr>
          <w:lang w:val="sr-Cyrl-RS"/>
        </w:rPr>
        <w:t>о</w:t>
      </w:r>
      <w:r w:rsidR="00922B31" w:rsidRPr="00CF77C1">
        <w:rPr>
          <w:lang w:val="sr-Cyrl-RS"/>
        </w:rPr>
        <w:t>државање и рехабили</w:t>
      </w:r>
      <w:r w:rsidR="00B26325" w:rsidRPr="00CF77C1">
        <w:rPr>
          <w:lang w:val="sr-Cyrl-RS"/>
        </w:rPr>
        <w:t>тацију дистрибутивног система</w:t>
      </w:r>
      <w:r w:rsidRPr="00CF77C1">
        <w:rPr>
          <w:lang w:val="sr-Cyrl-RS"/>
        </w:rPr>
        <w:t>.</w:t>
      </w:r>
    </w:p>
    <w:p w14:paraId="75A79937" w14:textId="3856E3BA" w:rsidR="00B26325" w:rsidRPr="00CF77C1" w:rsidRDefault="00B26325" w:rsidP="00E209CF">
      <w:pPr>
        <w:ind w:firstLine="720"/>
        <w:rPr>
          <w:lang w:val="sr-Cyrl-RS"/>
        </w:rPr>
      </w:pPr>
      <w:r w:rsidRPr="00CF77C1">
        <w:rPr>
          <w:lang w:val="sr-Cyrl-RS"/>
        </w:rPr>
        <w:t>Наведене мере, заједно са активностима које обухватају, предвиђеним роковима за доношење, и</w:t>
      </w:r>
      <w:r w:rsidR="00927742">
        <w:rPr>
          <w:lang w:val="sr-Cyrl-RS"/>
        </w:rPr>
        <w:t>н</w:t>
      </w:r>
      <w:r w:rsidRPr="00CF77C1">
        <w:rPr>
          <w:lang w:val="sr-Cyrl-RS"/>
        </w:rPr>
        <w:t xml:space="preserve">ституцијама одговорним за реализацију и индикаторима за праћење су приказане у </w:t>
      </w:r>
      <w:r w:rsidR="000642D2" w:rsidRPr="00CF77C1">
        <w:rPr>
          <w:lang w:val="sr-Cyrl-RS"/>
        </w:rPr>
        <w:fldChar w:fldCharType="begin"/>
      </w:r>
      <w:r w:rsidR="000642D2" w:rsidRPr="00CF77C1">
        <w:rPr>
          <w:lang w:val="sr-Cyrl-RS"/>
        </w:rPr>
        <w:instrText xml:space="preserve"> REF _Ref469187765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60</w:t>
      </w:r>
      <w:r w:rsidR="000642D2" w:rsidRPr="00CF77C1">
        <w:rPr>
          <w:lang w:val="sr-Cyrl-RS"/>
        </w:rPr>
        <w:fldChar w:fldCharType="end"/>
      </w:r>
      <w:r w:rsidR="009B15AB" w:rsidRPr="00CF77C1">
        <w:rPr>
          <w:lang w:val="sr-Cyrl-RS"/>
        </w:rPr>
        <w:t xml:space="preserve"> </w:t>
      </w:r>
      <w:r w:rsidR="00B57AE3">
        <w:rPr>
          <w:lang w:val="sr-Cyrl-RS"/>
        </w:rPr>
        <w:t>–</w:t>
      </w:r>
      <w:r w:rsidR="009B15AB" w:rsidRPr="00CF77C1">
        <w:rPr>
          <w:lang w:val="sr-Cyrl-RS"/>
        </w:rPr>
        <w:t xml:space="preserve"> </w:t>
      </w:r>
      <w:r w:rsidR="00B57AE3">
        <w:rPr>
          <w:lang w:val="sr-Cyrl-RS"/>
        </w:rPr>
        <w:t>63.</w:t>
      </w:r>
    </w:p>
    <w:p w14:paraId="39ADD595" w14:textId="77777777" w:rsidR="00B26325" w:rsidRPr="00CF77C1" w:rsidRDefault="00B26325" w:rsidP="0080044B">
      <w:pPr>
        <w:rPr>
          <w:lang w:val="sr-Cyrl-RS"/>
        </w:rPr>
      </w:pPr>
    </w:p>
    <w:p w14:paraId="5CE77FAE" w14:textId="77777777" w:rsidR="00B26325" w:rsidRPr="00CF77C1" w:rsidRDefault="00B26325" w:rsidP="0080044B">
      <w:pPr>
        <w:rPr>
          <w:lang w:val="sr-Cyrl-RS"/>
        </w:rPr>
        <w:sectPr w:rsidR="00B26325" w:rsidRPr="00CF77C1" w:rsidSect="00E209CF">
          <w:headerReference w:type="default" r:id="rId92"/>
          <w:footerReference w:type="default" r:id="rId93"/>
          <w:pgSz w:w="11907" w:h="16839" w:code="9"/>
          <w:pgMar w:top="1134" w:right="1287" w:bottom="1134" w:left="1418" w:header="720" w:footer="720" w:gutter="0"/>
          <w:cols w:space="720"/>
          <w:docGrid w:linePitch="360"/>
        </w:sectPr>
      </w:pPr>
    </w:p>
    <w:p w14:paraId="381A2C26" w14:textId="3397A3C8" w:rsidR="00B26325" w:rsidRPr="00CF77C1" w:rsidRDefault="00D61BC9" w:rsidP="00E209CF">
      <w:pPr>
        <w:pStyle w:val="Caption"/>
        <w:ind w:firstLine="720"/>
        <w:rPr>
          <w:b w:val="0"/>
          <w:lang w:val="sr-Cyrl-RS"/>
        </w:rPr>
      </w:pPr>
      <w:bookmarkStart w:id="148" w:name="_Ref469186601"/>
      <w:r w:rsidRPr="00CF77C1">
        <w:rPr>
          <w:b w:val="0"/>
          <w:lang w:val="sr-Cyrl-RS"/>
        </w:rPr>
        <w:t>таб.</w:t>
      </w:r>
      <w:r w:rsidR="00B2632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58</w:t>
      </w:r>
      <w:r w:rsidR="0092145E" w:rsidRPr="00CF77C1">
        <w:rPr>
          <w:b w:val="0"/>
          <w:lang w:val="sr-Cyrl-RS"/>
        </w:rPr>
        <w:fldChar w:fldCharType="end"/>
      </w:r>
      <w:bookmarkEnd w:id="148"/>
      <w:r w:rsidR="00B26325" w:rsidRPr="00CF77C1">
        <w:rPr>
          <w:b w:val="0"/>
          <w:lang w:val="sr-Cyrl-RS"/>
        </w:rPr>
        <w:t>: Индикатори за праћење ефеката примене мера и реализације пројеката у сектору природног гаса</w:t>
      </w:r>
    </w:p>
    <w:tbl>
      <w:tblPr>
        <w:tblStyle w:val="TableGrid"/>
        <w:tblW w:w="14709" w:type="dxa"/>
        <w:tblLayout w:type="fixed"/>
        <w:tblLook w:val="04A0" w:firstRow="1" w:lastRow="0" w:firstColumn="1" w:lastColumn="0" w:noHBand="0" w:noVBand="1"/>
      </w:tblPr>
      <w:tblGrid>
        <w:gridCol w:w="2518"/>
        <w:gridCol w:w="2268"/>
        <w:gridCol w:w="4381"/>
        <w:gridCol w:w="5542"/>
      </w:tblGrid>
      <w:tr w:rsidR="00B26325" w:rsidRPr="00CF77C1" w14:paraId="34E85F1B" w14:textId="77777777" w:rsidTr="00B26325">
        <w:tc>
          <w:tcPr>
            <w:tcW w:w="2518" w:type="dxa"/>
            <w:vAlign w:val="center"/>
          </w:tcPr>
          <w:p w14:paraId="5F1C83E5" w14:textId="77777777" w:rsidR="00B26325" w:rsidRPr="00CF77C1" w:rsidRDefault="00B26325" w:rsidP="0080044B">
            <w:pPr>
              <w:jc w:val="center"/>
              <w:rPr>
                <w:rFonts w:eastAsia="Calibri"/>
                <w:szCs w:val="22"/>
                <w:lang w:val="sr-Cyrl-RS"/>
              </w:rPr>
            </w:pPr>
            <w:r w:rsidRPr="00CF77C1">
              <w:rPr>
                <w:rFonts w:eastAsia="Calibri"/>
                <w:szCs w:val="22"/>
                <w:lang w:val="sr-Cyrl-RS"/>
              </w:rPr>
              <w:t>Стратешки циљ</w:t>
            </w:r>
          </w:p>
        </w:tc>
        <w:tc>
          <w:tcPr>
            <w:tcW w:w="2268" w:type="dxa"/>
            <w:vAlign w:val="center"/>
          </w:tcPr>
          <w:p w14:paraId="63FCDD14" w14:textId="77777777" w:rsidR="00B26325" w:rsidRPr="00CF77C1" w:rsidRDefault="00B26325" w:rsidP="0080044B">
            <w:pPr>
              <w:jc w:val="center"/>
              <w:rPr>
                <w:rFonts w:eastAsia="Calibri"/>
                <w:szCs w:val="22"/>
                <w:lang w:val="sr-Cyrl-RS"/>
              </w:rPr>
            </w:pPr>
            <w:r w:rsidRPr="00CF77C1">
              <w:rPr>
                <w:rFonts w:eastAsia="Calibri"/>
                <w:szCs w:val="22"/>
                <w:lang w:val="sr-Cyrl-RS"/>
              </w:rPr>
              <w:t>Индикатор</w:t>
            </w:r>
          </w:p>
        </w:tc>
        <w:tc>
          <w:tcPr>
            <w:tcW w:w="4381" w:type="dxa"/>
            <w:vAlign w:val="center"/>
          </w:tcPr>
          <w:p w14:paraId="76BA2FE3" w14:textId="77777777" w:rsidR="00B26325" w:rsidRPr="00CF77C1" w:rsidRDefault="00B26325" w:rsidP="0080044B">
            <w:pPr>
              <w:jc w:val="center"/>
              <w:rPr>
                <w:rFonts w:eastAsia="Calibri"/>
                <w:szCs w:val="22"/>
                <w:lang w:val="sr-Cyrl-RS"/>
              </w:rPr>
            </w:pPr>
            <w:r w:rsidRPr="00CF77C1">
              <w:rPr>
                <w:rFonts w:eastAsia="Calibri"/>
                <w:szCs w:val="22"/>
                <w:lang w:val="sr-Cyrl-RS"/>
              </w:rPr>
              <w:t>Опис</w:t>
            </w:r>
          </w:p>
        </w:tc>
        <w:tc>
          <w:tcPr>
            <w:tcW w:w="5542" w:type="dxa"/>
            <w:vAlign w:val="center"/>
          </w:tcPr>
          <w:p w14:paraId="5FCC1FAF" w14:textId="77777777" w:rsidR="00B26325" w:rsidRPr="00CF77C1" w:rsidRDefault="00B26325" w:rsidP="0080044B">
            <w:pPr>
              <w:jc w:val="center"/>
              <w:rPr>
                <w:rFonts w:eastAsia="Calibri"/>
                <w:szCs w:val="22"/>
                <w:lang w:val="sr-Cyrl-RS"/>
              </w:rPr>
            </w:pPr>
            <w:r w:rsidRPr="00CF77C1">
              <w:rPr>
                <w:rFonts w:eastAsia="Calibri"/>
                <w:szCs w:val="22"/>
                <w:lang w:val="sr-Cyrl-RS"/>
              </w:rPr>
              <w:t>Начин рачунања</w:t>
            </w:r>
          </w:p>
        </w:tc>
      </w:tr>
      <w:tr w:rsidR="00B26325" w:rsidRPr="00CF77C1" w14:paraId="6C4C1E48" w14:textId="77777777" w:rsidTr="00B26325">
        <w:tc>
          <w:tcPr>
            <w:tcW w:w="2518" w:type="dxa"/>
            <w:vAlign w:val="center"/>
          </w:tcPr>
          <w:p w14:paraId="5195632D" w14:textId="77777777" w:rsidR="00B26325" w:rsidRPr="00CF77C1" w:rsidRDefault="00B26325" w:rsidP="0080044B">
            <w:pPr>
              <w:jc w:val="left"/>
              <w:rPr>
                <w:rFonts w:eastAsia="Myriad Pro"/>
                <w:spacing w:val="-3"/>
                <w:lang w:val="sr-Cyrl-RS"/>
              </w:rPr>
            </w:pPr>
            <w:r w:rsidRPr="00CF77C1">
              <w:rPr>
                <w:rFonts w:eastAsia="Myriad Pro"/>
                <w:spacing w:val="-3"/>
                <w:lang w:val="sr-Cyrl-RS"/>
              </w:rPr>
              <w:t>Обезбеђењ</w:t>
            </w:r>
            <w:r w:rsidRPr="00CF77C1">
              <w:rPr>
                <w:rFonts w:eastAsia="Myriad Pro"/>
                <w:lang w:val="sr-Cyrl-RS"/>
              </w:rPr>
              <w:t xml:space="preserve">е </w:t>
            </w:r>
            <w:r w:rsidRPr="00CF77C1">
              <w:rPr>
                <w:rFonts w:eastAsia="Myriad Pro"/>
                <w:spacing w:val="-3"/>
                <w:lang w:val="sr-Cyrl-RS"/>
              </w:rPr>
              <w:t>си</w:t>
            </w:r>
            <w:r w:rsidRPr="00CF77C1">
              <w:rPr>
                <w:rFonts w:eastAsia="Myriad Pro"/>
                <w:lang w:val="sr-Cyrl-RS"/>
              </w:rPr>
              <w:t>г</w:t>
            </w:r>
            <w:r w:rsidRPr="00CF77C1">
              <w:rPr>
                <w:rFonts w:eastAsia="Myriad Pro"/>
                <w:spacing w:val="-3"/>
                <w:lang w:val="sr-Cyrl-RS"/>
              </w:rPr>
              <w:t>урно</w:t>
            </w:r>
            <w:r w:rsidRPr="00CF77C1">
              <w:rPr>
                <w:rFonts w:eastAsia="Myriad Pro"/>
                <w:lang w:val="sr-Cyrl-RS"/>
              </w:rPr>
              <w:t xml:space="preserve">г </w:t>
            </w:r>
            <w:r w:rsidRPr="00CF77C1">
              <w:rPr>
                <w:rFonts w:eastAsia="Myriad Pro"/>
                <w:spacing w:val="-3"/>
                <w:lang w:val="sr-Cyrl-RS"/>
              </w:rPr>
              <w:t>сна</w:t>
            </w:r>
            <w:r w:rsidRPr="00CF77C1">
              <w:rPr>
                <w:rFonts w:eastAsia="Myriad Pro"/>
                <w:spacing w:val="-4"/>
                <w:lang w:val="sr-Cyrl-RS"/>
              </w:rPr>
              <w:t>б</w:t>
            </w:r>
            <w:r w:rsidRPr="00CF77C1">
              <w:rPr>
                <w:rFonts w:eastAsia="Myriad Pro"/>
                <w:spacing w:val="-3"/>
                <w:lang w:val="sr-Cyrl-RS"/>
              </w:rPr>
              <w:t>девања дом</w:t>
            </w:r>
            <w:r w:rsidRPr="00CF77C1">
              <w:rPr>
                <w:rFonts w:eastAsia="Myriad Pro"/>
                <w:spacing w:val="-4"/>
                <w:lang w:val="sr-Cyrl-RS"/>
              </w:rPr>
              <w:t>а</w:t>
            </w:r>
            <w:r w:rsidRPr="00CF77C1">
              <w:rPr>
                <w:rFonts w:eastAsia="Myriad Pro"/>
                <w:spacing w:val="-3"/>
                <w:lang w:val="sr-Cyrl-RS"/>
              </w:rPr>
              <w:t>ће</w:t>
            </w:r>
            <w:r w:rsidRPr="00CF77C1">
              <w:rPr>
                <w:rFonts w:eastAsia="Myriad Pro"/>
                <w:lang w:val="sr-Cyrl-RS"/>
              </w:rPr>
              <w:t xml:space="preserve">г </w:t>
            </w:r>
            <w:r w:rsidRPr="00CF77C1">
              <w:rPr>
                <w:rFonts w:eastAsia="Myriad Pro"/>
                <w:spacing w:val="-4"/>
                <w:lang w:val="sr-Cyrl-RS"/>
              </w:rPr>
              <w:t>тр</w:t>
            </w:r>
            <w:r w:rsidRPr="00CF77C1">
              <w:rPr>
                <w:rFonts w:eastAsia="Myriad Pro"/>
                <w:spacing w:val="-3"/>
                <w:lang w:val="sr-Cyrl-RS"/>
              </w:rPr>
              <w:t>жиш</w:t>
            </w:r>
            <w:r w:rsidRPr="00CF77C1">
              <w:rPr>
                <w:rFonts w:eastAsia="Myriad Pro"/>
                <w:spacing w:val="-5"/>
                <w:lang w:val="sr-Cyrl-RS"/>
              </w:rPr>
              <w:t>т</w:t>
            </w:r>
            <w:r w:rsidRPr="00CF77C1">
              <w:rPr>
                <w:rFonts w:eastAsia="Myriad Pro"/>
                <w:lang w:val="sr-Cyrl-RS"/>
              </w:rPr>
              <w:t xml:space="preserve">а </w:t>
            </w:r>
            <w:r w:rsidRPr="00CF77C1">
              <w:rPr>
                <w:rFonts w:eastAsia="Myriad Pro"/>
                <w:spacing w:val="-3"/>
                <w:lang w:val="sr-Cyrl-RS"/>
              </w:rPr>
              <w:t>прир</w:t>
            </w:r>
            <w:r w:rsidRPr="00CF77C1">
              <w:rPr>
                <w:rFonts w:eastAsia="Myriad Pro"/>
                <w:spacing w:val="-4"/>
                <w:lang w:val="sr-Cyrl-RS"/>
              </w:rPr>
              <w:t>о</w:t>
            </w:r>
            <w:r w:rsidRPr="00CF77C1">
              <w:rPr>
                <w:rFonts w:eastAsia="Myriad Pro"/>
                <w:spacing w:val="-3"/>
                <w:lang w:val="sr-Cyrl-RS"/>
              </w:rPr>
              <w:t>дни</w:t>
            </w:r>
            <w:r w:rsidRPr="00CF77C1">
              <w:rPr>
                <w:rFonts w:eastAsia="Myriad Pro"/>
                <w:lang w:val="sr-Cyrl-RS"/>
              </w:rPr>
              <w:t>м</w:t>
            </w:r>
            <w:r w:rsidRPr="00CF77C1">
              <w:rPr>
                <w:rFonts w:eastAsia="Myriad Pro"/>
                <w:spacing w:val="-5"/>
                <w:lang w:val="sr-Cyrl-RS"/>
              </w:rPr>
              <w:t xml:space="preserve"> г</w:t>
            </w:r>
            <w:r w:rsidRPr="00CF77C1">
              <w:rPr>
                <w:rFonts w:eastAsia="Myriad Pro"/>
                <w:spacing w:val="-3"/>
                <w:lang w:val="sr-Cyrl-RS"/>
              </w:rPr>
              <w:t>а</w:t>
            </w:r>
            <w:r w:rsidRPr="00CF77C1">
              <w:rPr>
                <w:rFonts w:eastAsia="Myriad Pro"/>
                <w:spacing w:val="-4"/>
                <w:lang w:val="sr-Cyrl-RS"/>
              </w:rPr>
              <w:t>с</w:t>
            </w:r>
            <w:r w:rsidRPr="00CF77C1">
              <w:rPr>
                <w:rFonts w:eastAsia="Myriad Pro"/>
                <w:spacing w:val="-3"/>
                <w:lang w:val="sr-Cyrl-RS"/>
              </w:rPr>
              <w:t>ом</w:t>
            </w:r>
          </w:p>
        </w:tc>
        <w:tc>
          <w:tcPr>
            <w:tcW w:w="2268" w:type="dxa"/>
            <w:vAlign w:val="center"/>
          </w:tcPr>
          <w:p w14:paraId="6B0AA36A" w14:textId="6AC824F2" w:rsidR="00B26325" w:rsidRPr="00CF77C1" w:rsidRDefault="00B26325" w:rsidP="00BF07DF">
            <w:pPr>
              <w:jc w:val="left"/>
              <w:rPr>
                <w:rFonts w:eastAsia="Calibri"/>
                <w:lang w:val="sr-Cyrl-RS"/>
              </w:rPr>
            </w:pPr>
            <w:r w:rsidRPr="00CF77C1">
              <w:rPr>
                <w:lang w:val="sr-Cyrl-RS"/>
              </w:rPr>
              <w:t>(N-1) индекс расположивости система</w:t>
            </w:r>
            <w:r w:rsidR="000E6441" w:rsidRPr="00CF77C1">
              <w:rPr>
                <w:lang w:val="sr-Cyrl-RS"/>
              </w:rPr>
              <w:t xml:space="preserve"> </w:t>
            </w:r>
          </w:p>
        </w:tc>
        <w:tc>
          <w:tcPr>
            <w:tcW w:w="4381" w:type="dxa"/>
            <w:vAlign w:val="center"/>
          </w:tcPr>
          <w:p w14:paraId="122C1332" w14:textId="77777777" w:rsidR="00B26325" w:rsidRPr="00CF77C1" w:rsidRDefault="00B26325" w:rsidP="0080044B">
            <w:pPr>
              <w:jc w:val="left"/>
              <w:rPr>
                <w:rFonts w:eastAsia="Calibri"/>
                <w:szCs w:val="22"/>
                <w:lang w:val="sr-Cyrl-RS"/>
              </w:rPr>
            </w:pPr>
            <w:r w:rsidRPr="00CF77C1">
              <w:rPr>
                <w:lang w:val="sr-Cyrl-RS"/>
              </w:rPr>
              <w:t>Индикатор указује на дневну оперативну флексибилност гасоводног система, као и способност система да одговори захтевима потрошње у екстремним условима.</w:t>
            </w:r>
          </w:p>
        </w:tc>
        <w:tc>
          <w:tcPr>
            <w:tcW w:w="5542" w:type="dxa"/>
            <w:vAlign w:val="center"/>
          </w:tcPr>
          <w:p w14:paraId="3FE9180A" w14:textId="0A224EF3" w:rsidR="00B26325" w:rsidRPr="00CF77C1" w:rsidRDefault="00B26325" w:rsidP="0080044B">
            <w:pPr>
              <w:jc w:val="left"/>
              <w:rPr>
                <w:rFonts w:eastAsia="Calibri"/>
                <w:szCs w:val="22"/>
                <w:lang w:val="sr-Cyrl-RS"/>
              </w:rPr>
            </w:pPr>
            <w:r w:rsidRPr="00CF77C1">
              <w:rPr>
                <w:rFonts w:eastAsia="Calibri"/>
                <w:szCs w:val="22"/>
                <w:lang w:val="sr-Cyrl-RS"/>
              </w:rPr>
              <w:t>N-1 = (технички капацитет гасовода + количина произведеног гаса + максимална испорука из складишта + максима</w:t>
            </w:r>
            <w:r w:rsidR="00D40A41">
              <w:rPr>
                <w:rFonts w:eastAsia="Calibri"/>
                <w:szCs w:val="22"/>
                <w:lang w:val="sr-Cyrl-RS"/>
              </w:rPr>
              <w:t>лна испорука из ЛНГ- максимални</w:t>
            </w:r>
            <w:r w:rsidRPr="00CF77C1">
              <w:rPr>
                <w:rFonts w:eastAsia="Calibri"/>
                <w:szCs w:val="22"/>
                <w:lang w:val="sr-Cyrl-RS"/>
              </w:rPr>
              <w:t xml:space="preserve"> капац</w:t>
            </w:r>
            <w:r w:rsidR="00D40A41">
              <w:rPr>
                <w:rFonts w:eastAsia="Calibri"/>
                <w:szCs w:val="22"/>
                <w:lang w:val="sr-Cyrl-RS"/>
              </w:rPr>
              <w:t>и</w:t>
            </w:r>
            <w:r w:rsidRPr="00CF77C1">
              <w:rPr>
                <w:rFonts w:eastAsia="Calibri"/>
                <w:szCs w:val="22"/>
                <w:lang w:val="sr-Cyrl-RS"/>
              </w:rPr>
              <w:t>тет снабдевања)/Максимална дневна потрошња гаса са вероватноћом појављивања једном у 20 година х 100%</w:t>
            </w:r>
            <w:r w:rsidR="00D40A41">
              <w:rPr>
                <w:rFonts w:eastAsia="Calibri"/>
                <w:szCs w:val="22"/>
                <w:lang w:val="sr-Cyrl-RS"/>
              </w:rPr>
              <w:t>.</w:t>
            </w:r>
          </w:p>
        </w:tc>
      </w:tr>
      <w:tr w:rsidR="00B26325" w:rsidRPr="00CF77C1" w14:paraId="7575FF3A" w14:textId="77777777" w:rsidTr="00B26325">
        <w:trPr>
          <w:trHeight w:val="1259"/>
        </w:trPr>
        <w:tc>
          <w:tcPr>
            <w:tcW w:w="2518" w:type="dxa"/>
            <w:vAlign w:val="center"/>
          </w:tcPr>
          <w:p w14:paraId="3F32AA84" w14:textId="77777777" w:rsidR="00B26325" w:rsidRPr="00CF77C1" w:rsidRDefault="00B26325" w:rsidP="0080044B">
            <w:pPr>
              <w:jc w:val="left"/>
              <w:rPr>
                <w:rFonts w:eastAsia="Myriad Pro"/>
                <w:spacing w:val="-3"/>
                <w:lang w:val="sr-Cyrl-RS"/>
              </w:rPr>
            </w:pPr>
            <w:r w:rsidRPr="00CF77C1">
              <w:rPr>
                <w:rFonts w:eastAsia="Myriad Pro"/>
                <w:spacing w:val="-16"/>
                <w:lang w:val="sr-Cyrl-RS"/>
              </w:rPr>
              <w:t>У</w:t>
            </w:r>
            <w:r w:rsidRPr="00CF77C1">
              <w:rPr>
                <w:rFonts w:eastAsia="Myriad Pro"/>
                <w:spacing w:val="-5"/>
                <w:lang w:val="sr-Cyrl-RS"/>
              </w:rPr>
              <w:t>спо</w:t>
            </w:r>
            <w:r w:rsidRPr="00CF77C1">
              <w:rPr>
                <w:rFonts w:eastAsia="Myriad Pro"/>
                <w:lang w:val="sr-Cyrl-RS"/>
              </w:rPr>
              <w:t>с</w:t>
            </w:r>
            <w:r w:rsidRPr="00CF77C1">
              <w:rPr>
                <w:rFonts w:eastAsia="Myriad Pro"/>
                <w:spacing w:val="-8"/>
                <w:lang w:val="sr-Cyrl-RS"/>
              </w:rPr>
              <w:t>т</w:t>
            </w:r>
            <w:r w:rsidRPr="00CF77C1">
              <w:rPr>
                <w:rFonts w:eastAsia="Myriad Pro"/>
                <w:spacing w:val="-5"/>
                <w:lang w:val="sr-Cyrl-RS"/>
              </w:rPr>
              <w:t>а</w:t>
            </w:r>
            <w:r w:rsidRPr="00CF77C1">
              <w:rPr>
                <w:rFonts w:eastAsia="Myriad Pro"/>
                <w:spacing w:val="-4"/>
                <w:lang w:val="sr-Cyrl-RS"/>
              </w:rPr>
              <w:t>в</w:t>
            </w:r>
            <w:r w:rsidRPr="00CF77C1">
              <w:rPr>
                <w:rFonts w:eastAsia="Myriad Pro"/>
                <w:spacing w:val="-5"/>
                <w:lang w:val="sr-Cyrl-RS"/>
              </w:rPr>
              <w:t>љањ</w:t>
            </w:r>
            <w:r w:rsidRPr="00CF77C1">
              <w:rPr>
                <w:rFonts w:eastAsia="Myriad Pro"/>
                <w:lang w:val="sr-Cyrl-RS"/>
              </w:rPr>
              <w:t xml:space="preserve">е </w:t>
            </w:r>
            <w:r w:rsidRPr="00CF77C1">
              <w:rPr>
                <w:rFonts w:eastAsia="Myriad Pro"/>
                <w:spacing w:val="-5"/>
                <w:lang w:val="sr-Cyrl-RS"/>
              </w:rPr>
              <w:t>дом</w:t>
            </w:r>
            <w:r w:rsidRPr="00CF77C1">
              <w:rPr>
                <w:rFonts w:eastAsia="Myriad Pro"/>
                <w:spacing w:val="-7"/>
                <w:lang w:val="sr-Cyrl-RS"/>
              </w:rPr>
              <w:t>а</w:t>
            </w:r>
            <w:r w:rsidRPr="00CF77C1">
              <w:rPr>
                <w:rFonts w:eastAsia="Myriad Pro"/>
                <w:spacing w:val="-5"/>
                <w:lang w:val="sr-Cyrl-RS"/>
              </w:rPr>
              <w:t>ће</w:t>
            </w:r>
            <w:r w:rsidRPr="00CF77C1">
              <w:rPr>
                <w:rFonts w:eastAsia="Myriad Pro"/>
                <w:lang w:val="sr-Cyrl-RS"/>
              </w:rPr>
              <w:t xml:space="preserve">г и </w:t>
            </w:r>
            <w:r w:rsidRPr="00CF77C1">
              <w:rPr>
                <w:rFonts w:eastAsia="Myriad Pro"/>
                <w:spacing w:val="-5"/>
                <w:lang w:val="sr-Cyrl-RS"/>
              </w:rPr>
              <w:t>ре</w:t>
            </w:r>
            <w:r w:rsidRPr="00CF77C1">
              <w:rPr>
                <w:rFonts w:eastAsia="Myriad Pro"/>
                <w:spacing w:val="-7"/>
                <w:lang w:val="sr-Cyrl-RS"/>
              </w:rPr>
              <w:t>г</w:t>
            </w:r>
            <w:r w:rsidRPr="00CF77C1">
              <w:rPr>
                <w:rFonts w:eastAsia="Myriad Pro"/>
                <w:spacing w:val="-5"/>
                <w:lang w:val="sr-Cyrl-RS"/>
              </w:rPr>
              <w:t>ион</w:t>
            </w:r>
            <w:r w:rsidRPr="00CF77C1">
              <w:rPr>
                <w:rFonts w:eastAsia="Myriad Pro"/>
                <w:spacing w:val="-4"/>
                <w:lang w:val="sr-Cyrl-RS"/>
              </w:rPr>
              <w:t>а</w:t>
            </w:r>
            <w:r w:rsidRPr="00CF77C1">
              <w:rPr>
                <w:rFonts w:eastAsia="Myriad Pro"/>
                <w:spacing w:val="-5"/>
                <w:lang w:val="sr-Cyrl-RS"/>
              </w:rPr>
              <w:t xml:space="preserve">лног </w:t>
            </w:r>
            <w:r w:rsidRPr="00CF77C1">
              <w:rPr>
                <w:rFonts w:eastAsia="Myriad Pro"/>
                <w:spacing w:val="-4"/>
                <w:lang w:val="sr-Cyrl-RS"/>
              </w:rPr>
              <w:t>тр</w:t>
            </w:r>
            <w:r w:rsidRPr="00CF77C1">
              <w:rPr>
                <w:rFonts w:eastAsia="Myriad Pro"/>
                <w:lang w:val="sr-Cyrl-RS"/>
              </w:rPr>
              <w:t>жиш</w:t>
            </w:r>
            <w:r w:rsidRPr="00CF77C1">
              <w:rPr>
                <w:rFonts w:eastAsia="Myriad Pro"/>
                <w:spacing w:val="-5"/>
                <w:lang w:val="sr-Cyrl-RS"/>
              </w:rPr>
              <w:t>т</w:t>
            </w:r>
            <w:r w:rsidRPr="00CF77C1">
              <w:rPr>
                <w:rFonts w:eastAsia="Myriad Pro"/>
                <w:lang w:val="sr-Cyrl-RS"/>
              </w:rPr>
              <w:t>а прир</w:t>
            </w:r>
            <w:r w:rsidRPr="00CF77C1">
              <w:rPr>
                <w:rFonts w:eastAsia="Myriad Pro"/>
                <w:spacing w:val="-4"/>
                <w:lang w:val="sr-Cyrl-RS"/>
              </w:rPr>
              <w:t>о</w:t>
            </w:r>
            <w:r w:rsidRPr="00CF77C1">
              <w:rPr>
                <w:rFonts w:eastAsia="Myriad Pro"/>
                <w:lang w:val="sr-Cyrl-RS"/>
              </w:rPr>
              <w:t xml:space="preserve">дног </w:t>
            </w:r>
            <w:r w:rsidRPr="00CF77C1">
              <w:rPr>
                <w:rFonts w:eastAsia="Myriad Pro"/>
                <w:spacing w:val="-5"/>
                <w:lang w:val="sr-Cyrl-RS"/>
              </w:rPr>
              <w:t>г</w:t>
            </w:r>
            <w:r w:rsidRPr="00CF77C1">
              <w:rPr>
                <w:rFonts w:eastAsia="Myriad Pro"/>
                <w:lang w:val="sr-Cyrl-RS"/>
              </w:rPr>
              <w:t>аса</w:t>
            </w:r>
          </w:p>
        </w:tc>
        <w:tc>
          <w:tcPr>
            <w:tcW w:w="2268" w:type="dxa"/>
            <w:vAlign w:val="center"/>
          </w:tcPr>
          <w:p w14:paraId="15C45542" w14:textId="53B5AC8F" w:rsidR="00B26325" w:rsidRPr="00CF77C1" w:rsidRDefault="00B26325" w:rsidP="00BF07DF">
            <w:pPr>
              <w:jc w:val="left"/>
              <w:rPr>
                <w:rFonts w:eastAsia="Calibri"/>
                <w:szCs w:val="22"/>
                <w:lang w:val="sr-Cyrl-RS"/>
              </w:rPr>
            </w:pPr>
            <w:r w:rsidRPr="00CF77C1">
              <w:rPr>
                <w:rFonts w:eastAsia="Calibri"/>
                <w:szCs w:val="22"/>
                <w:lang w:val="sr-Cyrl-RS"/>
              </w:rPr>
              <w:t xml:space="preserve">Отвореност тржишта </w:t>
            </w:r>
          </w:p>
        </w:tc>
        <w:tc>
          <w:tcPr>
            <w:tcW w:w="4381" w:type="dxa"/>
            <w:vAlign w:val="center"/>
          </w:tcPr>
          <w:p w14:paraId="28078D82" w14:textId="77777777" w:rsidR="00B26325" w:rsidRPr="00CF77C1" w:rsidRDefault="00B26325" w:rsidP="0080044B">
            <w:pPr>
              <w:jc w:val="left"/>
              <w:rPr>
                <w:rFonts w:eastAsia="Calibri"/>
                <w:szCs w:val="22"/>
                <w:lang w:val="sr-Cyrl-RS"/>
              </w:rPr>
            </w:pPr>
            <w:r w:rsidRPr="00CF77C1">
              <w:rPr>
                <w:rFonts w:eastAsia="Calibri"/>
                <w:szCs w:val="22"/>
                <w:lang w:val="sr-Cyrl-RS"/>
              </w:rPr>
              <w:t>Индикатор указује на степен либерализације тржишта природног гаса, а односи се на количину природног гаса која се прода на слободном тржишту .</w:t>
            </w:r>
          </w:p>
        </w:tc>
        <w:tc>
          <w:tcPr>
            <w:tcW w:w="5542" w:type="dxa"/>
            <w:vAlign w:val="center"/>
          </w:tcPr>
          <w:p w14:paraId="44CC8779" w14:textId="77777777" w:rsidR="00B26325" w:rsidRPr="00CF77C1" w:rsidRDefault="00B26325" w:rsidP="0080044B">
            <w:pPr>
              <w:jc w:val="left"/>
              <w:rPr>
                <w:rFonts w:eastAsia="Calibri"/>
                <w:szCs w:val="22"/>
                <w:lang w:val="sr-Cyrl-RS"/>
              </w:rPr>
            </w:pPr>
            <w:r w:rsidRPr="00CF77C1">
              <w:rPr>
                <w:rFonts w:eastAsia="Calibri"/>
                <w:szCs w:val="22"/>
                <w:lang w:val="sr-Cyrl-RS"/>
              </w:rPr>
              <w:t>Процентуални однос количине природног гаса продатог на слободном тржишту и укупне потрошње природног гаса</w:t>
            </w:r>
            <w:r w:rsidR="00922B31" w:rsidRPr="00CF77C1">
              <w:rPr>
                <w:rFonts w:eastAsia="Calibri"/>
                <w:szCs w:val="22"/>
                <w:lang w:val="sr-Cyrl-RS"/>
              </w:rPr>
              <w:t>.</w:t>
            </w:r>
          </w:p>
        </w:tc>
      </w:tr>
      <w:tr w:rsidR="00B26325" w:rsidRPr="00CF77C1" w14:paraId="194C79F0" w14:textId="77777777" w:rsidTr="00B26325">
        <w:tc>
          <w:tcPr>
            <w:tcW w:w="2518" w:type="dxa"/>
            <w:vAlign w:val="center"/>
          </w:tcPr>
          <w:p w14:paraId="4ACD3ED8" w14:textId="77777777" w:rsidR="00B26325" w:rsidRPr="00CF77C1" w:rsidRDefault="00B26325" w:rsidP="0080044B">
            <w:pPr>
              <w:jc w:val="left"/>
              <w:rPr>
                <w:rFonts w:eastAsia="Myriad Pro"/>
                <w:spacing w:val="-16"/>
                <w:lang w:val="sr-Cyrl-RS"/>
              </w:rPr>
            </w:pPr>
            <w:r w:rsidRPr="00CF77C1">
              <w:rPr>
                <w:rFonts w:eastAsia="Myriad Pro"/>
                <w:spacing w:val="-3"/>
                <w:position w:val="1"/>
                <w:lang w:val="sr-Cyrl-RS"/>
              </w:rPr>
              <w:t>Диверсификациј</w:t>
            </w:r>
            <w:r w:rsidRPr="00CF77C1">
              <w:rPr>
                <w:rFonts w:eastAsia="Myriad Pro"/>
                <w:position w:val="1"/>
                <w:lang w:val="sr-Cyrl-RS"/>
              </w:rPr>
              <w:t xml:space="preserve">а </w:t>
            </w:r>
            <w:r w:rsidRPr="00CF77C1">
              <w:rPr>
                <w:rFonts w:eastAsia="Myriad Pro"/>
                <w:spacing w:val="-3"/>
                <w:position w:val="1"/>
                <w:lang w:val="sr-Cyrl-RS"/>
              </w:rPr>
              <w:t>извор</w:t>
            </w:r>
            <w:r w:rsidRPr="00CF77C1">
              <w:rPr>
                <w:rFonts w:eastAsia="Myriad Pro"/>
                <w:position w:val="1"/>
                <w:lang w:val="sr-Cyrl-RS"/>
              </w:rPr>
              <w:t xml:space="preserve">а и </w:t>
            </w:r>
            <w:r w:rsidRPr="00CF77C1">
              <w:rPr>
                <w:rFonts w:eastAsia="Myriad Pro"/>
                <w:spacing w:val="-3"/>
                <w:position w:val="1"/>
                <w:lang w:val="sr-Cyrl-RS"/>
              </w:rPr>
              <w:t xml:space="preserve">праваца </w:t>
            </w:r>
            <w:r w:rsidRPr="00CF77C1">
              <w:rPr>
                <w:rFonts w:eastAsia="Myriad Pro"/>
                <w:spacing w:val="-3"/>
                <w:lang w:val="sr-Cyrl-RS"/>
              </w:rPr>
              <w:t>снабдевањ</w:t>
            </w:r>
            <w:r w:rsidRPr="00CF77C1">
              <w:rPr>
                <w:rFonts w:eastAsia="Myriad Pro"/>
                <w:lang w:val="sr-Cyrl-RS"/>
              </w:rPr>
              <w:t xml:space="preserve">а </w:t>
            </w:r>
            <w:r w:rsidRPr="00CF77C1">
              <w:rPr>
                <w:rFonts w:eastAsia="Myriad Pro"/>
                <w:spacing w:val="-3"/>
                <w:lang w:val="sr-Cyrl-RS"/>
              </w:rPr>
              <w:t>природни</w:t>
            </w:r>
            <w:r w:rsidRPr="00CF77C1">
              <w:rPr>
                <w:rFonts w:eastAsia="Myriad Pro"/>
                <w:lang w:val="sr-Cyrl-RS"/>
              </w:rPr>
              <w:t xml:space="preserve">м </w:t>
            </w:r>
            <w:r w:rsidRPr="00CF77C1">
              <w:rPr>
                <w:rFonts w:eastAsia="Myriad Pro"/>
                <w:spacing w:val="-3"/>
                <w:lang w:val="sr-Cyrl-RS"/>
              </w:rPr>
              <w:t>гасом</w:t>
            </w:r>
          </w:p>
        </w:tc>
        <w:tc>
          <w:tcPr>
            <w:tcW w:w="2268" w:type="dxa"/>
            <w:vAlign w:val="center"/>
          </w:tcPr>
          <w:p w14:paraId="3EF0B82A" w14:textId="5ED05960" w:rsidR="00B26325" w:rsidRPr="00CF77C1" w:rsidRDefault="00B26325" w:rsidP="00BF07DF">
            <w:pPr>
              <w:jc w:val="left"/>
              <w:rPr>
                <w:lang w:val="sr-Cyrl-RS"/>
              </w:rPr>
            </w:pPr>
            <w:r w:rsidRPr="00CF77C1">
              <w:rPr>
                <w:lang w:val="sr-Cyrl-RS"/>
              </w:rPr>
              <w:t>Индекс диверсификације увозних праваца снабдевања (ИДУПС)</w:t>
            </w:r>
            <w:r w:rsidR="000E6441" w:rsidRPr="00CF77C1">
              <w:rPr>
                <w:lang w:val="sr-Cyrl-RS"/>
              </w:rPr>
              <w:t xml:space="preserve"> </w:t>
            </w:r>
          </w:p>
        </w:tc>
        <w:tc>
          <w:tcPr>
            <w:tcW w:w="4381" w:type="dxa"/>
            <w:vAlign w:val="center"/>
          </w:tcPr>
          <w:p w14:paraId="33D5F8FA" w14:textId="77777777" w:rsidR="00B26325" w:rsidRPr="00CF77C1" w:rsidRDefault="00B26325" w:rsidP="0080044B">
            <w:pPr>
              <w:jc w:val="left"/>
              <w:rPr>
                <w:lang w:val="sr-Cyrl-RS"/>
              </w:rPr>
            </w:pPr>
            <w:r w:rsidRPr="00CF77C1">
              <w:rPr>
                <w:rFonts w:eastAsia="Calibri"/>
                <w:szCs w:val="22"/>
                <w:lang w:val="sr-Cyrl-RS"/>
              </w:rPr>
              <w:t xml:space="preserve">Индекс даје меру диверсификације увозних праваца снабдевања, а зависи од расположивих капацитета интерконекција. </w:t>
            </w:r>
          </w:p>
        </w:tc>
        <w:tc>
          <w:tcPr>
            <w:tcW w:w="5542" w:type="dxa"/>
            <w:vAlign w:val="center"/>
          </w:tcPr>
          <w:p w14:paraId="32BD60DE" w14:textId="77777777" w:rsidR="00B26325" w:rsidRPr="00CF77C1" w:rsidRDefault="00B26325" w:rsidP="0080044B">
            <w:pPr>
              <w:jc w:val="left"/>
              <w:rPr>
                <w:rFonts w:eastAsia="Calibri"/>
                <w:szCs w:val="22"/>
                <w:lang w:val="sr-Cyrl-RS"/>
              </w:rPr>
            </w:pPr>
            <w:r w:rsidRPr="00CF77C1">
              <w:rPr>
                <w:rFonts w:eastAsia="Calibri"/>
                <w:szCs w:val="22"/>
                <w:lang w:val="sr-Cyrl-RS"/>
              </w:rPr>
              <w:t>Збир квадрата процентуалног учешћа појединих интерконекција и испорука са ЛНГ терминала.</w:t>
            </w:r>
          </w:p>
          <w:p w14:paraId="2639FA85" w14:textId="77777777" w:rsidR="00B26325" w:rsidRPr="00CF77C1" w:rsidRDefault="00B26325" w:rsidP="0080044B">
            <w:pPr>
              <w:jc w:val="left"/>
              <w:rPr>
                <w:rFonts w:eastAsia="Calibri"/>
                <w:szCs w:val="22"/>
                <w:lang w:val="sr-Cyrl-RS"/>
              </w:rPr>
            </w:pPr>
            <w:r w:rsidRPr="00CF77C1">
              <w:rPr>
                <w:lang w:val="sr-Cyrl-RS"/>
              </w:rPr>
              <w:t>Што је</w:t>
            </w:r>
            <w:r w:rsidR="00BD44C7" w:rsidRPr="00CF77C1">
              <w:rPr>
                <w:lang w:val="sr-Cyrl-RS"/>
              </w:rPr>
              <w:t xml:space="preserve"> </w:t>
            </w:r>
            <w:r w:rsidRPr="00CF77C1">
              <w:rPr>
                <w:rFonts w:eastAsia="Calibri"/>
                <w:szCs w:val="22"/>
                <w:lang w:val="sr-Cyrl-RS"/>
              </w:rPr>
              <w:t>вредност индекса мања, то је већа диверсификација праваца снабдевања.</w:t>
            </w:r>
          </w:p>
        </w:tc>
      </w:tr>
    </w:tbl>
    <w:p w14:paraId="26F4F911" w14:textId="77777777" w:rsidR="000947FE" w:rsidRPr="00CF77C1" w:rsidRDefault="000947FE" w:rsidP="000947FE">
      <w:pPr>
        <w:rPr>
          <w:lang w:val="sr-Cyrl-RS"/>
        </w:rPr>
      </w:pPr>
    </w:p>
    <w:p w14:paraId="1A35F221" w14:textId="13561BE3" w:rsidR="000947FE" w:rsidRPr="00CF77C1" w:rsidRDefault="000947FE" w:rsidP="00E209CF">
      <w:pPr>
        <w:pStyle w:val="Caption"/>
        <w:ind w:firstLine="720"/>
        <w:rPr>
          <w:b w:val="0"/>
          <w:lang w:val="sr-Cyrl-RS"/>
        </w:rPr>
      </w:pPr>
      <w:bookmarkStart w:id="149" w:name="_Ref484246973"/>
      <w:r w:rsidRPr="00CF77C1">
        <w:rPr>
          <w:b w:val="0"/>
          <w:lang w:val="sr-Cyrl-RS"/>
        </w:rPr>
        <w:t xml:space="preserve">таб. </w:t>
      </w:r>
      <w:r w:rsidRPr="00CF77C1">
        <w:rPr>
          <w:b w:val="0"/>
          <w:lang w:val="sr-Cyrl-RS"/>
        </w:rPr>
        <w:fldChar w:fldCharType="begin"/>
      </w:r>
      <w:r w:rsidRPr="00CF77C1">
        <w:rPr>
          <w:b w:val="0"/>
          <w:lang w:val="sr-Cyrl-RS"/>
        </w:rPr>
        <w:instrText xml:space="preserve"> SEQ таб. \* ARABIC </w:instrText>
      </w:r>
      <w:r w:rsidRPr="00CF77C1">
        <w:rPr>
          <w:b w:val="0"/>
          <w:lang w:val="sr-Cyrl-RS"/>
        </w:rPr>
        <w:fldChar w:fldCharType="separate"/>
      </w:r>
      <w:r w:rsidR="002D5918">
        <w:rPr>
          <w:b w:val="0"/>
          <w:noProof/>
          <w:lang w:val="sr-Cyrl-RS"/>
        </w:rPr>
        <w:t>59</w:t>
      </w:r>
      <w:r w:rsidRPr="00CF77C1">
        <w:rPr>
          <w:b w:val="0"/>
          <w:lang w:val="sr-Cyrl-RS"/>
        </w:rPr>
        <w:fldChar w:fldCharType="end"/>
      </w:r>
      <w:bookmarkEnd w:id="149"/>
      <w:r w:rsidRPr="00CF77C1">
        <w:rPr>
          <w:b w:val="0"/>
          <w:lang w:val="sr-Cyrl-RS"/>
        </w:rPr>
        <w:t>: План производње природног гаса</w:t>
      </w:r>
      <w:r w:rsidR="00956106" w:rsidRPr="00CF77C1">
        <w:rPr>
          <w:b w:val="0"/>
          <w:lang w:val="sr-Cyrl-RS"/>
        </w:rPr>
        <w:t xml:space="preserve"> за период 2017 - 2023. година (хиљ. m</w:t>
      </w:r>
      <w:r w:rsidR="00956106" w:rsidRPr="00CF77C1">
        <w:rPr>
          <w:b w:val="0"/>
          <w:vertAlign w:val="superscript"/>
          <w:lang w:val="sr-Cyrl-RS"/>
        </w:rPr>
        <w:t>3</w:t>
      </w:r>
      <w:r w:rsidR="00956106" w:rsidRPr="00CF77C1">
        <w:rPr>
          <w:b w:val="0"/>
          <w:lang w:val="sr-Cyrl-RS"/>
        </w:rPr>
        <w:t>)</w:t>
      </w:r>
    </w:p>
    <w:tbl>
      <w:tblPr>
        <w:tblW w:w="0" w:type="auto"/>
        <w:tblLayout w:type="fixed"/>
        <w:tblCellMar>
          <w:left w:w="0" w:type="dxa"/>
          <w:right w:w="0" w:type="dxa"/>
        </w:tblCellMar>
        <w:tblLook w:val="04A0" w:firstRow="1" w:lastRow="0" w:firstColumn="1" w:lastColumn="0" w:noHBand="0" w:noVBand="1"/>
      </w:tblPr>
      <w:tblGrid>
        <w:gridCol w:w="1052"/>
        <w:gridCol w:w="1358"/>
        <w:gridCol w:w="1058"/>
        <w:gridCol w:w="1058"/>
        <w:gridCol w:w="1252"/>
        <w:gridCol w:w="1134"/>
        <w:gridCol w:w="1134"/>
      </w:tblGrid>
      <w:tr w:rsidR="000947FE" w:rsidRPr="00CF77C1" w14:paraId="67478545" w14:textId="77777777" w:rsidTr="00956106">
        <w:trPr>
          <w:trHeight w:val="259"/>
        </w:trPr>
        <w:tc>
          <w:tcPr>
            <w:tcW w:w="8046" w:type="dxa"/>
            <w:gridSpan w:val="7"/>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1AC6BF" w14:textId="77777777" w:rsidR="000947FE" w:rsidRPr="00CF77C1" w:rsidRDefault="000947FE" w:rsidP="000947FE">
            <w:pPr>
              <w:jc w:val="center"/>
              <w:rPr>
                <w:rFonts w:eastAsia="Calibri"/>
                <w:szCs w:val="24"/>
                <w:lang w:val="sr-Cyrl-RS"/>
              </w:rPr>
            </w:pPr>
            <w:r w:rsidRPr="00CF77C1">
              <w:rPr>
                <w:szCs w:val="24"/>
                <w:lang w:val="sr-Cyrl-RS"/>
              </w:rPr>
              <w:t xml:space="preserve">Планирана производња гаса </w:t>
            </w:r>
          </w:p>
        </w:tc>
      </w:tr>
      <w:tr w:rsidR="000947FE" w:rsidRPr="00CF77C1" w14:paraId="372C0D21" w14:textId="77777777" w:rsidTr="000947FE">
        <w:trPr>
          <w:trHeight w:val="279"/>
        </w:trPr>
        <w:tc>
          <w:tcPr>
            <w:tcW w:w="105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D099E2" w14:textId="77777777" w:rsidR="000947FE" w:rsidRPr="00CF77C1" w:rsidRDefault="000947FE" w:rsidP="000947FE">
            <w:pPr>
              <w:jc w:val="center"/>
              <w:rPr>
                <w:rFonts w:eastAsia="Calibri"/>
                <w:bCs/>
                <w:szCs w:val="24"/>
                <w:lang w:val="sr-Cyrl-RS"/>
              </w:rPr>
            </w:pPr>
            <w:r w:rsidRPr="00CF77C1">
              <w:rPr>
                <w:bCs/>
                <w:szCs w:val="24"/>
                <w:lang w:val="sr-Cyrl-RS"/>
              </w:rPr>
              <w:t>2017.</w:t>
            </w:r>
          </w:p>
        </w:tc>
        <w:tc>
          <w:tcPr>
            <w:tcW w:w="13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AC4993" w14:textId="77777777" w:rsidR="000947FE" w:rsidRPr="00CF77C1" w:rsidRDefault="000947FE" w:rsidP="000947FE">
            <w:pPr>
              <w:jc w:val="center"/>
              <w:rPr>
                <w:rFonts w:eastAsia="Calibri"/>
                <w:bCs/>
                <w:szCs w:val="24"/>
                <w:lang w:val="sr-Cyrl-RS"/>
              </w:rPr>
            </w:pPr>
            <w:r w:rsidRPr="00CF77C1">
              <w:rPr>
                <w:bCs/>
                <w:szCs w:val="24"/>
                <w:lang w:val="sr-Cyrl-RS"/>
              </w:rPr>
              <w:t>2018.</w:t>
            </w:r>
          </w:p>
        </w:tc>
        <w:tc>
          <w:tcPr>
            <w:tcW w:w="10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A8F310B" w14:textId="77777777" w:rsidR="000947FE" w:rsidRPr="00CF77C1" w:rsidRDefault="000947FE" w:rsidP="000947FE">
            <w:pPr>
              <w:jc w:val="center"/>
              <w:rPr>
                <w:rFonts w:eastAsia="Calibri"/>
                <w:bCs/>
                <w:szCs w:val="24"/>
                <w:lang w:val="sr-Cyrl-RS"/>
              </w:rPr>
            </w:pPr>
            <w:r w:rsidRPr="00CF77C1">
              <w:rPr>
                <w:bCs/>
                <w:szCs w:val="24"/>
                <w:lang w:val="sr-Cyrl-RS"/>
              </w:rPr>
              <w:t>2019.</w:t>
            </w:r>
          </w:p>
        </w:tc>
        <w:tc>
          <w:tcPr>
            <w:tcW w:w="10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594605" w14:textId="77777777" w:rsidR="000947FE" w:rsidRPr="00CF77C1" w:rsidRDefault="000947FE" w:rsidP="000947FE">
            <w:pPr>
              <w:jc w:val="center"/>
              <w:rPr>
                <w:rFonts w:eastAsia="Calibri"/>
                <w:bCs/>
                <w:szCs w:val="24"/>
                <w:lang w:val="sr-Cyrl-RS"/>
              </w:rPr>
            </w:pPr>
            <w:r w:rsidRPr="00CF77C1">
              <w:rPr>
                <w:bCs/>
                <w:szCs w:val="24"/>
                <w:lang w:val="sr-Cyrl-RS"/>
              </w:rPr>
              <w:t>2020.</w:t>
            </w:r>
          </w:p>
        </w:tc>
        <w:tc>
          <w:tcPr>
            <w:tcW w:w="125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DFEB2F" w14:textId="77777777" w:rsidR="000947FE" w:rsidRPr="00CF77C1" w:rsidRDefault="000947FE" w:rsidP="000947FE">
            <w:pPr>
              <w:jc w:val="center"/>
              <w:rPr>
                <w:rFonts w:eastAsia="Calibri"/>
                <w:bCs/>
                <w:szCs w:val="24"/>
                <w:lang w:val="sr-Cyrl-RS"/>
              </w:rPr>
            </w:pPr>
            <w:r w:rsidRPr="00CF77C1">
              <w:rPr>
                <w:bCs/>
                <w:szCs w:val="24"/>
                <w:lang w:val="sr-Cyrl-RS"/>
              </w:rPr>
              <w:t>2021.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A4E3AD9" w14:textId="77777777" w:rsidR="000947FE" w:rsidRPr="00CF77C1" w:rsidRDefault="000947FE" w:rsidP="000947FE">
            <w:pPr>
              <w:jc w:val="center"/>
              <w:rPr>
                <w:rFonts w:eastAsia="Calibri"/>
                <w:bCs/>
                <w:szCs w:val="24"/>
                <w:lang w:val="sr-Cyrl-RS"/>
              </w:rPr>
            </w:pPr>
            <w:r w:rsidRPr="00CF77C1">
              <w:rPr>
                <w:bCs/>
                <w:szCs w:val="24"/>
                <w:lang w:val="sr-Cyrl-RS"/>
              </w:rPr>
              <w:t>2022.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6348054" w14:textId="77777777" w:rsidR="000947FE" w:rsidRPr="00CF77C1" w:rsidRDefault="000947FE" w:rsidP="000947FE">
            <w:pPr>
              <w:jc w:val="center"/>
              <w:rPr>
                <w:rFonts w:eastAsia="Calibri"/>
                <w:bCs/>
                <w:szCs w:val="24"/>
                <w:lang w:val="sr-Cyrl-RS"/>
              </w:rPr>
            </w:pPr>
            <w:r w:rsidRPr="00CF77C1">
              <w:rPr>
                <w:bCs/>
                <w:szCs w:val="24"/>
                <w:lang w:val="sr-Cyrl-RS"/>
              </w:rPr>
              <w:t>2023.</w:t>
            </w:r>
          </w:p>
        </w:tc>
      </w:tr>
      <w:tr w:rsidR="000947FE" w:rsidRPr="00CF77C1" w14:paraId="53756805" w14:textId="77777777" w:rsidTr="000947FE">
        <w:trPr>
          <w:trHeight w:val="457"/>
        </w:trPr>
        <w:tc>
          <w:tcPr>
            <w:tcW w:w="1052"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0007312" w14:textId="77777777" w:rsidR="000947FE" w:rsidRPr="00CF77C1" w:rsidRDefault="000947FE" w:rsidP="000947FE">
            <w:pPr>
              <w:jc w:val="center"/>
              <w:rPr>
                <w:rFonts w:eastAsia="Calibri"/>
                <w:bCs/>
                <w:szCs w:val="24"/>
                <w:lang w:val="sr-Cyrl-RS"/>
              </w:rPr>
            </w:pPr>
            <w:r w:rsidRPr="00CF77C1">
              <w:rPr>
                <w:bCs/>
                <w:szCs w:val="24"/>
                <w:lang w:val="sr-Cyrl-RS"/>
              </w:rPr>
              <w:t>516.632</w:t>
            </w:r>
          </w:p>
        </w:tc>
        <w:tc>
          <w:tcPr>
            <w:tcW w:w="13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4B4957" w14:textId="77777777" w:rsidR="000947FE" w:rsidRPr="00CF77C1" w:rsidRDefault="000947FE" w:rsidP="000947FE">
            <w:pPr>
              <w:jc w:val="center"/>
              <w:rPr>
                <w:rFonts w:eastAsia="Calibri"/>
                <w:bCs/>
                <w:szCs w:val="24"/>
                <w:lang w:val="sr-Cyrl-RS"/>
              </w:rPr>
            </w:pPr>
            <w:r w:rsidRPr="00CF77C1">
              <w:rPr>
                <w:bCs/>
                <w:szCs w:val="24"/>
                <w:lang w:val="sr-Cyrl-RS"/>
              </w:rPr>
              <w:t>469.781</w:t>
            </w:r>
          </w:p>
        </w:tc>
        <w:tc>
          <w:tcPr>
            <w:tcW w:w="10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F49533E" w14:textId="77777777" w:rsidR="000947FE" w:rsidRPr="00CF77C1" w:rsidRDefault="000947FE" w:rsidP="000947FE">
            <w:pPr>
              <w:jc w:val="center"/>
              <w:rPr>
                <w:rFonts w:eastAsia="Calibri"/>
                <w:bCs/>
                <w:szCs w:val="24"/>
                <w:lang w:val="sr-Cyrl-RS"/>
              </w:rPr>
            </w:pPr>
            <w:r w:rsidRPr="00CF77C1">
              <w:rPr>
                <w:bCs/>
                <w:szCs w:val="24"/>
                <w:lang w:val="sr-Cyrl-RS"/>
              </w:rPr>
              <w:t>429.924</w:t>
            </w:r>
          </w:p>
        </w:tc>
        <w:tc>
          <w:tcPr>
            <w:tcW w:w="105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0B33B0" w14:textId="77777777" w:rsidR="000947FE" w:rsidRPr="00CF77C1" w:rsidRDefault="000947FE" w:rsidP="000947FE">
            <w:pPr>
              <w:jc w:val="center"/>
              <w:rPr>
                <w:rFonts w:eastAsia="Calibri"/>
                <w:bCs/>
                <w:szCs w:val="24"/>
                <w:lang w:val="sr-Cyrl-RS"/>
              </w:rPr>
            </w:pPr>
            <w:r w:rsidRPr="00CF77C1">
              <w:rPr>
                <w:bCs/>
                <w:szCs w:val="24"/>
                <w:lang w:val="sr-Cyrl-RS"/>
              </w:rPr>
              <w:t>397.369</w:t>
            </w:r>
          </w:p>
        </w:tc>
        <w:tc>
          <w:tcPr>
            <w:tcW w:w="125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CAA953" w14:textId="77777777" w:rsidR="000947FE" w:rsidRPr="00CF77C1" w:rsidRDefault="000947FE" w:rsidP="000947FE">
            <w:pPr>
              <w:jc w:val="center"/>
              <w:rPr>
                <w:rFonts w:eastAsia="Calibri"/>
                <w:bCs/>
                <w:szCs w:val="24"/>
                <w:lang w:val="sr-Cyrl-RS"/>
              </w:rPr>
            </w:pPr>
            <w:r w:rsidRPr="00CF77C1">
              <w:rPr>
                <w:bCs/>
                <w:szCs w:val="24"/>
                <w:lang w:val="sr-Cyrl-RS"/>
              </w:rPr>
              <w:t>364.912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CEAC72" w14:textId="77777777" w:rsidR="000947FE" w:rsidRPr="00CF77C1" w:rsidRDefault="000947FE" w:rsidP="000947FE">
            <w:pPr>
              <w:jc w:val="center"/>
              <w:rPr>
                <w:rFonts w:eastAsia="Calibri"/>
                <w:bCs/>
                <w:szCs w:val="24"/>
                <w:lang w:val="sr-Cyrl-RS"/>
              </w:rPr>
            </w:pPr>
            <w:r w:rsidRPr="00CF77C1">
              <w:rPr>
                <w:bCs/>
                <w:szCs w:val="24"/>
                <w:lang w:val="sr-Cyrl-RS"/>
              </w:rPr>
              <w:t>343.522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BA5C58" w14:textId="77777777" w:rsidR="000947FE" w:rsidRPr="00CF77C1" w:rsidRDefault="000947FE" w:rsidP="000947FE">
            <w:pPr>
              <w:jc w:val="center"/>
              <w:rPr>
                <w:rFonts w:eastAsia="Calibri"/>
                <w:bCs/>
                <w:szCs w:val="24"/>
                <w:lang w:val="sr-Cyrl-RS"/>
              </w:rPr>
            </w:pPr>
            <w:r w:rsidRPr="00CF77C1">
              <w:rPr>
                <w:bCs/>
                <w:szCs w:val="24"/>
                <w:lang w:val="sr-Cyrl-RS"/>
              </w:rPr>
              <w:t>322.353</w:t>
            </w:r>
          </w:p>
        </w:tc>
      </w:tr>
    </w:tbl>
    <w:p w14:paraId="16ECDA98" w14:textId="77777777" w:rsidR="000947FE" w:rsidRPr="00CF77C1" w:rsidRDefault="000947FE" w:rsidP="000947FE">
      <w:pPr>
        <w:rPr>
          <w:lang w:val="sr-Cyrl-RS"/>
        </w:rPr>
      </w:pPr>
    </w:p>
    <w:p w14:paraId="178AB6AA" w14:textId="77777777" w:rsidR="000947FE" w:rsidRPr="00CF77C1" w:rsidRDefault="000947FE" w:rsidP="000947FE">
      <w:pPr>
        <w:rPr>
          <w:lang w:val="sr-Cyrl-RS"/>
        </w:rPr>
      </w:pPr>
    </w:p>
    <w:p w14:paraId="31FB8BFB" w14:textId="40470AFA" w:rsidR="000947FE" w:rsidRPr="00CF77C1" w:rsidRDefault="000947FE" w:rsidP="00E209CF">
      <w:pPr>
        <w:pStyle w:val="Caption"/>
        <w:ind w:firstLine="720"/>
        <w:rPr>
          <w:b w:val="0"/>
          <w:lang w:val="sr-Cyrl-RS"/>
        </w:rPr>
      </w:pPr>
      <w:bookmarkStart w:id="150" w:name="_Ref469187765"/>
      <w:r w:rsidRPr="00CF77C1">
        <w:rPr>
          <w:b w:val="0"/>
          <w:lang w:val="sr-Cyrl-RS"/>
        </w:rPr>
        <w:t xml:space="preserve">таб. </w:t>
      </w:r>
      <w:r w:rsidRPr="00CF77C1">
        <w:rPr>
          <w:b w:val="0"/>
          <w:lang w:val="sr-Cyrl-RS"/>
        </w:rPr>
        <w:fldChar w:fldCharType="begin"/>
      </w:r>
      <w:r w:rsidRPr="00CF77C1">
        <w:rPr>
          <w:b w:val="0"/>
          <w:lang w:val="sr-Cyrl-RS"/>
        </w:rPr>
        <w:instrText xml:space="preserve"> SEQ таб. \* ARABIC </w:instrText>
      </w:r>
      <w:r w:rsidRPr="00CF77C1">
        <w:rPr>
          <w:b w:val="0"/>
          <w:lang w:val="sr-Cyrl-RS"/>
        </w:rPr>
        <w:fldChar w:fldCharType="separate"/>
      </w:r>
      <w:r w:rsidR="002D5918">
        <w:rPr>
          <w:b w:val="0"/>
          <w:noProof/>
          <w:lang w:val="sr-Cyrl-RS"/>
        </w:rPr>
        <w:t>60</w:t>
      </w:r>
      <w:r w:rsidRPr="00CF77C1">
        <w:rPr>
          <w:b w:val="0"/>
          <w:lang w:val="sr-Cyrl-RS"/>
        </w:rPr>
        <w:fldChar w:fldCharType="end"/>
      </w:r>
      <w:bookmarkEnd w:id="150"/>
      <w:r w:rsidRPr="00CF77C1">
        <w:rPr>
          <w:b w:val="0"/>
          <w:lang w:val="sr-Cyrl-RS"/>
        </w:rPr>
        <w:t>: Мере за обезбеђење сигурног снабдевања домаћег тржишта природним гасом</w:t>
      </w:r>
    </w:p>
    <w:tbl>
      <w:tblPr>
        <w:tblStyle w:val="TableGrid"/>
        <w:tblW w:w="14742" w:type="dxa"/>
        <w:tblInd w:w="-34" w:type="dxa"/>
        <w:tblLayout w:type="fixed"/>
        <w:tblLook w:val="04A0" w:firstRow="1" w:lastRow="0" w:firstColumn="1" w:lastColumn="0" w:noHBand="0" w:noVBand="1"/>
      </w:tblPr>
      <w:tblGrid>
        <w:gridCol w:w="3119"/>
        <w:gridCol w:w="4253"/>
        <w:gridCol w:w="1559"/>
        <w:gridCol w:w="2835"/>
        <w:gridCol w:w="2976"/>
      </w:tblGrid>
      <w:tr w:rsidR="00B26325" w:rsidRPr="00CF77C1" w14:paraId="10BA80B0" w14:textId="77777777" w:rsidTr="009B15AB">
        <w:trPr>
          <w:tblHeader/>
        </w:trPr>
        <w:tc>
          <w:tcPr>
            <w:tcW w:w="3119" w:type="dxa"/>
            <w:shd w:val="clear" w:color="auto" w:fill="E6E6E6"/>
          </w:tcPr>
          <w:p w14:paraId="525B414B" w14:textId="77777777" w:rsidR="00B26325" w:rsidRPr="00CF77C1" w:rsidRDefault="00B26325" w:rsidP="0080044B">
            <w:pPr>
              <w:keepNext/>
              <w:jc w:val="left"/>
              <w:rPr>
                <w:lang w:val="sr-Cyrl-RS"/>
              </w:rPr>
            </w:pPr>
            <w:r w:rsidRPr="00CF77C1">
              <w:rPr>
                <w:lang w:val="sr-Cyrl-RS"/>
              </w:rPr>
              <w:t>Стратешки циљ:</w:t>
            </w:r>
          </w:p>
        </w:tc>
        <w:tc>
          <w:tcPr>
            <w:tcW w:w="11623" w:type="dxa"/>
            <w:gridSpan w:val="4"/>
            <w:shd w:val="clear" w:color="auto" w:fill="E6E6E6"/>
          </w:tcPr>
          <w:p w14:paraId="11E4C732" w14:textId="77777777" w:rsidR="00B26325" w:rsidRPr="00CF77C1" w:rsidRDefault="00B26325" w:rsidP="0080044B">
            <w:pPr>
              <w:keepNext/>
              <w:jc w:val="left"/>
              <w:rPr>
                <w:lang w:val="sr-Cyrl-RS"/>
              </w:rPr>
            </w:pPr>
            <w:r w:rsidRPr="00CF77C1">
              <w:rPr>
                <w:rFonts w:eastAsia="Myriad Pro"/>
                <w:spacing w:val="-3"/>
                <w:lang w:val="sr-Cyrl-RS"/>
              </w:rPr>
              <w:t>Обезбеђењ</w:t>
            </w:r>
            <w:r w:rsidRPr="00CF77C1">
              <w:rPr>
                <w:rFonts w:eastAsia="Myriad Pro"/>
                <w:lang w:val="sr-Cyrl-RS"/>
              </w:rPr>
              <w:t xml:space="preserve">е </w:t>
            </w:r>
            <w:r w:rsidRPr="00CF77C1">
              <w:rPr>
                <w:rFonts w:eastAsia="Myriad Pro"/>
                <w:spacing w:val="-3"/>
                <w:lang w:val="sr-Cyrl-RS"/>
              </w:rPr>
              <w:t>си</w:t>
            </w:r>
            <w:r w:rsidRPr="00CF77C1">
              <w:rPr>
                <w:rFonts w:eastAsia="Myriad Pro"/>
                <w:lang w:val="sr-Cyrl-RS"/>
              </w:rPr>
              <w:t>г</w:t>
            </w:r>
            <w:r w:rsidRPr="00CF77C1">
              <w:rPr>
                <w:rFonts w:eastAsia="Myriad Pro"/>
                <w:spacing w:val="-3"/>
                <w:lang w:val="sr-Cyrl-RS"/>
              </w:rPr>
              <w:t>урно</w:t>
            </w:r>
            <w:r w:rsidRPr="00CF77C1">
              <w:rPr>
                <w:rFonts w:eastAsia="Myriad Pro"/>
                <w:lang w:val="sr-Cyrl-RS"/>
              </w:rPr>
              <w:t xml:space="preserve">г </w:t>
            </w:r>
            <w:r w:rsidRPr="00CF77C1">
              <w:rPr>
                <w:rFonts w:eastAsia="Myriad Pro"/>
                <w:spacing w:val="-3"/>
                <w:lang w:val="sr-Cyrl-RS"/>
              </w:rPr>
              <w:t>сна</w:t>
            </w:r>
            <w:r w:rsidRPr="00CF77C1">
              <w:rPr>
                <w:rFonts w:eastAsia="Myriad Pro"/>
                <w:spacing w:val="-4"/>
                <w:lang w:val="sr-Cyrl-RS"/>
              </w:rPr>
              <w:t>б</w:t>
            </w:r>
            <w:r w:rsidRPr="00CF77C1">
              <w:rPr>
                <w:rFonts w:eastAsia="Myriad Pro"/>
                <w:spacing w:val="-3"/>
                <w:lang w:val="sr-Cyrl-RS"/>
              </w:rPr>
              <w:t>девања дом</w:t>
            </w:r>
            <w:r w:rsidRPr="00CF77C1">
              <w:rPr>
                <w:rFonts w:eastAsia="Myriad Pro"/>
                <w:spacing w:val="-4"/>
                <w:lang w:val="sr-Cyrl-RS"/>
              </w:rPr>
              <w:t>а</w:t>
            </w:r>
            <w:r w:rsidRPr="00CF77C1">
              <w:rPr>
                <w:rFonts w:eastAsia="Myriad Pro"/>
                <w:spacing w:val="-3"/>
                <w:lang w:val="sr-Cyrl-RS"/>
              </w:rPr>
              <w:t>ће</w:t>
            </w:r>
            <w:r w:rsidRPr="00CF77C1">
              <w:rPr>
                <w:rFonts w:eastAsia="Myriad Pro"/>
                <w:lang w:val="sr-Cyrl-RS"/>
              </w:rPr>
              <w:t xml:space="preserve">г </w:t>
            </w:r>
            <w:r w:rsidRPr="00CF77C1">
              <w:rPr>
                <w:rFonts w:eastAsia="Myriad Pro"/>
                <w:spacing w:val="-4"/>
                <w:lang w:val="sr-Cyrl-RS"/>
              </w:rPr>
              <w:t>тр</w:t>
            </w:r>
            <w:r w:rsidRPr="00CF77C1">
              <w:rPr>
                <w:rFonts w:eastAsia="Myriad Pro"/>
                <w:spacing w:val="-3"/>
                <w:lang w:val="sr-Cyrl-RS"/>
              </w:rPr>
              <w:t>жиш</w:t>
            </w:r>
            <w:r w:rsidRPr="00CF77C1">
              <w:rPr>
                <w:rFonts w:eastAsia="Myriad Pro"/>
                <w:spacing w:val="-5"/>
                <w:lang w:val="sr-Cyrl-RS"/>
              </w:rPr>
              <w:t>т</w:t>
            </w:r>
            <w:r w:rsidRPr="00CF77C1">
              <w:rPr>
                <w:rFonts w:eastAsia="Myriad Pro"/>
                <w:lang w:val="sr-Cyrl-RS"/>
              </w:rPr>
              <w:t xml:space="preserve">а </w:t>
            </w:r>
            <w:r w:rsidRPr="00CF77C1">
              <w:rPr>
                <w:rFonts w:eastAsia="Myriad Pro"/>
                <w:spacing w:val="-3"/>
                <w:lang w:val="sr-Cyrl-RS"/>
              </w:rPr>
              <w:t>прир</w:t>
            </w:r>
            <w:r w:rsidRPr="00CF77C1">
              <w:rPr>
                <w:rFonts w:eastAsia="Myriad Pro"/>
                <w:spacing w:val="-4"/>
                <w:lang w:val="sr-Cyrl-RS"/>
              </w:rPr>
              <w:t>о</w:t>
            </w:r>
            <w:r w:rsidRPr="00CF77C1">
              <w:rPr>
                <w:rFonts w:eastAsia="Myriad Pro"/>
                <w:spacing w:val="-3"/>
                <w:lang w:val="sr-Cyrl-RS"/>
              </w:rPr>
              <w:t>дни</w:t>
            </w:r>
            <w:r w:rsidRPr="00CF77C1">
              <w:rPr>
                <w:rFonts w:eastAsia="Myriad Pro"/>
                <w:lang w:val="sr-Cyrl-RS"/>
              </w:rPr>
              <w:t>м</w:t>
            </w:r>
            <w:r w:rsidRPr="00CF77C1">
              <w:rPr>
                <w:rFonts w:eastAsia="Myriad Pro"/>
                <w:spacing w:val="-5"/>
                <w:lang w:val="sr-Cyrl-RS"/>
              </w:rPr>
              <w:t xml:space="preserve"> г</w:t>
            </w:r>
            <w:r w:rsidRPr="00CF77C1">
              <w:rPr>
                <w:rFonts w:eastAsia="Myriad Pro"/>
                <w:spacing w:val="-3"/>
                <w:lang w:val="sr-Cyrl-RS"/>
              </w:rPr>
              <w:t>а</w:t>
            </w:r>
            <w:r w:rsidRPr="00CF77C1">
              <w:rPr>
                <w:rFonts w:eastAsia="Myriad Pro"/>
                <w:spacing w:val="-4"/>
                <w:lang w:val="sr-Cyrl-RS"/>
              </w:rPr>
              <w:t>с</w:t>
            </w:r>
            <w:r w:rsidRPr="00CF77C1">
              <w:rPr>
                <w:rFonts w:eastAsia="Myriad Pro"/>
                <w:spacing w:val="-3"/>
                <w:lang w:val="sr-Cyrl-RS"/>
              </w:rPr>
              <w:t>ом</w:t>
            </w:r>
          </w:p>
        </w:tc>
      </w:tr>
      <w:tr w:rsidR="00B26325" w:rsidRPr="00CF77C1" w14:paraId="3AE5DC8C" w14:textId="77777777" w:rsidTr="009B15AB">
        <w:trPr>
          <w:tblHeader/>
        </w:trPr>
        <w:tc>
          <w:tcPr>
            <w:tcW w:w="3119" w:type="dxa"/>
            <w:vAlign w:val="center"/>
          </w:tcPr>
          <w:p w14:paraId="5DE7AA44" w14:textId="77777777" w:rsidR="00B26325" w:rsidRPr="00CF77C1" w:rsidRDefault="00B26325" w:rsidP="0080044B">
            <w:pPr>
              <w:keepNext/>
              <w:jc w:val="center"/>
              <w:rPr>
                <w:lang w:val="sr-Cyrl-RS"/>
              </w:rPr>
            </w:pPr>
            <w:r w:rsidRPr="00CF77C1">
              <w:rPr>
                <w:lang w:val="sr-Cyrl-RS"/>
              </w:rPr>
              <w:t>Мера</w:t>
            </w:r>
          </w:p>
        </w:tc>
        <w:tc>
          <w:tcPr>
            <w:tcW w:w="4253" w:type="dxa"/>
            <w:vAlign w:val="center"/>
          </w:tcPr>
          <w:p w14:paraId="1B7BD3BD" w14:textId="77777777" w:rsidR="00B26325" w:rsidRPr="00CF77C1" w:rsidRDefault="00B26325" w:rsidP="0080044B">
            <w:pPr>
              <w:keepNext/>
              <w:jc w:val="center"/>
              <w:rPr>
                <w:lang w:val="sr-Cyrl-RS"/>
              </w:rPr>
            </w:pPr>
            <w:r w:rsidRPr="00CF77C1">
              <w:rPr>
                <w:rFonts w:eastAsia="Myriad Pro"/>
                <w:spacing w:val="-3"/>
                <w:lang w:val="sr-Cyrl-RS"/>
              </w:rPr>
              <w:t>Активност</w:t>
            </w:r>
          </w:p>
        </w:tc>
        <w:tc>
          <w:tcPr>
            <w:tcW w:w="1559" w:type="dxa"/>
            <w:vAlign w:val="center"/>
          </w:tcPr>
          <w:p w14:paraId="7876B5C0" w14:textId="77777777" w:rsidR="00B26325" w:rsidRPr="00CF77C1" w:rsidRDefault="00B26325" w:rsidP="0080044B">
            <w:pPr>
              <w:keepNext/>
              <w:jc w:val="center"/>
              <w:rPr>
                <w:lang w:val="sr-Cyrl-RS"/>
              </w:rPr>
            </w:pPr>
            <w:r w:rsidRPr="00CF77C1">
              <w:rPr>
                <w:lang w:val="sr-Cyrl-RS"/>
              </w:rPr>
              <w:t>Рок за извршење</w:t>
            </w:r>
          </w:p>
        </w:tc>
        <w:tc>
          <w:tcPr>
            <w:tcW w:w="2835" w:type="dxa"/>
            <w:vAlign w:val="center"/>
          </w:tcPr>
          <w:p w14:paraId="7D277A83" w14:textId="77777777" w:rsidR="00B26325" w:rsidRPr="00CF77C1" w:rsidRDefault="00DD69C2" w:rsidP="0080044B">
            <w:pPr>
              <w:keepNext/>
              <w:jc w:val="center"/>
              <w:rPr>
                <w:lang w:val="sr-Cyrl-RS"/>
              </w:rPr>
            </w:pPr>
            <w:r w:rsidRPr="00CF77C1">
              <w:rPr>
                <w:lang w:val="sr-Cyrl-RS"/>
              </w:rPr>
              <w:t>Одговорни субјекат</w:t>
            </w:r>
          </w:p>
        </w:tc>
        <w:tc>
          <w:tcPr>
            <w:tcW w:w="2976" w:type="dxa"/>
            <w:vAlign w:val="center"/>
          </w:tcPr>
          <w:p w14:paraId="6E93E5DA" w14:textId="77777777" w:rsidR="00B26325" w:rsidRPr="00CF77C1" w:rsidRDefault="00B26325" w:rsidP="0080044B">
            <w:pPr>
              <w:keepNext/>
              <w:jc w:val="center"/>
              <w:rPr>
                <w:lang w:val="sr-Cyrl-RS"/>
              </w:rPr>
            </w:pPr>
            <w:r w:rsidRPr="00CF77C1">
              <w:rPr>
                <w:lang w:val="sr-Cyrl-RS"/>
              </w:rPr>
              <w:t>Индикатор активности</w:t>
            </w:r>
          </w:p>
        </w:tc>
      </w:tr>
      <w:tr w:rsidR="00B26325" w:rsidRPr="00CF77C1" w14:paraId="36EBF12A" w14:textId="77777777" w:rsidTr="009B15AB">
        <w:trPr>
          <w:cantSplit/>
        </w:trPr>
        <w:tc>
          <w:tcPr>
            <w:tcW w:w="3119" w:type="dxa"/>
            <w:vMerge w:val="restart"/>
            <w:vAlign w:val="center"/>
          </w:tcPr>
          <w:p w14:paraId="1F4AC68C" w14:textId="77777777" w:rsidR="00B26325" w:rsidRPr="00CF77C1" w:rsidRDefault="00B26325" w:rsidP="0080044B">
            <w:pPr>
              <w:keepNext/>
              <w:jc w:val="left"/>
              <w:rPr>
                <w:bCs/>
                <w:lang w:val="sr-Cyrl-RS"/>
              </w:rPr>
            </w:pPr>
            <w:r w:rsidRPr="00CF77C1">
              <w:rPr>
                <w:lang w:val="sr-Cyrl-RS"/>
              </w:rPr>
              <w:t>Усклађивање легислативе са обавезама преузетим чланством у Енергетској заједници</w:t>
            </w:r>
          </w:p>
        </w:tc>
        <w:tc>
          <w:tcPr>
            <w:tcW w:w="4253" w:type="dxa"/>
            <w:vAlign w:val="center"/>
          </w:tcPr>
          <w:p w14:paraId="12AF9A9D" w14:textId="2238339C" w:rsidR="00B26325" w:rsidRPr="00CF77C1" w:rsidRDefault="00271FB2" w:rsidP="0080044B">
            <w:pPr>
              <w:keepNext/>
              <w:keepLines/>
              <w:jc w:val="left"/>
              <w:rPr>
                <w:lang w:val="sr-Cyrl-RS"/>
              </w:rPr>
            </w:pPr>
            <w:r>
              <w:rPr>
                <w:lang w:val="sr-Cyrl-RS"/>
              </w:rPr>
              <w:t>Доношење уредбе о утврђивању п</w:t>
            </w:r>
            <w:r w:rsidR="00B26325" w:rsidRPr="00CF77C1">
              <w:rPr>
                <w:lang w:val="sr-Cyrl-RS"/>
              </w:rPr>
              <w:t>ревентивног акционог плана ради обезбеђивања сигурн</w:t>
            </w:r>
            <w:r>
              <w:rPr>
                <w:lang w:val="sr-Cyrl-RS"/>
              </w:rPr>
              <w:t>ости снабдевања природним гасом.</w:t>
            </w:r>
          </w:p>
        </w:tc>
        <w:tc>
          <w:tcPr>
            <w:tcW w:w="1559" w:type="dxa"/>
            <w:vAlign w:val="center"/>
          </w:tcPr>
          <w:p w14:paraId="75CB43E3" w14:textId="5D74C21A" w:rsidR="00B26325" w:rsidRPr="00CF77C1" w:rsidRDefault="001C40F5" w:rsidP="0080044B">
            <w:pPr>
              <w:keepNext/>
              <w:jc w:val="center"/>
              <w:rPr>
                <w:lang w:val="sr-Cyrl-RS"/>
              </w:rPr>
            </w:pPr>
            <w:r w:rsidRPr="00CF77C1">
              <w:rPr>
                <w:lang w:val="sr-Cyrl-RS"/>
              </w:rPr>
              <w:t>2018. годин</w:t>
            </w:r>
            <w:r w:rsidRPr="00CF77C1">
              <w:t>a</w:t>
            </w:r>
          </w:p>
        </w:tc>
        <w:tc>
          <w:tcPr>
            <w:tcW w:w="2835" w:type="dxa"/>
            <w:vAlign w:val="center"/>
          </w:tcPr>
          <w:p w14:paraId="11F846EA" w14:textId="7D8FEE48" w:rsidR="00B26325" w:rsidRPr="00CF77C1" w:rsidRDefault="00AC627E" w:rsidP="0080044B">
            <w:pPr>
              <w:keepNext/>
              <w:jc w:val="left"/>
              <w:rPr>
                <w:lang w:val="sr-Cyrl-RS"/>
              </w:rPr>
            </w:pPr>
            <w:r w:rsidRPr="00CF77C1">
              <w:rPr>
                <w:lang w:val="sr-Cyrl-RS"/>
              </w:rPr>
              <w:t>м</w:t>
            </w:r>
            <w:r w:rsidR="005C650D" w:rsidRPr="00CF77C1">
              <w:rPr>
                <w:lang w:val="sr-Cyrl-RS"/>
              </w:rPr>
              <w:t>инистарство надлежно за послове</w:t>
            </w:r>
            <w:r w:rsidR="00B26325" w:rsidRPr="00CF77C1">
              <w:rPr>
                <w:lang w:val="sr-Cyrl-RS"/>
              </w:rPr>
              <w:t xml:space="preserve"> рударства и енергетике (Сектор за нафту и гас)</w:t>
            </w:r>
          </w:p>
        </w:tc>
        <w:tc>
          <w:tcPr>
            <w:tcW w:w="2976" w:type="dxa"/>
            <w:vAlign w:val="center"/>
          </w:tcPr>
          <w:p w14:paraId="7CC544C3" w14:textId="77A0A29D" w:rsidR="00B26325" w:rsidRPr="00CF77C1" w:rsidRDefault="00B26325" w:rsidP="0080044B">
            <w:pPr>
              <w:keepNext/>
              <w:jc w:val="left"/>
              <w:rPr>
                <w:lang w:val="sr-Cyrl-RS"/>
              </w:rPr>
            </w:pPr>
            <w:r w:rsidRPr="00CF77C1">
              <w:rPr>
                <w:lang w:val="sr-Cyrl-RS"/>
              </w:rPr>
              <w:t>Донет пропис усклађен са Уредбом 994/2010</w:t>
            </w:r>
            <w:r w:rsidR="00271FB2">
              <w:rPr>
                <w:lang w:val="sr-Cyrl-RS"/>
              </w:rPr>
              <w:t>.</w:t>
            </w:r>
            <w:r w:rsidRPr="00CF77C1">
              <w:rPr>
                <w:lang w:val="sr-Cyrl-RS"/>
              </w:rPr>
              <w:t xml:space="preserve"> </w:t>
            </w:r>
          </w:p>
        </w:tc>
      </w:tr>
      <w:tr w:rsidR="00B26325" w:rsidRPr="00CF77C1" w14:paraId="266EECA1" w14:textId="77777777" w:rsidTr="009B15AB">
        <w:trPr>
          <w:cantSplit/>
        </w:trPr>
        <w:tc>
          <w:tcPr>
            <w:tcW w:w="3119" w:type="dxa"/>
            <w:vMerge/>
            <w:vAlign w:val="center"/>
          </w:tcPr>
          <w:p w14:paraId="148FA9B5" w14:textId="77777777" w:rsidR="00B26325" w:rsidRPr="00CF77C1" w:rsidRDefault="00B26325" w:rsidP="0080044B">
            <w:pPr>
              <w:jc w:val="left"/>
              <w:rPr>
                <w:lang w:val="sr-Cyrl-RS"/>
              </w:rPr>
            </w:pPr>
          </w:p>
        </w:tc>
        <w:tc>
          <w:tcPr>
            <w:tcW w:w="4253" w:type="dxa"/>
            <w:vAlign w:val="center"/>
          </w:tcPr>
          <w:p w14:paraId="666E493D" w14:textId="3EACE748" w:rsidR="00B26325" w:rsidRPr="00CF77C1" w:rsidRDefault="00B26325" w:rsidP="0080044B">
            <w:pPr>
              <w:jc w:val="left"/>
              <w:rPr>
                <w:lang w:val="sr-Cyrl-RS"/>
              </w:rPr>
            </w:pPr>
            <w:r w:rsidRPr="00CF77C1">
              <w:rPr>
                <w:lang w:val="sr-Cyrl-RS"/>
              </w:rPr>
              <w:t>Доно</w:t>
            </w:r>
            <w:r w:rsidR="00271FB2">
              <w:rPr>
                <w:lang w:val="sr-Cyrl-RS"/>
              </w:rPr>
              <w:t>шење уредбе о утврђивању к</w:t>
            </w:r>
            <w:r w:rsidRPr="00CF77C1">
              <w:rPr>
                <w:lang w:val="sr-Cyrl-RS"/>
              </w:rPr>
              <w:t>ризног плана ради обезбеђивања сигурн</w:t>
            </w:r>
            <w:r w:rsidR="00271FB2">
              <w:rPr>
                <w:lang w:val="sr-Cyrl-RS"/>
              </w:rPr>
              <w:t>ости снабдевања природним гасом.</w:t>
            </w:r>
          </w:p>
        </w:tc>
        <w:tc>
          <w:tcPr>
            <w:tcW w:w="1559" w:type="dxa"/>
            <w:vAlign w:val="center"/>
          </w:tcPr>
          <w:p w14:paraId="2FFC83C0" w14:textId="4CD81BB2" w:rsidR="00B26325" w:rsidRPr="00CF77C1" w:rsidRDefault="001C40F5" w:rsidP="0080044B">
            <w:pPr>
              <w:jc w:val="center"/>
              <w:rPr>
                <w:lang w:val="sr-Cyrl-RS"/>
              </w:rPr>
            </w:pPr>
            <w:r w:rsidRPr="00CF77C1">
              <w:rPr>
                <w:lang w:val="sr-Cyrl-RS"/>
              </w:rPr>
              <w:t>2018. годин</w:t>
            </w:r>
            <w:r w:rsidRPr="00CF77C1">
              <w:t>a</w:t>
            </w:r>
          </w:p>
        </w:tc>
        <w:tc>
          <w:tcPr>
            <w:tcW w:w="2835" w:type="dxa"/>
            <w:vAlign w:val="center"/>
          </w:tcPr>
          <w:p w14:paraId="05572762" w14:textId="2D00F3B1" w:rsidR="00B26325" w:rsidRPr="00CF77C1" w:rsidRDefault="00AC627E" w:rsidP="0080044B">
            <w:pPr>
              <w:jc w:val="left"/>
              <w:rPr>
                <w:lang w:val="sr-Cyrl-RS"/>
              </w:rPr>
            </w:pPr>
            <w:r w:rsidRPr="00CF77C1">
              <w:rPr>
                <w:lang w:val="sr-Cyrl-RS"/>
              </w:rPr>
              <w:t>м</w:t>
            </w:r>
            <w:r w:rsidR="005C650D" w:rsidRPr="00CF77C1">
              <w:rPr>
                <w:lang w:val="sr-Cyrl-RS"/>
              </w:rPr>
              <w:t>инистарство надлежно за послове</w:t>
            </w:r>
            <w:r w:rsidR="00B26325" w:rsidRPr="00CF77C1">
              <w:rPr>
                <w:lang w:val="sr-Cyrl-RS"/>
              </w:rPr>
              <w:t xml:space="preserve"> рударства и енергетике (Сектор за нафту и гас)</w:t>
            </w:r>
          </w:p>
        </w:tc>
        <w:tc>
          <w:tcPr>
            <w:tcW w:w="2976" w:type="dxa"/>
            <w:vAlign w:val="center"/>
          </w:tcPr>
          <w:p w14:paraId="7B8E8AC7" w14:textId="688B498F" w:rsidR="00B26325" w:rsidRPr="00CF77C1" w:rsidRDefault="00B26325" w:rsidP="0080044B">
            <w:pPr>
              <w:jc w:val="left"/>
              <w:rPr>
                <w:lang w:val="sr-Cyrl-RS"/>
              </w:rPr>
            </w:pPr>
            <w:r w:rsidRPr="00CF77C1">
              <w:rPr>
                <w:lang w:val="sr-Cyrl-RS"/>
              </w:rPr>
              <w:t>Донет пропис усклађен са Уредбом 994/2010</w:t>
            </w:r>
            <w:r w:rsidR="00271FB2">
              <w:rPr>
                <w:lang w:val="sr-Cyrl-RS"/>
              </w:rPr>
              <w:t>.</w:t>
            </w:r>
          </w:p>
        </w:tc>
      </w:tr>
      <w:tr w:rsidR="00766B4E" w:rsidRPr="00CF77C1" w14:paraId="6294CE3E" w14:textId="77777777" w:rsidTr="009B15AB">
        <w:trPr>
          <w:cantSplit/>
          <w:trHeight w:val="743"/>
        </w:trPr>
        <w:tc>
          <w:tcPr>
            <w:tcW w:w="3119" w:type="dxa"/>
            <w:vMerge/>
            <w:vAlign w:val="center"/>
          </w:tcPr>
          <w:p w14:paraId="0878AB8B" w14:textId="77777777" w:rsidR="00766B4E" w:rsidRPr="00CF77C1" w:rsidRDefault="00766B4E" w:rsidP="0080044B">
            <w:pPr>
              <w:jc w:val="left"/>
              <w:rPr>
                <w:lang w:val="sr-Cyrl-RS"/>
              </w:rPr>
            </w:pPr>
          </w:p>
        </w:tc>
        <w:tc>
          <w:tcPr>
            <w:tcW w:w="4253" w:type="dxa"/>
            <w:vAlign w:val="center"/>
          </w:tcPr>
          <w:p w14:paraId="185998D0" w14:textId="0A319332" w:rsidR="00766B4E" w:rsidRPr="00CF77C1" w:rsidRDefault="00766B4E" w:rsidP="0080044B">
            <w:pPr>
              <w:keepLines/>
              <w:jc w:val="left"/>
              <w:rPr>
                <w:lang w:val="sr-Cyrl-RS"/>
              </w:rPr>
            </w:pPr>
            <w:r w:rsidRPr="00CF77C1">
              <w:rPr>
                <w:szCs w:val="24"/>
                <w:lang w:val="sr-Cyrl-RS"/>
              </w:rPr>
              <w:t>Tрaнспoнoвање Дирeктиве 94/22/EЗ у склaду сa другим рeвидирaним Нaциoнaлним прoгрaмoм зa усвajaњe прaвних тeкoвинa EУ (НПAA), усвојеним у новембру 2016. гoдинe</w:t>
            </w:r>
            <w:r w:rsidR="00271FB2">
              <w:rPr>
                <w:szCs w:val="24"/>
                <w:lang w:val="sr-Cyrl-RS"/>
              </w:rPr>
              <w:t>.</w:t>
            </w:r>
          </w:p>
        </w:tc>
        <w:tc>
          <w:tcPr>
            <w:tcW w:w="1559" w:type="dxa"/>
            <w:vAlign w:val="center"/>
          </w:tcPr>
          <w:p w14:paraId="40482892" w14:textId="290D6435" w:rsidR="00766B4E" w:rsidRPr="00CF77C1" w:rsidRDefault="00766B4E" w:rsidP="0080044B">
            <w:pPr>
              <w:keepLines/>
              <w:jc w:val="center"/>
            </w:pPr>
            <w:r w:rsidRPr="00CF77C1">
              <w:rPr>
                <w:lang w:val="sr-Cyrl-RS"/>
              </w:rPr>
              <w:t>2018. годин</w:t>
            </w:r>
            <w:r w:rsidR="001C40F5" w:rsidRPr="00CF77C1">
              <w:t>a</w:t>
            </w:r>
          </w:p>
        </w:tc>
        <w:tc>
          <w:tcPr>
            <w:tcW w:w="2835" w:type="dxa"/>
            <w:vAlign w:val="center"/>
          </w:tcPr>
          <w:p w14:paraId="2B494E0B" w14:textId="74DD5695" w:rsidR="00766B4E" w:rsidRPr="00CF77C1" w:rsidRDefault="00AC627E" w:rsidP="0080044B">
            <w:pPr>
              <w:keepLines/>
              <w:jc w:val="left"/>
              <w:rPr>
                <w:lang w:val="sr-Cyrl-RS"/>
              </w:rPr>
            </w:pPr>
            <w:r w:rsidRPr="00CF77C1">
              <w:rPr>
                <w:szCs w:val="24"/>
                <w:lang w:val="sr-Cyrl-RS"/>
              </w:rPr>
              <w:t>м</w:t>
            </w:r>
            <w:r w:rsidR="00766B4E" w:rsidRPr="00CF77C1">
              <w:rPr>
                <w:szCs w:val="24"/>
                <w:lang w:val="sr-Cyrl-RS"/>
              </w:rPr>
              <w:t>инистарство надлежно за послове рударства и енергетике (Сектор за нафту и гас и Сектор за геологију и рударство)</w:t>
            </w:r>
          </w:p>
        </w:tc>
        <w:tc>
          <w:tcPr>
            <w:tcW w:w="2976" w:type="dxa"/>
            <w:vAlign w:val="center"/>
          </w:tcPr>
          <w:p w14:paraId="3643D024" w14:textId="4291DBC6" w:rsidR="00766B4E" w:rsidRPr="00CF77C1" w:rsidRDefault="00766B4E" w:rsidP="00766B4E">
            <w:pPr>
              <w:keepLines/>
              <w:jc w:val="left"/>
              <w:rPr>
                <w:lang w:val="sr-Cyrl-RS"/>
              </w:rPr>
            </w:pPr>
            <w:r w:rsidRPr="00CF77C1">
              <w:rPr>
                <w:szCs w:val="24"/>
                <w:lang w:val="sr-Cyrl-RS"/>
              </w:rPr>
              <w:t>Извршено трaнспoнoвање Дирeктиве 94/22/EЗ у склaду сa другим рeвидирaним Нaциoнaлним прoгрaмoм зa усвajaњe прaвних тeкoвинa EУ</w:t>
            </w:r>
            <w:r w:rsidR="00271FB2">
              <w:rPr>
                <w:szCs w:val="24"/>
                <w:lang w:val="sr-Cyrl-RS"/>
              </w:rPr>
              <w:t>.</w:t>
            </w:r>
          </w:p>
        </w:tc>
      </w:tr>
      <w:tr w:rsidR="00766B4E" w:rsidRPr="00CF77C1" w14:paraId="634A481B" w14:textId="77777777" w:rsidTr="009B15AB">
        <w:trPr>
          <w:cantSplit/>
          <w:trHeight w:val="687"/>
        </w:trPr>
        <w:tc>
          <w:tcPr>
            <w:tcW w:w="3119" w:type="dxa"/>
            <w:vMerge/>
            <w:vAlign w:val="center"/>
          </w:tcPr>
          <w:p w14:paraId="01B90036" w14:textId="77777777" w:rsidR="00766B4E" w:rsidRPr="00CF77C1" w:rsidRDefault="00766B4E" w:rsidP="0080044B">
            <w:pPr>
              <w:jc w:val="left"/>
              <w:rPr>
                <w:lang w:val="sr-Cyrl-RS"/>
              </w:rPr>
            </w:pPr>
          </w:p>
        </w:tc>
        <w:tc>
          <w:tcPr>
            <w:tcW w:w="4253" w:type="dxa"/>
            <w:vAlign w:val="center"/>
          </w:tcPr>
          <w:p w14:paraId="3149C95F" w14:textId="2AE89711" w:rsidR="00766B4E" w:rsidRPr="00CF77C1" w:rsidRDefault="00271FB2" w:rsidP="0080044B">
            <w:pPr>
              <w:keepLines/>
              <w:jc w:val="left"/>
              <w:rPr>
                <w:lang w:val="sr-Cyrl-RS"/>
              </w:rPr>
            </w:pPr>
            <w:r>
              <w:rPr>
                <w:lang w:val="sr-Cyrl-RS"/>
              </w:rPr>
              <w:t>Доношење п</w:t>
            </w:r>
            <w:r w:rsidR="00766B4E" w:rsidRPr="00CF77C1">
              <w:rPr>
                <w:lang w:val="sr-Cyrl-RS"/>
              </w:rPr>
              <w:t>равилника о извештају о пословању компанија која врше истраживања и експлоатацију нафте и гаса</w:t>
            </w:r>
            <w:r>
              <w:rPr>
                <w:lang w:val="sr-Cyrl-RS"/>
              </w:rPr>
              <w:t>.</w:t>
            </w:r>
          </w:p>
        </w:tc>
        <w:tc>
          <w:tcPr>
            <w:tcW w:w="1559" w:type="dxa"/>
            <w:vAlign w:val="center"/>
          </w:tcPr>
          <w:p w14:paraId="76BF0C5D" w14:textId="0C47F53F" w:rsidR="00766B4E" w:rsidRPr="00CF77C1" w:rsidRDefault="001C40F5" w:rsidP="0080044B">
            <w:pPr>
              <w:keepLines/>
              <w:jc w:val="center"/>
            </w:pPr>
            <w:r w:rsidRPr="00CF77C1">
              <w:rPr>
                <w:lang w:val="sr-Cyrl-RS"/>
              </w:rPr>
              <w:t>2018. годин</w:t>
            </w:r>
            <w:r w:rsidRPr="00CF77C1">
              <w:t>a</w:t>
            </w:r>
          </w:p>
        </w:tc>
        <w:tc>
          <w:tcPr>
            <w:tcW w:w="2835" w:type="dxa"/>
            <w:vAlign w:val="center"/>
          </w:tcPr>
          <w:p w14:paraId="1A4A4E3D" w14:textId="55EEE194" w:rsidR="00766B4E" w:rsidRPr="00CF77C1" w:rsidRDefault="00AC627E" w:rsidP="0080044B">
            <w:pPr>
              <w:keepLines/>
              <w:jc w:val="left"/>
              <w:rPr>
                <w:lang w:val="sr-Cyrl-RS"/>
              </w:rPr>
            </w:pPr>
            <w:r w:rsidRPr="00CF77C1">
              <w:rPr>
                <w:szCs w:val="24"/>
                <w:lang w:val="sr-Cyrl-RS"/>
              </w:rPr>
              <w:t>м</w:t>
            </w:r>
            <w:r w:rsidR="00766B4E" w:rsidRPr="00CF77C1">
              <w:rPr>
                <w:szCs w:val="24"/>
                <w:lang w:val="sr-Cyrl-RS"/>
              </w:rPr>
              <w:t>инистарство надлежно за послове рударства и енергетике (Сектор за нафту и гас и Сектор за геологију и рударство)</w:t>
            </w:r>
          </w:p>
        </w:tc>
        <w:tc>
          <w:tcPr>
            <w:tcW w:w="2976" w:type="dxa"/>
            <w:vAlign w:val="center"/>
          </w:tcPr>
          <w:p w14:paraId="2FA836C7" w14:textId="55B6E937" w:rsidR="00766B4E" w:rsidRPr="00CF77C1" w:rsidRDefault="00766B4E" w:rsidP="0080044B">
            <w:pPr>
              <w:keepLines/>
              <w:jc w:val="left"/>
              <w:rPr>
                <w:lang w:val="sr-Cyrl-RS"/>
              </w:rPr>
            </w:pPr>
            <w:r w:rsidRPr="00CF77C1">
              <w:rPr>
                <w:lang w:val="sr-Cyrl-RS"/>
              </w:rPr>
              <w:t>Усвојен пропис усклађен са Директивом 2013/30/EУ</w:t>
            </w:r>
            <w:r w:rsidR="002A36AE" w:rsidRPr="00CF77C1">
              <w:rPr>
                <w:lang w:val="sr-Cyrl-RS"/>
              </w:rPr>
              <w:t xml:space="preserve"> – чл.</w:t>
            </w:r>
            <w:r w:rsidR="00CD182C" w:rsidRPr="00CF77C1">
              <w:rPr>
                <w:lang w:val="sr-Cyrl-RS"/>
              </w:rPr>
              <w:t xml:space="preserve"> 20-22.</w:t>
            </w:r>
            <w:r w:rsidRPr="00CF77C1">
              <w:rPr>
                <w:lang w:val="sr-Cyrl-RS"/>
              </w:rPr>
              <w:t xml:space="preserve"> </w:t>
            </w:r>
          </w:p>
        </w:tc>
      </w:tr>
      <w:tr w:rsidR="005359FF" w:rsidRPr="00CF77C1" w14:paraId="49100B49" w14:textId="77777777" w:rsidTr="009B15AB">
        <w:trPr>
          <w:cantSplit/>
        </w:trPr>
        <w:tc>
          <w:tcPr>
            <w:tcW w:w="3119" w:type="dxa"/>
            <w:vMerge w:val="restart"/>
            <w:vAlign w:val="center"/>
          </w:tcPr>
          <w:p w14:paraId="33BD2F84" w14:textId="77777777" w:rsidR="005359FF" w:rsidRPr="00CF77C1" w:rsidRDefault="005359FF" w:rsidP="0080044B">
            <w:pPr>
              <w:keepNext/>
              <w:keepLines/>
              <w:jc w:val="left"/>
              <w:rPr>
                <w:lang w:val="sr-Cyrl-RS"/>
              </w:rPr>
            </w:pPr>
            <w:r w:rsidRPr="00CF77C1">
              <w:rPr>
                <w:lang w:val="sr-Cyrl-RS"/>
              </w:rPr>
              <w:t>Планирање развоја гасне инфраструктуре</w:t>
            </w:r>
          </w:p>
        </w:tc>
        <w:tc>
          <w:tcPr>
            <w:tcW w:w="4253" w:type="dxa"/>
            <w:vAlign w:val="center"/>
          </w:tcPr>
          <w:p w14:paraId="7BD4B085" w14:textId="0EC15282" w:rsidR="005359FF" w:rsidRPr="00CF77C1" w:rsidRDefault="005359FF" w:rsidP="0080044B">
            <w:pPr>
              <w:keepNext/>
              <w:keepLines/>
              <w:jc w:val="left"/>
              <w:rPr>
                <w:lang w:val="sr-Cyrl-RS"/>
              </w:rPr>
            </w:pPr>
            <w:r w:rsidRPr="00CF77C1">
              <w:rPr>
                <w:lang w:val="sr-Cyrl-RS"/>
              </w:rPr>
              <w:t>Доношење десетогодишњег плана развоја транспортног система (доноси се сваке године)</w:t>
            </w:r>
            <w:r w:rsidR="00F2331D">
              <w:rPr>
                <w:lang w:val="sr-Cyrl-RS"/>
              </w:rPr>
              <w:t>.</w:t>
            </w:r>
          </w:p>
        </w:tc>
        <w:tc>
          <w:tcPr>
            <w:tcW w:w="1559" w:type="dxa"/>
            <w:vAlign w:val="center"/>
          </w:tcPr>
          <w:p w14:paraId="2984C8CB" w14:textId="412AD7A3" w:rsidR="005359FF" w:rsidRPr="00CF77C1" w:rsidRDefault="005359FF" w:rsidP="0080044B">
            <w:pPr>
              <w:keepNext/>
              <w:keepLines/>
              <w:jc w:val="center"/>
            </w:pPr>
            <w:r w:rsidRPr="00CF77C1">
              <w:rPr>
                <w:lang w:val="sr-Cyrl-RS"/>
              </w:rPr>
              <w:t>2017-2023. годин</w:t>
            </w:r>
            <w:r w:rsidR="001C40F5" w:rsidRPr="00CF77C1">
              <w:t>a</w:t>
            </w:r>
          </w:p>
        </w:tc>
        <w:tc>
          <w:tcPr>
            <w:tcW w:w="2835" w:type="dxa"/>
            <w:vAlign w:val="center"/>
          </w:tcPr>
          <w:p w14:paraId="6617CB91" w14:textId="4D938743" w:rsidR="005359FF" w:rsidRPr="00CF77C1" w:rsidRDefault="005359FF" w:rsidP="0080044B">
            <w:pPr>
              <w:keepNext/>
              <w:keepLines/>
              <w:jc w:val="left"/>
              <w:rPr>
                <w:lang w:val="sr-Cyrl-RS"/>
              </w:rPr>
            </w:pPr>
            <w:r w:rsidRPr="00CF77C1">
              <w:rPr>
                <w:lang w:val="sr-Cyrl-RS"/>
              </w:rPr>
              <w:t>Оператори транспортног система - ОТС (Транспортгас Србија д.о.о. и „Yugorosgaz-Transport</w:t>
            </w:r>
            <w:r w:rsidR="00AD5740" w:rsidRPr="00CF77C1">
              <w:rPr>
                <w:lang w:val="sr-Cyrl-RS"/>
              </w:rPr>
              <w:t>”</w:t>
            </w:r>
            <w:r w:rsidRPr="00CF77C1">
              <w:rPr>
                <w:lang w:val="sr-Cyrl-RS"/>
              </w:rPr>
              <w:t xml:space="preserve"> d.o.o.), АЕРС</w:t>
            </w:r>
          </w:p>
        </w:tc>
        <w:tc>
          <w:tcPr>
            <w:tcW w:w="2976" w:type="dxa"/>
            <w:vAlign w:val="center"/>
          </w:tcPr>
          <w:p w14:paraId="39E95FE1" w14:textId="22825D1A" w:rsidR="005359FF" w:rsidRPr="00CF77C1" w:rsidRDefault="00FC6F6F" w:rsidP="0080044B">
            <w:pPr>
              <w:keepNext/>
              <w:keepLines/>
              <w:jc w:val="left"/>
              <w:rPr>
                <w:lang w:val="sr-Cyrl-RS"/>
              </w:rPr>
            </w:pPr>
            <w:r>
              <w:rPr>
                <w:lang w:val="sr-Cyrl-RS"/>
              </w:rPr>
              <w:t>Добијена сагласност АЕРС</w:t>
            </w:r>
            <w:r w:rsidR="00F2331D">
              <w:rPr>
                <w:lang w:val="sr-Cyrl-RS"/>
              </w:rPr>
              <w:t>.</w:t>
            </w:r>
          </w:p>
        </w:tc>
      </w:tr>
      <w:tr w:rsidR="005359FF" w:rsidRPr="00CF77C1" w14:paraId="61F4378B" w14:textId="77777777" w:rsidTr="009B15AB">
        <w:trPr>
          <w:cantSplit/>
        </w:trPr>
        <w:tc>
          <w:tcPr>
            <w:tcW w:w="3119" w:type="dxa"/>
            <w:vMerge/>
            <w:vAlign w:val="center"/>
          </w:tcPr>
          <w:p w14:paraId="078DD37A" w14:textId="77777777" w:rsidR="005359FF" w:rsidRPr="00CF77C1" w:rsidRDefault="005359FF" w:rsidP="0080044B">
            <w:pPr>
              <w:keepNext/>
              <w:keepLines/>
              <w:jc w:val="left"/>
              <w:rPr>
                <w:lang w:val="sr-Cyrl-RS"/>
              </w:rPr>
            </w:pPr>
          </w:p>
        </w:tc>
        <w:tc>
          <w:tcPr>
            <w:tcW w:w="4253" w:type="dxa"/>
            <w:vAlign w:val="center"/>
          </w:tcPr>
          <w:p w14:paraId="66F6AEA2" w14:textId="2986FE2C" w:rsidR="005359FF" w:rsidRPr="00CF77C1" w:rsidRDefault="005359FF" w:rsidP="0080044B">
            <w:pPr>
              <w:keepNext/>
              <w:keepLines/>
              <w:jc w:val="left"/>
              <w:rPr>
                <w:lang w:val="sr-Cyrl-RS"/>
              </w:rPr>
            </w:pPr>
            <w:r w:rsidRPr="00CF77C1">
              <w:rPr>
                <w:lang w:val="sr-Cyrl-RS"/>
              </w:rPr>
              <w:t>Доношење десетогодишњег планa развоја складишта природног гаса (доноси се сваке године)</w:t>
            </w:r>
            <w:r w:rsidR="00F2331D">
              <w:rPr>
                <w:lang w:val="sr-Cyrl-RS"/>
              </w:rPr>
              <w:t>.</w:t>
            </w:r>
          </w:p>
        </w:tc>
        <w:tc>
          <w:tcPr>
            <w:tcW w:w="1559" w:type="dxa"/>
            <w:vAlign w:val="center"/>
          </w:tcPr>
          <w:p w14:paraId="2096695A" w14:textId="3339D381" w:rsidR="005359FF" w:rsidRPr="00CF77C1" w:rsidRDefault="005359FF" w:rsidP="0080044B">
            <w:pPr>
              <w:keepNext/>
              <w:keepLines/>
              <w:jc w:val="center"/>
            </w:pPr>
            <w:r w:rsidRPr="00CF77C1">
              <w:rPr>
                <w:lang w:val="sr-Cyrl-RS"/>
              </w:rPr>
              <w:t>2017-2023. годин</w:t>
            </w:r>
            <w:r w:rsidR="001C40F5" w:rsidRPr="00CF77C1">
              <w:t>a</w:t>
            </w:r>
          </w:p>
        </w:tc>
        <w:tc>
          <w:tcPr>
            <w:tcW w:w="2835" w:type="dxa"/>
            <w:vAlign w:val="center"/>
          </w:tcPr>
          <w:p w14:paraId="455455C5" w14:textId="77777777" w:rsidR="005359FF" w:rsidRPr="00CF77C1" w:rsidRDefault="005359FF" w:rsidP="0080044B">
            <w:pPr>
              <w:keepNext/>
              <w:keepLines/>
              <w:jc w:val="left"/>
              <w:rPr>
                <w:lang w:val="sr-Cyrl-RS"/>
              </w:rPr>
            </w:pPr>
            <w:r w:rsidRPr="00CF77C1">
              <w:rPr>
                <w:lang w:val="sr-Cyrl-RS"/>
              </w:rPr>
              <w:t>Оператор складишта природног гаса (ОСПГ)</w:t>
            </w:r>
          </w:p>
        </w:tc>
        <w:tc>
          <w:tcPr>
            <w:tcW w:w="2976" w:type="dxa"/>
            <w:vAlign w:val="center"/>
          </w:tcPr>
          <w:p w14:paraId="4F6B499F" w14:textId="7E3A6F8E" w:rsidR="005359FF" w:rsidRPr="00CF77C1" w:rsidRDefault="005359FF" w:rsidP="0080044B">
            <w:pPr>
              <w:keepNext/>
              <w:keepLines/>
              <w:jc w:val="left"/>
              <w:rPr>
                <w:lang w:val="sr-Cyrl-RS"/>
              </w:rPr>
            </w:pPr>
            <w:r w:rsidRPr="00CF77C1">
              <w:rPr>
                <w:lang w:val="sr-Cyrl-RS"/>
              </w:rPr>
              <w:t xml:space="preserve">Документ </w:t>
            </w:r>
            <w:r w:rsidR="00FC6F6F">
              <w:rPr>
                <w:lang w:val="sr-Cyrl-RS"/>
              </w:rPr>
              <w:t>достављен АЕРС</w:t>
            </w:r>
            <w:r w:rsidR="00F2331D">
              <w:rPr>
                <w:lang w:val="sr-Cyrl-RS"/>
              </w:rPr>
              <w:t>.</w:t>
            </w:r>
          </w:p>
        </w:tc>
      </w:tr>
      <w:tr w:rsidR="005359FF" w:rsidRPr="00CF77C1" w14:paraId="6670F3AE" w14:textId="77777777" w:rsidTr="009B15AB">
        <w:trPr>
          <w:cantSplit/>
          <w:trHeight w:val="556"/>
        </w:trPr>
        <w:tc>
          <w:tcPr>
            <w:tcW w:w="3119" w:type="dxa"/>
            <w:vMerge/>
            <w:vAlign w:val="center"/>
          </w:tcPr>
          <w:p w14:paraId="7103C714" w14:textId="77777777" w:rsidR="005359FF" w:rsidRPr="00CF77C1" w:rsidRDefault="005359FF" w:rsidP="0080044B">
            <w:pPr>
              <w:jc w:val="left"/>
              <w:rPr>
                <w:lang w:val="sr-Cyrl-RS"/>
              </w:rPr>
            </w:pPr>
          </w:p>
        </w:tc>
        <w:tc>
          <w:tcPr>
            <w:tcW w:w="4253" w:type="dxa"/>
            <w:vAlign w:val="center"/>
          </w:tcPr>
          <w:p w14:paraId="38F94693" w14:textId="05F297CE" w:rsidR="005359FF" w:rsidRPr="00CF77C1" w:rsidRDefault="005359FF" w:rsidP="0080044B">
            <w:pPr>
              <w:jc w:val="left"/>
              <w:rPr>
                <w:lang w:val="sr-Cyrl-RS"/>
              </w:rPr>
            </w:pPr>
            <w:r w:rsidRPr="00CF77C1">
              <w:rPr>
                <w:lang w:val="sr-Cyrl-RS"/>
              </w:rPr>
              <w:t>Доношење планова развоја дистрибутивног система (доноси се сваке године за период од пет година)</w:t>
            </w:r>
            <w:r w:rsidR="009E1970">
              <w:rPr>
                <w:lang w:val="sr-Cyrl-RS"/>
              </w:rPr>
              <w:t>.</w:t>
            </w:r>
          </w:p>
        </w:tc>
        <w:tc>
          <w:tcPr>
            <w:tcW w:w="1559" w:type="dxa"/>
            <w:vAlign w:val="center"/>
          </w:tcPr>
          <w:p w14:paraId="4E153611" w14:textId="0E735EC3" w:rsidR="005359FF" w:rsidRPr="00CF77C1" w:rsidRDefault="005359FF" w:rsidP="0080044B">
            <w:pPr>
              <w:keepLines/>
              <w:jc w:val="center"/>
            </w:pPr>
            <w:r w:rsidRPr="00CF77C1">
              <w:rPr>
                <w:lang w:val="sr-Cyrl-RS"/>
              </w:rPr>
              <w:t>2017-2023. годин</w:t>
            </w:r>
            <w:r w:rsidR="001C40F5" w:rsidRPr="00CF77C1">
              <w:t>a</w:t>
            </w:r>
          </w:p>
        </w:tc>
        <w:tc>
          <w:tcPr>
            <w:tcW w:w="2835" w:type="dxa"/>
            <w:vAlign w:val="center"/>
          </w:tcPr>
          <w:p w14:paraId="1EC7FAA7" w14:textId="77777777" w:rsidR="005359FF" w:rsidRPr="00CF77C1" w:rsidRDefault="005359FF" w:rsidP="0080044B">
            <w:pPr>
              <w:keepLines/>
              <w:jc w:val="left"/>
              <w:rPr>
                <w:lang w:val="sr-Cyrl-RS"/>
              </w:rPr>
            </w:pPr>
            <w:r w:rsidRPr="00CF77C1">
              <w:rPr>
                <w:lang w:val="sr-Cyrl-RS"/>
              </w:rPr>
              <w:t>Оператори дистрибутивног система (ОДС)</w:t>
            </w:r>
          </w:p>
        </w:tc>
        <w:tc>
          <w:tcPr>
            <w:tcW w:w="2976" w:type="dxa"/>
            <w:vAlign w:val="center"/>
          </w:tcPr>
          <w:p w14:paraId="78E78F4A" w14:textId="77777777" w:rsidR="005359FF" w:rsidRPr="00CF77C1" w:rsidRDefault="005359FF" w:rsidP="0080044B">
            <w:pPr>
              <w:keepLines/>
              <w:jc w:val="left"/>
              <w:rPr>
                <w:lang w:val="sr-Cyrl-RS"/>
              </w:rPr>
            </w:pPr>
            <w:r w:rsidRPr="00CF77C1">
              <w:rPr>
                <w:lang w:val="sr-Cyrl-RS"/>
              </w:rPr>
              <w:t>Документ јавно доступан</w:t>
            </w:r>
          </w:p>
        </w:tc>
      </w:tr>
      <w:tr w:rsidR="007D72AC" w:rsidRPr="00CF77C1" w14:paraId="09407637" w14:textId="77777777" w:rsidTr="009B15AB">
        <w:trPr>
          <w:cantSplit/>
          <w:trHeight w:val="556"/>
        </w:trPr>
        <w:tc>
          <w:tcPr>
            <w:tcW w:w="3119" w:type="dxa"/>
            <w:vMerge w:val="restart"/>
            <w:vAlign w:val="center"/>
          </w:tcPr>
          <w:p w14:paraId="16414656" w14:textId="77777777" w:rsidR="007D72AC" w:rsidRPr="00CF77C1" w:rsidRDefault="007D72AC" w:rsidP="0080044B">
            <w:pPr>
              <w:jc w:val="left"/>
              <w:rPr>
                <w:lang w:val="sr-Cyrl-RS"/>
              </w:rPr>
            </w:pPr>
            <w:r w:rsidRPr="00CF77C1">
              <w:rPr>
                <w:lang w:val="sr-Cyrl-RS"/>
              </w:rPr>
              <w:t>Унапређење регулаторне и техничке основе за функционисање гасоводне инфраструктуре</w:t>
            </w:r>
          </w:p>
        </w:tc>
        <w:tc>
          <w:tcPr>
            <w:tcW w:w="4253" w:type="dxa"/>
            <w:vAlign w:val="center"/>
          </w:tcPr>
          <w:p w14:paraId="613408D6" w14:textId="517577D1" w:rsidR="007D72AC" w:rsidRPr="00CF77C1" w:rsidRDefault="00F2331D" w:rsidP="0080044B">
            <w:pPr>
              <w:keepLines/>
              <w:jc w:val="left"/>
              <w:rPr>
                <w:lang w:val="sr-Cyrl-RS"/>
              </w:rPr>
            </w:pPr>
            <w:r>
              <w:rPr>
                <w:lang w:val="sr-Cyrl-RS"/>
              </w:rPr>
              <w:t>Доношење п</w:t>
            </w:r>
            <w:r w:rsidR="007D72AC" w:rsidRPr="00CF77C1">
              <w:rPr>
                <w:lang w:val="sr-Cyrl-RS"/>
              </w:rPr>
              <w:t>равила о раду транспортног система природног гаса</w:t>
            </w:r>
            <w:r>
              <w:rPr>
                <w:lang w:val="sr-Cyrl-RS"/>
              </w:rPr>
              <w:t>.</w:t>
            </w:r>
          </w:p>
        </w:tc>
        <w:tc>
          <w:tcPr>
            <w:tcW w:w="1559" w:type="dxa"/>
            <w:vAlign w:val="center"/>
          </w:tcPr>
          <w:p w14:paraId="2443F168" w14:textId="6E38738B" w:rsidR="007D72AC" w:rsidRPr="00CF77C1" w:rsidRDefault="001C40F5" w:rsidP="0080044B">
            <w:pPr>
              <w:keepLines/>
              <w:jc w:val="center"/>
              <w:rPr>
                <w:lang w:val="sr-Cyrl-RS"/>
              </w:rPr>
            </w:pPr>
            <w:r w:rsidRPr="00CF77C1">
              <w:rPr>
                <w:lang w:val="sr-Cyrl-RS"/>
              </w:rPr>
              <w:t>2018. годин</w:t>
            </w:r>
            <w:r w:rsidRPr="00CF77C1">
              <w:t>a</w:t>
            </w:r>
          </w:p>
        </w:tc>
        <w:tc>
          <w:tcPr>
            <w:tcW w:w="2835" w:type="dxa"/>
            <w:vAlign w:val="center"/>
          </w:tcPr>
          <w:p w14:paraId="5D90D954" w14:textId="77777777" w:rsidR="007D72AC" w:rsidRPr="00CF77C1" w:rsidRDefault="007D72AC" w:rsidP="0080044B">
            <w:pPr>
              <w:keepLines/>
              <w:jc w:val="left"/>
              <w:rPr>
                <w:lang w:val="sr-Cyrl-RS"/>
              </w:rPr>
            </w:pPr>
            <w:r w:rsidRPr="00CF77C1">
              <w:rPr>
                <w:lang w:val="sr-Cyrl-RS"/>
              </w:rPr>
              <w:t>ОТС - Транспортгас Србија д.о.о, АЕРС</w:t>
            </w:r>
          </w:p>
        </w:tc>
        <w:tc>
          <w:tcPr>
            <w:tcW w:w="2976" w:type="dxa"/>
            <w:vAlign w:val="center"/>
          </w:tcPr>
          <w:p w14:paraId="18EE4E59" w14:textId="22D694DF" w:rsidR="007D72AC" w:rsidRPr="00CF77C1" w:rsidRDefault="00FC6F6F" w:rsidP="0080044B">
            <w:pPr>
              <w:keepLines/>
              <w:jc w:val="left"/>
              <w:rPr>
                <w:lang w:val="sr-Cyrl-RS"/>
              </w:rPr>
            </w:pPr>
            <w:r>
              <w:rPr>
                <w:lang w:val="sr-Cyrl-RS"/>
              </w:rPr>
              <w:t>Добијена сагласност АЕРС</w:t>
            </w:r>
            <w:r w:rsidR="007D72AC" w:rsidRPr="00CF77C1">
              <w:rPr>
                <w:lang w:val="sr-Cyrl-RS"/>
              </w:rPr>
              <w:t xml:space="preserve"> на документ</w:t>
            </w:r>
            <w:r w:rsidR="00F2331D">
              <w:rPr>
                <w:lang w:val="sr-Cyrl-RS"/>
              </w:rPr>
              <w:t>.</w:t>
            </w:r>
          </w:p>
        </w:tc>
      </w:tr>
      <w:tr w:rsidR="007D72AC" w:rsidRPr="00CF77C1" w14:paraId="383A09B9" w14:textId="77777777" w:rsidTr="009B15AB">
        <w:trPr>
          <w:cantSplit/>
          <w:trHeight w:val="556"/>
        </w:trPr>
        <w:tc>
          <w:tcPr>
            <w:tcW w:w="3119" w:type="dxa"/>
            <w:vMerge/>
            <w:vAlign w:val="center"/>
          </w:tcPr>
          <w:p w14:paraId="493119DA" w14:textId="77777777" w:rsidR="007D72AC" w:rsidRPr="00CF77C1" w:rsidRDefault="007D72AC" w:rsidP="0080044B">
            <w:pPr>
              <w:jc w:val="left"/>
              <w:rPr>
                <w:lang w:val="sr-Cyrl-RS"/>
              </w:rPr>
            </w:pPr>
          </w:p>
        </w:tc>
        <w:tc>
          <w:tcPr>
            <w:tcW w:w="4253" w:type="dxa"/>
            <w:vAlign w:val="center"/>
          </w:tcPr>
          <w:p w14:paraId="7BB9ADE3" w14:textId="1ACAE839" w:rsidR="007D72AC" w:rsidRPr="00CF77C1" w:rsidRDefault="007D72AC" w:rsidP="007D72AC">
            <w:pPr>
              <w:keepLines/>
              <w:jc w:val="left"/>
              <w:rPr>
                <w:lang w:val="sr-Cyrl-RS"/>
              </w:rPr>
            </w:pPr>
            <w:r w:rsidRPr="00CF77C1">
              <w:rPr>
                <w:lang w:val="sr-Cyrl-RS"/>
              </w:rPr>
              <w:t>Укључивање поступка издавања енергетске дозволе за изградњу објеката за транспорт природног гаса, објеката за дистрибуцију природног гаса, објеката за складиштење природног гаса и директних гасовода у електронске услуге Е-портала</w:t>
            </w:r>
            <w:r w:rsidR="00F2331D">
              <w:rPr>
                <w:lang w:val="sr-Cyrl-RS"/>
              </w:rPr>
              <w:t>.</w:t>
            </w:r>
          </w:p>
        </w:tc>
        <w:tc>
          <w:tcPr>
            <w:tcW w:w="1559" w:type="dxa"/>
            <w:vAlign w:val="center"/>
          </w:tcPr>
          <w:p w14:paraId="1D50DAAC" w14:textId="0834D42A" w:rsidR="007D72AC" w:rsidRPr="00CF77C1" w:rsidRDefault="007D72AC" w:rsidP="0080044B">
            <w:pPr>
              <w:keepLines/>
              <w:jc w:val="center"/>
              <w:rPr>
                <w:lang w:val="sr-Cyrl-RS"/>
              </w:rPr>
            </w:pPr>
            <w:r w:rsidRPr="00CF77C1">
              <w:rPr>
                <w:lang w:val="sr-Cyrl-RS"/>
              </w:rPr>
              <w:t>2018. година</w:t>
            </w:r>
          </w:p>
        </w:tc>
        <w:tc>
          <w:tcPr>
            <w:tcW w:w="2835" w:type="dxa"/>
            <w:vAlign w:val="center"/>
          </w:tcPr>
          <w:p w14:paraId="41E1C00B" w14:textId="3B7BFFF3" w:rsidR="007D72AC" w:rsidRPr="00CF77C1" w:rsidRDefault="00AC627E" w:rsidP="0080044B">
            <w:pPr>
              <w:keepLines/>
              <w:jc w:val="left"/>
              <w:rPr>
                <w:lang w:val="sr-Cyrl-RS"/>
              </w:rPr>
            </w:pPr>
            <w:r w:rsidRPr="00CF77C1">
              <w:rPr>
                <w:lang w:val="sr-Cyrl-RS"/>
              </w:rPr>
              <w:t>м</w:t>
            </w:r>
            <w:r w:rsidR="007D72AC" w:rsidRPr="00CF77C1">
              <w:rPr>
                <w:lang w:val="sr-Cyrl-RS"/>
              </w:rPr>
              <w:t xml:space="preserve">инистарство надлежно за послове рударства и енергетике, </w:t>
            </w:r>
            <w:r w:rsidR="00D41EC7" w:rsidRPr="00CF77C1">
              <w:rPr>
                <w:lang w:val="sr-Cyrl-RS"/>
              </w:rPr>
              <w:t xml:space="preserve">Канцеларија за информационе технологије и електронску управу, </w:t>
            </w:r>
            <w:r w:rsidR="007D72AC" w:rsidRPr="00CF77C1">
              <w:rPr>
                <w:lang w:val="sr-Cyrl-RS"/>
              </w:rPr>
              <w:t>Привредна комора Србије</w:t>
            </w:r>
          </w:p>
        </w:tc>
        <w:tc>
          <w:tcPr>
            <w:tcW w:w="2976" w:type="dxa"/>
            <w:vAlign w:val="center"/>
          </w:tcPr>
          <w:p w14:paraId="0C912B62" w14:textId="1D19F346" w:rsidR="007D72AC" w:rsidRPr="00CF77C1" w:rsidRDefault="007D72AC" w:rsidP="0080044B">
            <w:pPr>
              <w:keepLines/>
              <w:jc w:val="left"/>
              <w:rPr>
                <w:lang w:val="sr-Cyrl-RS"/>
              </w:rPr>
            </w:pPr>
            <w:r w:rsidRPr="00CF77C1">
              <w:rPr>
                <w:lang w:val="sr-Cyrl-RS"/>
              </w:rPr>
              <w:t>Успостављена електронска услуга на порталу Е-управе</w:t>
            </w:r>
            <w:r w:rsidR="00F2331D">
              <w:rPr>
                <w:lang w:val="sr-Cyrl-RS"/>
              </w:rPr>
              <w:t>.</w:t>
            </w:r>
          </w:p>
        </w:tc>
      </w:tr>
    </w:tbl>
    <w:p w14:paraId="0903D335" w14:textId="28AC040B" w:rsidR="00B26325" w:rsidRPr="00CF77C1" w:rsidRDefault="00D61BC9" w:rsidP="00E209CF">
      <w:pPr>
        <w:pStyle w:val="Caption"/>
        <w:ind w:firstLine="720"/>
        <w:rPr>
          <w:b w:val="0"/>
          <w:lang w:val="sr-Cyrl-RS"/>
        </w:rPr>
      </w:pPr>
      <w:r w:rsidRPr="00CF77C1">
        <w:rPr>
          <w:b w:val="0"/>
          <w:lang w:val="sr-Cyrl-RS"/>
        </w:rPr>
        <w:t>таб.</w:t>
      </w:r>
      <w:r w:rsidR="00B2632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61</w:t>
      </w:r>
      <w:r w:rsidR="0092145E" w:rsidRPr="00CF77C1">
        <w:rPr>
          <w:b w:val="0"/>
          <w:lang w:val="sr-Cyrl-RS"/>
        </w:rPr>
        <w:fldChar w:fldCharType="end"/>
      </w:r>
      <w:r w:rsidR="00B26325" w:rsidRPr="00CF77C1">
        <w:rPr>
          <w:b w:val="0"/>
          <w:lang w:val="sr-Cyrl-RS"/>
        </w:rPr>
        <w:t xml:space="preserve">: Мере за </w:t>
      </w:r>
      <w:r w:rsidR="00B26325" w:rsidRPr="00CF77C1">
        <w:rPr>
          <w:rFonts w:eastAsia="Myriad Pro"/>
          <w:b w:val="0"/>
          <w:spacing w:val="-16"/>
          <w:lang w:val="sr-Cyrl-RS"/>
        </w:rPr>
        <w:t>у</w:t>
      </w:r>
      <w:r w:rsidR="00B26325" w:rsidRPr="00CF77C1">
        <w:rPr>
          <w:rFonts w:eastAsia="Myriad Pro"/>
          <w:b w:val="0"/>
          <w:spacing w:val="-5"/>
          <w:lang w:val="sr-Cyrl-RS"/>
        </w:rPr>
        <w:t>спо</w:t>
      </w:r>
      <w:r w:rsidR="00B26325" w:rsidRPr="00CF77C1">
        <w:rPr>
          <w:rFonts w:eastAsia="Myriad Pro"/>
          <w:b w:val="0"/>
          <w:lang w:val="sr-Cyrl-RS"/>
        </w:rPr>
        <w:t>с</w:t>
      </w:r>
      <w:r w:rsidR="00B26325" w:rsidRPr="00CF77C1">
        <w:rPr>
          <w:rFonts w:eastAsia="Myriad Pro"/>
          <w:b w:val="0"/>
          <w:spacing w:val="-8"/>
          <w:lang w:val="sr-Cyrl-RS"/>
        </w:rPr>
        <w:t>т</w:t>
      </w:r>
      <w:r w:rsidR="00B26325" w:rsidRPr="00CF77C1">
        <w:rPr>
          <w:rFonts w:eastAsia="Myriad Pro"/>
          <w:b w:val="0"/>
          <w:spacing w:val="-5"/>
          <w:lang w:val="sr-Cyrl-RS"/>
        </w:rPr>
        <w:t>а</w:t>
      </w:r>
      <w:r w:rsidR="00B26325" w:rsidRPr="00CF77C1">
        <w:rPr>
          <w:rFonts w:eastAsia="Myriad Pro"/>
          <w:b w:val="0"/>
          <w:spacing w:val="-4"/>
          <w:lang w:val="sr-Cyrl-RS"/>
        </w:rPr>
        <w:t>в</w:t>
      </w:r>
      <w:r w:rsidR="00B26325" w:rsidRPr="00CF77C1">
        <w:rPr>
          <w:rFonts w:eastAsia="Myriad Pro"/>
          <w:b w:val="0"/>
          <w:spacing w:val="-5"/>
          <w:lang w:val="sr-Cyrl-RS"/>
        </w:rPr>
        <w:t>љањ</w:t>
      </w:r>
      <w:r w:rsidR="00B26325" w:rsidRPr="00CF77C1">
        <w:rPr>
          <w:rFonts w:eastAsia="Myriad Pro"/>
          <w:b w:val="0"/>
          <w:lang w:val="sr-Cyrl-RS"/>
        </w:rPr>
        <w:t xml:space="preserve">е </w:t>
      </w:r>
      <w:r w:rsidR="00B26325" w:rsidRPr="00CF77C1">
        <w:rPr>
          <w:rFonts w:eastAsia="Myriad Pro"/>
          <w:b w:val="0"/>
          <w:spacing w:val="-5"/>
          <w:lang w:val="sr-Cyrl-RS"/>
        </w:rPr>
        <w:t>дом</w:t>
      </w:r>
      <w:r w:rsidR="00B26325" w:rsidRPr="00CF77C1">
        <w:rPr>
          <w:rFonts w:eastAsia="Myriad Pro"/>
          <w:b w:val="0"/>
          <w:spacing w:val="-7"/>
          <w:lang w:val="sr-Cyrl-RS"/>
        </w:rPr>
        <w:t>а</w:t>
      </w:r>
      <w:r w:rsidR="00B26325" w:rsidRPr="00CF77C1">
        <w:rPr>
          <w:rFonts w:eastAsia="Myriad Pro"/>
          <w:b w:val="0"/>
          <w:spacing w:val="-5"/>
          <w:lang w:val="sr-Cyrl-RS"/>
        </w:rPr>
        <w:t>ће</w:t>
      </w:r>
      <w:r w:rsidR="00B26325" w:rsidRPr="00CF77C1">
        <w:rPr>
          <w:rFonts w:eastAsia="Myriad Pro"/>
          <w:b w:val="0"/>
          <w:lang w:val="sr-Cyrl-RS"/>
        </w:rPr>
        <w:t xml:space="preserve">г и </w:t>
      </w:r>
      <w:r w:rsidR="00B26325" w:rsidRPr="00CF77C1">
        <w:rPr>
          <w:rFonts w:eastAsia="Myriad Pro"/>
          <w:b w:val="0"/>
          <w:spacing w:val="-5"/>
          <w:lang w:val="sr-Cyrl-RS"/>
        </w:rPr>
        <w:t>ре</w:t>
      </w:r>
      <w:r w:rsidR="00B26325" w:rsidRPr="00CF77C1">
        <w:rPr>
          <w:rFonts w:eastAsia="Myriad Pro"/>
          <w:b w:val="0"/>
          <w:spacing w:val="-7"/>
          <w:lang w:val="sr-Cyrl-RS"/>
        </w:rPr>
        <w:t>г</w:t>
      </w:r>
      <w:r w:rsidR="00B26325" w:rsidRPr="00CF77C1">
        <w:rPr>
          <w:rFonts w:eastAsia="Myriad Pro"/>
          <w:b w:val="0"/>
          <w:spacing w:val="-5"/>
          <w:lang w:val="sr-Cyrl-RS"/>
        </w:rPr>
        <w:t>ион</w:t>
      </w:r>
      <w:r w:rsidR="00B26325" w:rsidRPr="00CF77C1">
        <w:rPr>
          <w:rFonts w:eastAsia="Myriad Pro"/>
          <w:b w:val="0"/>
          <w:spacing w:val="-4"/>
          <w:lang w:val="sr-Cyrl-RS"/>
        </w:rPr>
        <w:t>а</w:t>
      </w:r>
      <w:r w:rsidR="00B26325" w:rsidRPr="00CF77C1">
        <w:rPr>
          <w:rFonts w:eastAsia="Myriad Pro"/>
          <w:b w:val="0"/>
          <w:spacing w:val="-5"/>
          <w:lang w:val="sr-Cyrl-RS"/>
        </w:rPr>
        <w:t xml:space="preserve">лног </w:t>
      </w:r>
      <w:r w:rsidR="00B26325" w:rsidRPr="00CF77C1">
        <w:rPr>
          <w:rFonts w:eastAsia="Myriad Pro"/>
          <w:b w:val="0"/>
          <w:spacing w:val="-4"/>
          <w:lang w:val="sr-Cyrl-RS"/>
        </w:rPr>
        <w:t>тр</w:t>
      </w:r>
      <w:r w:rsidR="00B26325" w:rsidRPr="00CF77C1">
        <w:rPr>
          <w:rFonts w:eastAsia="Myriad Pro"/>
          <w:b w:val="0"/>
          <w:lang w:val="sr-Cyrl-RS"/>
        </w:rPr>
        <w:t>жиш</w:t>
      </w:r>
      <w:r w:rsidR="00B26325" w:rsidRPr="00CF77C1">
        <w:rPr>
          <w:rFonts w:eastAsia="Myriad Pro"/>
          <w:b w:val="0"/>
          <w:spacing w:val="-5"/>
          <w:lang w:val="sr-Cyrl-RS"/>
        </w:rPr>
        <w:t>т</w:t>
      </w:r>
      <w:r w:rsidR="00B26325" w:rsidRPr="00CF77C1">
        <w:rPr>
          <w:rFonts w:eastAsia="Myriad Pro"/>
          <w:b w:val="0"/>
          <w:lang w:val="sr-Cyrl-RS"/>
        </w:rPr>
        <w:t>а прир</w:t>
      </w:r>
      <w:r w:rsidR="00B26325" w:rsidRPr="00CF77C1">
        <w:rPr>
          <w:rFonts w:eastAsia="Myriad Pro"/>
          <w:b w:val="0"/>
          <w:spacing w:val="-4"/>
          <w:lang w:val="sr-Cyrl-RS"/>
        </w:rPr>
        <w:t>о</w:t>
      </w:r>
      <w:r w:rsidR="00B26325" w:rsidRPr="00CF77C1">
        <w:rPr>
          <w:rFonts w:eastAsia="Myriad Pro"/>
          <w:b w:val="0"/>
          <w:lang w:val="sr-Cyrl-RS"/>
        </w:rPr>
        <w:t xml:space="preserve">дног </w:t>
      </w:r>
      <w:r w:rsidR="00B26325" w:rsidRPr="00CF77C1">
        <w:rPr>
          <w:rFonts w:eastAsia="Myriad Pro"/>
          <w:b w:val="0"/>
          <w:spacing w:val="-5"/>
          <w:lang w:val="sr-Cyrl-RS"/>
        </w:rPr>
        <w:t>г</w:t>
      </w:r>
      <w:r w:rsidR="00B26325" w:rsidRPr="00CF77C1">
        <w:rPr>
          <w:rFonts w:eastAsia="Myriad Pro"/>
          <w:b w:val="0"/>
          <w:lang w:val="sr-Cyrl-RS"/>
        </w:rPr>
        <w:t>аса</w:t>
      </w:r>
    </w:p>
    <w:tbl>
      <w:tblPr>
        <w:tblStyle w:val="TableGrid"/>
        <w:tblW w:w="14743" w:type="dxa"/>
        <w:tblInd w:w="-34" w:type="dxa"/>
        <w:tblLayout w:type="fixed"/>
        <w:tblLook w:val="04A0" w:firstRow="1" w:lastRow="0" w:firstColumn="1" w:lastColumn="0" w:noHBand="0" w:noVBand="1"/>
      </w:tblPr>
      <w:tblGrid>
        <w:gridCol w:w="3119"/>
        <w:gridCol w:w="4111"/>
        <w:gridCol w:w="1701"/>
        <w:gridCol w:w="2835"/>
        <w:gridCol w:w="2977"/>
      </w:tblGrid>
      <w:tr w:rsidR="00B26325" w:rsidRPr="00CF77C1" w14:paraId="1BAA5B1A" w14:textId="77777777" w:rsidTr="009B15AB">
        <w:trPr>
          <w:cantSplit/>
          <w:tblHeader/>
        </w:trPr>
        <w:tc>
          <w:tcPr>
            <w:tcW w:w="3119" w:type="dxa"/>
            <w:shd w:val="clear" w:color="auto" w:fill="E6E6E6"/>
          </w:tcPr>
          <w:p w14:paraId="72CA46B5" w14:textId="77777777" w:rsidR="00B26325" w:rsidRPr="00CF77C1" w:rsidRDefault="00B26325" w:rsidP="0080044B">
            <w:pPr>
              <w:keepNext/>
              <w:jc w:val="left"/>
              <w:rPr>
                <w:lang w:val="sr-Cyrl-RS"/>
              </w:rPr>
            </w:pPr>
            <w:r w:rsidRPr="00CF77C1">
              <w:rPr>
                <w:lang w:val="sr-Cyrl-RS"/>
              </w:rPr>
              <w:t>Стратешки циљ:</w:t>
            </w:r>
          </w:p>
        </w:tc>
        <w:tc>
          <w:tcPr>
            <w:tcW w:w="11624" w:type="dxa"/>
            <w:gridSpan w:val="4"/>
            <w:shd w:val="clear" w:color="auto" w:fill="E6E6E6"/>
            <w:vAlign w:val="center"/>
          </w:tcPr>
          <w:p w14:paraId="55077F45" w14:textId="77777777" w:rsidR="00B26325" w:rsidRPr="00CF77C1" w:rsidRDefault="00B26325" w:rsidP="0080044B">
            <w:pPr>
              <w:keepNext/>
              <w:keepLines/>
              <w:jc w:val="left"/>
              <w:rPr>
                <w:lang w:val="sr-Cyrl-RS"/>
              </w:rPr>
            </w:pPr>
            <w:r w:rsidRPr="00CF77C1">
              <w:rPr>
                <w:rFonts w:eastAsia="Myriad Pro"/>
                <w:spacing w:val="-16"/>
                <w:lang w:val="sr-Cyrl-RS"/>
              </w:rPr>
              <w:t>У</w:t>
            </w:r>
            <w:r w:rsidRPr="00CF77C1">
              <w:rPr>
                <w:rFonts w:eastAsia="Myriad Pro"/>
                <w:spacing w:val="-5"/>
                <w:lang w:val="sr-Cyrl-RS"/>
              </w:rPr>
              <w:t>спо</w:t>
            </w:r>
            <w:r w:rsidRPr="00CF77C1">
              <w:rPr>
                <w:rFonts w:eastAsia="Myriad Pro"/>
                <w:lang w:val="sr-Cyrl-RS"/>
              </w:rPr>
              <w:t>с</w:t>
            </w:r>
            <w:r w:rsidRPr="00CF77C1">
              <w:rPr>
                <w:rFonts w:eastAsia="Myriad Pro"/>
                <w:spacing w:val="-8"/>
                <w:lang w:val="sr-Cyrl-RS"/>
              </w:rPr>
              <w:t>т</w:t>
            </w:r>
            <w:r w:rsidRPr="00CF77C1">
              <w:rPr>
                <w:rFonts w:eastAsia="Myriad Pro"/>
                <w:spacing w:val="-5"/>
                <w:lang w:val="sr-Cyrl-RS"/>
              </w:rPr>
              <w:t>а</w:t>
            </w:r>
            <w:r w:rsidRPr="00CF77C1">
              <w:rPr>
                <w:rFonts w:eastAsia="Myriad Pro"/>
                <w:spacing w:val="-4"/>
                <w:lang w:val="sr-Cyrl-RS"/>
              </w:rPr>
              <w:t>в</w:t>
            </w:r>
            <w:r w:rsidRPr="00CF77C1">
              <w:rPr>
                <w:rFonts w:eastAsia="Myriad Pro"/>
                <w:spacing w:val="-5"/>
                <w:lang w:val="sr-Cyrl-RS"/>
              </w:rPr>
              <w:t>љањ</w:t>
            </w:r>
            <w:r w:rsidRPr="00CF77C1">
              <w:rPr>
                <w:rFonts w:eastAsia="Myriad Pro"/>
                <w:lang w:val="sr-Cyrl-RS"/>
              </w:rPr>
              <w:t xml:space="preserve">е </w:t>
            </w:r>
            <w:r w:rsidRPr="00CF77C1">
              <w:rPr>
                <w:rFonts w:eastAsia="Myriad Pro"/>
                <w:spacing w:val="-5"/>
                <w:lang w:val="sr-Cyrl-RS"/>
              </w:rPr>
              <w:t>дом</w:t>
            </w:r>
            <w:r w:rsidRPr="00CF77C1">
              <w:rPr>
                <w:rFonts w:eastAsia="Myriad Pro"/>
                <w:spacing w:val="-7"/>
                <w:lang w:val="sr-Cyrl-RS"/>
              </w:rPr>
              <w:t>а</w:t>
            </w:r>
            <w:r w:rsidRPr="00CF77C1">
              <w:rPr>
                <w:rFonts w:eastAsia="Myriad Pro"/>
                <w:spacing w:val="-5"/>
                <w:lang w:val="sr-Cyrl-RS"/>
              </w:rPr>
              <w:t>ће</w:t>
            </w:r>
            <w:r w:rsidRPr="00CF77C1">
              <w:rPr>
                <w:rFonts w:eastAsia="Myriad Pro"/>
                <w:lang w:val="sr-Cyrl-RS"/>
              </w:rPr>
              <w:t xml:space="preserve">г и </w:t>
            </w:r>
            <w:r w:rsidRPr="00CF77C1">
              <w:rPr>
                <w:rFonts w:eastAsia="Myriad Pro"/>
                <w:spacing w:val="-5"/>
                <w:lang w:val="sr-Cyrl-RS"/>
              </w:rPr>
              <w:t>ре</w:t>
            </w:r>
            <w:r w:rsidRPr="00CF77C1">
              <w:rPr>
                <w:rFonts w:eastAsia="Myriad Pro"/>
                <w:spacing w:val="-7"/>
                <w:lang w:val="sr-Cyrl-RS"/>
              </w:rPr>
              <w:t>г</w:t>
            </w:r>
            <w:r w:rsidRPr="00CF77C1">
              <w:rPr>
                <w:rFonts w:eastAsia="Myriad Pro"/>
                <w:spacing w:val="-5"/>
                <w:lang w:val="sr-Cyrl-RS"/>
              </w:rPr>
              <w:t>ион</w:t>
            </w:r>
            <w:r w:rsidRPr="00CF77C1">
              <w:rPr>
                <w:rFonts w:eastAsia="Myriad Pro"/>
                <w:spacing w:val="-4"/>
                <w:lang w:val="sr-Cyrl-RS"/>
              </w:rPr>
              <w:t>а</w:t>
            </w:r>
            <w:r w:rsidRPr="00CF77C1">
              <w:rPr>
                <w:rFonts w:eastAsia="Myriad Pro"/>
                <w:spacing w:val="-5"/>
                <w:lang w:val="sr-Cyrl-RS"/>
              </w:rPr>
              <w:t xml:space="preserve">лног </w:t>
            </w:r>
            <w:r w:rsidRPr="00CF77C1">
              <w:rPr>
                <w:rFonts w:eastAsia="Myriad Pro"/>
                <w:spacing w:val="-4"/>
                <w:lang w:val="sr-Cyrl-RS"/>
              </w:rPr>
              <w:t>тр</w:t>
            </w:r>
            <w:r w:rsidRPr="00CF77C1">
              <w:rPr>
                <w:rFonts w:eastAsia="Myriad Pro"/>
                <w:lang w:val="sr-Cyrl-RS"/>
              </w:rPr>
              <w:t>жиш</w:t>
            </w:r>
            <w:r w:rsidRPr="00CF77C1">
              <w:rPr>
                <w:rFonts w:eastAsia="Myriad Pro"/>
                <w:spacing w:val="-5"/>
                <w:lang w:val="sr-Cyrl-RS"/>
              </w:rPr>
              <w:t>т</w:t>
            </w:r>
            <w:r w:rsidRPr="00CF77C1">
              <w:rPr>
                <w:rFonts w:eastAsia="Myriad Pro"/>
                <w:lang w:val="sr-Cyrl-RS"/>
              </w:rPr>
              <w:t>а прир</w:t>
            </w:r>
            <w:r w:rsidRPr="00CF77C1">
              <w:rPr>
                <w:rFonts w:eastAsia="Myriad Pro"/>
                <w:spacing w:val="-4"/>
                <w:lang w:val="sr-Cyrl-RS"/>
              </w:rPr>
              <w:t>о</w:t>
            </w:r>
            <w:r w:rsidRPr="00CF77C1">
              <w:rPr>
                <w:rFonts w:eastAsia="Myriad Pro"/>
                <w:lang w:val="sr-Cyrl-RS"/>
              </w:rPr>
              <w:t xml:space="preserve">дног </w:t>
            </w:r>
            <w:r w:rsidRPr="00CF77C1">
              <w:rPr>
                <w:rFonts w:eastAsia="Myriad Pro"/>
                <w:spacing w:val="-5"/>
                <w:lang w:val="sr-Cyrl-RS"/>
              </w:rPr>
              <w:t>г</w:t>
            </w:r>
            <w:r w:rsidRPr="00CF77C1">
              <w:rPr>
                <w:rFonts w:eastAsia="Myriad Pro"/>
                <w:lang w:val="sr-Cyrl-RS"/>
              </w:rPr>
              <w:t>аса</w:t>
            </w:r>
          </w:p>
        </w:tc>
      </w:tr>
      <w:tr w:rsidR="00B26325" w:rsidRPr="00CF77C1" w14:paraId="663E1901" w14:textId="77777777" w:rsidTr="009B15AB">
        <w:trPr>
          <w:cantSplit/>
          <w:tblHeader/>
        </w:trPr>
        <w:tc>
          <w:tcPr>
            <w:tcW w:w="3119" w:type="dxa"/>
            <w:vAlign w:val="center"/>
          </w:tcPr>
          <w:p w14:paraId="7175B089" w14:textId="77777777" w:rsidR="00B26325" w:rsidRPr="00CF77C1" w:rsidRDefault="00B26325" w:rsidP="0080044B">
            <w:pPr>
              <w:keepNext/>
              <w:jc w:val="center"/>
              <w:rPr>
                <w:lang w:val="sr-Cyrl-RS"/>
              </w:rPr>
            </w:pPr>
            <w:r w:rsidRPr="00CF77C1">
              <w:rPr>
                <w:lang w:val="sr-Cyrl-RS"/>
              </w:rPr>
              <w:t>Мера</w:t>
            </w:r>
          </w:p>
        </w:tc>
        <w:tc>
          <w:tcPr>
            <w:tcW w:w="4111" w:type="dxa"/>
            <w:vAlign w:val="center"/>
          </w:tcPr>
          <w:p w14:paraId="4B026B89" w14:textId="77777777" w:rsidR="00B26325" w:rsidRPr="00CF77C1" w:rsidRDefault="00B26325" w:rsidP="0080044B">
            <w:pPr>
              <w:keepNext/>
              <w:jc w:val="center"/>
              <w:rPr>
                <w:lang w:val="sr-Cyrl-RS"/>
              </w:rPr>
            </w:pPr>
            <w:r w:rsidRPr="00CF77C1">
              <w:rPr>
                <w:rFonts w:eastAsia="Myriad Pro"/>
                <w:spacing w:val="-3"/>
                <w:lang w:val="sr-Cyrl-RS"/>
              </w:rPr>
              <w:t>Активност</w:t>
            </w:r>
          </w:p>
        </w:tc>
        <w:tc>
          <w:tcPr>
            <w:tcW w:w="1701" w:type="dxa"/>
            <w:vAlign w:val="center"/>
          </w:tcPr>
          <w:p w14:paraId="36E432AC" w14:textId="77777777" w:rsidR="00B26325" w:rsidRPr="00CF77C1" w:rsidRDefault="00B26325" w:rsidP="0080044B">
            <w:pPr>
              <w:keepNext/>
              <w:jc w:val="center"/>
              <w:rPr>
                <w:lang w:val="sr-Cyrl-RS"/>
              </w:rPr>
            </w:pPr>
            <w:r w:rsidRPr="00CF77C1">
              <w:rPr>
                <w:lang w:val="sr-Cyrl-RS"/>
              </w:rPr>
              <w:t>Рок за извршење</w:t>
            </w:r>
          </w:p>
        </w:tc>
        <w:tc>
          <w:tcPr>
            <w:tcW w:w="2835" w:type="dxa"/>
            <w:vAlign w:val="center"/>
          </w:tcPr>
          <w:p w14:paraId="6B78CA65" w14:textId="77777777" w:rsidR="00B26325" w:rsidRPr="00CF77C1" w:rsidRDefault="00DD69C2" w:rsidP="0080044B">
            <w:pPr>
              <w:keepNext/>
              <w:jc w:val="center"/>
              <w:rPr>
                <w:lang w:val="sr-Cyrl-RS"/>
              </w:rPr>
            </w:pPr>
            <w:r w:rsidRPr="00CF77C1">
              <w:rPr>
                <w:lang w:val="sr-Cyrl-RS"/>
              </w:rPr>
              <w:t>Одговорни субјекат</w:t>
            </w:r>
          </w:p>
        </w:tc>
        <w:tc>
          <w:tcPr>
            <w:tcW w:w="2977" w:type="dxa"/>
            <w:vAlign w:val="center"/>
          </w:tcPr>
          <w:p w14:paraId="13F983B3" w14:textId="77777777" w:rsidR="00B26325" w:rsidRPr="00CF77C1" w:rsidRDefault="00B26325" w:rsidP="0080044B">
            <w:pPr>
              <w:keepNext/>
              <w:jc w:val="center"/>
              <w:rPr>
                <w:lang w:val="sr-Cyrl-RS"/>
              </w:rPr>
            </w:pPr>
            <w:r w:rsidRPr="00CF77C1">
              <w:rPr>
                <w:lang w:val="sr-Cyrl-RS"/>
              </w:rPr>
              <w:t>Индикатор активности</w:t>
            </w:r>
          </w:p>
        </w:tc>
      </w:tr>
      <w:tr w:rsidR="00B26325" w:rsidRPr="00CF77C1" w14:paraId="6A5100C7" w14:textId="77777777" w:rsidTr="009B15AB">
        <w:trPr>
          <w:cantSplit/>
          <w:trHeight w:val="1229"/>
        </w:trPr>
        <w:tc>
          <w:tcPr>
            <w:tcW w:w="3119" w:type="dxa"/>
            <w:vAlign w:val="center"/>
          </w:tcPr>
          <w:p w14:paraId="7752374B" w14:textId="71A5C54E" w:rsidR="00B26325" w:rsidRPr="00CF77C1" w:rsidRDefault="00B26325" w:rsidP="0080044B">
            <w:pPr>
              <w:keepNext/>
              <w:jc w:val="left"/>
              <w:rPr>
                <w:lang w:val="sr-Cyrl-RS"/>
              </w:rPr>
            </w:pPr>
            <w:r w:rsidRPr="00CF77C1">
              <w:rPr>
                <w:lang w:val="sr-Cyrl-RS"/>
              </w:rPr>
              <w:t>Усклађивање легислативе са обавезама преузетим чланством у Енергетској заједници</w:t>
            </w:r>
            <w:r w:rsidR="00562531">
              <w:rPr>
                <w:lang w:val="sr-Cyrl-RS"/>
              </w:rPr>
              <w:t>.</w:t>
            </w:r>
          </w:p>
        </w:tc>
        <w:tc>
          <w:tcPr>
            <w:tcW w:w="4111" w:type="dxa"/>
            <w:vAlign w:val="center"/>
          </w:tcPr>
          <w:p w14:paraId="282022B9" w14:textId="3FD4C5DE" w:rsidR="00B26325" w:rsidRPr="00CF77C1" w:rsidRDefault="00B26325" w:rsidP="0080044B">
            <w:pPr>
              <w:keepNext/>
              <w:keepLines/>
              <w:jc w:val="left"/>
              <w:rPr>
                <w:lang w:val="sr-Cyrl-RS"/>
              </w:rPr>
            </w:pPr>
            <w:r w:rsidRPr="00CF77C1">
              <w:rPr>
                <w:lang w:val="sr-Cyrl-RS"/>
              </w:rPr>
              <w:t>Доношење Уредбе о условима испоруке и снабдевања природним гасом</w:t>
            </w:r>
            <w:r w:rsidR="00562531">
              <w:rPr>
                <w:lang w:val="sr-Cyrl-RS"/>
              </w:rPr>
              <w:t>.</w:t>
            </w:r>
          </w:p>
        </w:tc>
        <w:tc>
          <w:tcPr>
            <w:tcW w:w="1701" w:type="dxa"/>
            <w:vAlign w:val="center"/>
          </w:tcPr>
          <w:p w14:paraId="73E0CB07" w14:textId="463A8CD1" w:rsidR="00B26325" w:rsidRPr="00CF77C1" w:rsidRDefault="001C40F5" w:rsidP="0080044B">
            <w:pPr>
              <w:keepNext/>
              <w:keepLines/>
              <w:jc w:val="center"/>
              <w:rPr>
                <w:lang w:val="sr-Cyrl-RS"/>
              </w:rPr>
            </w:pPr>
            <w:r w:rsidRPr="00CF77C1">
              <w:rPr>
                <w:lang w:val="sr-Cyrl-RS"/>
              </w:rPr>
              <w:t>2018. годин</w:t>
            </w:r>
            <w:r w:rsidRPr="00CF77C1">
              <w:t>a</w:t>
            </w:r>
          </w:p>
        </w:tc>
        <w:tc>
          <w:tcPr>
            <w:tcW w:w="2835" w:type="dxa"/>
            <w:vAlign w:val="center"/>
          </w:tcPr>
          <w:p w14:paraId="11D9B1C0" w14:textId="35AD25C5" w:rsidR="00B26325" w:rsidRPr="00CF77C1" w:rsidRDefault="00AC627E" w:rsidP="0080044B">
            <w:pPr>
              <w:keepNext/>
              <w:keepLines/>
              <w:jc w:val="left"/>
              <w:rPr>
                <w:lang w:val="sr-Cyrl-RS"/>
              </w:rPr>
            </w:pPr>
            <w:r w:rsidRPr="00CF77C1">
              <w:rPr>
                <w:lang w:val="sr-Cyrl-RS"/>
              </w:rPr>
              <w:t>м</w:t>
            </w:r>
            <w:r w:rsidR="005C650D" w:rsidRPr="00CF77C1">
              <w:rPr>
                <w:lang w:val="sr-Cyrl-RS"/>
              </w:rPr>
              <w:t>инистарство надлежно за послове</w:t>
            </w:r>
            <w:r w:rsidR="00B26325" w:rsidRPr="00CF77C1">
              <w:rPr>
                <w:lang w:val="sr-Cyrl-RS"/>
              </w:rPr>
              <w:t xml:space="preserve"> рударства и енергетике (Сектор за нафту и гас)</w:t>
            </w:r>
          </w:p>
        </w:tc>
        <w:tc>
          <w:tcPr>
            <w:tcW w:w="2977" w:type="dxa"/>
            <w:vAlign w:val="center"/>
          </w:tcPr>
          <w:p w14:paraId="6784BCEF" w14:textId="34BB4980" w:rsidR="00B26325" w:rsidRPr="00CF77C1" w:rsidRDefault="00B26325" w:rsidP="0080044B">
            <w:pPr>
              <w:keepNext/>
              <w:keepLines/>
              <w:jc w:val="left"/>
              <w:rPr>
                <w:lang w:val="sr-Cyrl-RS"/>
              </w:rPr>
            </w:pPr>
            <w:r w:rsidRPr="00CF77C1">
              <w:rPr>
                <w:lang w:val="sr-Cyrl-RS"/>
              </w:rPr>
              <w:t>Донет пропис</w:t>
            </w:r>
            <w:r w:rsidR="00BD44C7" w:rsidRPr="00CF77C1">
              <w:rPr>
                <w:lang w:val="sr-Cyrl-RS"/>
              </w:rPr>
              <w:t xml:space="preserve"> </w:t>
            </w:r>
            <w:r w:rsidRPr="00CF77C1">
              <w:rPr>
                <w:lang w:val="sr-Cyrl-RS"/>
              </w:rPr>
              <w:t>усклађен са Директивом 2009/73/ЕЗ, Уредбом 715/2009 и Уредбом 994/2010</w:t>
            </w:r>
            <w:r w:rsidR="00562531">
              <w:rPr>
                <w:lang w:val="sr-Cyrl-RS"/>
              </w:rPr>
              <w:t>.</w:t>
            </w:r>
          </w:p>
        </w:tc>
      </w:tr>
      <w:tr w:rsidR="005359FF" w:rsidRPr="00CF77C1" w14:paraId="5C6893B3" w14:textId="77777777" w:rsidTr="009B15AB">
        <w:trPr>
          <w:cantSplit/>
          <w:trHeight w:val="1229"/>
        </w:trPr>
        <w:tc>
          <w:tcPr>
            <w:tcW w:w="3119" w:type="dxa"/>
            <w:vAlign w:val="center"/>
          </w:tcPr>
          <w:p w14:paraId="4097B7F9" w14:textId="7F8F3A44" w:rsidR="005359FF" w:rsidRPr="00CF77C1" w:rsidRDefault="005359FF" w:rsidP="0080044B">
            <w:pPr>
              <w:keepNext/>
              <w:jc w:val="left"/>
              <w:rPr>
                <w:lang w:val="sr-Cyrl-RS"/>
              </w:rPr>
            </w:pPr>
            <w:r w:rsidRPr="00CF77C1">
              <w:rPr>
                <w:lang w:val="sr-Cyrl-RS"/>
              </w:rPr>
              <w:t>Обезбеђење правног оквира за вршење процеса сертификације оператора транспортног система</w:t>
            </w:r>
            <w:r w:rsidR="00562531">
              <w:rPr>
                <w:lang w:val="sr-Cyrl-RS"/>
              </w:rPr>
              <w:t>.</w:t>
            </w:r>
          </w:p>
        </w:tc>
        <w:tc>
          <w:tcPr>
            <w:tcW w:w="4111" w:type="dxa"/>
            <w:vAlign w:val="center"/>
          </w:tcPr>
          <w:p w14:paraId="17799198" w14:textId="60B79EC7" w:rsidR="005359FF" w:rsidRPr="00CF77C1" w:rsidRDefault="000A306B" w:rsidP="0080044B">
            <w:pPr>
              <w:keepNext/>
              <w:jc w:val="left"/>
              <w:rPr>
                <w:lang w:val="sr-Cyrl-RS"/>
              </w:rPr>
            </w:pPr>
            <w:r w:rsidRPr="00CF77C1">
              <w:rPr>
                <w:lang w:val="sr-Cyrl-RS"/>
              </w:rPr>
              <w:t>Измена прописа којим</w:t>
            </w:r>
            <w:r w:rsidR="00EF3695">
              <w:rPr>
                <w:lang w:val="sr-Cyrl-RS"/>
              </w:rPr>
              <w:t>а</w:t>
            </w:r>
            <w:r w:rsidRPr="00CF77C1">
              <w:rPr>
                <w:lang w:val="sr-Cyrl-RS"/>
              </w:rPr>
              <w:t xml:space="preserve"> се уређује рад Владе, министарстава, рад и пословање јавних предузећа и других прописа неопходних за спровођење процеса сертификације оператора транспортног система</w:t>
            </w:r>
            <w:r w:rsidR="00562531">
              <w:rPr>
                <w:lang w:val="sr-Cyrl-RS"/>
              </w:rPr>
              <w:t>.</w:t>
            </w:r>
          </w:p>
        </w:tc>
        <w:tc>
          <w:tcPr>
            <w:tcW w:w="1701" w:type="dxa"/>
            <w:vAlign w:val="center"/>
          </w:tcPr>
          <w:p w14:paraId="2DD3284C" w14:textId="4D612BEE" w:rsidR="005359FF" w:rsidRPr="00CF77C1" w:rsidRDefault="005359FF" w:rsidP="0080044B">
            <w:pPr>
              <w:keepNext/>
              <w:keepLines/>
              <w:jc w:val="center"/>
            </w:pPr>
            <w:r w:rsidRPr="00CF77C1">
              <w:rPr>
                <w:lang w:val="sr-Cyrl-RS"/>
              </w:rPr>
              <w:t>2018. годин</w:t>
            </w:r>
            <w:r w:rsidR="001C40F5" w:rsidRPr="00CF77C1">
              <w:t>a</w:t>
            </w:r>
          </w:p>
        </w:tc>
        <w:tc>
          <w:tcPr>
            <w:tcW w:w="2835" w:type="dxa"/>
            <w:vAlign w:val="center"/>
          </w:tcPr>
          <w:p w14:paraId="18BDA84E" w14:textId="7A08D446" w:rsidR="005359FF" w:rsidRPr="00CF77C1" w:rsidRDefault="00AC627E" w:rsidP="0080044B">
            <w:pPr>
              <w:keepNext/>
              <w:keepLines/>
              <w:jc w:val="left"/>
              <w:rPr>
                <w:lang w:val="sr-Cyrl-RS"/>
              </w:rPr>
            </w:pPr>
            <w:r w:rsidRPr="00CF77C1">
              <w:rPr>
                <w:lang w:val="sr-Cyrl-RS"/>
              </w:rPr>
              <w:t>Влада</w:t>
            </w:r>
            <w:r w:rsidR="005359FF" w:rsidRPr="00CF77C1">
              <w:rPr>
                <w:lang w:val="sr-Cyrl-RS"/>
              </w:rPr>
              <w:t>, На</w:t>
            </w:r>
            <w:r w:rsidR="00EF3695">
              <w:rPr>
                <w:lang w:val="sr-Cyrl-RS"/>
              </w:rPr>
              <w:t>родна с</w:t>
            </w:r>
            <w:r w:rsidRPr="00CF77C1">
              <w:rPr>
                <w:lang w:val="sr-Cyrl-RS"/>
              </w:rPr>
              <w:t>купштина</w:t>
            </w:r>
            <w:r w:rsidR="005359FF" w:rsidRPr="00CF77C1">
              <w:rPr>
                <w:lang w:val="sr-Cyrl-RS"/>
              </w:rPr>
              <w:t>,</w:t>
            </w:r>
            <w:r w:rsidR="005359FF" w:rsidRPr="00CF77C1">
              <w:rPr>
                <w:lang w:val="sr-Cyrl-RS"/>
              </w:rPr>
              <w:br/>
            </w:r>
            <w:r w:rsidRPr="00CF77C1">
              <w:rPr>
                <w:lang w:val="sr-Cyrl-RS"/>
              </w:rPr>
              <w:t>м</w:t>
            </w:r>
            <w:r w:rsidR="005C650D" w:rsidRPr="00CF77C1">
              <w:rPr>
                <w:lang w:val="sr-Cyrl-RS"/>
              </w:rPr>
              <w:t>инистарство надлежно за послове</w:t>
            </w:r>
            <w:r w:rsidR="005359FF" w:rsidRPr="00CF77C1">
              <w:rPr>
                <w:lang w:val="sr-Cyrl-RS"/>
              </w:rPr>
              <w:t xml:space="preserve"> рударства и енергетике </w:t>
            </w:r>
          </w:p>
        </w:tc>
        <w:tc>
          <w:tcPr>
            <w:tcW w:w="2977" w:type="dxa"/>
            <w:vAlign w:val="center"/>
          </w:tcPr>
          <w:p w14:paraId="3EEE70C2" w14:textId="0FFF84A7" w:rsidR="005359FF" w:rsidRPr="00CF77C1" w:rsidRDefault="005359FF" w:rsidP="0080044B">
            <w:pPr>
              <w:keepNext/>
              <w:keepLines/>
              <w:jc w:val="left"/>
              <w:rPr>
                <w:lang w:val="sr-Cyrl-RS"/>
              </w:rPr>
            </w:pPr>
            <w:r w:rsidRPr="00CF77C1">
              <w:rPr>
                <w:lang w:val="sr-Cyrl-RS"/>
              </w:rPr>
              <w:t>Спроведен поступак сертификације и извршена сертификација оператора транспортног система</w:t>
            </w:r>
            <w:r w:rsidR="00FB6D63">
              <w:rPr>
                <w:lang w:val="sr-Cyrl-RS"/>
              </w:rPr>
              <w:t xml:space="preserve"> природног гаса од стране АЕРС</w:t>
            </w:r>
            <w:r w:rsidR="00562531">
              <w:rPr>
                <w:lang w:val="sr-Cyrl-RS"/>
              </w:rPr>
              <w:t>.</w:t>
            </w:r>
          </w:p>
        </w:tc>
      </w:tr>
      <w:tr w:rsidR="00B26325" w:rsidRPr="00CF77C1" w14:paraId="28CECA78" w14:textId="77777777" w:rsidTr="009B15AB">
        <w:trPr>
          <w:cantSplit/>
          <w:trHeight w:val="899"/>
        </w:trPr>
        <w:tc>
          <w:tcPr>
            <w:tcW w:w="3119" w:type="dxa"/>
            <w:vMerge w:val="restart"/>
            <w:vAlign w:val="center"/>
          </w:tcPr>
          <w:p w14:paraId="32F70FF9" w14:textId="77777777" w:rsidR="00B26325" w:rsidRPr="00CF77C1" w:rsidRDefault="00B26325" w:rsidP="0080044B">
            <w:pPr>
              <w:keepNext/>
              <w:jc w:val="left"/>
              <w:rPr>
                <w:lang w:val="sr-Cyrl-RS"/>
              </w:rPr>
            </w:pPr>
            <w:r w:rsidRPr="00CF77C1">
              <w:rPr>
                <w:lang w:val="sr-Cyrl-RS"/>
              </w:rPr>
              <w:t>Унапређење регулаторне и техничке основе за функционисање гасоводне инфраструктуре</w:t>
            </w:r>
          </w:p>
        </w:tc>
        <w:tc>
          <w:tcPr>
            <w:tcW w:w="4111" w:type="dxa"/>
            <w:vAlign w:val="center"/>
          </w:tcPr>
          <w:p w14:paraId="4B2C840B" w14:textId="32896167" w:rsidR="00B26325" w:rsidRPr="00CF77C1" w:rsidRDefault="00B26325" w:rsidP="0080044B">
            <w:pPr>
              <w:keepNext/>
              <w:jc w:val="left"/>
              <w:rPr>
                <w:lang w:val="sr-Cyrl-RS"/>
              </w:rPr>
            </w:pPr>
            <w:r w:rsidRPr="00CF77C1">
              <w:rPr>
                <w:lang w:val="sr-Cyrl-RS"/>
              </w:rPr>
              <w:t>Ревизија и унапређење Методологија за одређивање цене приступа систему</w:t>
            </w:r>
            <w:r w:rsidR="00562531">
              <w:rPr>
                <w:lang w:val="sr-Cyrl-RS"/>
              </w:rPr>
              <w:t xml:space="preserve"> за дистрибуцију природног гаса.</w:t>
            </w:r>
          </w:p>
        </w:tc>
        <w:tc>
          <w:tcPr>
            <w:tcW w:w="1701" w:type="dxa"/>
            <w:vAlign w:val="center"/>
          </w:tcPr>
          <w:p w14:paraId="05D289DE" w14:textId="77777777" w:rsidR="00B26325" w:rsidRPr="00CF77C1" w:rsidRDefault="00B26325" w:rsidP="0080044B">
            <w:pPr>
              <w:keepNext/>
              <w:keepLines/>
              <w:jc w:val="center"/>
              <w:rPr>
                <w:lang w:val="sr-Cyrl-RS"/>
              </w:rPr>
            </w:pPr>
            <w:r w:rsidRPr="00CF77C1">
              <w:rPr>
                <w:lang w:val="sr-Cyrl-RS"/>
              </w:rPr>
              <w:t>2020.</w:t>
            </w:r>
            <w:r w:rsidR="009B15AB" w:rsidRPr="00CF77C1">
              <w:rPr>
                <w:lang w:val="sr-Cyrl-RS"/>
              </w:rPr>
              <w:t xml:space="preserve"> година</w:t>
            </w:r>
          </w:p>
        </w:tc>
        <w:tc>
          <w:tcPr>
            <w:tcW w:w="2835" w:type="dxa"/>
            <w:vAlign w:val="center"/>
          </w:tcPr>
          <w:p w14:paraId="78FFC464" w14:textId="77777777" w:rsidR="00B26325" w:rsidRPr="00CF77C1" w:rsidRDefault="00B26325" w:rsidP="0080044B">
            <w:pPr>
              <w:keepNext/>
              <w:keepLines/>
              <w:jc w:val="left"/>
              <w:rPr>
                <w:lang w:val="sr-Cyrl-RS"/>
              </w:rPr>
            </w:pPr>
            <w:r w:rsidRPr="00CF77C1">
              <w:rPr>
                <w:lang w:val="sr-Cyrl-RS"/>
              </w:rPr>
              <w:t>АЕРС</w:t>
            </w:r>
          </w:p>
        </w:tc>
        <w:tc>
          <w:tcPr>
            <w:tcW w:w="2977" w:type="dxa"/>
            <w:vAlign w:val="center"/>
          </w:tcPr>
          <w:p w14:paraId="071E19C2" w14:textId="5890A347" w:rsidR="00B26325" w:rsidRPr="00CF77C1" w:rsidRDefault="00B26325" w:rsidP="0080044B">
            <w:pPr>
              <w:keepNext/>
              <w:keepLines/>
              <w:jc w:val="left"/>
              <w:rPr>
                <w:lang w:val="sr-Cyrl-RS"/>
              </w:rPr>
            </w:pPr>
            <w:r w:rsidRPr="00CF77C1">
              <w:rPr>
                <w:lang w:val="sr-Cyrl-RS"/>
              </w:rPr>
              <w:t>Усвојена нова Методологија која</w:t>
            </w:r>
            <w:r w:rsidR="00BD44C7" w:rsidRPr="00CF77C1">
              <w:rPr>
                <w:lang w:val="sr-Cyrl-RS"/>
              </w:rPr>
              <w:t xml:space="preserve"> </w:t>
            </w:r>
            <w:r w:rsidRPr="00CF77C1">
              <w:rPr>
                <w:lang w:val="sr-Cyrl-RS"/>
              </w:rPr>
              <w:t>промовише економију обима и подстиче ефикасност у раду дистрибутивних предузећа</w:t>
            </w:r>
            <w:r w:rsidR="00562531">
              <w:rPr>
                <w:lang w:val="sr-Cyrl-RS"/>
              </w:rPr>
              <w:t>.</w:t>
            </w:r>
          </w:p>
        </w:tc>
      </w:tr>
      <w:tr w:rsidR="00B26325" w:rsidRPr="00CF77C1" w14:paraId="1500D457" w14:textId="77777777" w:rsidTr="009B15AB">
        <w:trPr>
          <w:cantSplit/>
        </w:trPr>
        <w:tc>
          <w:tcPr>
            <w:tcW w:w="3119" w:type="dxa"/>
            <w:vMerge/>
            <w:vAlign w:val="center"/>
          </w:tcPr>
          <w:p w14:paraId="203A30C4" w14:textId="77777777" w:rsidR="00B26325" w:rsidRPr="00CF77C1" w:rsidRDefault="00B26325" w:rsidP="0080044B">
            <w:pPr>
              <w:jc w:val="left"/>
              <w:rPr>
                <w:lang w:val="sr-Cyrl-RS"/>
              </w:rPr>
            </w:pPr>
          </w:p>
        </w:tc>
        <w:tc>
          <w:tcPr>
            <w:tcW w:w="4111" w:type="dxa"/>
            <w:vAlign w:val="center"/>
          </w:tcPr>
          <w:p w14:paraId="736D9A81" w14:textId="5B6A73F9" w:rsidR="00B26325" w:rsidRPr="00CF77C1" w:rsidRDefault="00B26325" w:rsidP="0080044B">
            <w:pPr>
              <w:jc w:val="left"/>
              <w:rPr>
                <w:lang w:val="sr-Cyrl-RS"/>
              </w:rPr>
            </w:pPr>
            <w:r w:rsidRPr="00CF77C1">
              <w:rPr>
                <w:lang w:val="sr-Cyrl-RS"/>
              </w:rPr>
              <w:t>Oпремање транспортних гасоводних система мерно-аквизиционом опремом (мерна опрема, мерна и оперативна платформа, SCADA) неопходном за функционисање и развој тржишта</w:t>
            </w:r>
            <w:r w:rsidR="00562531">
              <w:rPr>
                <w:lang w:val="sr-Cyrl-RS"/>
              </w:rPr>
              <w:t>.</w:t>
            </w:r>
          </w:p>
          <w:p w14:paraId="4ECD35C2" w14:textId="77777777" w:rsidR="00B26325" w:rsidRPr="00CF77C1" w:rsidRDefault="00B26325" w:rsidP="0080044B">
            <w:pPr>
              <w:jc w:val="left"/>
              <w:rPr>
                <w:lang w:val="sr-Cyrl-RS"/>
              </w:rPr>
            </w:pPr>
          </w:p>
        </w:tc>
        <w:tc>
          <w:tcPr>
            <w:tcW w:w="1701" w:type="dxa"/>
            <w:vAlign w:val="center"/>
          </w:tcPr>
          <w:p w14:paraId="319426B9" w14:textId="77777777" w:rsidR="00B26325" w:rsidRPr="00CF77C1" w:rsidRDefault="00B26325" w:rsidP="0080044B">
            <w:pPr>
              <w:keepLines/>
              <w:jc w:val="center"/>
              <w:rPr>
                <w:lang w:val="sr-Cyrl-RS"/>
              </w:rPr>
            </w:pPr>
            <w:r w:rsidRPr="00CF77C1">
              <w:rPr>
                <w:lang w:val="sr-Cyrl-RS"/>
              </w:rPr>
              <w:t>2020.</w:t>
            </w:r>
            <w:r w:rsidR="009B15AB" w:rsidRPr="00CF77C1">
              <w:rPr>
                <w:lang w:val="sr-Cyrl-RS"/>
              </w:rPr>
              <w:t xml:space="preserve"> година</w:t>
            </w:r>
          </w:p>
        </w:tc>
        <w:tc>
          <w:tcPr>
            <w:tcW w:w="2835" w:type="dxa"/>
            <w:vAlign w:val="center"/>
          </w:tcPr>
          <w:p w14:paraId="1B9E597B" w14:textId="77777777" w:rsidR="00B26325" w:rsidRPr="00CF77C1" w:rsidRDefault="00B26325" w:rsidP="0080044B">
            <w:pPr>
              <w:keepLines/>
              <w:jc w:val="left"/>
              <w:rPr>
                <w:lang w:val="sr-Cyrl-RS"/>
              </w:rPr>
            </w:pPr>
            <w:r w:rsidRPr="00CF77C1">
              <w:rPr>
                <w:lang w:val="sr-Cyrl-RS"/>
              </w:rPr>
              <w:t xml:space="preserve">ОТС </w:t>
            </w:r>
            <w:r w:rsidR="000E6441" w:rsidRPr="00CF77C1">
              <w:rPr>
                <w:lang w:val="sr-Cyrl-RS"/>
              </w:rPr>
              <w:t>-</w:t>
            </w:r>
            <w:r w:rsidRPr="00CF77C1">
              <w:rPr>
                <w:lang w:val="sr-Cyrl-RS"/>
              </w:rPr>
              <w:t xml:space="preserve"> </w:t>
            </w:r>
            <w:r w:rsidR="000E6441" w:rsidRPr="00CF77C1">
              <w:rPr>
                <w:lang w:val="sr-Cyrl-RS"/>
              </w:rPr>
              <w:t>Транспортгас</w:t>
            </w:r>
            <w:r w:rsidRPr="00CF77C1">
              <w:rPr>
                <w:lang w:val="sr-Cyrl-RS"/>
              </w:rPr>
              <w:t xml:space="preserve"> Србија д.о.о.</w:t>
            </w:r>
          </w:p>
        </w:tc>
        <w:tc>
          <w:tcPr>
            <w:tcW w:w="2977" w:type="dxa"/>
            <w:vAlign w:val="center"/>
          </w:tcPr>
          <w:p w14:paraId="24DB8818" w14:textId="3AF6F303" w:rsidR="00B26325" w:rsidRPr="00CF77C1" w:rsidRDefault="00B26325" w:rsidP="0080044B">
            <w:pPr>
              <w:widowControl w:val="0"/>
              <w:autoSpaceDE w:val="0"/>
              <w:autoSpaceDN w:val="0"/>
              <w:adjustRightInd w:val="0"/>
              <w:jc w:val="left"/>
              <w:rPr>
                <w:lang w:val="sr-Cyrl-RS"/>
              </w:rPr>
            </w:pPr>
            <w:r w:rsidRPr="00CF77C1">
              <w:rPr>
                <w:lang w:val="sr-Cyrl-RS"/>
              </w:rPr>
              <w:t xml:space="preserve">Процентуална покривеност излаза са транспортног система мерно-аквизиционом опремом (тренутно 34% у систему ОТС </w:t>
            </w:r>
            <w:r w:rsidR="000E6441" w:rsidRPr="00CF77C1">
              <w:rPr>
                <w:lang w:val="sr-Cyrl-RS"/>
              </w:rPr>
              <w:t>-</w:t>
            </w:r>
            <w:r w:rsidRPr="00CF77C1">
              <w:rPr>
                <w:lang w:val="sr-Cyrl-RS"/>
              </w:rPr>
              <w:t xml:space="preserve"> </w:t>
            </w:r>
            <w:r w:rsidR="000E6441" w:rsidRPr="00CF77C1">
              <w:rPr>
                <w:lang w:val="sr-Cyrl-RS"/>
              </w:rPr>
              <w:t>Транспортгас</w:t>
            </w:r>
            <w:r w:rsidRPr="00CF77C1">
              <w:rPr>
                <w:lang w:val="sr-Cyrl-RS"/>
              </w:rPr>
              <w:t xml:space="preserve"> Србија д.о.о и 100% у систему ОТС </w:t>
            </w:r>
            <w:r w:rsidR="000E6441" w:rsidRPr="00CF77C1">
              <w:rPr>
                <w:lang w:val="sr-Cyrl-RS"/>
              </w:rPr>
              <w:t>-</w:t>
            </w:r>
            <w:r w:rsidRPr="00CF77C1">
              <w:rPr>
                <w:lang w:val="sr-Cyrl-RS"/>
              </w:rPr>
              <w:t xml:space="preserve"> Yugоrоsgaz-Транспорт д.о.о.)</w:t>
            </w:r>
            <w:r w:rsidR="00562531">
              <w:rPr>
                <w:lang w:val="sr-Cyrl-RS"/>
              </w:rPr>
              <w:t>.</w:t>
            </w:r>
          </w:p>
        </w:tc>
      </w:tr>
      <w:tr w:rsidR="00B26325" w:rsidRPr="00CF77C1" w14:paraId="030D4378" w14:textId="77777777" w:rsidTr="009B15AB">
        <w:trPr>
          <w:cantSplit/>
        </w:trPr>
        <w:tc>
          <w:tcPr>
            <w:tcW w:w="3119" w:type="dxa"/>
            <w:vMerge/>
            <w:vAlign w:val="center"/>
          </w:tcPr>
          <w:p w14:paraId="5BDEDC5B" w14:textId="77777777" w:rsidR="00B26325" w:rsidRPr="00CF77C1" w:rsidRDefault="00B26325" w:rsidP="0080044B">
            <w:pPr>
              <w:jc w:val="left"/>
              <w:rPr>
                <w:lang w:val="sr-Cyrl-RS"/>
              </w:rPr>
            </w:pPr>
          </w:p>
        </w:tc>
        <w:tc>
          <w:tcPr>
            <w:tcW w:w="4111" w:type="dxa"/>
            <w:vAlign w:val="center"/>
          </w:tcPr>
          <w:p w14:paraId="0FB8653B" w14:textId="1DF00335" w:rsidR="00B26325" w:rsidRPr="00CF77C1" w:rsidRDefault="00B26325" w:rsidP="0080044B">
            <w:pPr>
              <w:jc w:val="left"/>
              <w:rPr>
                <w:lang w:val="sr-Cyrl-RS"/>
              </w:rPr>
            </w:pPr>
            <w:r w:rsidRPr="00CF77C1">
              <w:rPr>
                <w:lang w:val="sr-Cyrl-RS"/>
              </w:rPr>
              <w:t>Доношење планова преузимања мерних уређаја и мерно-регулационих станица у објектима постојећих купаца, односно произвођача</w:t>
            </w:r>
            <w:r w:rsidR="00562531">
              <w:rPr>
                <w:lang w:val="sr-Cyrl-RS"/>
              </w:rPr>
              <w:t>.</w:t>
            </w:r>
          </w:p>
        </w:tc>
        <w:tc>
          <w:tcPr>
            <w:tcW w:w="1701" w:type="dxa"/>
            <w:vAlign w:val="center"/>
          </w:tcPr>
          <w:p w14:paraId="30103791" w14:textId="77777777" w:rsidR="00B26325" w:rsidRPr="00CF77C1" w:rsidRDefault="00245227" w:rsidP="0080044B">
            <w:pPr>
              <w:keepLines/>
              <w:jc w:val="center"/>
              <w:rPr>
                <w:lang w:val="sr-Cyrl-RS"/>
              </w:rPr>
            </w:pPr>
            <w:r w:rsidRPr="00CF77C1">
              <w:rPr>
                <w:lang w:val="sr-Cyrl-RS"/>
              </w:rPr>
              <w:t xml:space="preserve">До </w:t>
            </w:r>
            <w:r w:rsidR="00B26325" w:rsidRPr="00CF77C1">
              <w:rPr>
                <w:lang w:val="sr-Cyrl-RS"/>
              </w:rPr>
              <w:t>2020</w:t>
            </w:r>
            <w:r w:rsidR="009B15AB" w:rsidRPr="00CF77C1">
              <w:rPr>
                <w:lang w:val="sr-Cyrl-RS"/>
              </w:rPr>
              <w:t>. годин</w:t>
            </w:r>
            <w:r w:rsidR="000E6441" w:rsidRPr="00CF77C1">
              <w:rPr>
                <w:lang w:val="sr-Cyrl-RS"/>
              </w:rPr>
              <w:t>е</w:t>
            </w:r>
          </w:p>
        </w:tc>
        <w:tc>
          <w:tcPr>
            <w:tcW w:w="2835" w:type="dxa"/>
            <w:vAlign w:val="center"/>
          </w:tcPr>
          <w:p w14:paraId="793072D0" w14:textId="77777777" w:rsidR="00B26325" w:rsidRPr="00CF77C1" w:rsidRDefault="00B26325" w:rsidP="0080044B">
            <w:pPr>
              <w:keepLines/>
              <w:jc w:val="left"/>
              <w:rPr>
                <w:lang w:val="sr-Cyrl-RS"/>
              </w:rPr>
            </w:pPr>
            <w:r w:rsidRPr="00CF77C1">
              <w:rPr>
                <w:lang w:val="sr-Cyrl-RS"/>
              </w:rPr>
              <w:t>ОДС</w:t>
            </w:r>
          </w:p>
        </w:tc>
        <w:tc>
          <w:tcPr>
            <w:tcW w:w="2977" w:type="dxa"/>
            <w:vAlign w:val="center"/>
          </w:tcPr>
          <w:p w14:paraId="52B19E28" w14:textId="6643328B" w:rsidR="00B26325" w:rsidRPr="00CF77C1" w:rsidRDefault="00B26325" w:rsidP="0080044B">
            <w:pPr>
              <w:keepLines/>
              <w:jc w:val="left"/>
              <w:rPr>
                <w:lang w:val="sr-Cyrl-RS"/>
              </w:rPr>
            </w:pPr>
            <w:r w:rsidRPr="00CF77C1">
              <w:rPr>
                <w:lang w:val="sr-Cyrl-RS"/>
              </w:rPr>
              <w:t>Усвојени планови преузимања од стране оснивача дистрибутивних предузећа</w:t>
            </w:r>
            <w:r w:rsidR="00562531">
              <w:rPr>
                <w:lang w:val="sr-Cyrl-RS"/>
              </w:rPr>
              <w:t>.</w:t>
            </w:r>
          </w:p>
        </w:tc>
      </w:tr>
      <w:tr w:rsidR="00B26325" w:rsidRPr="00CF77C1" w14:paraId="565EA508" w14:textId="77777777" w:rsidTr="009B15AB">
        <w:trPr>
          <w:cantSplit/>
          <w:trHeight w:val="1530"/>
        </w:trPr>
        <w:tc>
          <w:tcPr>
            <w:tcW w:w="3119" w:type="dxa"/>
            <w:vAlign w:val="center"/>
          </w:tcPr>
          <w:p w14:paraId="2EE20B64" w14:textId="77777777" w:rsidR="00B26325" w:rsidRPr="00CF77C1" w:rsidRDefault="00B26325" w:rsidP="0080044B">
            <w:pPr>
              <w:jc w:val="left"/>
              <w:rPr>
                <w:lang w:val="sr-Cyrl-RS"/>
              </w:rPr>
            </w:pPr>
            <w:r w:rsidRPr="00CF77C1">
              <w:rPr>
                <w:lang w:val="sr-Cyrl-RS"/>
              </w:rPr>
              <w:t>Реорганизација сектора дист</w:t>
            </w:r>
            <w:r w:rsidR="00245227" w:rsidRPr="00CF77C1">
              <w:rPr>
                <w:lang w:val="sr-Cyrl-RS"/>
              </w:rPr>
              <w:t>р</w:t>
            </w:r>
            <w:r w:rsidRPr="00CF77C1">
              <w:rPr>
                <w:lang w:val="sr-Cyrl-RS"/>
              </w:rPr>
              <w:t>ибуције природног гаса</w:t>
            </w:r>
          </w:p>
        </w:tc>
        <w:tc>
          <w:tcPr>
            <w:tcW w:w="4111" w:type="dxa"/>
            <w:vAlign w:val="center"/>
          </w:tcPr>
          <w:p w14:paraId="30DBC908" w14:textId="1BB7C360" w:rsidR="00B26325" w:rsidRPr="00CF77C1" w:rsidRDefault="00306261" w:rsidP="0080044B">
            <w:pPr>
              <w:jc w:val="left"/>
              <w:rPr>
                <w:lang w:val="sr-Cyrl-RS"/>
              </w:rPr>
            </w:pPr>
            <w:r w:rsidRPr="00CF77C1">
              <w:rPr>
                <w:lang w:val="sr-Cyrl-RS"/>
              </w:rPr>
              <w:t>Анализа пословања и предлагање мера за консолидацију сектора дистрибуције пр</w:t>
            </w:r>
            <w:r w:rsidR="00DE4E75" w:rsidRPr="00CF77C1">
              <w:rPr>
                <w:lang w:val="sr-Cyrl-RS"/>
              </w:rPr>
              <w:t xml:space="preserve">иродног гаса </w:t>
            </w:r>
            <w:r w:rsidRPr="00CF77C1">
              <w:rPr>
                <w:lang w:val="sr-Cyrl-RS"/>
              </w:rPr>
              <w:t>и реорганизацију дистрибутивних предузећа са негативним финансијским билансима пословања</w:t>
            </w:r>
            <w:r w:rsidR="00562531">
              <w:rPr>
                <w:lang w:val="sr-Cyrl-RS"/>
              </w:rPr>
              <w:t>.</w:t>
            </w:r>
          </w:p>
        </w:tc>
        <w:tc>
          <w:tcPr>
            <w:tcW w:w="1701" w:type="dxa"/>
            <w:vAlign w:val="center"/>
          </w:tcPr>
          <w:p w14:paraId="7ABC103E" w14:textId="77777777" w:rsidR="00B26325" w:rsidRPr="00CF77C1" w:rsidRDefault="00B26325" w:rsidP="0080044B">
            <w:pPr>
              <w:keepLines/>
              <w:jc w:val="center"/>
              <w:rPr>
                <w:lang w:val="sr-Cyrl-RS"/>
              </w:rPr>
            </w:pPr>
            <w:r w:rsidRPr="00CF77C1">
              <w:rPr>
                <w:lang w:val="sr-Cyrl-RS"/>
              </w:rPr>
              <w:t>2018-2021</w:t>
            </w:r>
            <w:r w:rsidR="009B15AB" w:rsidRPr="00CF77C1">
              <w:rPr>
                <w:lang w:val="sr-Cyrl-RS"/>
              </w:rPr>
              <w:t>. година</w:t>
            </w:r>
          </w:p>
        </w:tc>
        <w:tc>
          <w:tcPr>
            <w:tcW w:w="2835" w:type="dxa"/>
            <w:vAlign w:val="center"/>
          </w:tcPr>
          <w:p w14:paraId="1BC820A6" w14:textId="2BEB40B2" w:rsidR="00B26325" w:rsidRPr="00CF77C1" w:rsidRDefault="00AC627E" w:rsidP="0080044B">
            <w:pPr>
              <w:keepLines/>
              <w:jc w:val="left"/>
              <w:rPr>
                <w:lang w:val="sr-Cyrl-RS"/>
              </w:rPr>
            </w:pPr>
            <w:r w:rsidRPr="00CF77C1">
              <w:rPr>
                <w:lang w:val="sr-Cyrl-RS"/>
              </w:rPr>
              <w:t>м</w:t>
            </w:r>
            <w:r w:rsidR="005C650D" w:rsidRPr="00CF77C1">
              <w:rPr>
                <w:lang w:val="sr-Cyrl-RS"/>
              </w:rPr>
              <w:t>инистарство надлежно за послове</w:t>
            </w:r>
            <w:r w:rsidR="00B26325" w:rsidRPr="00CF77C1">
              <w:rPr>
                <w:lang w:val="sr-Cyrl-RS"/>
              </w:rPr>
              <w:t xml:space="preserve"> рударства</w:t>
            </w:r>
            <w:r w:rsidR="00245227" w:rsidRPr="00CF77C1">
              <w:rPr>
                <w:lang w:val="sr-Cyrl-RS"/>
              </w:rPr>
              <w:t xml:space="preserve"> и енергетике</w:t>
            </w:r>
          </w:p>
          <w:p w14:paraId="6799392C" w14:textId="77777777" w:rsidR="00B26325" w:rsidRPr="00CF77C1" w:rsidRDefault="005C650D" w:rsidP="0080044B">
            <w:pPr>
              <w:keepLines/>
              <w:jc w:val="left"/>
              <w:rPr>
                <w:lang w:val="sr-Cyrl-RS"/>
              </w:rPr>
            </w:pPr>
            <w:r w:rsidRPr="00CF77C1">
              <w:rPr>
                <w:lang w:val="sr-Cyrl-RS"/>
              </w:rPr>
              <w:t>Јединице л</w:t>
            </w:r>
            <w:r w:rsidR="00B26325" w:rsidRPr="00CF77C1">
              <w:rPr>
                <w:lang w:val="sr-Cyrl-RS"/>
              </w:rPr>
              <w:t>окалне самоуправе</w:t>
            </w:r>
          </w:p>
        </w:tc>
        <w:tc>
          <w:tcPr>
            <w:tcW w:w="2977" w:type="dxa"/>
            <w:vAlign w:val="center"/>
          </w:tcPr>
          <w:p w14:paraId="7C334803" w14:textId="73CEF969" w:rsidR="00B26325" w:rsidRPr="00CF77C1" w:rsidRDefault="00562531" w:rsidP="0080044B">
            <w:pPr>
              <w:keepLines/>
              <w:jc w:val="left"/>
              <w:rPr>
                <w:lang w:val="sr-Cyrl-RS"/>
              </w:rPr>
            </w:pPr>
            <w:r>
              <w:rPr>
                <w:lang w:val="sr-Cyrl-RS"/>
              </w:rPr>
              <w:t>Усвојени п</w:t>
            </w:r>
            <w:r w:rsidR="00B26325" w:rsidRPr="00CF77C1">
              <w:rPr>
                <w:lang w:val="sr-Cyrl-RS"/>
              </w:rPr>
              <w:t>ланови реорганизације од стране оснивача дистрибутивних предузећа</w:t>
            </w:r>
            <w:r>
              <w:rPr>
                <w:lang w:val="sr-Cyrl-RS"/>
              </w:rPr>
              <w:t>.</w:t>
            </w:r>
          </w:p>
        </w:tc>
      </w:tr>
    </w:tbl>
    <w:p w14:paraId="4EE1153C" w14:textId="2EA4CB0A" w:rsidR="009B15AB" w:rsidRPr="00CF77C1" w:rsidRDefault="00D61BC9" w:rsidP="00E209CF">
      <w:pPr>
        <w:pStyle w:val="Caption"/>
        <w:ind w:firstLine="720"/>
        <w:rPr>
          <w:b w:val="0"/>
          <w:lang w:val="sr-Cyrl-RS"/>
        </w:rPr>
      </w:pPr>
      <w:r w:rsidRPr="00CF77C1">
        <w:rPr>
          <w:b w:val="0"/>
          <w:lang w:val="sr-Cyrl-RS"/>
        </w:rPr>
        <w:t>таб.</w:t>
      </w:r>
      <w:r w:rsidR="009B15AB"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62</w:t>
      </w:r>
      <w:r w:rsidR="0092145E" w:rsidRPr="00CF77C1">
        <w:rPr>
          <w:b w:val="0"/>
          <w:lang w:val="sr-Cyrl-RS"/>
        </w:rPr>
        <w:fldChar w:fldCharType="end"/>
      </w:r>
      <w:r w:rsidR="009B15AB" w:rsidRPr="00CF77C1">
        <w:rPr>
          <w:b w:val="0"/>
          <w:lang w:val="sr-Cyrl-RS"/>
        </w:rPr>
        <w:t>: Мере за диверсификацију извора и праваца снабдевања природним гасом</w:t>
      </w:r>
    </w:p>
    <w:tbl>
      <w:tblPr>
        <w:tblStyle w:val="TableGrid"/>
        <w:tblW w:w="14743" w:type="dxa"/>
        <w:tblLayout w:type="fixed"/>
        <w:tblLook w:val="04A0" w:firstRow="1" w:lastRow="0" w:firstColumn="1" w:lastColumn="0" w:noHBand="0" w:noVBand="1"/>
      </w:tblPr>
      <w:tblGrid>
        <w:gridCol w:w="3119"/>
        <w:gridCol w:w="4111"/>
        <w:gridCol w:w="1701"/>
        <w:gridCol w:w="2835"/>
        <w:gridCol w:w="2977"/>
      </w:tblGrid>
      <w:tr w:rsidR="009B15AB" w:rsidRPr="00CF77C1" w14:paraId="42D64A71" w14:textId="77777777" w:rsidTr="009B15AB">
        <w:trPr>
          <w:cantSplit/>
          <w:tblHeader/>
        </w:trPr>
        <w:tc>
          <w:tcPr>
            <w:tcW w:w="3119" w:type="dxa"/>
            <w:shd w:val="clear" w:color="auto" w:fill="E6E6E6"/>
          </w:tcPr>
          <w:p w14:paraId="2BF86BE6" w14:textId="77777777" w:rsidR="009B15AB" w:rsidRPr="00CF77C1" w:rsidRDefault="009B15AB" w:rsidP="0080044B">
            <w:pPr>
              <w:framePr w:hSpace="181" w:wrap="notBeside" w:vAnchor="text" w:hAnchor="text" w:x="-33" w:y="1"/>
              <w:jc w:val="left"/>
              <w:rPr>
                <w:lang w:val="sr-Cyrl-RS"/>
              </w:rPr>
            </w:pPr>
            <w:r w:rsidRPr="00CF77C1">
              <w:rPr>
                <w:lang w:val="sr-Cyrl-RS"/>
              </w:rPr>
              <w:t>Стратешки циљ:</w:t>
            </w:r>
          </w:p>
        </w:tc>
        <w:tc>
          <w:tcPr>
            <w:tcW w:w="11624" w:type="dxa"/>
            <w:gridSpan w:val="4"/>
            <w:shd w:val="clear" w:color="auto" w:fill="E6E6E6"/>
            <w:vAlign w:val="center"/>
          </w:tcPr>
          <w:p w14:paraId="74502CDF" w14:textId="77777777" w:rsidR="009B15AB" w:rsidRPr="00CF77C1" w:rsidRDefault="009B15AB" w:rsidP="0080044B">
            <w:pPr>
              <w:framePr w:hSpace="181" w:wrap="notBeside" w:vAnchor="text" w:hAnchor="text" w:x="-33" w:y="1"/>
              <w:jc w:val="left"/>
              <w:rPr>
                <w:lang w:val="sr-Cyrl-RS"/>
              </w:rPr>
            </w:pPr>
            <w:r w:rsidRPr="00CF77C1">
              <w:rPr>
                <w:lang w:val="sr-Cyrl-RS"/>
              </w:rPr>
              <w:t>Диверсификацијa извора и праваца снабдевања природним гасом</w:t>
            </w:r>
          </w:p>
        </w:tc>
      </w:tr>
      <w:tr w:rsidR="009B15AB" w:rsidRPr="00CF77C1" w14:paraId="0378D437" w14:textId="77777777" w:rsidTr="009B15AB">
        <w:trPr>
          <w:cantSplit/>
          <w:tblHeader/>
        </w:trPr>
        <w:tc>
          <w:tcPr>
            <w:tcW w:w="3119" w:type="dxa"/>
            <w:vAlign w:val="center"/>
          </w:tcPr>
          <w:p w14:paraId="31F2AC64" w14:textId="77777777" w:rsidR="009B15AB" w:rsidRPr="00CF77C1" w:rsidRDefault="009B15AB" w:rsidP="0080044B">
            <w:pPr>
              <w:framePr w:hSpace="181" w:wrap="notBeside" w:vAnchor="text" w:hAnchor="text" w:x="-33" w:y="1"/>
              <w:jc w:val="center"/>
              <w:rPr>
                <w:lang w:val="sr-Cyrl-RS"/>
              </w:rPr>
            </w:pPr>
            <w:r w:rsidRPr="00CF77C1">
              <w:rPr>
                <w:lang w:val="sr-Cyrl-RS"/>
              </w:rPr>
              <w:t>Мера</w:t>
            </w:r>
          </w:p>
        </w:tc>
        <w:tc>
          <w:tcPr>
            <w:tcW w:w="4111" w:type="dxa"/>
            <w:vAlign w:val="center"/>
          </w:tcPr>
          <w:p w14:paraId="45CC3BEA" w14:textId="77777777" w:rsidR="009B15AB" w:rsidRPr="00CF77C1" w:rsidRDefault="009B15AB" w:rsidP="0080044B">
            <w:pPr>
              <w:framePr w:hSpace="181" w:wrap="notBeside" w:vAnchor="text" w:hAnchor="text" w:x="-33" w:y="1"/>
              <w:jc w:val="center"/>
              <w:rPr>
                <w:lang w:val="sr-Cyrl-RS"/>
              </w:rPr>
            </w:pPr>
            <w:r w:rsidRPr="00CF77C1">
              <w:rPr>
                <w:rFonts w:eastAsia="Myriad Pro"/>
                <w:spacing w:val="-3"/>
                <w:lang w:val="sr-Cyrl-RS"/>
              </w:rPr>
              <w:t>Активност</w:t>
            </w:r>
          </w:p>
        </w:tc>
        <w:tc>
          <w:tcPr>
            <w:tcW w:w="1701" w:type="dxa"/>
            <w:vAlign w:val="center"/>
          </w:tcPr>
          <w:p w14:paraId="472353B4" w14:textId="77777777" w:rsidR="009B15AB" w:rsidRPr="00CF77C1" w:rsidRDefault="009B15AB" w:rsidP="0080044B">
            <w:pPr>
              <w:keepLines/>
              <w:framePr w:hSpace="181" w:wrap="notBeside" w:vAnchor="text" w:hAnchor="text" w:x="-33" w:y="1"/>
              <w:jc w:val="center"/>
              <w:rPr>
                <w:lang w:val="sr-Cyrl-RS"/>
              </w:rPr>
            </w:pPr>
            <w:r w:rsidRPr="00CF77C1">
              <w:rPr>
                <w:lang w:val="sr-Cyrl-RS"/>
              </w:rPr>
              <w:t>Рок за извршење</w:t>
            </w:r>
          </w:p>
        </w:tc>
        <w:tc>
          <w:tcPr>
            <w:tcW w:w="2835" w:type="dxa"/>
            <w:vAlign w:val="center"/>
          </w:tcPr>
          <w:p w14:paraId="314EF61C" w14:textId="77777777" w:rsidR="009B15AB" w:rsidRPr="00CF77C1" w:rsidRDefault="00DD69C2" w:rsidP="0080044B">
            <w:pPr>
              <w:keepLines/>
              <w:framePr w:hSpace="181" w:wrap="notBeside" w:vAnchor="text" w:hAnchor="text" w:x="-33" w:y="1"/>
              <w:jc w:val="center"/>
              <w:rPr>
                <w:lang w:val="sr-Cyrl-RS"/>
              </w:rPr>
            </w:pPr>
            <w:r w:rsidRPr="00CF77C1">
              <w:rPr>
                <w:lang w:val="sr-Cyrl-RS"/>
              </w:rPr>
              <w:t>Одговорни субјекат</w:t>
            </w:r>
          </w:p>
        </w:tc>
        <w:tc>
          <w:tcPr>
            <w:tcW w:w="2977" w:type="dxa"/>
            <w:vAlign w:val="center"/>
          </w:tcPr>
          <w:p w14:paraId="3D446238" w14:textId="77777777" w:rsidR="009B15AB" w:rsidRPr="00CF77C1" w:rsidRDefault="009B15AB" w:rsidP="0080044B">
            <w:pPr>
              <w:keepLines/>
              <w:framePr w:hSpace="181" w:wrap="notBeside" w:vAnchor="text" w:hAnchor="text" w:x="-33" w:y="1"/>
              <w:jc w:val="center"/>
              <w:rPr>
                <w:lang w:val="sr-Cyrl-RS"/>
              </w:rPr>
            </w:pPr>
            <w:r w:rsidRPr="00CF77C1">
              <w:rPr>
                <w:lang w:val="sr-Cyrl-RS"/>
              </w:rPr>
              <w:t>Индикатор активности</w:t>
            </w:r>
          </w:p>
        </w:tc>
      </w:tr>
      <w:tr w:rsidR="009B15AB" w:rsidRPr="00CF77C1" w14:paraId="01D19D57" w14:textId="77777777" w:rsidTr="009B15AB">
        <w:trPr>
          <w:cantSplit/>
        </w:trPr>
        <w:tc>
          <w:tcPr>
            <w:tcW w:w="3119" w:type="dxa"/>
            <w:vMerge w:val="restart"/>
            <w:vAlign w:val="center"/>
          </w:tcPr>
          <w:p w14:paraId="4D71FB9A" w14:textId="438D2020" w:rsidR="009B15AB" w:rsidRPr="00CF77C1" w:rsidRDefault="009B15AB" w:rsidP="0080044B">
            <w:pPr>
              <w:framePr w:hSpace="181" w:wrap="notBeside" w:vAnchor="text" w:hAnchor="text" w:x="-33" w:y="1"/>
              <w:jc w:val="left"/>
              <w:rPr>
                <w:lang w:val="sr-Cyrl-RS"/>
              </w:rPr>
            </w:pPr>
            <w:r w:rsidRPr="00CF77C1">
              <w:rPr>
                <w:lang w:val="sr-Cyrl-RS"/>
              </w:rPr>
              <w:t>Планирање развоја гасне инфраструктуре</w:t>
            </w:r>
            <w:r w:rsidR="00562531">
              <w:rPr>
                <w:lang w:val="sr-Cyrl-RS"/>
              </w:rPr>
              <w:t>.</w:t>
            </w:r>
          </w:p>
        </w:tc>
        <w:tc>
          <w:tcPr>
            <w:tcW w:w="4111" w:type="dxa"/>
            <w:vAlign w:val="center"/>
          </w:tcPr>
          <w:p w14:paraId="28CE1093" w14:textId="3D9B2EBA" w:rsidR="009B15AB" w:rsidRPr="00CF77C1" w:rsidRDefault="00562531" w:rsidP="0080044B">
            <w:pPr>
              <w:keepNext/>
              <w:keepLines/>
              <w:framePr w:hSpace="181" w:wrap="notBeside" w:vAnchor="text" w:hAnchor="text" w:x="-33" w:y="1"/>
              <w:jc w:val="left"/>
              <w:rPr>
                <w:lang w:val="sr-Cyrl-RS"/>
              </w:rPr>
            </w:pPr>
            <w:r>
              <w:rPr>
                <w:lang w:val="sr-Cyrl-RS"/>
              </w:rPr>
              <w:t>Израда с</w:t>
            </w:r>
            <w:r w:rsidR="005359FF" w:rsidRPr="00CF77C1">
              <w:rPr>
                <w:lang w:val="sr-Cyrl-RS"/>
              </w:rPr>
              <w:t xml:space="preserve">тудија оправданости изградње магистралних гасовода до граница са Румунијом, </w:t>
            </w:r>
            <w:r w:rsidR="000947FE" w:rsidRPr="00CF77C1">
              <w:rPr>
                <w:lang w:val="sr-Cyrl-RS"/>
              </w:rPr>
              <w:t>Хрватском, Црном Гором,</w:t>
            </w:r>
            <w:r w:rsidR="005359FF" w:rsidRPr="00CF77C1">
              <w:rPr>
                <w:lang w:val="sr-Cyrl-RS"/>
              </w:rPr>
              <w:t xml:space="preserve"> Македонијом</w:t>
            </w:r>
            <w:r w:rsidR="000947FE" w:rsidRPr="00CF77C1">
              <w:rPr>
                <w:lang w:val="sr-Cyrl-RS"/>
              </w:rPr>
              <w:t xml:space="preserve"> и Босном и Херцеговином</w:t>
            </w:r>
            <w:r>
              <w:rPr>
                <w:lang w:val="sr-Cyrl-RS"/>
              </w:rPr>
              <w:t>.</w:t>
            </w:r>
          </w:p>
        </w:tc>
        <w:tc>
          <w:tcPr>
            <w:tcW w:w="1701" w:type="dxa"/>
            <w:vAlign w:val="center"/>
          </w:tcPr>
          <w:p w14:paraId="045E91C7" w14:textId="77777777" w:rsidR="009B15AB" w:rsidRPr="00CF77C1" w:rsidRDefault="009B15AB" w:rsidP="0080044B">
            <w:pPr>
              <w:keepNext/>
              <w:keepLines/>
              <w:framePr w:hSpace="181" w:wrap="notBeside" w:vAnchor="text" w:hAnchor="text" w:x="-33" w:y="1"/>
              <w:jc w:val="center"/>
              <w:rPr>
                <w:lang w:val="sr-Cyrl-RS"/>
              </w:rPr>
            </w:pPr>
            <w:r w:rsidRPr="00CF77C1">
              <w:rPr>
                <w:lang w:val="sr-Cyrl-RS"/>
              </w:rPr>
              <w:t>2020-2023. година</w:t>
            </w:r>
          </w:p>
        </w:tc>
        <w:tc>
          <w:tcPr>
            <w:tcW w:w="2835" w:type="dxa"/>
            <w:vAlign w:val="center"/>
          </w:tcPr>
          <w:p w14:paraId="3B0B1F83" w14:textId="2BDDF5E7" w:rsidR="009B15AB" w:rsidRPr="00CF77C1" w:rsidRDefault="009B15AB" w:rsidP="0080044B">
            <w:pPr>
              <w:keepNext/>
              <w:keepLines/>
              <w:framePr w:hSpace="181" w:wrap="notBeside" w:vAnchor="text" w:hAnchor="text" w:x="-33" w:y="1"/>
              <w:jc w:val="left"/>
              <w:rPr>
                <w:lang w:val="sr-Cyrl-RS"/>
              </w:rPr>
            </w:pPr>
            <w:r w:rsidRPr="00CF77C1">
              <w:rPr>
                <w:lang w:val="sr-Cyrl-RS"/>
              </w:rPr>
              <w:t>ОТС (</w:t>
            </w:r>
            <w:r w:rsidR="00205D28" w:rsidRPr="00CF77C1">
              <w:rPr>
                <w:lang w:val="sr-Cyrl-RS"/>
              </w:rPr>
              <w:t>Транспортгас Србија д.о.о.</w:t>
            </w:r>
            <w:r w:rsidRPr="00CF77C1">
              <w:rPr>
                <w:lang w:val="sr-Cyrl-RS"/>
              </w:rPr>
              <w:t>)</w:t>
            </w:r>
          </w:p>
          <w:p w14:paraId="34C4C27A" w14:textId="4359F1DC" w:rsidR="009B15AB" w:rsidRPr="00CF77C1" w:rsidRDefault="00AC627E" w:rsidP="0080044B">
            <w:pPr>
              <w:keepNext/>
              <w:keepLines/>
              <w:framePr w:hSpace="181" w:wrap="notBeside" w:vAnchor="text" w:hAnchor="text" w:x="-33" w:y="1"/>
              <w:jc w:val="left"/>
              <w:rPr>
                <w:lang w:val="sr-Cyrl-RS"/>
              </w:rPr>
            </w:pPr>
            <w:r w:rsidRPr="00CF77C1">
              <w:rPr>
                <w:lang w:val="sr-Cyrl-RS"/>
              </w:rPr>
              <w:t>м</w:t>
            </w:r>
            <w:r w:rsidR="005C650D" w:rsidRPr="00CF77C1">
              <w:rPr>
                <w:lang w:val="sr-Cyrl-RS"/>
              </w:rPr>
              <w:t>инистарство надлежно за послове</w:t>
            </w:r>
            <w:r w:rsidR="009B15AB" w:rsidRPr="00CF77C1">
              <w:rPr>
                <w:lang w:val="sr-Cyrl-RS"/>
              </w:rPr>
              <w:t xml:space="preserve"> </w:t>
            </w:r>
            <w:r w:rsidR="0013305E" w:rsidRPr="00CF77C1">
              <w:rPr>
                <w:lang w:val="sr-Cyrl-RS"/>
              </w:rPr>
              <w:t xml:space="preserve">рударства и </w:t>
            </w:r>
            <w:r w:rsidR="009B15AB" w:rsidRPr="00CF77C1">
              <w:rPr>
                <w:lang w:val="sr-Cyrl-RS"/>
              </w:rPr>
              <w:t>енергетике</w:t>
            </w:r>
          </w:p>
        </w:tc>
        <w:tc>
          <w:tcPr>
            <w:tcW w:w="2977" w:type="dxa"/>
            <w:vAlign w:val="center"/>
          </w:tcPr>
          <w:p w14:paraId="7B658CA5" w14:textId="4AE6F289" w:rsidR="009B15AB" w:rsidRPr="00CF77C1" w:rsidRDefault="009B15AB" w:rsidP="0080044B">
            <w:pPr>
              <w:keepNext/>
              <w:keepLines/>
              <w:framePr w:hSpace="181" w:wrap="notBeside" w:vAnchor="text" w:hAnchor="text" w:x="-33" w:y="1"/>
              <w:jc w:val="left"/>
              <w:rPr>
                <w:lang w:val="sr-Cyrl-RS"/>
              </w:rPr>
            </w:pPr>
            <w:r w:rsidRPr="00CF77C1">
              <w:rPr>
                <w:lang w:val="sr-Cyrl-RS"/>
              </w:rPr>
              <w:t>Урађене студије оправданости</w:t>
            </w:r>
            <w:r w:rsidR="00562531">
              <w:rPr>
                <w:lang w:val="sr-Cyrl-RS"/>
              </w:rPr>
              <w:t>.</w:t>
            </w:r>
          </w:p>
        </w:tc>
      </w:tr>
      <w:tr w:rsidR="000947FE" w:rsidRPr="00CF77C1" w14:paraId="1B7065E9" w14:textId="77777777" w:rsidTr="009B15AB">
        <w:trPr>
          <w:cantSplit/>
        </w:trPr>
        <w:tc>
          <w:tcPr>
            <w:tcW w:w="3119" w:type="dxa"/>
            <w:vMerge/>
            <w:vAlign w:val="center"/>
          </w:tcPr>
          <w:p w14:paraId="1EEBD228" w14:textId="77777777" w:rsidR="000947FE" w:rsidRPr="00CF77C1" w:rsidRDefault="000947FE" w:rsidP="000947FE">
            <w:pPr>
              <w:framePr w:hSpace="181" w:wrap="notBeside" w:vAnchor="text" w:hAnchor="text" w:x="-33" w:y="1"/>
              <w:jc w:val="left"/>
              <w:rPr>
                <w:lang w:val="sr-Cyrl-RS"/>
              </w:rPr>
            </w:pPr>
          </w:p>
        </w:tc>
        <w:tc>
          <w:tcPr>
            <w:tcW w:w="4111" w:type="dxa"/>
            <w:vAlign w:val="center"/>
          </w:tcPr>
          <w:p w14:paraId="57EA1721" w14:textId="46685812" w:rsidR="000947FE" w:rsidRPr="00CF77C1" w:rsidRDefault="00562531" w:rsidP="000947FE">
            <w:pPr>
              <w:keepNext/>
              <w:keepLines/>
              <w:framePr w:hSpace="181" w:wrap="notBeside" w:vAnchor="text" w:hAnchor="text" w:x="-33" w:y="1"/>
              <w:jc w:val="left"/>
              <w:rPr>
                <w:lang w:val="sr-Cyrl-RS"/>
              </w:rPr>
            </w:pPr>
            <w:r>
              <w:rPr>
                <w:lang w:val="sr-Cyrl-RS"/>
              </w:rPr>
              <w:t>Израда с</w:t>
            </w:r>
            <w:r w:rsidR="000947FE" w:rsidRPr="00CF77C1">
              <w:rPr>
                <w:lang w:val="sr-Cyrl-RS"/>
              </w:rPr>
              <w:t>тудије оправданости изградње компресорских станица</w:t>
            </w:r>
            <w:r>
              <w:rPr>
                <w:lang w:val="sr-Cyrl-RS"/>
              </w:rPr>
              <w:t>.</w:t>
            </w:r>
          </w:p>
        </w:tc>
        <w:tc>
          <w:tcPr>
            <w:tcW w:w="1701" w:type="dxa"/>
            <w:vAlign w:val="center"/>
          </w:tcPr>
          <w:p w14:paraId="4A863B95" w14:textId="66EDE26F" w:rsidR="000947FE" w:rsidRPr="00CF77C1" w:rsidRDefault="000947FE" w:rsidP="000947FE">
            <w:pPr>
              <w:keepNext/>
              <w:keepLines/>
              <w:framePr w:hSpace="181" w:wrap="notBeside" w:vAnchor="text" w:hAnchor="text" w:x="-33" w:y="1"/>
              <w:jc w:val="center"/>
              <w:rPr>
                <w:lang w:val="sr-Cyrl-RS"/>
              </w:rPr>
            </w:pPr>
            <w:r w:rsidRPr="00CF77C1">
              <w:rPr>
                <w:lang w:val="sr-Cyrl-RS"/>
              </w:rPr>
              <w:t>2020-2023. година</w:t>
            </w:r>
          </w:p>
        </w:tc>
        <w:tc>
          <w:tcPr>
            <w:tcW w:w="2835" w:type="dxa"/>
            <w:vAlign w:val="center"/>
          </w:tcPr>
          <w:p w14:paraId="4F14AD17" w14:textId="7D2F796E" w:rsidR="000947FE" w:rsidRPr="00CF77C1" w:rsidRDefault="000947FE" w:rsidP="000947FE">
            <w:pPr>
              <w:keepNext/>
              <w:keepLines/>
              <w:framePr w:hSpace="181" w:wrap="notBeside" w:vAnchor="text" w:hAnchor="text" w:x="-33" w:y="1"/>
              <w:jc w:val="left"/>
              <w:rPr>
                <w:lang w:val="sr-Cyrl-RS"/>
              </w:rPr>
            </w:pPr>
            <w:r w:rsidRPr="00CF77C1">
              <w:rPr>
                <w:lang w:val="sr-Cyrl-RS"/>
              </w:rPr>
              <w:t>ОТС (</w:t>
            </w:r>
            <w:r w:rsidR="00205D28" w:rsidRPr="00CF77C1">
              <w:rPr>
                <w:lang w:val="sr-Cyrl-RS"/>
              </w:rPr>
              <w:t>Транспортгас Србија д.о.о.</w:t>
            </w:r>
            <w:r w:rsidRPr="00CF77C1">
              <w:rPr>
                <w:lang w:val="sr-Cyrl-RS"/>
              </w:rPr>
              <w:t>)</w:t>
            </w:r>
          </w:p>
          <w:p w14:paraId="1AA8A0DE" w14:textId="07C2AE23" w:rsidR="000947FE" w:rsidRPr="00CF77C1" w:rsidRDefault="00AC627E" w:rsidP="000947FE">
            <w:pPr>
              <w:keepNext/>
              <w:keepLines/>
              <w:framePr w:hSpace="181" w:wrap="notBeside" w:vAnchor="text" w:hAnchor="text" w:x="-33" w:y="1"/>
              <w:jc w:val="left"/>
              <w:rPr>
                <w:lang w:val="sr-Cyrl-RS"/>
              </w:rPr>
            </w:pPr>
            <w:r w:rsidRPr="00CF77C1">
              <w:rPr>
                <w:lang w:val="sr-Cyrl-RS"/>
              </w:rPr>
              <w:t>м</w:t>
            </w:r>
            <w:r w:rsidR="000947FE" w:rsidRPr="00CF77C1">
              <w:rPr>
                <w:lang w:val="sr-Cyrl-RS"/>
              </w:rPr>
              <w:t>инистарство надлежно за послове рударства и енергетике</w:t>
            </w:r>
          </w:p>
        </w:tc>
        <w:tc>
          <w:tcPr>
            <w:tcW w:w="2977" w:type="dxa"/>
            <w:vAlign w:val="center"/>
          </w:tcPr>
          <w:p w14:paraId="5230210A" w14:textId="2FBEEF16" w:rsidR="000947FE" w:rsidRPr="00CF77C1" w:rsidRDefault="000947FE" w:rsidP="000947FE">
            <w:pPr>
              <w:keepNext/>
              <w:keepLines/>
              <w:framePr w:hSpace="181" w:wrap="notBeside" w:vAnchor="text" w:hAnchor="text" w:x="-33" w:y="1"/>
              <w:jc w:val="left"/>
              <w:rPr>
                <w:lang w:val="sr-Cyrl-RS"/>
              </w:rPr>
            </w:pPr>
            <w:r w:rsidRPr="00CF77C1">
              <w:rPr>
                <w:lang w:val="sr-Cyrl-RS"/>
              </w:rPr>
              <w:t>Урађене студије оправданости</w:t>
            </w:r>
            <w:r w:rsidR="00562531">
              <w:rPr>
                <w:lang w:val="sr-Cyrl-RS"/>
              </w:rPr>
              <w:t>.</w:t>
            </w:r>
          </w:p>
        </w:tc>
      </w:tr>
      <w:tr w:rsidR="000947FE" w:rsidRPr="00CF77C1" w14:paraId="40CEC87F" w14:textId="77777777" w:rsidTr="009B15AB">
        <w:trPr>
          <w:cantSplit/>
        </w:trPr>
        <w:tc>
          <w:tcPr>
            <w:tcW w:w="3119" w:type="dxa"/>
            <w:vMerge/>
            <w:vAlign w:val="center"/>
          </w:tcPr>
          <w:p w14:paraId="618DCEC5" w14:textId="77777777" w:rsidR="000947FE" w:rsidRPr="00CF77C1" w:rsidRDefault="000947FE" w:rsidP="000947FE">
            <w:pPr>
              <w:framePr w:hSpace="181" w:wrap="notBeside" w:vAnchor="text" w:hAnchor="text" w:x="-33" w:y="1"/>
              <w:jc w:val="left"/>
              <w:rPr>
                <w:lang w:val="sr-Cyrl-RS"/>
              </w:rPr>
            </w:pPr>
          </w:p>
        </w:tc>
        <w:tc>
          <w:tcPr>
            <w:tcW w:w="4111" w:type="dxa"/>
            <w:vAlign w:val="center"/>
          </w:tcPr>
          <w:p w14:paraId="1842564E" w14:textId="6EC45A20" w:rsidR="000947FE" w:rsidRPr="00CF77C1" w:rsidRDefault="00562531" w:rsidP="000947FE">
            <w:pPr>
              <w:keepLines/>
              <w:framePr w:hSpace="181" w:wrap="notBeside" w:vAnchor="text" w:hAnchor="text" w:x="-33" w:y="1"/>
              <w:jc w:val="left"/>
              <w:rPr>
                <w:lang w:val="sr-Cyrl-RS"/>
              </w:rPr>
            </w:pPr>
            <w:r>
              <w:rPr>
                <w:lang w:val="sr-Cyrl-RS"/>
              </w:rPr>
              <w:t>Геолошка истраживања и израда студије оправданости изградње п</w:t>
            </w:r>
            <w:r w:rsidR="000947FE" w:rsidRPr="00CF77C1">
              <w:rPr>
                <w:lang w:val="sr-Cyrl-RS"/>
              </w:rPr>
              <w:t>одземног складишта гаса Итебеј</w:t>
            </w:r>
            <w:r>
              <w:rPr>
                <w:lang w:val="sr-Cyrl-RS"/>
              </w:rPr>
              <w:t>.</w:t>
            </w:r>
          </w:p>
        </w:tc>
        <w:tc>
          <w:tcPr>
            <w:tcW w:w="1701" w:type="dxa"/>
            <w:vAlign w:val="center"/>
          </w:tcPr>
          <w:p w14:paraId="43F5A6AF" w14:textId="77777777" w:rsidR="000947FE" w:rsidRPr="00CF77C1" w:rsidRDefault="000947FE" w:rsidP="000947FE">
            <w:pPr>
              <w:keepLines/>
              <w:framePr w:hSpace="181" w:wrap="notBeside" w:vAnchor="text" w:hAnchor="text" w:x="-33" w:y="1"/>
              <w:jc w:val="center"/>
              <w:rPr>
                <w:lang w:val="sr-Cyrl-RS"/>
              </w:rPr>
            </w:pPr>
            <w:r w:rsidRPr="00CF77C1">
              <w:rPr>
                <w:lang w:val="sr-Cyrl-RS"/>
              </w:rPr>
              <w:t>2018-2021. година</w:t>
            </w:r>
          </w:p>
        </w:tc>
        <w:tc>
          <w:tcPr>
            <w:tcW w:w="2835" w:type="dxa"/>
            <w:vAlign w:val="center"/>
          </w:tcPr>
          <w:p w14:paraId="420851D4" w14:textId="21525AFD" w:rsidR="000947FE" w:rsidRPr="00CF77C1" w:rsidRDefault="000947FE" w:rsidP="000947FE">
            <w:pPr>
              <w:keepNext/>
              <w:keepLines/>
              <w:framePr w:hSpace="181" w:wrap="notBeside" w:vAnchor="text" w:hAnchor="text" w:x="-33" w:y="1"/>
              <w:jc w:val="left"/>
              <w:rPr>
                <w:lang w:val="sr-Cyrl-RS"/>
              </w:rPr>
            </w:pPr>
            <w:r w:rsidRPr="00CF77C1">
              <w:rPr>
                <w:lang w:val="sr-Cyrl-RS"/>
              </w:rPr>
              <w:t>ОТС (</w:t>
            </w:r>
            <w:r w:rsidR="00205D28" w:rsidRPr="00CF77C1">
              <w:rPr>
                <w:lang w:val="sr-Cyrl-RS"/>
              </w:rPr>
              <w:t>Транспортгас Србија д.о.о.</w:t>
            </w:r>
            <w:r w:rsidRPr="00CF77C1">
              <w:rPr>
                <w:lang w:val="sr-Cyrl-RS"/>
              </w:rPr>
              <w:t>)</w:t>
            </w:r>
          </w:p>
          <w:p w14:paraId="54380C14" w14:textId="093019E1" w:rsidR="000947FE" w:rsidRPr="00CF77C1" w:rsidRDefault="00AC627E" w:rsidP="000947FE">
            <w:pPr>
              <w:keepLines/>
              <w:framePr w:hSpace="181" w:wrap="notBeside" w:vAnchor="text" w:hAnchor="text" w:x="-33" w:y="1"/>
              <w:jc w:val="left"/>
              <w:rPr>
                <w:lang w:val="sr-Cyrl-RS"/>
              </w:rPr>
            </w:pPr>
            <w:r w:rsidRPr="00CF77C1">
              <w:rPr>
                <w:lang w:val="sr-Cyrl-RS"/>
              </w:rPr>
              <w:t>м</w:t>
            </w:r>
            <w:r w:rsidR="000947FE" w:rsidRPr="00CF77C1">
              <w:rPr>
                <w:lang w:val="sr-Cyrl-RS"/>
              </w:rPr>
              <w:t>инистарство надлежно за послове рударства и енергетике</w:t>
            </w:r>
          </w:p>
        </w:tc>
        <w:tc>
          <w:tcPr>
            <w:tcW w:w="2977" w:type="dxa"/>
            <w:vAlign w:val="center"/>
          </w:tcPr>
          <w:p w14:paraId="053441D9" w14:textId="133D3FA2" w:rsidR="000947FE" w:rsidRPr="00CF77C1" w:rsidRDefault="000947FE" w:rsidP="000947FE">
            <w:pPr>
              <w:keepLines/>
              <w:framePr w:hSpace="181" w:wrap="notBeside" w:vAnchor="text" w:hAnchor="text" w:x="-33" w:y="1"/>
              <w:jc w:val="left"/>
              <w:rPr>
                <w:lang w:val="sr-Cyrl-RS"/>
              </w:rPr>
            </w:pPr>
            <w:r w:rsidRPr="00CF77C1">
              <w:rPr>
                <w:lang w:val="sr-Cyrl-RS"/>
              </w:rPr>
              <w:t>Урађена студија оправданости</w:t>
            </w:r>
            <w:r w:rsidR="00562531">
              <w:rPr>
                <w:lang w:val="sr-Cyrl-RS"/>
              </w:rPr>
              <w:t>.</w:t>
            </w:r>
          </w:p>
        </w:tc>
      </w:tr>
      <w:tr w:rsidR="000947FE" w:rsidRPr="00CF77C1" w14:paraId="2EC81880" w14:textId="77777777" w:rsidTr="009B15AB">
        <w:trPr>
          <w:cantSplit/>
          <w:trHeight w:val="702"/>
        </w:trPr>
        <w:tc>
          <w:tcPr>
            <w:tcW w:w="3119" w:type="dxa"/>
            <w:vMerge/>
            <w:vAlign w:val="center"/>
          </w:tcPr>
          <w:p w14:paraId="57EE7F7C" w14:textId="77777777" w:rsidR="000947FE" w:rsidRPr="00CF77C1" w:rsidRDefault="000947FE" w:rsidP="000947FE">
            <w:pPr>
              <w:framePr w:hSpace="181" w:wrap="notBeside" w:vAnchor="text" w:hAnchor="text" w:x="-33" w:y="1"/>
              <w:jc w:val="left"/>
              <w:rPr>
                <w:lang w:val="sr-Cyrl-RS"/>
              </w:rPr>
            </w:pPr>
          </w:p>
        </w:tc>
        <w:tc>
          <w:tcPr>
            <w:tcW w:w="4111" w:type="dxa"/>
            <w:vAlign w:val="center"/>
          </w:tcPr>
          <w:p w14:paraId="739D9F98" w14:textId="17D438A0" w:rsidR="000947FE" w:rsidRPr="00CF77C1" w:rsidRDefault="00562531" w:rsidP="000947FE">
            <w:pPr>
              <w:framePr w:hSpace="181" w:wrap="notBeside" w:vAnchor="text" w:hAnchor="text" w:x="-33" w:y="1"/>
              <w:jc w:val="left"/>
              <w:rPr>
                <w:lang w:val="sr-Cyrl-RS"/>
              </w:rPr>
            </w:pPr>
            <w:r>
              <w:rPr>
                <w:lang w:val="sr-Cyrl-RS"/>
              </w:rPr>
              <w:t>Геолошка истраживања и израда студије оправданости изградње п</w:t>
            </w:r>
            <w:r w:rsidR="000947FE" w:rsidRPr="00CF77C1">
              <w:rPr>
                <w:lang w:val="sr-Cyrl-RS"/>
              </w:rPr>
              <w:t>одземног складишта гаса Тилва</w:t>
            </w:r>
            <w:r>
              <w:rPr>
                <w:lang w:val="sr-Cyrl-RS"/>
              </w:rPr>
              <w:t>.</w:t>
            </w:r>
          </w:p>
        </w:tc>
        <w:tc>
          <w:tcPr>
            <w:tcW w:w="1701" w:type="dxa"/>
            <w:vAlign w:val="center"/>
          </w:tcPr>
          <w:p w14:paraId="01008B79" w14:textId="77777777" w:rsidR="000947FE" w:rsidRPr="00CF77C1" w:rsidRDefault="000947FE" w:rsidP="000947FE">
            <w:pPr>
              <w:keepLines/>
              <w:framePr w:hSpace="181" w:wrap="notBeside" w:vAnchor="text" w:hAnchor="text" w:x="-33" w:y="1"/>
              <w:jc w:val="center"/>
              <w:rPr>
                <w:lang w:val="sr-Cyrl-RS"/>
              </w:rPr>
            </w:pPr>
            <w:r w:rsidRPr="00CF77C1">
              <w:rPr>
                <w:lang w:val="sr-Cyrl-RS"/>
              </w:rPr>
              <w:t>2020-2023. година</w:t>
            </w:r>
          </w:p>
        </w:tc>
        <w:tc>
          <w:tcPr>
            <w:tcW w:w="2835" w:type="dxa"/>
            <w:vAlign w:val="center"/>
          </w:tcPr>
          <w:p w14:paraId="0CF3612D" w14:textId="6F795048" w:rsidR="000947FE" w:rsidRPr="00CF77C1" w:rsidRDefault="000947FE" w:rsidP="000947FE">
            <w:pPr>
              <w:keepNext/>
              <w:keepLines/>
              <w:framePr w:hSpace="181" w:wrap="notBeside" w:vAnchor="text" w:hAnchor="text" w:x="-33" w:y="1"/>
              <w:jc w:val="left"/>
              <w:rPr>
                <w:lang w:val="sr-Cyrl-RS"/>
              </w:rPr>
            </w:pPr>
            <w:r w:rsidRPr="00CF77C1">
              <w:rPr>
                <w:lang w:val="sr-Cyrl-RS"/>
              </w:rPr>
              <w:t>ОТС (</w:t>
            </w:r>
            <w:r w:rsidR="00205D28" w:rsidRPr="00CF77C1">
              <w:rPr>
                <w:lang w:val="sr-Cyrl-RS"/>
              </w:rPr>
              <w:t>Транспортгас Србија д.о.о.</w:t>
            </w:r>
            <w:r w:rsidRPr="00CF77C1">
              <w:rPr>
                <w:lang w:val="sr-Cyrl-RS"/>
              </w:rPr>
              <w:t>)</w:t>
            </w:r>
          </w:p>
          <w:p w14:paraId="6FE3A202" w14:textId="4C1ACA51" w:rsidR="000947FE" w:rsidRPr="00CF77C1" w:rsidRDefault="00AC627E" w:rsidP="000947FE">
            <w:pPr>
              <w:keepLines/>
              <w:framePr w:hSpace="181" w:wrap="notBeside" w:vAnchor="text" w:hAnchor="text" w:x="-33" w:y="1"/>
              <w:jc w:val="left"/>
              <w:rPr>
                <w:lang w:val="sr-Cyrl-RS"/>
              </w:rPr>
            </w:pPr>
            <w:r w:rsidRPr="00CF77C1">
              <w:rPr>
                <w:lang w:val="sr-Cyrl-RS"/>
              </w:rPr>
              <w:t>м</w:t>
            </w:r>
            <w:r w:rsidR="000947FE" w:rsidRPr="00CF77C1">
              <w:rPr>
                <w:lang w:val="sr-Cyrl-RS"/>
              </w:rPr>
              <w:t>инистарство надлежно за послове рударства и енергетике</w:t>
            </w:r>
          </w:p>
        </w:tc>
        <w:tc>
          <w:tcPr>
            <w:tcW w:w="2977" w:type="dxa"/>
            <w:vAlign w:val="center"/>
          </w:tcPr>
          <w:p w14:paraId="0ACB27F2" w14:textId="496A6F51" w:rsidR="000947FE" w:rsidRPr="00CF77C1" w:rsidRDefault="000947FE" w:rsidP="000947FE">
            <w:pPr>
              <w:keepLines/>
              <w:framePr w:hSpace="181" w:wrap="notBeside" w:vAnchor="text" w:hAnchor="text" w:x="-33" w:y="1"/>
              <w:jc w:val="left"/>
              <w:rPr>
                <w:lang w:val="sr-Cyrl-RS"/>
              </w:rPr>
            </w:pPr>
            <w:r w:rsidRPr="00CF77C1">
              <w:rPr>
                <w:lang w:val="sr-Cyrl-RS"/>
              </w:rPr>
              <w:t>Урађена студија оправданости</w:t>
            </w:r>
            <w:r w:rsidR="00562531">
              <w:rPr>
                <w:lang w:val="sr-Cyrl-RS"/>
              </w:rPr>
              <w:t>.</w:t>
            </w:r>
          </w:p>
        </w:tc>
      </w:tr>
    </w:tbl>
    <w:p w14:paraId="4D60B912" w14:textId="4D11FF40" w:rsidR="009B15AB" w:rsidRPr="00CF77C1" w:rsidRDefault="00D61BC9" w:rsidP="00E209CF">
      <w:pPr>
        <w:pStyle w:val="Caption"/>
        <w:ind w:firstLine="720"/>
        <w:rPr>
          <w:b w:val="0"/>
          <w:lang w:val="sr-Cyrl-RS"/>
        </w:rPr>
      </w:pPr>
      <w:bookmarkStart w:id="151" w:name="_Ref469298192"/>
      <w:r w:rsidRPr="00CF77C1">
        <w:rPr>
          <w:b w:val="0"/>
          <w:lang w:val="sr-Cyrl-RS"/>
        </w:rPr>
        <w:t>таб.</w:t>
      </w:r>
      <w:r w:rsidR="009B15AB"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63</w:t>
      </w:r>
      <w:r w:rsidR="0092145E" w:rsidRPr="00CF77C1">
        <w:rPr>
          <w:b w:val="0"/>
          <w:lang w:val="sr-Cyrl-RS"/>
        </w:rPr>
        <w:fldChar w:fldCharType="end"/>
      </w:r>
      <w:bookmarkEnd w:id="151"/>
      <w:r w:rsidR="009B15AB" w:rsidRPr="00CF77C1">
        <w:rPr>
          <w:b w:val="0"/>
          <w:lang w:val="sr-Cyrl-RS"/>
        </w:rPr>
        <w:t>: Мере за унапређење енергетске ефикасности у производњи, транспорту и дистрибуцији природног гаса</w:t>
      </w:r>
    </w:p>
    <w:tbl>
      <w:tblPr>
        <w:tblStyle w:val="TableGrid"/>
        <w:tblW w:w="14709" w:type="dxa"/>
        <w:tblLayout w:type="fixed"/>
        <w:tblLook w:val="04A0" w:firstRow="1" w:lastRow="0" w:firstColumn="1" w:lastColumn="0" w:noHBand="0" w:noVBand="1"/>
      </w:tblPr>
      <w:tblGrid>
        <w:gridCol w:w="2660"/>
        <w:gridCol w:w="2977"/>
        <w:gridCol w:w="1559"/>
        <w:gridCol w:w="1843"/>
        <w:gridCol w:w="5670"/>
      </w:tblGrid>
      <w:tr w:rsidR="001C4E4D" w:rsidRPr="00CF77C1" w14:paraId="2268E26A" w14:textId="77777777" w:rsidTr="00D137F9">
        <w:trPr>
          <w:cantSplit/>
          <w:tblHeader/>
        </w:trPr>
        <w:tc>
          <w:tcPr>
            <w:tcW w:w="2660" w:type="dxa"/>
            <w:vAlign w:val="center"/>
          </w:tcPr>
          <w:p w14:paraId="7BCA6138" w14:textId="77777777" w:rsidR="001C4E4D" w:rsidRPr="00CF77C1" w:rsidRDefault="001C4E4D" w:rsidP="00D93ED4">
            <w:pPr>
              <w:framePr w:hSpace="181" w:wrap="notBeside" w:vAnchor="text" w:hAnchor="text" w:y="1"/>
              <w:jc w:val="center"/>
              <w:rPr>
                <w:lang w:val="sr-Cyrl-RS"/>
              </w:rPr>
            </w:pPr>
            <w:r w:rsidRPr="00CF77C1">
              <w:rPr>
                <w:lang w:val="sr-Cyrl-RS"/>
              </w:rPr>
              <w:t>Мера</w:t>
            </w:r>
          </w:p>
        </w:tc>
        <w:tc>
          <w:tcPr>
            <w:tcW w:w="2977" w:type="dxa"/>
            <w:vAlign w:val="center"/>
          </w:tcPr>
          <w:p w14:paraId="1E00A1FF" w14:textId="77777777" w:rsidR="001C4E4D" w:rsidRPr="00CF77C1" w:rsidRDefault="001C4E4D" w:rsidP="00D93ED4">
            <w:pPr>
              <w:framePr w:hSpace="181" w:wrap="notBeside" w:vAnchor="text" w:hAnchor="text" w:y="1"/>
              <w:jc w:val="center"/>
              <w:rPr>
                <w:lang w:val="sr-Cyrl-RS"/>
              </w:rPr>
            </w:pPr>
            <w:r w:rsidRPr="00CF77C1">
              <w:rPr>
                <w:rFonts w:eastAsia="Myriad Pro"/>
                <w:spacing w:val="-3"/>
                <w:lang w:val="sr-Cyrl-RS"/>
              </w:rPr>
              <w:t>Активност</w:t>
            </w:r>
          </w:p>
        </w:tc>
        <w:tc>
          <w:tcPr>
            <w:tcW w:w="1559" w:type="dxa"/>
            <w:vAlign w:val="center"/>
          </w:tcPr>
          <w:p w14:paraId="195388D5" w14:textId="77777777" w:rsidR="001C4E4D" w:rsidRPr="00CF77C1" w:rsidRDefault="001C4E4D" w:rsidP="00D93ED4">
            <w:pPr>
              <w:keepLines/>
              <w:framePr w:hSpace="181" w:wrap="notBeside" w:vAnchor="text" w:hAnchor="text" w:y="1"/>
              <w:jc w:val="center"/>
              <w:rPr>
                <w:lang w:val="sr-Cyrl-RS"/>
              </w:rPr>
            </w:pPr>
            <w:r w:rsidRPr="00CF77C1">
              <w:rPr>
                <w:lang w:val="sr-Cyrl-RS"/>
              </w:rPr>
              <w:t>Рок за извршење</w:t>
            </w:r>
          </w:p>
        </w:tc>
        <w:tc>
          <w:tcPr>
            <w:tcW w:w="1843" w:type="dxa"/>
            <w:vAlign w:val="center"/>
          </w:tcPr>
          <w:p w14:paraId="34B51B03" w14:textId="77777777" w:rsidR="001C4E4D" w:rsidRPr="00CF77C1" w:rsidRDefault="001C4E4D" w:rsidP="00D93ED4">
            <w:pPr>
              <w:keepLines/>
              <w:framePr w:hSpace="181" w:wrap="notBeside" w:vAnchor="text" w:hAnchor="text" w:y="1"/>
              <w:jc w:val="center"/>
              <w:rPr>
                <w:lang w:val="sr-Cyrl-RS"/>
              </w:rPr>
            </w:pPr>
            <w:r w:rsidRPr="00CF77C1">
              <w:rPr>
                <w:lang w:val="sr-Cyrl-RS"/>
              </w:rPr>
              <w:t>Одговорни субјекат</w:t>
            </w:r>
          </w:p>
        </w:tc>
        <w:tc>
          <w:tcPr>
            <w:tcW w:w="5670" w:type="dxa"/>
            <w:vAlign w:val="center"/>
          </w:tcPr>
          <w:p w14:paraId="22DA0E72" w14:textId="77777777" w:rsidR="001C4E4D" w:rsidRPr="00CF77C1" w:rsidRDefault="001C4E4D" w:rsidP="00D93ED4">
            <w:pPr>
              <w:keepLines/>
              <w:framePr w:hSpace="181" w:wrap="notBeside" w:vAnchor="text" w:hAnchor="text" w:y="1"/>
              <w:jc w:val="center"/>
              <w:rPr>
                <w:lang w:val="sr-Cyrl-RS"/>
              </w:rPr>
            </w:pPr>
            <w:r w:rsidRPr="00CF77C1">
              <w:rPr>
                <w:lang w:val="sr-Cyrl-RS"/>
              </w:rPr>
              <w:t xml:space="preserve">Индикатор за праћење </w:t>
            </w:r>
            <w:r w:rsidRPr="00CF77C1">
              <w:rPr>
                <w:lang w:val="sr-Cyrl-RS"/>
              </w:rPr>
              <w:br/>
              <w:t>енергетске ефикасности</w:t>
            </w:r>
          </w:p>
        </w:tc>
      </w:tr>
      <w:tr w:rsidR="001C4E4D" w:rsidRPr="00CF77C1" w14:paraId="23C06547" w14:textId="77777777" w:rsidTr="00D137F9">
        <w:trPr>
          <w:cantSplit/>
        </w:trPr>
        <w:tc>
          <w:tcPr>
            <w:tcW w:w="2660" w:type="dxa"/>
            <w:vAlign w:val="center"/>
          </w:tcPr>
          <w:p w14:paraId="2CC2BC6C" w14:textId="181648D7" w:rsidR="001C4E4D" w:rsidRPr="00CF77C1" w:rsidRDefault="001C4E4D" w:rsidP="00D93ED4">
            <w:pPr>
              <w:framePr w:hSpace="181" w:wrap="notBeside" w:vAnchor="text" w:hAnchor="text" w:y="1"/>
              <w:jc w:val="left"/>
              <w:rPr>
                <w:lang w:val="sr-Cyrl-RS"/>
              </w:rPr>
            </w:pPr>
            <w:r w:rsidRPr="00CF77C1">
              <w:rPr>
                <w:lang w:val="sr-Cyrl-RS"/>
              </w:rPr>
              <w:t>Унапређење процеса производње нафте и природног гаса</w:t>
            </w:r>
            <w:r w:rsidR="00562531">
              <w:rPr>
                <w:lang w:val="sr-Cyrl-RS"/>
              </w:rPr>
              <w:t>.</w:t>
            </w:r>
          </w:p>
        </w:tc>
        <w:tc>
          <w:tcPr>
            <w:tcW w:w="2977" w:type="dxa"/>
            <w:vAlign w:val="center"/>
          </w:tcPr>
          <w:p w14:paraId="45C352C0" w14:textId="60D7988F" w:rsidR="001C4E4D" w:rsidRPr="00CF77C1" w:rsidRDefault="001C4E4D" w:rsidP="00D93ED4">
            <w:pPr>
              <w:framePr w:hSpace="181" w:wrap="notBeside" w:vAnchor="text" w:hAnchor="text" w:y="1"/>
              <w:jc w:val="left"/>
              <w:rPr>
                <w:lang w:val="sr-Cyrl-RS"/>
              </w:rPr>
            </w:pPr>
            <w:r w:rsidRPr="00CF77C1">
              <w:rPr>
                <w:lang w:val="sr-Cyrl-RS"/>
              </w:rPr>
              <w:t>Увођење ефикаснијих технологија и оптимизација производње нафте и природног гаса</w:t>
            </w:r>
            <w:r w:rsidR="00962DE8">
              <w:rPr>
                <w:lang w:val="sr-Cyrl-RS"/>
              </w:rPr>
              <w:t>.</w:t>
            </w:r>
            <w:r w:rsidRPr="00CF77C1">
              <w:rPr>
                <w:lang w:val="sr-Cyrl-RS"/>
              </w:rPr>
              <w:t xml:space="preserve"> </w:t>
            </w:r>
          </w:p>
        </w:tc>
        <w:tc>
          <w:tcPr>
            <w:tcW w:w="1559" w:type="dxa"/>
            <w:vAlign w:val="center"/>
          </w:tcPr>
          <w:p w14:paraId="714A6F95" w14:textId="77777777" w:rsidR="001C4E4D" w:rsidRPr="00CF77C1" w:rsidRDefault="001C4E4D" w:rsidP="00D93ED4">
            <w:pPr>
              <w:keepLines/>
              <w:framePr w:hSpace="181" w:wrap="notBeside" w:vAnchor="text" w:hAnchor="text" w:y="1"/>
              <w:jc w:val="center"/>
              <w:rPr>
                <w:lang w:val="sr-Cyrl-RS"/>
              </w:rPr>
            </w:pPr>
            <w:r w:rsidRPr="00CF77C1">
              <w:rPr>
                <w:lang w:val="sr-Cyrl-RS"/>
              </w:rPr>
              <w:t>2017-2023. година</w:t>
            </w:r>
          </w:p>
        </w:tc>
        <w:tc>
          <w:tcPr>
            <w:tcW w:w="1843" w:type="dxa"/>
            <w:vAlign w:val="center"/>
          </w:tcPr>
          <w:p w14:paraId="4FA78D2E" w14:textId="77777777" w:rsidR="001C4E4D" w:rsidRPr="00CF77C1" w:rsidRDefault="001C4E4D" w:rsidP="00D93ED4">
            <w:pPr>
              <w:keepLines/>
              <w:framePr w:hSpace="181" w:wrap="notBeside" w:vAnchor="text" w:hAnchor="text" w:y="1"/>
              <w:jc w:val="left"/>
              <w:rPr>
                <w:lang w:val="sr-Cyrl-RS"/>
              </w:rPr>
            </w:pPr>
            <w:r w:rsidRPr="00CF77C1">
              <w:rPr>
                <w:lang w:val="sr-Cyrl-RS"/>
              </w:rPr>
              <w:t>НИС а.д.</w:t>
            </w:r>
          </w:p>
        </w:tc>
        <w:tc>
          <w:tcPr>
            <w:tcW w:w="5670" w:type="dxa"/>
            <w:vAlign w:val="center"/>
          </w:tcPr>
          <w:p w14:paraId="69E006D5" w14:textId="77777777" w:rsidR="001C4E4D" w:rsidRPr="00CF77C1" w:rsidRDefault="001C4E4D" w:rsidP="00D93ED4">
            <w:pPr>
              <w:keepLines/>
              <w:framePr w:hSpace="181" w:wrap="notBeside" w:vAnchor="text" w:hAnchor="text" w:y="1"/>
              <w:jc w:val="left"/>
              <w:rPr>
                <w:lang w:val="sr-Cyrl-RS"/>
              </w:rPr>
            </w:pPr>
            <w:r w:rsidRPr="00CF77C1">
              <w:rPr>
                <w:lang w:val="sr-Cyrl-RS"/>
              </w:rPr>
              <w:t>Специфична потрошња природног гаса при производњи нафте и природног гаса:</w:t>
            </w:r>
          </w:p>
          <w:p w14:paraId="52731383" w14:textId="1E60A80D" w:rsidR="001C4E4D" w:rsidRPr="00CF77C1" w:rsidRDefault="001C4E4D" w:rsidP="00D93ED4">
            <w:pPr>
              <w:keepLines/>
              <w:framePr w:hSpace="181" w:wrap="notBeside" w:vAnchor="text" w:hAnchor="text" w:y="1"/>
              <w:jc w:val="left"/>
              <w:rPr>
                <w:lang w:val="sr-Cyrl-RS"/>
              </w:rPr>
            </w:pPr>
            <w:r w:rsidRPr="00CF77C1">
              <w:rPr>
                <w:lang w:val="sr-Cyrl-RS"/>
              </w:rPr>
              <w:t>2015. године: 66,67 m</w:t>
            </w:r>
            <w:r w:rsidRPr="00CF77C1">
              <w:rPr>
                <w:vertAlign w:val="superscript"/>
                <w:lang w:val="sr-Cyrl-RS"/>
              </w:rPr>
              <w:t>3</w:t>
            </w:r>
            <w:r w:rsidRPr="00CF77C1">
              <w:rPr>
                <w:lang w:val="sr-Cyrl-RS"/>
              </w:rPr>
              <w:t>/тен (РЗС, Укупан енергетски биланс за 2015. годину)</w:t>
            </w:r>
            <w:r w:rsidR="00562531">
              <w:rPr>
                <w:lang w:val="sr-Cyrl-RS"/>
              </w:rPr>
              <w:t>.</w:t>
            </w:r>
          </w:p>
        </w:tc>
      </w:tr>
      <w:tr w:rsidR="001C4E4D" w:rsidRPr="00CF77C1" w14:paraId="09D08ADC" w14:textId="77777777" w:rsidTr="00D137F9">
        <w:trPr>
          <w:cantSplit/>
        </w:trPr>
        <w:tc>
          <w:tcPr>
            <w:tcW w:w="2660" w:type="dxa"/>
            <w:vAlign w:val="center"/>
          </w:tcPr>
          <w:p w14:paraId="26FA22B8" w14:textId="29F51216" w:rsidR="001C4E4D" w:rsidRPr="00CF77C1" w:rsidRDefault="001C4E4D" w:rsidP="00D93ED4">
            <w:pPr>
              <w:framePr w:hSpace="181" w:wrap="notBeside" w:vAnchor="text" w:hAnchor="text" w:y="1"/>
              <w:jc w:val="left"/>
              <w:rPr>
                <w:lang w:val="sr-Cyrl-RS"/>
              </w:rPr>
            </w:pPr>
            <w:r w:rsidRPr="00CF77C1">
              <w:rPr>
                <w:lang w:val="sr-Cyrl-RS"/>
              </w:rPr>
              <w:t>Одржавање и рехабилитација транспортног система,</w:t>
            </w:r>
            <w:r w:rsidRPr="00CF77C1">
              <w:rPr>
                <w:lang w:val="sr-Cyrl-RS"/>
              </w:rPr>
              <w:br/>
              <w:t>укључујући и ревитализацију компресорске станице</w:t>
            </w:r>
            <w:r w:rsidR="00562531">
              <w:rPr>
                <w:lang w:val="sr-Cyrl-RS"/>
              </w:rPr>
              <w:t>.</w:t>
            </w:r>
          </w:p>
        </w:tc>
        <w:tc>
          <w:tcPr>
            <w:tcW w:w="2977" w:type="dxa"/>
            <w:vAlign w:val="center"/>
          </w:tcPr>
          <w:p w14:paraId="6512C316" w14:textId="4A04A34E" w:rsidR="001C4E4D" w:rsidRPr="00CF77C1" w:rsidRDefault="001C4E4D" w:rsidP="00D93ED4">
            <w:pPr>
              <w:keepLines/>
              <w:framePr w:hSpace="181" w:wrap="notBeside" w:vAnchor="text" w:hAnchor="text" w:y="1"/>
              <w:jc w:val="left"/>
              <w:rPr>
                <w:lang w:val="sr-Cyrl-RS"/>
              </w:rPr>
            </w:pPr>
            <w:r w:rsidRPr="00CF77C1">
              <w:rPr>
                <w:lang w:val="sr-Cyrl-RS"/>
              </w:rPr>
              <w:t>Дијагностика стања постојеће транспортне инфраструктуре, замена критичних деоница и инвестиционо одржавање опреме и инсталација</w:t>
            </w:r>
            <w:r w:rsidR="00962DE8">
              <w:rPr>
                <w:lang w:val="sr-Cyrl-RS"/>
              </w:rPr>
              <w:t>.</w:t>
            </w:r>
          </w:p>
        </w:tc>
        <w:tc>
          <w:tcPr>
            <w:tcW w:w="1559" w:type="dxa"/>
            <w:vAlign w:val="center"/>
          </w:tcPr>
          <w:p w14:paraId="1BD2FF75" w14:textId="77777777" w:rsidR="001C4E4D" w:rsidRPr="00CF77C1" w:rsidRDefault="001C4E4D" w:rsidP="00D93ED4">
            <w:pPr>
              <w:keepLines/>
              <w:framePr w:hSpace="181" w:wrap="notBeside" w:vAnchor="text" w:hAnchor="text" w:y="1"/>
              <w:jc w:val="center"/>
              <w:rPr>
                <w:lang w:val="sr-Cyrl-RS"/>
              </w:rPr>
            </w:pPr>
            <w:r w:rsidRPr="00CF77C1">
              <w:rPr>
                <w:lang w:val="sr-Cyrl-RS"/>
              </w:rPr>
              <w:t>2017-2023. година</w:t>
            </w:r>
          </w:p>
        </w:tc>
        <w:tc>
          <w:tcPr>
            <w:tcW w:w="1843" w:type="dxa"/>
            <w:vAlign w:val="center"/>
          </w:tcPr>
          <w:p w14:paraId="089EE487" w14:textId="77777777" w:rsidR="001C4E4D" w:rsidRPr="00CF77C1" w:rsidRDefault="001C4E4D" w:rsidP="00D93ED4">
            <w:pPr>
              <w:keepLines/>
              <w:framePr w:hSpace="181" w:wrap="notBeside" w:vAnchor="text" w:hAnchor="text" w:y="1"/>
              <w:jc w:val="left"/>
              <w:rPr>
                <w:lang w:val="sr-Cyrl-RS"/>
              </w:rPr>
            </w:pPr>
            <w:r w:rsidRPr="00CF77C1">
              <w:rPr>
                <w:lang w:val="sr-Cyrl-RS"/>
              </w:rPr>
              <w:t xml:space="preserve">Оператори транспортног система </w:t>
            </w:r>
          </w:p>
        </w:tc>
        <w:tc>
          <w:tcPr>
            <w:tcW w:w="5670" w:type="dxa"/>
            <w:vAlign w:val="center"/>
          </w:tcPr>
          <w:p w14:paraId="52B1CB49" w14:textId="7D1BC174" w:rsidR="001C4E4D" w:rsidRPr="00CF77C1" w:rsidRDefault="001C4E4D" w:rsidP="00D93ED4">
            <w:pPr>
              <w:keepLines/>
              <w:framePr w:hSpace="181" w:wrap="notBeside" w:vAnchor="text" w:hAnchor="text" w:y="1"/>
              <w:jc w:val="left"/>
              <w:rPr>
                <w:lang w:val="sr-Cyrl-RS"/>
              </w:rPr>
            </w:pPr>
            <w:r w:rsidRPr="00CF77C1">
              <w:rPr>
                <w:lang w:val="sr-Cyrl-RS"/>
              </w:rPr>
              <w:t>Процентуално учешће губитака у транспортованој количини природног гаса:</w:t>
            </w:r>
            <w:r w:rsidRPr="00CF77C1">
              <w:rPr>
                <w:lang w:val="sr-Cyrl-RS"/>
              </w:rPr>
              <w:br/>
              <w:t>2015. године: 0,32% (АЕРС, Извештај за 2015.)</w:t>
            </w:r>
            <w:r w:rsidRPr="00CF77C1">
              <w:rPr>
                <w:lang w:val="sr-Cyrl-RS"/>
              </w:rPr>
              <w:br/>
              <w:t xml:space="preserve">Жељена вредност у 2023. години: 0,3% </w:t>
            </w:r>
            <w:r w:rsidR="00562531">
              <w:rPr>
                <w:lang w:val="sr-Cyrl-RS"/>
              </w:rPr>
              <w:t>.</w:t>
            </w:r>
          </w:p>
        </w:tc>
      </w:tr>
      <w:tr w:rsidR="001C4E4D" w:rsidRPr="00CF77C1" w14:paraId="5B363551" w14:textId="77777777" w:rsidTr="00D137F9">
        <w:trPr>
          <w:cantSplit/>
          <w:trHeight w:val="702"/>
        </w:trPr>
        <w:tc>
          <w:tcPr>
            <w:tcW w:w="2660" w:type="dxa"/>
            <w:vAlign w:val="center"/>
          </w:tcPr>
          <w:p w14:paraId="206BDD82" w14:textId="39C38F63" w:rsidR="001C4E4D" w:rsidRPr="00CF77C1" w:rsidRDefault="001C4E4D" w:rsidP="00D93ED4">
            <w:pPr>
              <w:framePr w:hSpace="181" w:wrap="notBeside" w:vAnchor="text" w:hAnchor="text" w:y="1"/>
              <w:jc w:val="left"/>
              <w:rPr>
                <w:lang w:val="sr-Cyrl-RS"/>
              </w:rPr>
            </w:pPr>
            <w:r w:rsidRPr="00CF77C1">
              <w:rPr>
                <w:lang w:val="sr-Cyrl-RS"/>
              </w:rPr>
              <w:t>Одржавање и рехабилитација дистрибутивног система</w:t>
            </w:r>
            <w:r w:rsidR="00562531">
              <w:rPr>
                <w:lang w:val="sr-Cyrl-RS"/>
              </w:rPr>
              <w:t>.</w:t>
            </w:r>
          </w:p>
        </w:tc>
        <w:tc>
          <w:tcPr>
            <w:tcW w:w="2977" w:type="dxa"/>
            <w:vAlign w:val="center"/>
          </w:tcPr>
          <w:p w14:paraId="651D97EB" w14:textId="2EF9BCC1" w:rsidR="001C4E4D" w:rsidRPr="00CF77C1" w:rsidRDefault="001C4E4D" w:rsidP="00D93ED4">
            <w:pPr>
              <w:framePr w:hSpace="181" w:wrap="notBeside" w:vAnchor="text" w:hAnchor="text" w:y="1"/>
              <w:jc w:val="left"/>
              <w:rPr>
                <w:lang w:val="sr-Cyrl-RS"/>
              </w:rPr>
            </w:pPr>
            <w:r w:rsidRPr="00CF77C1">
              <w:rPr>
                <w:lang w:val="sr-Cyrl-RS"/>
              </w:rPr>
              <w:t>Дијагностика стања постојеће дистрибутивне инфраструктуре, замена критичних деоница и инвестиционо одржавање опреме и инсталација</w:t>
            </w:r>
            <w:r w:rsidR="00962DE8">
              <w:rPr>
                <w:lang w:val="sr-Cyrl-RS"/>
              </w:rPr>
              <w:t>.</w:t>
            </w:r>
          </w:p>
        </w:tc>
        <w:tc>
          <w:tcPr>
            <w:tcW w:w="1559" w:type="dxa"/>
            <w:vAlign w:val="center"/>
          </w:tcPr>
          <w:p w14:paraId="3B5A0E74" w14:textId="77777777" w:rsidR="001C4E4D" w:rsidRPr="00CF77C1" w:rsidRDefault="001C4E4D" w:rsidP="00D93ED4">
            <w:pPr>
              <w:keepLines/>
              <w:framePr w:hSpace="181" w:wrap="notBeside" w:vAnchor="text" w:hAnchor="text" w:y="1"/>
              <w:jc w:val="center"/>
              <w:rPr>
                <w:lang w:val="sr-Cyrl-RS"/>
              </w:rPr>
            </w:pPr>
            <w:r w:rsidRPr="00CF77C1">
              <w:rPr>
                <w:lang w:val="sr-Cyrl-RS"/>
              </w:rPr>
              <w:t>2017-2023. година</w:t>
            </w:r>
          </w:p>
        </w:tc>
        <w:tc>
          <w:tcPr>
            <w:tcW w:w="1843" w:type="dxa"/>
            <w:vAlign w:val="center"/>
          </w:tcPr>
          <w:p w14:paraId="08E94A31" w14:textId="77777777" w:rsidR="001C4E4D" w:rsidRPr="00CF77C1" w:rsidRDefault="001C4E4D" w:rsidP="00D93ED4">
            <w:pPr>
              <w:keepLines/>
              <w:framePr w:hSpace="181" w:wrap="notBeside" w:vAnchor="text" w:hAnchor="text" w:y="1"/>
              <w:jc w:val="left"/>
              <w:rPr>
                <w:lang w:val="sr-Cyrl-RS"/>
              </w:rPr>
            </w:pPr>
            <w:r w:rsidRPr="00D137F9">
              <w:rPr>
                <w:sz w:val="22"/>
                <w:lang w:val="sr-Cyrl-RS"/>
              </w:rPr>
              <w:t>Оператори дистрибутивног система</w:t>
            </w:r>
          </w:p>
        </w:tc>
        <w:tc>
          <w:tcPr>
            <w:tcW w:w="5670" w:type="dxa"/>
            <w:vAlign w:val="center"/>
          </w:tcPr>
          <w:p w14:paraId="78CFE94D" w14:textId="2BE947E5" w:rsidR="001C4E4D" w:rsidRPr="00CF77C1" w:rsidRDefault="001C4E4D" w:rsidP="00D93ED4">
            <w:pPr>
              <w:keepLines/>
              <w:framePr w:hSpace="181" w:wrap="notBeside" w:vAnchor="text" w:hAnchor="text" w:y="1"/>
              <w:jc w:val="left"/>
              <w:rPr>
                <w:lang w:val="sr-Cyrl-RS"/>
              </w:rPr>
            </w:pPr>
            <w:r w:rsidRPr="00CF77C1">
              <w:rPr>
                <w:lang w:val="sr-Cyrl-RS"/>
              </w:rPr>
              <w:t>Процентуално учешће губитака у дистрибуираној количини природног гаса</w:t>
            </w:r>
            <w:r w:rsidRPr="00CF77C1">
              <w:rPr>
                <w:lang w:val="sr-Cyrl-RS"/>
              </w:rPr>
              <w:br/>
              <w:t>2015. године: 0,57% укупно, у појединим дистрибуцијама значајно лошије (АЕРС, Извештај за 2015.)</w:t>
            </w:r>
            <w:r w:rsidR="00562531">
              <w:rPr>
                <w:lang w:val="sr-Cyrl-RS"/>
              </w:rPr>
              <w:t>.</w:t>
            </w:r>
            <w:r w:rsidRPr="00CF77C1">
              <w:rPr>
                <w:lang w:val="sr-Cyrl-RS"/>
              </w:rPr>
              <w:br/>
              <w:t>Жељена вредност у 2023. години:</w:t>
            </w:r>
            <w:r w:rsidRPr="00CF77C1">
              <w:rPr>
                <w:lang w:val="sr-Cyrl-RS"/>
              </w:rPr>
              <w:br/>
              <w:t>&lt; 0,5% укупно, &lt; 2% за сваку појединачну дистрибуцију</w:t>
            </w:r>
            <w:r w:rsidR="00562531">
              <w:rPr>
                <w:lang w:val="sr-Cyrl-RS"/>
              </w:rPr>
              <w:t>.</w:t>
            </w:r>
          </w:p>
        </w:tc>
      </w:tr>
    </w:tbl>
    <w:p w14:paraId="423B6625" w14:textId="77777777" w:rsidR="001C4E4D" w:rsidRPr="00CF77C1" w:rsidRDefault="001C4E4D" w:rsidP="001C4E4D">
      <w:pPr>
        <w:rPr>
          <w:lang w:val="sr-Cyrl-RS"/>
        </w:rPr>
      </w:pPr>
    </w:p>
    <w:p w14:paraId="0947C0D3" w14:textId="64751897" w:rsidR="009B15AB" w:rsidRPr="00CF77C1" w:rsidRDefault="008C6DCA" w:rsidP="008C6DCA">
      <w:pPr>
        <w:pStyle w:val="Heading3"/>
        <w:numPr>
          <w:ilvl w:val="0"/>
          <w:numId w:val="0"/>
        </w:numPr>
        <w:ind w:left="720"/>
        <w:rPr>
          <w:b w:val="0"/>
          <w:lang w:val="sr-Cyrl-RS"/>
        </w:rPr>
      </w:pPr>
      <w:bookmarkStart w:id="152" w:name="_Toc484260308"/>
      <w:r w:rsidRPr="00CF77C1">
        <w:rPr>
          <w:b w:val="0"/>
          <w:lang w:val="sr-Cyrl-RS"/>
        </w:rPr>
        <w:t xml:space="preserve">3.5.2. </w:t>
      </w:r>
      <w:r w:rsidR="009B15AB" w:rsidRPr="00CF77C1">
        <w:rPr>
          <w:b w:val="0"/>
          <w:lang w:val="sr-Cyrl-RS"/>
        </w:rPr>
        <w:t>Пројекти у области природног гаса</w:t>
      </w:r>
      <w:bookmarkEnd w:id="152"/>
      <w:r w:rsidRPr="00CF77C1">
        <w:rPr>
          <w:b w:val="0"/>
          <w:lang w:val="sr-Cyrl-RS"/>
        </w:rPr>
        <w:t xml:space="preserve"> </w:t>
      </w:r>
    </w:p>
    <w:p w14:paraId="20BD0C10" w14:textId="31B40268" w:rsidR="009B15AB" w:rsidRPr="00CF77C1" w:rsidRDefault="008C6DCA" w:rsidP="008C6DCA">
      <w:pPr>
        <w:keepNext/>
        <w:ind w:firstLine="720"/>
        <w:rPr>
          <w:lang w:val="sr-Cyrl-RS"/>
        </w:rPr>
      </w:pPr>
      <w:bookmarkStart w:id="153" w:name="_Ref476806076"/>
      <w:r w:rsidRPr="00CF77C1">
        <w:rPr>
          <w:lang w:val="sr-Cyrl-RS"/>
        </w:rPr>
        <w:t xml:space="preserve">П.21. </w:t>
      </w:r>
      <w:r w:rsidR="009B15AB" w:rsidRPr="00CF77C1">
        <w:rPr>
          <w:lang w:val="sr-Cyrl-RS"/>
        </w:rPr>
        <w:t>Пројекат гасне интерконекције Србија - Бугарска, магистрални гасовод МГ-10 Ниш - Димитровград (граница са Бугарском)</w:t>
      </w:r>
      <w:bookmarkEnd w:id="153"/>
    </w:p>
    <w:p w14:paraId="625FD98E" w14:textId="2C71CC17" w:rsidR="00F0139B" w:rsidRPr="00CF77C1" w:rsidRDefault="00F0139B" w:rsidP="00C41967">
      <w:pPr>
        <w:keepNext/>
        <w:ind w:firstLine="720"/>
        <w:rPr>
          <w:lang w:val="sr-Cyrl-RS"/>
        </w:rPr>
      </w:pPr>
      <w:r w:rsidRPr="00CF77C1">
        <w:rPr>
          <w:lang w:val="sr-Cyrl-RS"/>
        </w:rPr>
        <w:t>Пројекат интерконекције Србија - Бугарска се налази на Јединственој листи инфраструктурних пројеката у области енергетике, Приоритетној листи инфраструктурних енергетских пројеката (PECI листи), Листи пројеката од заједничког интереса (PCI листи) и Листи пројеката за повезаност гасом средњеисточне и југоисточне Европе (CESEC листи).</w:t>
      </w:r>
    </w:p>
    <w:p w14:paraId="0F847824" w14:textId="3FD855B9" w:rsidR="00882250" w:rsidRPr="00CF77C1" w:rsidRDefault="00D61BC9" w:rsidP="00C41967">
      <w:pPr>
        <w:pStyle w:val="Caption"/>
        <w:ind w:firstLine="720"/>
        <w:rPr>
          <w:b w:val="0"/>
          <w:lang w:val="sr-Cyrl-RS"/>
        </w:rPr>
      </w:pPr>
      <w:r w:rsidRPr="00CF77C1">
        <w:rPr>
          <w:b w:val="0"/>
          <w:lang w:val="sr-Cyrl-RS"/>
        </w:rPr>
        <w:t>таб.</w:t>
      </w:r>
      <w:r w:rsidR="00882250"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64</w:t>
      </w:r>
      <w:r w:rsidR="0092145E" w:rsidRPr="00CF77C1">
        <w:rPr>
          <w:b w:val="0"/>
          <w:lang w:val="sr-Cyrl-RS"/>
        </w:rPr>
        <w:fldChar w:fldCharType="end"/>
      </w:r>
      <w:r w:rsidR="00882250" w:rsidRPr="00CF77C1">
        <w:rPr>
          <w:b w:val="0"/>
          <w:lang w:val="sr-Cyrl-RS"/>
        </w:rPr>
        <w:t>: Основне карактеристике пројекта</w:t>
      </w:r>
    </w:p>
    <w:tbl>
      <w:tblPr>
        <w:tblW w:w="14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6044"/>
        <w:gridCol w:w="2976"/>
        <w:gridCol w:w="3275"/>
      </w:tblGrid>
      <w:tr w:rsidR="009B15AB" w:rsidRPr="00CF77C1" w14:paraId="4298D0F5" w14:textId="77777777" w:rsidTr="009B15AB">
        <w:tc>
          <w:tcPr>
            <w:tcW w:w="2428" w:type="dxa"/>
            <w:shd w:val="clear" w:color="auto" w:fill="auto"/>
            <w:vAlign w:val="center"/>
          </w:tcPr>
          <w:p w14:paraId="6801A4A3" w14:textId="77777777" w:rsidR="009B15AB" w:rsidRPr="00CF77C1" w:rsidRDefault="009B15AB" w:rsidP="0080044B">
            <w:pPr>
              <w:jc w:val="center"/>
              <w:rPr>
                <w:lang w:val="sr-Cyrl-RS"/>
              </w:rPr>
            </w:pPr>
            <w:r w:rsidRPr="00CF77C1">
              <w:rPr>
                <w:lang w:val="sr-Cyrl-RS"/>
              </w:rPr>
              <w:t>Техничке карактеристике</w:t>
            </w:r>
          </w:p>
        </w:tc>
        <w:tc>
          <w:tcPr>
            <w:tcW w:w="6044" w:type="dxa"/>
            <w:vAlign w:val="center"/>
          </w:tcPr>
          <w:p w14:paraId="2215FDD3" w14:textId="77777777" w:rsidR="009B15AB" w:rsidRPr="00CF77C1" w:rsidRDefault="009B15AB" w:rsidP="0080044B">
            <w:pPr>
              <w:jc w:val="center"/>
              <w:rPr>
                <w:lang w:val="sr-Cyrl-RS"/>
              </w:rPr>
            </w:pPr>
            <w:r w:rsidRPr="00CF77C1">
              <w:rPr>
                <w:lang w:val="sr-Cyrl-RS"/>
              </w:rPr>
              <w:t>Опис</w:t>
            </w:r>
          </w:p>
        </w:tc>
        <w:tc>
          <w:tcPr>
            <w:tcW w:w="2976" w:type="dxa"/>
            <w:vAlign w:val="center"/>
          </w:tcPr>
          <w:p w14:paraId="40B73DC0" w14:textId="77777777" w:rsidR="009B15AB" w:rsidRPr="00CF77C1" w:rsidRDefault="009B15AB" w:rsidP="0080044B">
            <w:pPr>
              <w:jc w:val="center"/>
              <w:rPr>
                <w:lang w:val="sr-Cyrl-RS"/>
              </w:rPr>
            </w:pPr>
            <w:r w:rsidRPr="00CF77C1">
              <w:rPr>
                <w:lang w:val="sr-Cyrl-RS"/>
              </w:rPr>
              <w:t>Ефекти реализације на основу расположиве документације</w:t>
            </w:r>
          </w:p>
        </w:tc>
        <w:tc>
          <w:tcPr>
            <w:tcW w:w="3275" w:type="dxa"/>
            <w:shd w:val="clear" w:color="auto" w:fill="auto"/>
            <w:vAlign w:val="center"/>
          </w:tcPr>
          <w:p w14:paraId="50C8CE22" w14:textId="77777777" w:rsidR="009B15AB" w:rsidRPr="00CF77C1" w:rsidRDefault="009B15AB" w:rsidP="0080044B">
            <w:pPr>
              <w:jc w:val="center"/>
              <w:rPr>
                <w:lang w:val="sr-Cyrl-RS"/>
              </w:rPr>
            </w:pPr>
            <w:r w:rsidRPr="00CF77C1">
              <w:rPr>
                <w:lang w:val="sr-Cyrl-RS"/>
              </w:rPr>
              <w:t>Вредност пројекта и извор финансирања</w:t>
            </w:r>
          </w:p>
        </w:tc>
      </w:tr>
      <w:tr w:rsidR="009B15AB" w:rsidRPr="00CF77C1" w14:paraId="373B5FE9" w14:textId="77777777" w:rsidTr="00F25351">
        <w:tc>
          <w:tcPr>
            <w:tcW w:w="2428" w:type="dxa"/>
            <w:shd w:val="clear" w:color="auto" w:fill="auto"/>
            <w:vAlign w:val="center"/>
          </w:tcPr>
          <w:p w14:paraId="7B952257" w14:textId="77777777" w:rsidR="009B15AB" w:rsidRPr="00CF77C1" w:rsidRDefault="009B15AB" w:rsidP="0080044B">
            <w:pPr>
              <w:jc w:val="left"/>
              <w:rPr>
                <w:lang w:val="sr-Cyrl-RS"/>
              </w:rPr>
            </w:pPr>
            <w:r w:rsidRPr="00CF77C1">
              <w:rPr>
                <w:lang w:val="sr-Cyrl-RS"/>
              </w:rPr>
              <w:t>Магистрални једноцевни гасовод дужине 109</w:t>
            </w:r>
            <w:r w:rsidR="00D52E65" w:rsidRPr="00CF77C1">
              <w:rPr>
                <w:lang w:val="sr-Cyrl-RS"/>
              </w:rPr>
              <w:t xml:space="preserve"> </w:t>
            </w:r>
            <w:r w:rsidRPr="00CF77C1">
              <w:rPr>
                <w:lang w:val="sr-Cyrl-RS"/>
              </w:rPr>
              <w:t>km, пречника</w:t>
            </w:r>
            <w:r w:rsidR="00BD44C7" w:rsidRPr="00CF77C1">
              <w:rPr>
                <w:lang w:val="sr-Cyrl-RS"/>
              </w:rPr>
              <w:t xml:space="preserve"> </w:t>
            </w:r>
            <w:r w:rsidRPr="00CF77C1">
              <w:rPr>
                <w:lang w:val="sr-Cyrl-RS"/>
              </w:rPr>
              <w:t>DN 700, техничког капацитета 1,8 милијарди m</w:t>
            </w:r>
            <w:r w:rsidRPr="00CF77C1">
              <w:rPr>
                <w:vertAlign w:val="superscript"/>
                <w:lang w:val="sr-Cyrl-RS"/>
              </w:rPr>
              <w:t>3</w:t>
            </w:r>
            <w:r w:rsidRPr="00CF77C1">
              <w:rPr>
                <w:lang w:val="sr-Cyrl-RS"/>
              </w:rPr>
              <w:t>/годишње, максимални радни притисак 55 bar</w:t>
            </w:r>
          </w:p>
        </w:tc>
        <w:tc>
          <w:tcPr>
            <w:tcW w:w="6044" w:type="dxa"/>
            <w:vAlign w:val="center"/>
          </w:tcPr>
          <w:p w14:paraId="23534D8E" w14:textId="77777777" w:rsidR="009B15AB" w:rsidRPr="00CF77C1" w:rsidRDefault="009B15AB" w:rsidP="0080044B">
            <w:pPr>
              <w:jc w:val="left"/>
              <w:rPr>
                <w:lang w:val="sr-Cyrl-RS"/>
              </w:rPr>
            </w:pPr>
            <w:r w:rsidRPr="00CF77C1">
              <w:rPr>
                <w:lang w:val="sr-Cyrl-RS"/>
              </w:rPr>
              <w:t xml:space="preserve">МГ-10 Ниш </w:t>
            </w:r>
            <w:r w:rsidR="008F7E3A" w:rsidRPr="00CF77C1">
              <w:rPr>
                <w:lang w:val="sr-Cyrl-RS"/>
              </w:rPr>
              <w:t>-</w:t>
            </w:r>
            <w:r w:rsidRPr="00CF77C1">
              <w:rPr>
                <w:lang w:val="sr-Cyrl-RS"/>
              </w:rPr>
              <w:t xml:space="preserve"> Димитровград представља инфраструктурну основу за успостављање гасне интерконекције са Републиком Бугарском. Примарни технички елементи гасовода су цевовод, објекти и пратећа инфраструктура. Саставни део гасовода чине:</w:t>
            </w:r>
          </w:p>
          <w:p w14:paraId="4DD3146E" w14:textId="67C78655" w:rsidR="009B15AB" w:rsidRPr="00CF77C1" w:rsidRDefault="009B15AB" w:rsidP="0080044B">
            <w:pPr>
              <w:tabs>
                <w:tab w:val="left" w:pos="241"/>
              </w:tabs>
              <w:jc w:val="left"/>
              <w:rPr>
                <w:lang w:val="sr-Cyrl-RS"/>
              </w:rPr>
            </w:pPr>
            <w:r w:rsidRPr="00CF77C1">
              <w:rPr>
                <w:lang w:val="sr-Cyrl-RS"/>
              </w:rPr>
              <w:t>-</w:t>
            </w:r>
            <w:r w:rsidRPr="00CF77C1">
              <w:rPr>
                <w:lang w:val="sr-Cyrl-RS"/>
              </w:rPr>
              <w:tab/>
              <w:t>2 примопредајне и чистачке станице (ППС) - на локацији у близини државне границе и у оквиру постојећег ГРЧ „Ниш 2</w:t>
            </w:r>
            <w:r w:rsidR="00AD5740" w:rsidRPr="00CF77C1">
              <w:rPr>
                <w:lang w:val="sr-Cyrl-RS"/>
              </w:rPr>
              <w:t>”</w:t>
            </w:r>
            <w:r w:rsidRPr="00CF77C1">
              <w:rPr>
                <w:lang w:val="sr-Cyrl-RS"/>
              </w:rPr>
              <w:t>.</w:t>
            </w:r>
          </w:p>
          <w:p w14:paraId="35C3A39E" w14:textId="77777777" w:rsidR="009B15AB" w:rsidRPr="00CF77C1" w:rsidRDefault="009B15AB" w:rsidP="0080044B">
            <w:pPr>
              <w:tabs>
                <w:tab w:val="left" w:pos="241"/>
              </w:tabs>
              <w:jc w:val="left"/>
              <w:rPr>
                <w:lang w:val="sr-Cyrl-RS"/>
              </w:rPr>
            </w:pPr>
            <w:r w:rsidRPr="00CF77C1">
              <w:rPr>
                <w:lang w:val="sr-Cyrl-RS"/>
              </w:rPr>
              <w:t>-</w:t>
            </w:r>
            <w:r w:rsidRPr="00CF77C1">
              <w:rPr>
                <w:lang w:val="sr-Cyrl-RS"/>
              </w:rPr>
              <w:tab/>
              <w:t>6 блок станица</w:t>
            </w:r>
          </w:p>
          <w:p w14:paraId="2D68AE34" w14:textId="77777777" w:rsidR="009B15AB" w:rsidRPr="00CF77C1" w:rsidRDefault="009B15AB" w:rsidP="0080044B">
            <w:pPr>
              <w:tabs>
                <w:tab w:val="left" w:pos="241"/>
              </w:tabs>
              <w:jc w:val="left"/>
              <w:rPr>
                <w:lang w:val="sr-Cyrl-RS"/>
              </w:rPr>
            </w:pPr>
            <w:r w:rsidRPr="00CF77C1">
              <w:rPr>
                <w:lang w:val="sr-Cyrl-RS"/>
              </w:rPr>
              <w:t>-</w:t>
            </w:r>
            <w:r w:rsidRPr="00CF77C1">
              <w:rPr>
                <w:lang w:val="sr-Cyrl-RS"/>
              </w:rPr>
              <w:tab/>
              <w:t>2 чистачке станице у оквиру ППС</w:t>
            </w:r>
          </w:p>
          <w:p w14:paraId="23EFD783" w14:textId="6EFC25E0" w:rsidR="009B15AB" w:rsidRPr="00CF77C1" w:rsidRDefault="009B15AB" w:rsidP="0080044B">
            <w:pPr>
              <w:tabs>
                <w:tab w:val="left" w:pos="241"/>
              </w:tabs>
              <w:jc w:val="left"/>
              <w:rPr>
                <w:lang w:val="sr-Cyrl-RS"/>
              </w:rPr>
            </w:pPr>
            <w:r w:rsidRPr="00CF77C1">
              <w:rPr>
                <w:lang w:val="sr-Cyrl-RS"/>
              </w:rPr>
              <w:t>-</w:t>
            </w:r>
            <w:r w:rsidRPr="00CF77C1">
              <w:rPr>
                <w:lang w:val="sr-Cyrl-RS"/>
              </w:rPr>
              <w:tab/>
              <w:t>4 главне мерно регулационе станице (ГМРС) и то: ГМРС „Ниш 2</w:t>
            </w:r>
            <w:r w:rsidR="00AD5740" w:rsidRPr="00CF77C1">
              <w:rPr>
                <w:lang w:val="sr-Cyrl-RS"/>
              </w:rPr>
              <w:t>”</w:t>
            </w:r>
            <w:r w:rsidRPr="00CF77C1">
              <w:rPr>
                <w:lang w:val="sr-Cyrl-RS"/>
              </w:rPr>
              <w:t xml:space="preserve"> капацитета 30.000</w:t>
            </w:r>
            <w:r w:rsidR="00D52E65" w:rsidRPr="00CF77C1">
              <w:rPr>
                <w:lang w:val="sr-Cyrl-RS"/>
              </w:rPr>
              <w:t xml:space="preserve"> </w:t>
            </w:r>
            <w:r w:rsidRPr="00CF77C1">
              <w:rPr>
                <w:lang w:val="sr-Cyrl-RS"/>
              </w:rPr>
              <w:t>m³/h, ГМРС „Бела паланка 2</w:t>
            </w:r>
            <w:r w:rsidR="00AD5740" w:rsidRPr="00CF77C1">
              <w:rPr>
                <w:lang w:val="sr-Cyrl-RS"/>
              </w:rPr>
              <w:t>”</w:t>
            </w:r>
            <w:r w:rsidRPr="00CF77C1">
              <w:rPr>
                <w:lang w:val="sr-Cyrl-RS"/>
              </w:rPr>
              <w:t xml:space="preserve"> капацитета 3.000 m³/h, ГМРС „Пирот</w:t>
            </w:r>
            <w:r w:rsidR="00AD5740" w:rsidRPr="00CF77C1">
              <w:rPr>
                <w:lang w:val="sr-Cyrl-RS"/>
              </w:rPr>
              <w:t>”</w:t>
            </w:r>
            <w:r w:rsidRPr="00CF77C1">
              <w:rPr>
                <w:lang w:val="sr-Cyrl-RS"/>
              </w:rPr>
              <w:t xml:space="preserve"> капацитета 35.000 m³/h, ГМРС „Димитровград</w:t>
            </w:r>
            <w:r w:rsidR="00AD5740" w:rsidRPr="00CF77C1">
              <w:rPr>
                <w:lang w:val="sr-Cyrl-RS"/>
              </w:rPr>
              <w:t>”</w:t>
            </w:r>
            <w:r w:rsidRPr="00CF77C1">
              <w:rPr>
                <w:lang w:val="sr-Cyrl-RS"/>
              </w:rPr>
              <w:t xml:space="preserve"> капацитета 7.000 m³/h</w:t>
            </w:r>
          </w:p>
          <w:p w14:paraId="432B6F2B" w14:textId="77777777" w:rsidR="00BD44C7" w:rsidRPr="00CF77C1" w:rsidRDefault="009B15AB" w:rsidP="0080044B">
            <w:pPr>
              <w:jc w:val="left"/>
              <w:rPr>
                <w:lang w:val="sr-Cyrl-RS"/>
              </w:rPr>
            </w:pPr>
            <w:r w:rsidRPr="00CF77C1">
              <w:rPr>
                <w:lang w:val="sr-Cyrl-RS"/>
              </w:rPr>
              <w:t>- Уређаји катодне заштите линијског дела гасовода</w:t>
            </w:r>
          </w:p>
          <w:p w14:paraId="74548F66" w14:textId="77777777" w:rsidR="009B15AB" w:rsidRPr="00CF77C1" w:rsidRDefault="009B15AB" w:rsidP="0080044B">
            <w:pPr>
              <w:jc w:val="left"/>
              <w:rPr>
                <w:lang w:val="sr-Cyrl-RS"/>
              </w:rPr>
            </w:pPr>
            <w:r w:rsidRPr="00CF77C1">
              <w:rPr>
                <w:lang w:val="sr-Cyrl-RS"/>
              </w:rPr>
              <w:t xml:space="preserve">- Уређаји и опрема за потребе даљинског надзора и управљања постројењима </w:t>
            </w:r>
          </w:p>
        </w:tc>
        <w:tc>
          <w:tcPr>
            <w:tcW w:w="2976" w:type="dxa"/>
            <w:vAlign w:val="center"/>
          </w:tcPr>
          <w:p w14:paraId="6B0E2088" w14:textId="77777777" w:rsidR="00B1778B" w:rsidRPr="00CF77C1" w:rsidRDefault="00B1778B" w:rsidP="0080044B">
            <w:pPr>
              <w:jc w:val="left"/>
              <w:rPr>
                <w:lang w:val="sr-Cyrl-RS"/>
              </w:rPr>
            </w:pPr>
            <w:r w:rsidRPr="00CF77C1">
              <w:rPr>
                <w:lang w:val="sr-Cyrl-RS"/>
              </w:rPr>
              <w:t>Обезбеђење новог правца снабдевања</w:t>
            </w:r>
          </w:p>
          <w:p w14:paraId="1802F194" w14:textId="77777777" w:rsidR="009B15AB" w:rsidRPr="00CF77C1" w:rsidRDefault="009B15AB" w:rsidP="0080044B">
            <w:pPr>
              <w:jc w:val="left"/>
              <w:rPr>
                <w:lang w:val="sr-Cyrl-RS"/>
              </w:rPr>
            </w:pPr>
            <w:r w:rsidRPr="00CF77C1">
              <w:rPr>
                <w:lang w:val="sr-Cyrl-RS"/>
              </w:rPr>
              <w:t>Повећање расположивих количина природног гаса из увоза за 38% (са 12,96 милиона m</w:t>
            </w:r>
            <w:r w:rsidRPr="00CF77C1">
              <w:rPr>
                <w:vertAlign w:val="superscript"/>
                <w:lang w:val="sr-Cyrl-RS"/>
              </w:rPr>
              <w:t>3</w:t>
            </w:r>
            <w:r w:rsidRPr="00CF77C1">
              <w:rPr>
                <w:lang w:val="sr-Cyrl-RS"/>
              </w:rPr>
              <w:t>/дан на 17,89 милиона m</w:t>
            </w:r>
            <w:r w:rsidRPr="00CF77C1">
              <w:rPr>
                <w:vertAlign w:val="superscript"/>
                <w:lang w:val="sr-Cyrl-RS"/>
              </w:rPr>
              <w:t>3</w:t>
            </w:r>
            <w:r w:rsidRPr="00CF77C1">
              <w:rPr>
                <w:lang w:val="sr-Cyrl-RS"/>
              </w:rPr>
              <w:t>/дан).</w:t>
            </w:r>
          </w:p>
          <w:p w14:paraId="43FA6B18" w14:textId="5D7AB22A" w:rsidR="009B15AB" w:rsidRPr="00CF77C1" w:rsidRDefault="009B15AB" w:rsidP="0080044B">
            <w:pPr>
              <w:jc w:val="left"/>
              <w:outlineLvl w:val="4"/>
              <w:rPr>
                <w:lang w:val="sr-Cyrl-RS"/>
              </w:rPr>
            </w:pPr>
            <w:r w:rsidRPr="00CF77C1">
              <w:rPr>
                <w:lang w:val="sr-Cyrl-RS"/>
              </w:rPr>
              <w:t xml:space="preserve">У односу на максималну дневно </w:t>
            </w:r>
            <w:r w:rsidR="005E0737" w:rsidRPr="00CF77C1">
              <w:rPr>
                <w:lang w:val="sr-Cyrl-RS"/>
              </w:rPr>
              <w:t>увезену количину у периоду 2011</w:t>
            </w:r>
            <w:r w:rsidRPr="00CF77C1">
              <w:rPr>
                <w:lang w:val="sr-Cyrl-RS"/>
              </w:rPr>
              <w:t xml:space="preserve">-2015. године за потребе купаца у </w:t>
            </w:r>
            <w:r w:rsidR="00185B50" w:rsidRPr="00CF77C1">
              <w:rPr>
                <w:lang w:val="sr-Cyrl-RS"/>
              </w:rPr>
              <w:t xml:space="preserve">Републици </w:t>
            </w:r>
            <w:r w:rsidRPr="00CF77C1">
              <w:rPr>
                <w:lang w:val="sr-Cyrl-RS"/>
              </w:rPr>
              <w:t>Србији</w:t>
            </w:r>
            <w:r w:rsidR="00BD44C7" w:rsidRPr="00CF77C1">
              <w:rPr>
                <w:lang w:val="sr-Cyrl-RS"/>
              </w:rPr>
              <w:t xml:space="preserve"> </w:t>
            </w:r>
            <w:r w:rsidRPr="00CF77C1">
              <w:rPr>
                <w:lang w:val="sr-Cyrl-RS"/>
              </w:rPr>
              <w:t>(11,2 милиона m</w:t>
            </w:r>
            <w:r w:rsidRPr="00CF77C1">
              <w:rPr>
                <w:vertAlign w:val="superscript"/>
                <w:lang w:val="sr-Cyrl-RS"/>
              </w:rPr>
              <w:t>3</w:t>
            </w:r>
            <w:r w:rsidRPr="00CF77C1">
              <w:rPr>
                <w:lang w:val="sr-Cyrl-RS"/>
              </w:rPr>
              <w:t>/дан), ова интерконекција покрива 44% потреба за увозом.</w:t>
            </w:r>
          </w:p>
          <w:p w14:paraId="78EB57A0" w14:textId="77777777" w:rsidR="009B15AB" w:rsidRPr="00CF77C1" w:rsidRDefault="009B15AB" w:rsidP="0080044B">
            <w:pPr>
              <w:jc w:val="left"/>
              <w:rPr>
                <w:lang w:val="sr-Cyrl-RS"/>
              </w:rPr>
            </w:pPr>
          </w:p>
        </w:tc>
        <w:tc>
          <w:tcPr>
            <w:tcW w:w="3275" w:type="dxa"/>
            <w:shd w:val="clear" w:color="auto" w:fill="auto"/>
            <w:vAlign w:val="center"/>
          </w:tcPr>
          <w:p w14:paraId="778D8225" w14:textId="77777777" w:rsidR="009B15AB" w:rsidRPr="00CF77C1" w:rsidRDefault="009B15AB" w:rsidP="0080044B">
            <w:pPr>
              <w:jc w:val="left"/>
              <w:rPr>
                <w:lang w:val="sr-Cyrl-RS"/>
              </w:rPr>
            </w:pPr>
            <w:r w:rsidRPr="00CF77C1">
              <w:rPr>
                <w:lang w:val="sr-Cyrl-RS"/>
              </w:rPr>
              <w:t xml:space="preserve">85,5 милиона </w:t>
            </w:r>
            <w:r w:rsidR="0013305E" w:rsidRPr="00CF77C1">
              <w:rPr>
                <w:lang w:val="sr-Cyrl-RS"/>
              </w:rPr>
              <w:t>€</w:t>
            </w:r>
          </w:p>
          <w:p w14:paraId="0AC6AA60" w14:textId="0671A31D" w:rsidR="009B15AB" w:rsidRPr="00CF77C1" w:rsidRDefault="000220B2" w:rsidP="0080044B">
            <w:pPr>
              <w:jc w:val="left"/>
              <w:rPr>
                <w:lang w:val="sr-Cyrl-RS"/>
              </w:rPr>
            </w:pPr>
            <w:r w:rsidRPr="00CF77C1">
              <w:rPr>
                <w:lang w:val="sr-Cyrl-RS"/>
              </w:rPr>
              <w:t>П</w:t>
            </w:r>
            <w:r w:rsidR="009B15AB" w:rsidRPr="00CF77C1">
              <w:rPr>
                <w:lang w:val="sr-Cyrl-RS"/>
              </w:rPr>
              <w:t>ретприступни ЕУ ф</w:t>
            </w:r>
            <w:r w:rsidRPr="00CF77C1">
              <w:rPr>
                <w:lang w:val="sr-Cyrl-RS"/>
              </w:rPr>
              <w:t>ондови</w:t>
            </w:r>
            <w:r w:rsidR="00DC032B" w:rsidRPr="00CF77C1">
              <w:rPr>
                <w:lang w:val="sr-Cyrl-RS"/>
              </w:rPr>
              <w:t>, кредит</w:t>
            </w:r>
            <w:r w:rsidR="00FE6568">
              <w:rPr>
                <w:lang w:val="sr-Cyrl-RS"/>
              </w:rPr>
              <w:t xml:space="preserve"> и б</w:t>
            </w:r>
            <w:r w:rsidRPr="00CF77C1">
              <w:rPr>
                <w:lang w:val="sr-Cyrl-RS"/>
              </w:rPr>
              <w:t>уџет Републике Србије</w:t>
            </w:r>
          </w:p>
          <w:p w14:paraId="0282CBC4" w14:textId="77777777" w:rsidR="00B1778B" w:rsidRPr="00CF77C1" w:rsidRDefault="00B1778B" w:rsidP="0080044B">
            <w:pPr>
              <w:jc w:val="left"/>
              <w:rPr>
                <w:lang w:val="sr-Cyrl-RS"/>
              </w:rPr>
            </w:pPr>
            <w:r w:rsidRPr="00CF77C1">
              <w:rPr>
                <w:szCs w:val="24"/>
                <w:lang w:val="sr-Cyrl-RS"/>
              </w:rPr>
              <w:t>(извор податка: ЈП Србијагас)</w:t>
            </w:r>
          </w:p>
          <w:p w14:paraId="6ECFDC17" w14:textId="77777777" w:rsidR="00B1778B" w:rsidRPr="00CF77C1" w:rsidRDefault="00B1778B" w:rsidP="0080044B">
            <w:pPr>
              <w:jc w:val="left"/>
              <w:rPr>
                <w:lang w:val="sr-Cyrl-RS"/>
              </w:rPr>
            </w:pPr>
          </w:p>
        </w:tc>
      </w:tr>
    </w:tbl>
    <w:p w14:paraId="7BDB3A4B" w14:textId="32C36988" w:rsidR="009B15AB" w:rsidRPr="00CF77C1" w:rsidRDefault="00D61BC9" w:rsidP="00C41967">
      <w:pPr>
        <w:pStyle w:val="Caption"/>
        <w:ind w:firstLine="720"/>
        <w:rPr>
          <w:b w:val="0"/>
          <w:lang w:val="sr-Cyrl-RS"/>
        </w:rPr>
      </w:pPr>
      <w:r w:rsidRPr="00CF77C1">
        <w:rPr>
          <w:b w:val="0"/>
          <w:lang w:val="sr-Cyrl-RS"/>
        </w:rPr>
        <w:t>таб.</w:t>
      </w:r>
      <w:r w:rsidR="009B15AB"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65</w:t>
      </w:r>
      <w:r w:rsidR="0092145E" w:rsidRPr="00CF77C1">
        <w:rPr>
          <w:b w:val="0"/>
          <w:lang w:val="sr-Cyrl-RS"/>
        </w:rPr>
        <w:fldChar w:fldCharType="end"/>
      </w:r>
      <w:r w:rsidR="009B15AB" w:rsidRPr="00CF77C1">
        <w:rPr>
          <w:b w:val="0"/>
          <w:lang w:val="sr-Cyrl-RS"/>
        </w:rPr>
        <w:t>: Утицај пројеката на остварење стратешких циљева</w:t>
      </w:r>
    </w:p>
    <w:tbl>
      <w:tblPr>
        <w:tblW w:w="14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946"/>
        <w:gridCol w:w="2409"/>
        <w:gridCol w:w="2126"/>
      </w:tblGrid>
      <w:tr w:rsidR="009B15AB" w:rsidRPr="00CF77C1" w14:paraId="626ED3AC" w14:textId="77777777" w:rsidTr="009B15AB">
        <w:trPr>
          <w:cantSplit/>
          <w:tblHeader/>
        </w:trPr>
        <w:tc>
          <w:tcPr>
            <w:tcW w:w="3227" w:type="dxa"/>
            <w:shd w:val="clear" w:color="auto" w:fill="auto"/>
            <w:vAlign w:val="center"/>
          </w:tcPr>
          <w:p w14:paraId="2458487B" w14:textId="77777777" w:rsidR="009B15AB" w:rsidRPr="00CF77C1" w:rsidRDefault="009B15AB" w:rsidP="0080044B">
            <w:pPr>
              <w:keepNext/>
              <w:jc w:val="center"/>
              <w:rPr>
                <w:szCs w:val="24"/>
                <w:lang w:val="sr-Cyrl-RS"/>
              </w:rPr>
            </w:pPr>
            <w:r w:rsidRPr="00CF77C1">
              <w:rPr>
                <w:szCs w:val="24"/>
                <w:lang w:val="sr-Cyrl-RS"/>
              </w:rPr>
              <w:t>Стратешки циљ</w:t>
            </w:r>
          </w:p>
        </w:tc>
        <w:tc>
          <w:tcPr>
            <w:tcW w:w="6946" w:type="dxa"/>
            <w:vAlign w:val="center"/>
          </w:tcPr>
          <w:p w14:paraId="69E16CA0" w14:textId="77777777" w:rsidR="009B15AB" w:rsidRPr="00CF77C1" w:rsidRDefault="009B15AB" w:rsidP="0080044B">
            <w:pPr>
              <w:keepNext/>
              <w:jc w:val="center"/>
              <w:rPr>
                <w:szCs w:val="24"/>
                <w:lang w:val="sr-Cyrl-RS"/>
              </w:rPr>
            </w:pPr>
            <w:r w:rsidRPr="00CF77C1">
              <w:rPr>
                <w:szCs w:val="24"/>
                <w:lang w:val="sr-Cyrl-RS"/>
              </w:rPr>
              <w:t>Опис</w:t>
            </w:r>
          </w:p>
        </w:tc>
        <w:tc>
          <w:tcPr>
            <w:tcW w:w="2409" w:type="dxa"/>
            <w:vAlign w:val="center"/>
          </w:tcPr>
          <w:p w14:paraId="08111D15" w14:textId="77777777" w:rsidR="009B15AB" w:rsidRPr="00CF77C1" w:rsidRDefault="009B15AB" w:rsidP="0080044B">
            <w:pPr>
              <w:keepNext/>
              <w:jc w:val="center"/>
              <w:rPr>
                <w:bCs/>
                <w:szCs w:val="24"/>
                <w:lang w:val="sr-Cyrl-RS"/>
              </w:rPr>
            </w:pPr>
            <w:r w:rsidRPr="00CF77C1">
              <w:rPr>
                <w:bCs/>
                <w:szCs w:val="24"/>
                <w:lang w:val="sr-Cyrl-RS"/>
              </w:rPr>
              <w:t>Вредност индикатора по реализацији пројекта</w:t>
            </w:r>
          </w:p>
        </w:tc>
        <w:tc>
          <w:tcPr>
            <w:tcW w:w="2126" w:type="dxa"/>
            <w:vAlign w:val="center"/>
          </w:tcPr>
          <w:p w14:paraId="139551C6" w14:textId="77777777" w:rsidR="009B15AB" w:rsidRPr="00CF77C1" w:rsidRDefault="009B15AB" w:rsidP="0080044B">
            <w:pPr>
              <w:keepNext/>
              <w:jc w:val="center"/>
              <w:rPr>
                <w:szCs w:val="24"/>
                <w:lang w:val="sr-Cyrl-RS"/>
              </w:rPr>
            </w:pPr>
            <w:r w:rsidRPr="00CF77C1">
              <w:rPr>
                <w:szCs w:val="24"/>
                <w:lang w:val="sr-Cyrl-RS"/>
              </w:rPr>
              <w:t xml:space="preserve">Промена у односу </w:t>
            </w:r>
            <w:r w:rsidRPr="00CF77C1">
              <w:rPr>
                <w:szCs w:val="24"/>
                <w:lang w:val="sr-Cyrl-RS"/>
              </w:rPr>
              <w:br/>
              <w:t>на 2015. годину</w:t>
            </w:r>
          </w:p>
        </w:tc>
      </w:tr>
      <w:tr w:rsidR="009B15AB" w:rsidRPr="00CF77C1" w14:paraId="217AEB36" w14:textId="77777777" w:rsidTr="00F25351">
        <w:trPr>
          <w:cantSplit/>
          <w:trHeight w:val="20"/>
        </w:trPr>
        <w:tc>
          <w:tcPr>
            <w:tcW w:w="3227" w:type="dxa"/>
            <w:shd w:val="clear" w:color="auto" w:fill="auto"/>
            <w:vAlign w:val="center"/>
          </w:tcPr>
          <w:p w14:paraId="50BB56E8" w14:textId="77777777" w:rsidR="009B15AB" w:rsidRPr="00CF77C1" w:rsidRDefault="009B15AB" w:rsidP="0080044B">
            <w:pPr>
              <w:jc w:val="left"/>
              <w:rPr>
                <w:bCs/>
                <w:szCs w:val="24"/>
                <w:lang w:val="sr-Cyrl-RS"/>
              </w:rPr>
            </w:pPr>
            <w:r w:rsidRPr="00CF77C1">
              <w:rPr>
                <w:bCs/>
                <w:szCs w:val="24"/>
                <w:lang w:val="sr-Cyrl-RS"/>
              </w:rPr>
              <w:t xml:space="preserve">Обезбеђење сигурног снабдевања домаћег тржишта природним гасом </w:t>
            </w:r>
          </w:p>
        </w:tc>
        <w:tc>
          <w:tcPr>
            <w:tcW w:w="6946" w:type="dxa"/>
            <w:vAlign w:val="center"/>
          </w:tcPr>
          <w:p w14:paraId="3E01F1ED" w14:textId="77777777" w:rsidR="009B15AB" w:rsidRPr="00CF77C1" w:rsidRDefault="009B15AB" w:rsidP="0080044B">
            <w:pPr>
              <w:jc w:val="left"/>
              <w:rPr>
                <w:szCs w:val="24"/>
                <w:lang w:val="sr-Cyrl-RS"/>
              </w:rPr>
            </w:pPr>
            <w:r w:rsidRPr="00CF77C1">
              <w:rPr>
                <w:bCs/>
                <w:szCs w:val="24"/>
                <w:lang w:val="sr-Cyrl-RS"/>
              </w:rPr>
              <w:t xml:space="preserve">Значајно се унапређује; Додатни улаз природног гаса у мрежу повећава сигурност </w:t>
            </w:r>
            <w:r w:rsidR="00B1778B" w:rsidRPr="00CF77C1">
              <w:rPr>
                <w:bCs/>
                <w:sz w:val="22"/>
                <w:szCs w:val="22"/>
                <w:lang w:val="sr-Cyrl-RS"/>
              </w:rPr>
              <w:t>снабдевања, поузданост рада система</w:t>
            </w:r>
            <w:r w:rsidRPr="00CF77C1">
              <w:rPr>
                <w:bCs/>
                <w:szCs w:val="24"/>
                <w:lang w:val="sr-Cyrl-RS"/>
              </w:rPr>
              <w:t xml:space="preserve"> и отвара могућност набавке природног гаса из других извора.</w:t>
            </w:r>
          </w:p>
        </w:tc>
        <w:tc>
          <w:tcPr>
            <w:tcW w:w="2409" w:type="dxa"/>
            <w:vAlign w:val="center"/>
          </w:tcPr>
          <w:p w14:paraId="6BAADD4C" w14:textId="77777777" w:rsidR="009B15AB" w:rsidRPr="00CF77C1" w:rsidRDefault="009B15AB" w:rsidP="0080044B">
            <w:pPr>
              <w:jc w:val="left"/>
              <w:rPr>
                <w:szCs w:val="24"/>
                <w:lang w:val="sr-Cyrl-RS"/>
              </w:rPr>
            </w:pPr>
            <w:r w:rsidRPr="00CF77C1">
              <w:rPr>
                <w:szCs w:val="24"/>
                <w:lang w:val="sr-Cyrl-RS"/>
              </w:rPr>
              <w:t>(N-1) = 64,3%</w:t>
            </w:r>
          </w:p>
        </w:tc>
        <w:tc>
          <w:tcPr>
            <w:tcW w:w="2126" w:type="dxa"/>
            <w:vAlign w:val="center"/>
          </w:tcPr>
          <w:p w14:paraId="14F8A266" w14:textId="77777777" w:rsidR="009B15AB" w:rsidRPr="00CF77C1" w:rsidRDefault="009B15AB" w:rsidP="0080044B">
            <w:pPr>
              <w:jc w:val="left"/>
              <w:rPr>
                <w:szCs w:val="24"/>
                <w:lang w:val="sr-Cyrl-RS"/>
              </w:rPr>
            </w:pPr>
            <w:r w:rsidRPr="00CF77C1">
              <w:rPr>
                <w:szCs w:val="24"/>
                <w:lang w:val="sr-Cyrl-RS"/>
              </w:rPr>
              <w:t>+86%</w:t>
            </w:r>
          </w:p>
        </w:tc>
      </w:tr>
      <w:tr w:rsidR="009B15AB" w:rsidRPr="00CF77C1" w14:paraId="78509316" w14:textId="77777777" w:rsidTr="00F25351">
        <w:trPr>
          <w:cantSplit/>
          <w:trHeight w:val="20"/>
        </w:trPr>
        <w:tc>
          <w:tcPr>
            <w:tcW w:w="3227" w:type="dxa"/>
            <w:shd w:val="clear" w:color="auto" w:fill="auto"/>
            <w:vAlign w:val="center"/>
          </w:tcPr>
          <w:p w14:paraId="039E4D63" w14:textId="77777777" w:rsidR="009B15AB" w:rsidRPr="00CF77C1" w:rsidRDefault="009B15AB" w:rsidP="0080044B">
            <w:pPr>
              <w:jc w:val="left"/>
              <w:rPr>
                <w:bCs/>
                <w:szCs w:val="24"/>
                <w:lang w:val="sr-Cyrl-RS"/>
              </w:rPr>
            </w:pPr>
            <w:r w:rsidRPr="00CF77C1">
              <w:rPr>
                <w:bCs/>
                <w:szCs w:val="24"/>
                <w:lang w:val="sr-Cyrl-RS"/>
              </w:rPr>
              <w:t>Успостављање домаћег и регионалног тржишта природног гаса</w:t>
            </w:r>
          </w:p>
        </w:tc>
        <w:tc>
          <w:tcPr>
            <w:tcW w:w="6946" w:type="dxa"/>
            <w:vAlign w:val="center"/>
          </w:tcPr>
          <w:p w14:paraId="6B0B8F7A" w14:textId="77777777" w:rsidR="009B15AB" w:rsidRPr="00CF77C1" w:rsidRDefault="009B15AB" w:rsidP="0080044B">
            <w:pPr>
              <w:jc w:val="left"/>
              <w:rPr>
                <w:bCs/>
                <w:szCs w:val="24"/>
                <w:lang w:val="sr-Cyrl-RS"/>
              </w:rPr>
            </w:pPr>
            <w:r w:rsidRPr="00CF77C1">
              <w:rPr>
                <w:bCs/>
                <w:szCs w:val="24"/>
                <w:lang w:val="sr-Cyrl-RS"/>
              </w:rPr>
              <w:t>Унапређује се; Отвара могућност смањења транзитних трошкова и гасификације подручја источне и јужне Србије. Представља предуслов за стварање регионалног тржишта природног гаса. Потенцијално повећање броја учесника на тржишту.</w:t>
            </w:r>
          </w:p>
        </w:tc>
        <w:tc>
          <w:tcPr>
            <w:tcW w:w="2409" w:type="dxa"/>
            <w:vAlign w:val="center"/>
          </w:tcPr>
          <w:p w14:paraId="358C2439" w14:textId="77777777" w:rsidR="009B15AB" w:rsidRPr="00CF77C1" w:rsidRDefault="009B15AB" w:rsidP="0080044B">
            <w:pPr>
              <w:jc w:val="left"/>
              <w:rPr>
                <w:szCs w:val="24"/>
                <w:lang w:val="sr-Cyrl-RS"/>
              </w:rPr>
            </w:pPr>
            <w:r w:rsidRPr="00CF77C1">
              <w:rPr>
                <w:szCs w:val="24"/>
                <w:lang w:val="sr-Cyrl-RS"/>
              </w:rPr>
              <w:t>-</w:t>
            </w:r>
          </w:p>
        </w:tc>
        <w:tc>
          <w:tcPr>
            <w:tcW w:w="2126" w:type="dxa"/>
            <w:vAlign w:val="center"/>
          </w:tcPr>
          <w:p w14:paraId="5C565D92" w14:textId="77777777" w:rsidR="009B15AB" w:rsidRPr="00CF77C1" w:rsidRDefault="009B15AB" w:rsidP="0080044B">
            <w:pPr>
              <w:jc w:val="left"/>
              <w:rPr>
                <w:szCs w:val="24"/>
                <w:lang w:val="sr-Cyrl-RS"/>
              </w:rPr>
            </w:pPr>
            <w:r w:rsidRPr="00CF77C1">
              <w:rPr>
                <w:szCs w:val="24"/>
                <w:lang w:val="sr-Cyrl-RS"/>
              </w:rPr>
              <w:t>-</w:t>
            </w:r>
          </w:p>
        </w:tc>
      </w:tr>
      <w:tr w:rsidR="009B15AB" w:rsidRPr="00CF77C1" w14:paraId="1110A698" w14:textId="77777777" w:rsidTr="00F25351">
        <w:trPr>
          <w:cantSplit/>
          <w:trHeight w:val="20"/>
        </w:trPr>
        <w:tc>
          <w:tcPr>
            <w:tcW w:w="3227" w:type="dxa"/>
            <w:shd w:val="clear" w:color="auto" w:fill="auto"/>
            <w:vAlign w:val="center"/>
          </w:tcPr>
          <w:p w14:paraId="4627A628" w14:textId="77777777" w:rsidR="009B15AB" w:rsidRPr="00CF77C1" w:rsidRDefault="009B15AB" w:rsidP="0080044B">
            <w:pPr>
              <w:jc w:val="left"/>
              <w:rPr>
                <w:bCs/>
                <w:szCs w:val="24"/>
                <w:lang w:val="sr-Cyrl-RS"/>
              </w:rPr>
            </w:pPr>
            <w:r w:rsidRPr="00CF77C1">
              <w:rPr>
                <w:bCs/>
                <w:szCs w:val="24"/>
                <w:lang w:val="sr-Cyrl-RS"/>
              </w:rPr>
              <w:t>Диверсификација извора и праваца снабдевања природним гасом</w:t>
            </w:r>
          </w:p>
        </w:tc>
        <w:tc>
          <w:tcPr>
            <w:tcW w:w="6946" w:type="dxa"/>
            <w:vAlign w:val="center"/>
          </w:tcPr>
          <w:p w14:paraId="7A1E2D69" w14:textId="77777777" w:rsidR="009B15AB" w:rsidRPr="00CF77C1" w:rsidRDefault="009B15AB" w:rsidP="0080044B">
            <w:pPr>
              <w:jc w:val="left"/>
              <w:rPr>
                <w:szCs w:val="24"/>
                <w:lang w:val="sr-Cyrl-RS"/>
              </w:rPr>
            </w:pPr>
            <w:r w:rsidRPr="00CF77C1">
              <w:rPr>
                <w:bCs/>
                <w:szCs w:val="24"/>
                <w:lang w:val="sr-Cyrl-RS"/>
              </w:rPr>
              <w:t xml:space="preserve">Значајно се унапређује; Уводи се нови правац снабдевања. </w:t>
            </w:r>
            <w:r w:rsidRPr="00CF77C1">
              <w:rPr>
                <w:szCs w:val="24"/>
                <w:lang w:val="sr-Cyrl-RS"/>
              </w:rPr>
              <w:t xml:space="preserve">Отвара се могућност за снабдевање природним гасом из Русије и других праваца снабдевања тзв. Јужни коридор (Азербејџан, течни природни гас из терминала у Грчкој и др.). </w:t>
            </w:r>
          </w:p>
        </w:tc>
        <w:tc>
          <w:tcPr>
            <w:tcW w:w="2409" w:type="dxa"/>
            <w:vAlign w:val="center"/>
          </w:tcPr>
          <w:p w14:paraId="72C11006" w14:textId="77777777" w:rsidR="009B15AB" w:rsidRPr="00CF77C1" w:rsidRDefault="009B15AB" w:rsidP="0080044B">
            <w:pPr>
              <w:jc w:val="left"/>
              <w:rPr>
                <w:szCs w:val="24"/>
                <w:lang w:val="sr-Cyrl-RS"/>
              </w:rPr>
            </w:pPr>
            <w:r w:rsidRPr="00CF77C1">
              <w:rPr>
                <w:szCs w:val="24"/>
                <w:lang w:val="sr-Cyrl-RS"/>
              </w:rPr>
              <w:t>ИДУПС = 6007</w:t>
            </w:r>
          </w:p>
        </w:tc>
        <w:tc>
          <w:tcPr>
            <w:tcW w:w="2126" w:type="dxa"/>
            <w:vAlign w:val="center"/>
          </w:tcPr>
          <w:p w14:paraId="7390B22F" w14:textId="77777777" w:rsidR="009B15AB" w:rsidRPr="00CF77C1" w:rsidRDefault="009B15AB" w:rsidP="0080044B">
            <w:pPr>
              <w:jc w:val="left"/>
              <w:rPr>
                <w:szCs w:val="24"/>
                <w:lang w:val="sr-Cyrl-RS"/>
              </w:rPr>
            </w:pPr>
            <w:r w:rsidRPr="00CF77C1">
              <w:rPr>
                <w:szCs w:val="24"/>
                <w:lang w:val="sr-Cyrl-RS"/>
              </w:rPr>
              <w:t>-39,9%</w:t>
            </w:r>
          </w:p>
        </w:tc>
      </w:tr>
    </w:tbl>
    <w:p w14:paraId="46D3CFE3" w14:textId="0D46B942" w:rsidR="009B15AB" w:rsidRPr="00CF77C1" w:rsidRDefault="00D61BC9" w:rsidP="00C41967">
      <w:pPr>
        <w:pStyle w:val="Caption"/>
        <w:ind w:firstLine="720"/>
        <w:rPr>
          <w:b w:val="0"/>
          <w:lang w:val="sr-Cyrl-RS"/>
        </w:rPr>
      </w:pPr>
      <w:r w:rsidRPr="00CF77C1">
        <w:rPr>
          <w:b w:val="0"/>
          <w:lang w:val="sr-Cyrl-RS"/>
        </w:rPr>
        <w:t>таб.</w:t>
      </w:r>
      <w:r w:rsidR="009B15AB"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66</w:t>
      </w:r>
      <w:r w:rsidR="0092145E" w:rsidRPr="00CF77C1">
        <w:rPr>
          <w:b w:val="0"/>
          <w:lang w:val="sr-Cyrl-RS"/>
        </w:rPr>
        <w:fldChar w:fldCharType="end"/>
      </w:r>
      <w:r w:rsidR="009B15AB" w:rsidRPr="00CF77C1">
        <w:rPr>
          <w:b w:val="0"/>
          <w:lang w:val="sr-Cyrl-RS"/>
        </w:rPr>
        <w:t>: Статус пројекта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402"/>
        <w:gridCol w:w="8080"/>
      </w:tblGrid>
      <w:tr w:rsidR="009B15AB" w:rsidRPr="00CF77C1" w14:paraId="448B8971" w14:textId="77777777" w:rsidTr="009B15AB">
        <w:tc>
          <w:tcPr>
            <w:tcW w:w="3227" w:type="dxa"/>
            <w:shd w:val="clear" w:color="auto" w:fill="auto"/>
            <w:vAlign w:val="center"/>
          </w:tcPr>
          <w:p w14:paraId="46DB19EC" w14:textId="77777777" w:rsidR="009B15AB" w:rsidRPr="00CF77C1" w:rsidRDefault="009B15AB" w:rsidP="0080044B">
            <w:pPr>
              <w:jc w:val="center"/>
              <w:rPr>
                <w:lang w:val="sr-Cyrl-RS"/>
              </w:rPr>
            </w:pPr>
            <w:r w:rsidRPr="00CF77C1">
              <w:rPr>
                <w:lang w:val="sr-Cyrl-RS"/>
              </w:rPr>
              <w:t>Пројекат</w:t>
            </w:r>
          </w:p>
        </w:tc>
        <w:tc>
          <w:tcPr>
            <w:tcW w:w="3402" w:type="dxa"/>
            <w:shd w:val="clear" w:color="auto" w:fill="auto"/>
            <w:vAlign w:val="center"/>
          </w:tcPr>
          <w:p w14:paraId="5E7E4022" w14:textId="77777777" w:rsidR="009B15AB" w:rsidRPr="00CF77C1" w:rsidRDefault="009B15AB" w:rsidP="0080044B">
            <w:pPr>
              <w:jc w:val="center"/>
              <w:rPr>
                <w:lang w:val="sr-Cyrl-RS"/>
              </w:rPr>
            </w:pPr>
            <w:r w:rsidRPr="00CF77C1">
              <w:rPr>
                <w:lang w:val="sr-Cyrl-RS"/>
              </w:rPr>
              <w:t>Статус припреме пројекта</w:t>
            </w:r>
          </w:p>
        </w:tc>
        <w:tc>
          <w:tcPr>
            <w:tcW w:w="8080" w:type="dxa"/>
            <w:shd w:val="clear" w:color="auto" w:fill="auto"/>
            <w:vAlign w:val="center"/>
          </w:tcPr>
          <w:p w14:paraId="2C6F4A8B" w14:textId="77777777" w:rsidR="009B15AB" w:rsidRPr="00CF77C1" w:rsidRDefault="009B15AB" w:rsidP="0080044B">
            <w:pPr>
              <w:jc w:val="center"/>
              <w:rPr>
                <w:lang w:val="sr-Cyrl-RS"/>
              </w:rPr>
            </w:pPr>
            <w:r w:rsidRPr="00CF77C1">
              <w:rPr>
                <w:lang w:val="sr-Cyrl-RS"/>
              </w:rPr>
              <w:t>Недостајућа планска и техничка документација</w:t>
            </w:r>
          </w:p>
        </w:tc>
      </w:tr>
      <w:tr w:rsidR="009B15AB" w:rsidRPr="00CF77C1" w14:paraId="3C43B13B" w14:textId="77777777" w:rsidTr="009B15AB">
        <w:tc>
          <w:tcPr>
            <w:tcW w:w="3227" w:type="dxa"/>
            <w:shd w:val="clear" w:color="auto" w:fill="auto"/>
            <w:vAlign w:val="center"/>
          </w:tcPr>
          <w:p w14:paraId="382490D0" w14:textId="77777777" w:rsidR="009B15AB" w:rsidRPr="00CF77C1" w:rsidRDefault="009B15AB" w:rsidP="0080044B">
            <w:pPr>
              <w:jc w:val="left"/>
              <w:rPr>
                <w:lang w:val="sr-Cyrl-RS"/>
              </w:rPr>
            </w:pPr>
            <w:r w:rsidRPr="00CF77C1">
              <w:rPr>
                <w:lang w:val="sr-Cyrl-RS"/>
              </w:rPr>
              <w:t xml:space="preserve">Mагистрални гасовод МГ-10 Ниш </w:t>
            </w:r>
            <w:r w:rsidR="008F7E3A" w:rsidRPr="00CF77C1">
              <w:rPr>
                <w:lang w:val="sr-Cyrl-RS"/>
              </w:rPr>
              <w:t>-</w:t>
            </w:r>
            <w:r w:rsidRPr="00CF77C1">
              <w:rPr>
                <w:lang w:val="sr-Cyrl-RS"/>
              </w:rPr>
              <w:t xml:space="preserve"> Димитровград (граница са Бугарском)</w:t>
            </w:r>
          </w:p>
        </w:tc>
        <w:tc>
          <w:tcPr>
            <w:tcW w:w="3402" w:type="dxa"/>
            <w:shd w:val="clear" w:color="auto" w:fill="auto"/>
            <w:vAlign w:val="center"/>
          </w:tcPr>
          <w:p w14:paraId="6DD45074" w14:textId="77777777" w:rsidR="009B15AB" w:rsidRPr="00CF77C1" w:rsidRDefault="009B15AB" w:rsidP="0080044B">
            <w:pPr>
              <w:jc w:val="left"/>
              <w:rPr>
                <w:lang w:val="sr-Cyrl-RS"/>
              </w:rPr>
            </w:pPr>
            <w:r w:rsidRPr="00CF77C1">
              <w:rPr>
                <w:lang w:val="sr-Cyrl-RS"/>
              </w:rPr>
              <w:t>Урађен ППППН са елементима детаљне регулације</w:t>
            </w:r>
          </w:p>
          <w:p w14:paraId="051F6AA1" w14:textId="77777777" w:rsidR="009B15AB" w:rsidRPr="00CF77C1" w:rsidRDefault="009B15AB" w:rsidP="0080044B">
            <w:pPr>
              <w:jc w:val="left"/>
              <w:rPr>
                <w:lang w:val="sr-Cyrl-RS"/>
              </w:rPr>
            </w:pPr>
          </w:p>
        </w:tc>
        <w:tc>
          <w:tcPr>
            <w:tcW w:w="8080" w:type="dxa"/>
            <w:shd w:val="clear" w:color="auto" w:fill="auto"/>
            <w:vAlign w:val="center"/>
          </w:tcPr>
          <w:p w14:paraId="214A58F7" w14:textId="77777777" w:rsidR="009B15AB" w:rsidRPr="00CF77C1" w:rsidRDefault="009B15AB" w:rsidP="0080044B">
            <w:pPr>
              <w:jc w:val="left"/>
              <w:rPr>
                <w:lang w:val="sr-Cyrl-RS"/>
              </w:rPr>
            </w:pPr>
            <w:r w:rsidRPr="00CF77C1">
              <w:rPr>
                <w:lang w:val="sr-Cyrl-RS"/>
              </w:rPr>
              <w:t>Идејно решење, локацијски услови, студија оправданости, идејни пројекат, студија процене утицаја на животну средину, пројекат за грађевинску дозволу, грађевинска дозвола, пројекат за извођење, пројекат изведеног објекта све у складу са захтевима Закона о планирању и изградњи, енергетска дозвола у складу са Законом о енергетици, тендерска документација за изградњу.</w:t>
            </w:r>
          </w:p>
        </w:tc>
      </w:tr>
    </w:tbl>
    <w:p w14:paraId="0BF2F270" w14:textId="79A165D8" w:rsidR="00882250" w:rsidRPr="00CF77C1" w:rsidRDefault="00D61BC9" w:rsidP="00C41967">
      <w:pPr>
        <w:pStyle w:val="Caption"/>
        <w:ind w:firstLine="720"/>
        <w:rPr>
          <w:b w:val="0"/>
          <w:lang w:val="sr-Cyrl-RS"/>
        </w:rPr>
      </w:pPr>
      <w:r w:rsidRPr="00CF77C1">
        <w:rPr>
          <w:b w:val="0"/>
          <w:lang w:val="sr-Cyrl-RS"/>
        </w:rPr>
        <w:t>таб.</w:t>
      </w:r>
      <w:r w:rsidR="00882250"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67</w:t>
      </w:r>
      <w:r w:rsidR="0092145E" w:rsidRPr="00CF77C1">
        <w:rPr>
          <w:b w:val="0"/>
          <w:lang w:val="sr-Cyrl-RS"/>
        </w:rPr>
        <w:fldChar w:fldCharType="end"/>
      </w:r>
      <w:r w:rsidR="00882250" w:rsidRPr="00CF77C1">
        <w:rPr>
          <w:b w:val="0"/>
          <w:lang w:val="sr-Cyrl-RS"/>
        </w:rPr>
        <w:t>: Динамика реализације активн</w:t>
      </w:r>
      <w:r w:rsidR="00FC6F6F">
        <w:rPr>
          <w:b w:val="0"/>
          <w:lang w:val="sr-Cyrl-RS"/>
        </w:rPr>
        <w:t>ости у периоду реализације ПОС</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2"/>
        <w:gridCol w:w="3260"/>
        <w:gridCol w:w="769"/>
        <w:gridCol w:w="770"/>
        <w:gridCol w:w="769"/>
        <w:gridCol w:w="770"/>
        <w:gridCol w:w="769"/>
        <w:gridCol w:w="770"/>
        <w:gridCol w:w="770"/>
      </w:tblGrid>
      <w:tr w:rsidR="009B15AB" w:rsidRPr="00CF77C1" w14:paraId="799964EF" w14:textId="77777777" w:rsidTr="00205D28">
        <w:trPr>
          <w:cantSplit/>
          <w:trHeight w:val="1134"/>
          <w:tblHeader/>
        </w:trPr>
        <w:tc>
          <w:tcPr>
            <w:tcW w:w="6062" w:type="dxa"/>
            <w:shd w:val="clear" w:color="auto" w:fill="auto"/>
            <w:vAlign w:val="center"/>
          </w:tcPr>
          <w:p w14:paraId="024B698A" w14:textId="77777777" w:rsidR="009B15AB" w:rsidRPr="00CF77C1" w:rsidRDefault="009B15AB" w:rsidP="0080044B">
            <w:pPr>
              <w:keepNext/>
              <w:jc w:val="center"/>
              <w:rPr>
                <w:lang w:val="sr-Cyrl-RS"/>
              </w:rPr>
            </w:pPr>
            <w:r w:rsidRPr="00CF77C1">
              <w:rPr>
                <w:lang w:val="sr-Cyrl-RS"/>
              </w:rPr>
              <w:t>Пројекат:</w:t>
            </w:r>
          </w:p>
          <w:p w14:paraId="221C851D" w14:textId="77777777" w:rsidR="009B15AB" w:rsidRPr="00CF77C1" w:rsidRDefault="009B15AB" w:rsidP="0080044B">
            <w:pPr>
              <w:keepNext/>
              <w:jc w:val="center"/>
              <w:rPr>
                <w:lang w:val="sr-Cyrl-RS"/>
              </w:rPr>
            </w:pPr>
            <w:r w:rsidRPr="00CF77C1">
              <w:rPr>
                <w:lang w:val="sr-Cyrl-RS"/>
              </w:rPr>
              <w:t xml:space="preserve">Mагистрални гасовод МГ-10 Ниш - Димитровград </w:t>
            </w:r>
          </w:p>
        </w:tc>
        <w:tc>
          <w:tcPr>
            <w:tcW w:w="3260" w:type="dxa"/>
            <w:shd w:val="clear" w:color="auto" w:fill="auto"/>
            <w:vAlign w:val="center"/>
          </w:tcPr>
          <w:p w14:paraId="3B2B62EF" w14:textId="77777777" w:rsidR="009B15AB" w:rsidRPr="00CF77C1" w:rsidRDefault="00DD69C2" w:rsidP="0080044B">
            <w:pPr>
              <w:keepNext/>
              <w:jc w:val="center"/>
              <w:rPr>
                <w:lang w:val="sr-Cyrl-RS"/>
              </w:rPr>
            </w:pPr>
            <w:r w:rsidRPr="00CF77C1">
              <w:rPr>
                <w:lang w:val="sr-Cyrl-RS"/>
              </w:rPr>
              <w:t>Одговорни субјекат</w:t>
            </w:r>
          </w:p>
        </w:tc>
        <w:tc>
          <w:tcPr>
            <w:tcW w:w="769" w:type="dxa"/>
            <w:shd w:val="clear" w:color="auto" w:fill="auto"/>
            <w:vAlign w:val="center"/>
          </w:tcPr>
          <w:p w14:paraId="0A7F3A8D" w14:textId="77777777" w:rsidR="009B15AB" w:rsidRPr="00CF77C1" w:rsidRDefault="009B15AB" w:rsidP="0080044B">
            <w:pPr>
              <w:keepNext/>
              <w:jc w:val="center"/>
              <w:rPr>
                <w:lang w:val="sr-Cyrl-RS"/>
              </w:rPr>
            </w:pPr>
            <w:r w:rsidRPr="00CF77C1">
              <w:rPr>
                <w:lang w:val="sr-Cyrl-RS"/>
              </w:rPr>
              <w:t>2017.</w:t>
            </w:r>
          </w:p>
        </w:tc>
        <w:tc>
          <w:tcPr>
            <w:tcW w:w="770" w:type="dxa"/>
            <w:shd w:val="clear" w:color="auto" w:fill="auto"/>
            <w:vAlign w:val="center"/>
          </w:tcPr>
          <w:p w14:paraId="4DF5F0E3" w14:textId="77777777" w:rsidR="009B15AB" w:rsidRPr="00CF77C1" w:rsidRDefault="009B15AB" w:rsidP="0080044B">
            <w:pPr>
              <w:keepNext/>
              <w:jc w:val="center"/>
              <w:rPr>
                <w:lang w:val="sr-Cyrl-RS"/>
              </w:rPr>
            </w:pPr>
            <w:r w:rsidRPr="00CF77C1">
              <w:rPr>
                <w:lang w:val="sr-Cyrl-RS"/>
              </w:rPr>
              <w:t>2018.</w:t>
            </w:r>
          </w:p>
        </w:tc>
        <w:tc>
          <w:tcPr>
            <w:tcW w:w="769" w:type="dxa"/>
            <w:shd w:val="clear" w:color="auto" w:fill="auto"/>
            <w:vAlign w:val="center"/>
          </w:tcPr>
          <w:p w14:paraId="6F27211C" w14:textId="77777777" w:rsidR="009B15AB" w:rsidRPr="00CF77C1" w:rsidRDefault="009B15AB" w:rsidP="0080044B">
            <w:pPr>
              <w:keepNext/>
              <w:jc w:val="center"/>
              <w:rPr>
                <w:lang w:val="sr-Cyrl-RS"/>
              </w:rPr>
            </w:pPr>
            <w:r w:rsidRPr="00CF77C1">
              <w:rPr>
                <w:lang w:val="sr-Cyrl-RS"/>
              </w:rPr>
              <w:t>2019.</w:t>
            </w:r>
          </w:p>
        </w:tc>
        <w:tc>
          <w:tcPr>
            <w:tcW w:w="770" w:type="dxa"/>
            <w:shd w:val="clear" w:color="auto" w:fill="auto"/>
            <w:vAlign w:val="center"/>
          </w:tcPr>
          <w:p w14:paraId="4B2E178C" w14:textId="77777777" w:rsidR="009B15AB" w:rsidRPr="00CF77C1" w:rsidRDefault="009B15AB" w:rsidP="0080044B">
            <w:pPr>
              <w:keepNext/>
              <w:jc w:val="center"/>
              <w:rPr>
                <w:lang w:val="sr-Cyrl-RS"/>
              </w:rPr>
            </w:pPr>
            <w:r w:rsidRPr="00CF77C1">
              <w:rPr>
                <w:lang w:val="sr-Cyrl-RS"/>
              </w:rPr>
              <w:t>2020.</w:t>
            </w:r>
          </w:p>
        </w:tc>
        <w:tc>
          <w:tcPr>
            <w:tcW w:w="769" w:type="dxa"/>
            <w:shd w:val="clear" w:color="auto" w:fill="auto"/>
            <w:vAlign w:val="center"/>
          </w:tcPr>
          <w:p w14:paraId="424A30BF" w14:textId="77777777" w:rsidR="009B15AB" w:rsidRPr="00CF77C1" w:rsidRDefault="009B15AB" w:rsidP="0080044B">
            <w:pPr>
              <w:keepNext/>
              <w:jc w:val="center"/>
              <w:rPr>
                <w:lang w:val="sr-Cyrl-RS"/>
              </w:rPr>
            </w:pPr>
            <w:r w:rsidRPr="00CF77C1">
              <w:rPr>
                <w:lang w:val="sr-Cyrl-RS"/>
              </w:rPr>
              <w:t>2021.</w:t>
            </w:r>
          </w:p>
        </w:tc>
        <w:tc>
          <w:tcPr>
            <w:tcW w:w="770" w:type="dxa"/>
            <w:shd w:val="clear" w:color="auto" w:fill="auto"/>
            <w:vAlign w:val="center"/>
          </w:tcPr>
          <w:p w14:paraId="333CF5E4" w14:textId="77777777" w:rsidR="009B15AB" w:rsidRPr="00CF77C1" w:rsidRDefault="009B15AB" w:rsidP="0080044B">
            <w:pPr>
              <w:keepNext/>
              <w:jc w:val="center"/>
              <w:rPr>
                <w:lang w:val="sr-Cyrl-RS"/>
              </w:rPr>
            </w:pPr>
            <w:r w:rsidRPr="00CF77C1">
              <w:rPr>
                <w:lang w:val="sr-Cyrl-RS"/>
              </w:rPr>
              <w:t>2022.</w:t>
            </w:r>
          </w:p>
        </w:tc>
        <w:tc>
          <w:tcPr>
            <w:tcW w:w="770" w:type="dxa"/>
            <w:shd w:val="clear" w:color="auto" w:fill="auto"/>
            <w:vAlign w:val="center"/>
          </w:tcPr>
          <w:p w14:paraId="44B1F1E3" w14:textId="77777777" w:rsidR="009B15AB" w:rsidRPr="00CF77C1" w:rsidRDefault="009B15AB" w:rsidP="0080044B">
            <w:pPr>
              <w:keepNext/>
              <w:jc w:val="center"/>
              <w:rPr>
                <w:lang w:val="sr-Cyrl-RS"/>
              </w:rPr>
            </w:pPr>
            <w:r w:rsidRPr="00CF77C1">
              <w:rPr>
                <w:lang w:val="sr-Cyrl-RS"/>
              </w:rPr>
              <w:t>2023.</w:t>
            </w:r>
          </w:p>
        </w:tc>
      </w:tr>
      <w:tr w:rsidR="009B15AB" w:rsidRPr="00CF77C1" w14:paraId="6A0BB041" w14:textId="77777777" w:rsidTr="00205D28">
        <w:tc>
          <w:tcPr>
            <w:tcW w:w="6062" w:type="dxa"/>
            <w:shd w:val="clear" w:color="auto" w:fill="auto"/>
            <w:vAlign w:val="center"/>
          </w:tcPr>
          <w:p w14:paraId="0CC20C01" w14:textId="77777777" w:rsidR="009B15AB" w:rsidRPr="00CF77C1" w:rsidRDefault="009B15AB" w:rsidP="0080044B">
            <w:pPr>
              <w:jc w:val="left"/>
              <w:rPr>
                <w:lang w:val="sr-Cyrl-RS"/>
              </w:rPr>
            </w:pPr>
            <w:r w:rsidRPr="00CF77C1">
              <w:rPr>
                <w:lang w:val="sr-Cyrl-RS"/>
              </w:rPr>
              <w:t>Истражни радови</w:t>
            </w:r>
          </w:p>
        </w:tc>
        <w:tc>
          <w:tcPr>
            <w:tcW w:w="3260" w:type="dxa"/>
            <w:shd w:val="clear" w:color="auto" w:fill="auto"/>
            <w:vAlign w:val="center"/>
          </w:tcPr>
          <w:p w14:paraId="0B533A7D" w14:textId="0B8C57BE" w:rsidR="009B15AB" w:rsidRPr="00CF77C1" w:rsidRDefault="00205D28" w:rsidP="0080044B">
            <w:pPr>
              <w:jc w:val="left"/>
              <w:rPr>
                <w:lang w:val="sr-Cyrl-RS"/>
              </w:rPr>
            </w:pPr>
            <w:r w:rsidRPr="00CF77C1">
              <w:rPr>
                <w:lang w:val="sr-Cyrl-RS"/>
              </w:rPr>
              <w:t>Транспортгас Србија д.о.о.</w:t>
            </w:r>
          </w:p>
        </w:tc>
        <w:tc>
          <w:tcPr>
            <w:tcW w:w="769" w:type="dxa"/>
            <w:shd w:val="clear" w:color="auto" w:fill="auto"/>
            <w:vAlign w:val="center"/>
          </w:tcPr>
          <w:p w14:paraId="12F782C3" w14:textId="77777777" w:rsidR="009B15AB" w:rsidRPr="00CF77C1" w:rsidRDefault="009B15AB" w:rsidP="0080044B">
            <w:pPr>
              <w:spacing w:before="0" w:after="0"/>
              <w:jc w:val="center"/>
              <w:rPr>
                <w:lang w:val="sr-Cyrl-RS"/>
              </w:rPr>
            </w:pPr>
            <w:r w:rsidRPr="00CF77C1">
              <w:rPr>
                <w:lang w:val="sr-Cyrl-RS"/>
              </w:rPr>
              <w:t>х</w:t>
            </w:r>
          </w:p>
        </w:tc>
        <w:tc>
          <w:tcPr>
            <w:tcW w:w="770" w:type="dxa"/>
            <w:shd w:val="clear" w:color="auto" w:fill="auto"/>
            <w:vAlign w:val="center"/>
          </w:tcPr>
          <w:p w14:paraId="3C6032E7" w14:textId="77777777" w:rsidR="009B15AB" w:rsidRPr="00CF77C1" w:rsidRDefault="009B15AB" w:rsidP="0080044B">
            <w:pPr>
              <w:spacing w:before="0" w:after="0"/>
              <w:jc w:val="center"/>
              <w:rPr>
                <w:lang w:val="sr-Cyrl-RS"/>
              </w:rPr>
            </w:pPr>
          </w:p>
        </w:tc>
        <w:tc>
          <w:tcPr>
            <w:tcW w:w="769" w:type="dxa"/>
            <w:shd w:val="clear" w:color="auto" w:fill="auto"/>
            <w:vAlign w:val="center"/>
          </w:tcPr>
          <w:p w14:paraId="518DAD5F" w14:textId="77777777" w:rsidR="009B15AB" w:rsidRPr="00CF77C1" w:rsidRDefault="009B15AB" w:rsidP="0080044B">
            <w:pPr>
              <w:spacing w:before="0" w:after="0"/>
              <w:jc w:val="center"/>
              <w:rPr>
                <w:lang w:val="sr-Cyrl-RS"/>
              </w:rPr>
            </w:pPr>
          </w:p>
        </w:tc>
        <w:tc>
          <w:tcPr>
            <w:tcW w:w="770" w:type="dxa"/>
            <w:shd w:val="clear" w:color="auto" w:fill="auto"/>
            <w:vAlign w:val="center"/>
          </w:tcPr>
          <w:p w14:paraId="4340ED1A" w14:textId="77777777" w:rsidR="009B15AB" w:rsidRPr="00CF77C1" w:rsidRDefault="009B15AB" w:rsidP="0080044B">
            <w:pPr>
              <w:spacing w:before="0" w:after="0"/>
              <w:jc w:val="center"/>
              <w:rPr>
                <w:lang w:val="sr-Cyrl-RS"/>
              </w:rPr>
            </w:pPr>
          </w:p>
        </w:tc>
        <w:tc>
          <w:tcPr>
            <w:tcW w:w="769" w:type="dxa"/>
            <w:shd w:val="clear" w:color="auto" w:fill="auto"/>
            <w:vAlign w:val="center"/>
          </w:tcPr>
          <w:p w14:paraId="2CD4E540" w14:textId="77777777" w:rsidR="009B15AB" w:rsidRPr="00CF77C1" w:rsidRDefault="009B15AB" w:rsidP="0080044B">
            <w:pPr>
              <w:spacing w:before="0" w:after="0"/>
              <w:jc w:val="center"/>
              <w:rPr>
                <w:lang w:val="sr-Cyrl-RS"/>
              </w:rPr>
            </w:pPr>
          </w:p>
        </w:tc>
        <w:tc>
          <w:tcPr>
            <w:tcW w:w="770" w:type="dxa"/>
            <w:shd w:val="clear" w:color="auto" w:fill="auto"/>
            <w:vAlign w:val="center"/>
          </w:tcPr>
          <w:p w14:paraId="7E6B83D1" w14:textId="77777777" w:rsidR="009B15AB" w:rsidRPr="00CF77C1" w:rsidRDefault="009B15AB" w:rsidP="0080044B">
            <w:pPr>
              <w:spacing w:before="0" w:after="0"/>
              <w:jc w:val="center"/>
              <w:rPr>
                <w:lang w:val="sr-Cyrl-RS"/>
              </w:rPr>
            </w:pPr>
          </w:p>
        </w:tc>
        <w:tc>
          <w:tcPr>
            <w:tcW w:w="770" w:type="dxa"/>
            <w:shd w:val="clear" w:color="auto" w:fill="auto"/>
            <w:vAlign w:val="center"/>
          </w:tcPr>
          <w:p w14:paraId="7DACD246" w14:textId="77777777" w:rsidR="009B15AB" w:rsidRPr="00CF77C1" w:rsidRDefault="009B15AB" w:rsidP="0080044B">
            <w:pPr>
              <w:spacing w:before="0" w:after="0"/>
              <w:jc w:val="center"/>
              <w:rPr>
                <w:lang w:val="sr-Cyrl-RS"/>
              </w:rPr>
            </w:pPr>
          </w:p>
        </w:tc>
      </w:tr>
      <w:tr w:rsidR="009B15AB" w:rsidRPr="00CF77C1" w14:paraId="2A0FCEAA" w14:textId="77777777" w:rsidTr="00205D28">
        <w:tc>
          <w:tcPr>
            <w:tcW w:w="6062" w:type="dxa"/>
            <w:shd w:val="clear" w:color="auto" w:fill="auto"/>
            <w:vAlign w:val="center"/>
          </w:tcPr>
          <w:p w14:paraId="5D758BF2" w14:textId="77777777" w:rsidR="009B15AB" w:rsidRPr="00CF77C1" w:rsidRDefault="009B15AB" w:rsidP="0080044B">
            <w:pPr>
              <w:jc w:val="left"/>
              <w:rPr>
                <w:lang w:val="sr-Cyrl-RS"/>
              </w:rPr>
            </w:pPr>
            <w:r w:rsidRPr="00CF77C1">
              <w:rPr>
                <w:lang w:val="sr-Cyrl-RS"/>
              </w:rPr>
              <w:t>Идејно решење и локацијска дозвола</w:t>
            </w:r>
          </w:p>
        </w:tc>
        <w:tc>
          <w:tcPr>
            <w:tcW w:w="3260" w:type="dxa"/>
            <w:shd w:val="clear" w:color="auto" w:fill="auto"/>
            <w:vAlign w:val="center"/>
          </w:tcPr>
          <w:p w14:paraId="0186B70F" w14:textId="2F6C641E" w:rsidR="009B15AB" w:rsidRPr="00CF77C1" w:rsidRDefault="00205D28" w:rsidP="0080044B">
            <w:pPr>
              <w:jc w:val="left"/>
              <w:rPr>
                <w:lang w:val="sr-Cyrl-RS"/>
              </w:rPr>
            </w:pPr>
            <w:r w:rsidRPr="00CF77C1">
              <w:rPr>
                <w:lang w:val="sr-Cyrl-RS"/>
              </w:rPr>
              <w:t>Транспортгас Србија д.о.о.</w:t>
            </w:r>
          </w:p>
        </w:tc>
        <w:tc>
          <w:tcPr>
            <w:tcW w:w="769" w:type="dxa"/>
            <w:shd w:val="clear" w:color="auto" w:fill="auto"/>
            <w:vAlign w:val="center"/>
          </w:tcPr>
          <w:p w14:paraId="28295C65" w14:textId="77777777" w:rsidR="009B15AB" w:rsidRPr="00CF77C1" w:rsidRDefault="009B15AB" w:rsidP="0080044B">
            <w:pPr>
              <w:spacing w:before="0" w:after="0"/>
              <w:jc w:val="center"/>
              <w:rPr>
                <w:lang w:val="sr-Cyrl-RS"/>
              </w:rPr>
            </w:pPr>
            <w:r w:rsidRPr="00CF77C1">
              <w:rPr>
                <w:lang w:val="sr-Cyrl-RS"/>
              </w:rPr>
              <w:t>х</w:t>
            </w:r>
          </w:p>
        </w:tc>
        <w:tc>
          <w:tcPr>
            <w:tcW w:w="770" w:type="dxa"/>
            <w:shd w:val="clear" w:color="auto" w:fill="auto"/>
            <w:vAlign w:val="center"/>
          </w:tcPr>
          <w:p w14:paraId="55CA4D08" w14:textId="77777777" w:rsidR="009B15AB" w:rsidRPr="00CF77C1" w:rsidRDefault="009B15AB" w:rsidP="0080044B">
            <w:pPr>
              <w:spacing w:before="0" w:after="0"/>
              <w:jc w:val="center"/>
              <w:rPr>
                <w:lang w:val="sr-Cyrl-RS"/>
              </w:rPr>
            </w:pPr>
          </w:p>
        </w:tc>
        <w:tc>
          <w:tcPr>
            <w:tcW w:w="769" w:type="dxa"/>
            <w:shd w:val="clear" w:color="auto" w:fill="auto"/>
            <w:vAlign w:val="center"/>
          </w:tcPr>
          <w:p w14:paraId="4CFA160B" w14:textId="77777777" w:rsidR="009B15AB" w:rsidRPr="00CF77C1" w:rsidRDefault="009B15AB" w:rsidP="0080044B">
            <w:pPr>
              <w:spacing w:before="0" w:after="0"/>
              <w:jc w:val="center"/>
              <w:rPr>
                <w:lang w:val="sr-Cyrl-RS"/>
              </w:rPr>
            </w:pPr>
          </w:p>
        </w:tc>
        <w:tc>
          <w:tcPr>
            <w:tcW w:w="770" w:type="dxa"/>
            <w:shd w:val="clear" w:color="auto" w:fill="auto"/>
            <w:vAlign w:val="center"/>
          </w:tcPr>
          <w:p w14:paraId="312C75F8" w14:textId="77777777" w:rsidR="009B15AB" w:rsidRPr="00CF77C1" w:rsidRDefault="009B15AB" w:rsidP="0080044B">
            <w:pPr>
              <w:spacing w:before="0" w:after="0"/>
              <w:jc w:val="center"/>
              <w:rPr>
                <w:lang w:val="sr-Cyrl-RS"/>
              </w:rPr>
            </w:pPr>
          </w:p>
        </w:tc>
        <w:tc>
          <w:tcPr>
            <w:tcW w:w="769" w:type="dxa"/>
            <w:shd w:val="clear" w:color="auto" w:fill="auto"/>
            <w:vAlign w:val="center"/>
          </w:tcPr>
          <w:p w14:paraId="11B679FF" w14:textId="77777777" w:rsidR="009B15AB" w:rsidRPr="00CF77C1" w:rsidRDefault="009B15AB" w:rsidP="0080044B">
            <w:pPr>
              <w:spacing w:before="0" w:after="0"/>
              <w:jc w:val="center"/>
              <w:rPr>
                <w:lang w:val="sr-Cyrl-RS"/>
              </w:rPr>
            </w:pPr>
          </w:p>
        </w:tc>
        <w:tc>
          <w:tcPr>
            <w:tcW w:w="770" w:type="dxa"/>
            <w:shd w:val="clear" w:color="auto" w:fill="auto"/>
            <w:vAlign w:val="center"/>
          </w:tcPr>
          <w:p w14:paraId="2072E961" w14:textId="77777777" w:rsidR="009B15AB" w:rsidRPr="00CF77C1" w:rsidRDefault="009B15AB" w:rsidP="0080044B">
            <w:pPr>
              <w:spacing w:before="0" w:after="0"/>
              <w:jc w:val="center"/>
              <w:rPr>
                <w:lang w:val="sr-Cyrl-RS"/>
              </w:rPr>
            </w:pPr>
          </w:p>
        </w:tc>
        <w:tc>
          <w:tcPr>
            <w:tcW w:w="770" w:type="dxa"/>
            <w:shd w:val="clear" w:color="auto" w:fill="auto"/>
            <w:vAlign w:val="center"/>
          </w:tcPr>
          <w:p w14:paraId="736FFB7D" w14:textId="77777777" w:rsidR="009B15AB" w:rsidRPr="00CF77C1" w:rsidRDefault="009B15AB" w:rsidP="0080044B">
            <w:pPr>
              <w:spacing w:before="0" w:after="0"/>
              <w:jc w:val="center"/>
              <w:rPr>
                <w:lang w:val="sr-Cyrl-RS"/>
              </w:rPr>
            </w:pPr>
          </w:p>
        </w:tc>
      </w:tr>
      <w:tr w:rsidR="009B15AB" w:rsidRPr="00CF77C1" w14:paraId="5942DFC8" w14:textId="77777777" w:rsidTr="00205D28">
        <w:tc>
          <w:tcPr>
            <w:tcW w:w="6062" w:type="dxa"/>
            <w:shd w:val="clear" w:color="auto" w:fill="auto"/>
            <w:vAlign w:val="center"/>
          </w:tcPr>
          <w:p w14:paraId="3B782B19" w14:textId="77777777" w:rsidR="009B15AB" w:rsidRPr="00CF77C1" w:rsidRDefault="009B15AB" w:rsidP="0080044B">
            <w:pPr>
              <w:ind w:right="-533"/>
              <w:jc w:val="left"/>
              <w:rPr>
                <w:lang w:val="sr-Cyrl-RS"/>
              </w:rPr>
            </w:pPr>
            <w:r w:rsidRPr="00CF77C1">
              <w:rPr>
                <w:lang w:val="sr-Cyrl-RS"/>
              </w:rPr>
              <w:t>Студија о процени утицаја на животну средину и друштво</w:t>
            </w:r>
          </w:p>
        </w:tc>
        <w:tc>
          <w:tcPr>
            <w:tcW w:w="3260" w:type="dxa"/>
            <w:shd w:val="clear" w:color="auto" w:fill="auto"/>
            <w:vAlign w:val="center"/>
          </w:tcPr>
          <w:p w14:paraId="0C1A21AC" w14:textId="5ED9BE56" w:rsidR="009B15AB" w:rsidRPr="00CF77C1" w:rsidRDefault="00205D28" w:rsidP="0080044B">
            <w:pPr>
              <w:jc w:val="left"/>
              <w:rPr>
                <w:lang w:val="sr-Cyrl-RS"/>
              </w:rPr>
            </w:pPr>
            <w:r w:rsidRPr="00CF77C1">
              <w:rPr>
                <w:lang w:val="sr-Cyrl-RS"/>
              </w:rPr>
              <w:t>Транспортгас Србија д.о.о.</w:t>
            </w:r>
          </w:p>
        </w:tc>
        <w:tc>
          <w:tcPr>
            <w:tcW w:w="769" w:type="dxa"/>
            <w:shd w:val="clear" w:color="auto" w:fill="auto"/>
            <w:vAlign w:val="center"/>
          </w:tcPr>
          <w:p w14:paraId="618A70D0" w14:textId="77777777" w:rsidR="009B15AB" w:rsidRPr="00CF77C1" w:rsidRDefault="009B15AB" w:rsidP="0080044B">
            <w:pPr>
              <w:spacing w:before="0" w:after="0"/>
              <w:jc w:val="center"/>
              <w:rPr>
                <w:lang w:val="sr-Cyrl-RS"/>
              </w:rPr>
            </w:pPr>
            <w:r w:rsidRPr="00CF77C1">
              <w:rPr>
                <w:lang w:val="sr-Cyrl-RS"/>
              </w:rPr>
              <w:t>х</w:t>
            </w:r>
          </w:p>
        </w:tc>
        <w:tc>
          <w:tcPr>
            <w:tcW w:w="770" w:type="dxa"/>
            <w:shd w:val="clear" w:color="auto" w:fill="auto"/>
            <w:vAlign w:val="center"/>
          </w:tcPr>
          <w:p w14:paraId="1716D7A6" w14:textId="77777777" w:rsidR="009B15AB" w:rsidRPr="00CF77C1" w:rsidRDefault="009B15AB" w:rsidP="0080044B">
            <w:pPr>
              <w:spacing w:before="0" w:after="0"/>
              <w:jc w:val="center"/>
              <w:rPr>
                <w:lang w:val="sr-Cyrl-RS"/>
              </w:rPr>
            </w:pPr>
          </w:p>
        </w:tc>
        <w:tc>
          <w:tcPr>
            <w:tcW w:w="769" w:type="dxa"/>
            <w:shd w:val="clear" w:color="auto" w:fill="auto"/>
            <w:vAlign w:val="center"/>
          </w:tcPr>
          <w:p w14:paraId="625BA6FC" w14:textId="77777777" w:rsidR="009B15AB" w:rsidRPr="00CF77C1" w:rsidRDefault="009B15AB" w:rsidP="0080044B">
            <w:pPr>
              <w:spacing w:before="0" w:after="0"/>
              <w:jc w:val="center"/>
              <w:rPr>
                <w:lang w:val="sr-Cyrl-RS"/>
              </w:rPr>
            </w:pPr>
          </w:p>
        </w:tc>
        <w:tc>
          <w:tcPr>
            <w:tcW w:w="770" w:type="dxa"/>
            <w:shd w:val="clear" w:color="auto" w:fill="auto"/>
            <w:vAlign w:val="center"/>
          </w:tcPr>
          <w:p w14:paraId="71220DC6" w14:textId="77777777" w:rsidR="009B15AB" w:rsidRPr="00CF77C1" w:rsidRDefault="009B15AB" w:rsidP="0080044B">
            <w:pPr>
              <w:keepNext/>
              <w:keepLines/>
              <w:spacing w:before="0" w:after="0"/>
              <w:jc w:val="center"/>
              <w:rPr>
                <w:lang w:val="sr-Cyrl-RS"/>
              </w:rPr>
            </w:pPr>
          </w:p>
        </w:tc>
        <w:tc>
          <w:tcPr>
            <w:tcW w:w="769" w:type="dxa"/>
            <w:shd w:val="clear" w:color="auto" w:fill="auto"/>
            <w:vAlign w:val="center"/>
          </w:tcPr>
          <w:p w14:paraId="42776B47" w14:textId="77777777" w:rsidR="009B15AB" w:rsidRPr="00CF77C1" w:rsidRDefault="009B15AB" w:rsidP="0080044B">
            <w:pPr>
              <w:keepNext/>
              <w:keepLines/>
              <w:spacing w:before="0" w:after="0"/>
              <w:jc w:val="center"/>
              <w:rPr>
                <w:lang w:val="sr-Cyrl-RS"/>
              </w:rPr>
            </w:pPr>
          </w:p>
        </w:tc>
        <w:tc>
          <w:tcPr>
            <w:tcW w:w="770" w:type="dxa"/>
            <w:shd w:val="clear" w:color="auto" w:fill="auto"/>
            <w:vAlign w:val="center"/>
          </w:tcPr>
          <w:p w14:paraId="7A5B507E" w14:textId="77777777" w:rsidR="009B15AB" w:rsidRPr="00CF77C1" w:rsidRDefault="009B15AB" w:rsidP="0080044B">
            <w:pPr>
              <w:keepNext/>
              <w:keepLines/>
              <w:spacing w:before="0" w:after="0"/>
              <w:jc w:val="center"/>
              <w:rPr>
                <w:lang w:val="sr-Cyrl-RS"/>
              </w:rPr>
            </w:pPr>
          </w:p>
        </w:tc>
        <w:tc>
          <w:tcPr>
            <w:tcW w:w="770" w:type="dxa"/>
            <w:shd w:val="clear" w:color="auto" w:fill="auto"/>
            <w:vAlign w:val="center"/>
          </w:tcPr>
          <w:p w14:paraId="1C2BD97A" w14:textId="77777777" w:rsidR="009B15AB" w:rsidRPr="00CF77C1" w:rsidRDefault="009B15AB" w:rsidP="0080044B">
            <w:pPr>
              <w:keepNext/>
              <w:keepLines/>
              <w:spacing w:before="0" w:after="0"/>
              <w:jc w:val="center"/>
              <w:rPr>
                <w:lang w:val="sr-Cyrl-RS"/>
              </w:rPr>
            </w:pPr>
          </w:p>
        </w:tc>
      </w:tr>
      <w:tr w:rsidR="009B15AB" w:rsidRPr="00CF77C1" w14:paraId="1D89C8AA" w14:textId="77777777" w:rsidTr="00205D28">
        <w:tc>
          <w:tcPr>
            <w:tcW w:w="6062" w:type="dxa"/>
            <w:shd w:val="clear" w:color="auto" w:fill="auto"/>
            <w:vAlign w:val="center"/>
          </w:tcPr>
          <w:p w14:paraId="758FD9EA" w14:textId="77777777" w:rsidR="009B15AB" w:rsidRPr="00CF77C1" w:rsidRDefault="009B15AB" w:rsidP="0080044B">
            <w:pPr>
              <w:jc w:val="left"/>
              <w:rPr>
                <w:lang w:val="sr-Cyrl-RS"/>
              </w:rPr>
            </w:pPr>
            <w:r w:rsidRPr="00CF77C1">
              <w:rPr>
                <w:lang w:val="sr-Cyrl-RS"/>
              </w:rPr>
              <w:t xml:space="preserve">Решавање </w:t>
            </w:r>
            <w:r w:rsidR="00A71236" w:rsidRPr="00CF77C1">
              <w:rPr>
                <w:lang w:val="sr-Cyrl-RS"/>
              </w:rPr>
              <w:t>имовинско-правних</w:t>
            </w:r>
            <w:r w:rsidRPr="00CF77C1">
              <w:rPr>
                <w:lang w:val="sr-Cyrl-RS"/>
              </w:rPr>
              <w:t xml:space="preserve"> послова</w:t>
            </w:r>
          </w:p>
        </w:tc>
        <w:tc>
          <w:tcPr>
            <w:tcW w:w="3260" w:type="dxa"/>
            <w:shd w:val="clear" w:color="auto" w:fill="auto"/>
            <w:vAlign w:val="center"/>
          </w:tcPr>
          <w:p w14:paraId="2AA7D32E" w14:textId="0A79CF9D" w:rsidR="009B15AB" w:rsidRPr="00CF77C1" w:rsidRDefault="00AC627E" w:rsidP="00796107">
            <w:pPr>
              <w:jc w:val="left"/>
              <w:rPr>
                <w:lang w:val="sr-Cyrl-RS"/>
              </w:rPr>
            </w:pPr>
            <w:r w:rsidRPr="00CF77C1">
              <w:rPr>
                <w:lang w:val="sr-Cyrl-RS"/>
              </w:rPr>
              <w:t>м</w:t>
            </w:r>
            <w:r w:rsidR="005C650D" w:rsidRPr="00CF77C1">
              <w:rPr>
                <w:lang w:val="sr-Cyrl-RS"/>
              </w:rPr>
              <w:t>инистарство надлежно за послове</w:t>
            </w:r>
            <w:r w:rsidR="00EC7E28" w:rsidRPr="00CF77C1">
              <w:rPr>
                <w:lang w:val="sr-Cyrl-RS"/>
              </w:rPr>
              <w:t xml:space="preserve"> </w:t>
            </w:r>
            <w:r w:rsidR="00796107" w:rsidRPr="00CF77C1">
              <w:rPr>
                <w:lang w:val="sr-Cyrl-CS"/>
              </w:rPr>
              <w:t>финансија</w:t>
            </w:r>
            <w:r w:rsidR="009B15AB" w:rsidRPr="00CF77C1">
              <w:rPr>
                <w:lang w:val="sr-Cyrl-RS"/>
              </w:rPr>
              <w:t xml:space="preserve">, </w:t>
            </w:r>
            <w:r w:rsidR="00205D28" w:rsidRPr="00CF77C1">
              <w:rPr>
                <w:lang w:val="sr-Cyrl-RS"/>
              </w:rPr>
              <w:t>Транспортгас Србија д.о.о.</w:t>
            </w:r>
          </w:p>
        </w:tc>
        <w:tc>
          <w:tcPr>
            <w:tcW w:w="769" w:type="dxa"/>
            <w:shd w:val="clear" w:color="auto" w:fill="auto"/>
            <w:vAlign w:val="center"/>
          </w:tcPr>
          <w:p w14:paraId="035D5837" w14:textId="77777777" w:rsidR="009B15AB" w:rsidRPr="00CF77C1" w:rsidRDefault="009B15AB" w:rsidP="0080044B">
            <w:pPr>
              <w:spacing w:before="0" w:after="0"/>
              <w:jc w:val="center"/>
              <w:rPr>
                <w:lang w:val="sr-Cyrl-RS"/>
              </w:rPr>
            </w:pPr>
            <w:r w:rsidRPr="00CF77C1">
              <w:rPr>
                <w:lang w:val="sr-Cyrl-RS"/>
              </w:rPr>
              <w:t>х</w:t>
            </w:r>
          </w:p>
        </w:tc>
        <w:tc>
          <w:tcPr>
            <w:tcW w:w="770" w:type="dxa"/>
            <w:shd w:val="clear" w:color="auto" w:fill="auto"/>
            <w:vAlign w:val="center"/>
          </w:tcPr>
          <w:p w14:paraId="2F0DFAEA" w14:textId="77777777" w:rsidR="009B15AB" w:rsidRPr="00CF77C1" w:rsidRDefault="009B15AB" w:rsidP="0080044B">
            <w:pPr>
              <w:spacing w:before="0" w:after="0"/>
              <w:jc w:val="center"/>
              <w:rPr>
                <w:lang w:val="sr-Cyrl-RS"/>
              </w:rPr>
            </w:pPr>
          </w:p>
        </w:tc>
        <w:tc>
          <w:tcPr>
            <w:tcW w:w="769" w:type="dxa"/>
            <w:shd w:val="clear" w:color="auto" w:fill="auto"/>
            <w:vAlign w:val="center"/>
          </w:tcPr>
          <w:p w14:paraId="465FC10B" w14:textId="77777777" w:rsidR="009B15AB" w:rsidRPr="00CF77C1" w:rsidRDefault="009B15AB" w:rsidP="0080044B">
            <w:pPr>
              <w:spacing w:before="0" w:after="0"/>
              <w:jc w:val="center"/>
              <w:rPr>
                <w:lang w:val="sr-Cyrl-RS"/>
              </w:rPr>
            </w:pPr>
          </w:p>
        </w:tc>
        <w:tc>
          <w:tcPr>
            <w:tcW w:w="770" w:type="dxa"/>
            <w:shd w:val="clear" w:color="auto" w:fill="auto"/>
            <w:vAlign w:val="center"/>
          </w:tcPr>
          <w:p w14:paraId="627D9B43" w14:textId="77777777" w:rsidR="009B15AB" w:rsidRPr="00CF77C1" w:rsidRDefault="009B15AB" w:rsidP="0080044B">
            <w:pPr>
              <w:spacing w:before="0" w:after="0"/>
              <w:jc w:val="center"/>
              <w:rPr>
                <w:lang w:val="sr-Cyrl-RS"/>
              </w:rPr>
            </w:pPr>
          </w:p>
        </w:tc>
        <w:tc>
          <w:tcPr>
            <w:tcW w:w="769" w:type="dxa"/>
            <w:shd w:val="clear" w:color="auto" w:fill="auto"/>
            <w:vAlign w:val="center"/>
          </w:tcPr>
          <w:p w14:paraId="07BA3222" w14:textId="77777777" w:rsidR="009B15AB" w:rsidRPr="00CF77C1" w:rsidRDefault="009B15AB" w:rsidP="0080044B">
            <w:pPr>
              <w:spacing w:before="0" w:after="0"/>
              <w:jc w:val="center"/>
              <w:rPr>
                <w:lang w:val="sr-Cyrl-RS"/>
              </w:rPr>
            </w:pPr>
          </w:p>
        </w:tc>
        <w:tc>
          <w:tcPr>
            <w:tcW w:w="770" w:type="dxa"/>
            <w:shd w:val="clear" w:color="auto" w:fill="auto"/>
            <w:vAlign w:val="center"/>
          </w:tcPr>
          <w:p w14:paraId="0D21FF32" w14:textId="77777777" w:rsidR="009B15AB" w:rsidRPr="00CF77C1" w:rsidRDefault="009B15AB" w:rsidP="0080044B">
            <w:pPr>
              <w:spacing w:before="0" w:after="0"/>
              <w:jc w:val="center"/>
              <w:rPr>
                <w:lang w:val="sr-Cyrl-RS"/>
              </w:rPr>
            </w:pPr>
          </w:p>
        </w:tc>
        <w:tc>
          <w:tcPr>
            <w:tcW w:w="770" w:type="dxa"/>
            <w:shd w:val="clear" w:color="auto" w:fill="auto"/>
            <w:vAlign w:val="center"/>
          </w:tcPr>
          <w:p w14:paraId="6C47E785" w14:textId="77777777" w:rsidR="009B15AB" w:rsidRPr="00CF77C1" w:rsidRDefault="009B15AB" w:rsidP="0080044B">
            <w:pPr>
              <w:spacing w:before="0" w:after="0"/>
              <w:jc w:val="center"/>
              <w:rPr>
                <w:lang w:val="sr-Cyrl-RS"/>
              </w:rPr>
            </w:pPr>
          </w:p>
        </w:tc>
      </w:tr>
      <w:tr w:rsidR="009B15AB" w:rsidRPr="00CF77C1" w14:paraId="56142A40" w14:textId="77777777" w:rsidTr="00205D28">
        <w:tc>
          <w:tcPr>
            <w:tcW w:w="6062" w:type="dxa"/>
            <w:shd w:val="clear" w:color="auto" w:fill="auto"/>
            <w:vAlign w:val="center"/>
          </w:tcPr>
          <w:p w14:paraId="49E3D23C" w14:textId="77777777" w:rsidR="009B15AB" w:rsidRPr="00CF77C1" w:rsidRDefault="009B15AB" w:rsidP="0080044B">
            <w:pPr>
              <w:jc w:val="left"/>
              <w:rPr>
                <w:lang w:val="sr-Cyrl-RS"/>
              </w:rPr>
            </w:pPr>
            <w:r w:rsidRPr="00CF77C1">
              <w:rPr>
                <w:lang w:val="sr-Cyrl-RS"/>
              </w:rPr>
              <w:t>Идејни пројекат и студија оправданости</w:t>
            </w:r>
          </w:p>
        </w:tc>
        <w:tc>
          <w:tcPr>
            <w:tcW w:w="3260" w:type="dxa"/>
            <w:shd w:val="clear" w:color="auto" w:fill="auto"/>
            <w:vAlign w:val="center"/>
          </w:tcPr>
          <w:p w14:paraId="440535A4" w14:textId="7803019A" w:rsidR="009B15AB" w:rsidRPr="00CF77C1" w:rsidRDefault="00205D28" w:rsidP="00205D28">
            <w:pPr>
              <w:jc w:val="left"/>
              <w:rPr>
                <w:lang w:val="sr-Cyrl-RS"/>
              </w:rPr>
            </w:pPr>
            <w:r w:rsidRPr="00CF77C1">
              <w:rPr>
                <w:lang w:val="sr-Cyrl-RS"/>
              </w:rPr>
              <w:t>Транспортгас Србија д.о.о.</w:t>
            </w:r>
          </w:p>
        </w:tc>
        <w:tc>
          <w:tcPr>
            <w:tcW w:w="769" w:type="dxa"/>
            <w:shd w:val="clear" w:color="auto" w:fill="auto"/>
            <w:vAlign w:val="center"/>
          </w:tcPr>
          <w:p w14:paraId="16E7B95C" w14:textId="77777777" w:rsidR="009B15AB" w:rsidRPr="00CF77C1" w:rsidRDefault="009B15AB" w:rsidP="0080044B">
            <w:pPr>
              <w:spacing w:before="0" w:after="0"/>
              <w:jc w:val="center"/>
              <w:rPr>
                <w:lang w:val="sr-Cyrl-RS"/>
              </w:rPr>
            </w:pPr>
            <w:r w:rsidRPr="00CF77C1">
              <w:rPr>
                <w:lang w:val="sr-Cyrl-RS"/>
              </w:rPr>
              <w:t>х</w:t>
            </w:r>
          </w:p>
        </w:tc>
        <w:tc>
          <w:tcPr>
            <w:tcW w:w="770" w:type="dxa"/>
            <w:shd w:val="clear" w:color="auto" w:fill="auto"/>
            <w:vAlign w:val="center"/>
          </w:tcPr>
          <w:p w14:paraId="52BEBDA9" w14:textId="77777777" w:rsidR="009B15AB" w:rsidRPr="00CF77C1" w:rsidRDefault="009B15AB" w:rsidP="0080044B">
            <w:pPr>
              <w:spacing w:before="0" w:after="0"/>
              <w:jc w:val="center"/>
              <w:rPr>
                <w:lang w:val="sr-Cyrl-RS"/>
              </w:rPr>
            </w:pPr>
          </w:p>
        </w:tc>
        <w:tc>
          <w:tcPr>
            <w:tcW w:w="769" w:type="dxa"/>
            <w:shd w:val="clear" w:color="auto" w:fill="auto"/>
            <w:vAlign w:val="center"/>
          </w:tcPr>
          <w:p w14:paraId="7A7EE1EB" w14:textId="77777777" w:rsidR="009B15AB" w:rsidRPr="00CF77C1" w:rsidRDefault="009B15AB" w:rsidP="0080044B">
            <w:pPr>
              <w:spacing w:before="0" w:after="0"/>
              <w:jc w:val="center"/>
              <w:rPr>
                <w:lang w:val="sr-Cyrl-RS"/>
              </w:rPr>
            </w:pPr>
          </w:p>
        </w:tc>
        <w:tc>
          <w:tcPr>
            <w:tcW w:w="770" w:type="dxa"/>
            <w:shd w:val="clear" w:color="auto" w:fill="auto"/>
            <w:vAlign w:val="center"/>
          </w:tcPr>
          <w:p w14:paraId="70ADF94B" w14:textId="77777777" w:rsidR="009B15AB" w:rsidRPr="00CF77C1" w:rsidRDefault="009B15AB" w:rsidP="0080044B">
            <w:pPr>
              <w:spacing w:before="0" w:after="0"/>
              <w:jc w:val="center"/>
              <w:rPr>
                <w:lang w:val="sr-Cyrl-RS"/>
              </w:rPr>
            </w:pPr>
          </w:p>
        </w:tc>
        <w:tc>
          <w:tcPr>
            <w:tcW w:w="769" w:type="dxa"/>
            <w:shd w:val="clear" w:color="auto" w:fill="auto"/>
            <w:vAlign w:val="center"/>
          </w:tcPr>
          <w:p w14:paraId="5D419513" w14:textId="77777777" w:rsidR="009B15AB" w:rsidRPr="00CF77C1" w:rsidRDefault="009B15AB" w:rsidP="0080044B">
            <w:pPr>
              <w:spacing w:before="0" w:after="0"/>
              <w:jc w:val="center"/>
              <w:rPr>
                <w:lang w:val="sr-Cyrl-RS"/>
              </w:rPr>
            </w:pPr>
          </w:p>
        </w:tc>
        <w:tc>
          <w:tcPr>
            <w:tcW w:w="770" w:type="dxa"/>
            <w:shd w:val="clear" w:color="auto" w:fill="auto"/>
            <w:vAlign w:val="center"/>
          </w:tcPr>
          <w:p w14:paraId="3800EA38" w14:textId="77777777" w:rsidR="009B15AB" w:rsidRPr="00CF77C1" w:rsidRDefault="009B15AB" w:rsidP="0080044B">
            <w:pPr>
              <w:spacing w:before="0" w:after="0"/>
              <w:jc w:val="center"/>
              <w:rPr>
                <w:lang w:val="sr-Cyrl-RS"/>
              </w:rPr>
            </w:pPr>
          </w:p>
        </w:tc>
        <w:tc>
          <w:tcPr>
            <w:tcW w:w="770" w:type="dxa"/>
            <w:shd w:val="clear" w:color="auto" w:fill="auto"/>
            <w:vAlign w:val="center"/>
          </w:tcPr>
          <w:p w14:paraId="16264AE7" w14:textId="77777777" w:rsidR="009B15AB" w:rsidRPr="00CF77C1" w:rsidRDefault="009B15AB" w:rsidP="0080044B">
            <w:pPr>
              <w:spacing w:before="0" w:after="0"/>
              <w:jc w:val="center"/>
              <w:rPr>
                <w:lang w:val="sr-Cyrl-RS"/>
              </w:rPr>
            </w:pPr>
          </w:p>
        </w:tc>
      </w:tr>
      <w:tr w:rsidR="009B15AB" w:rsidRPr="00CF77C1" w14:paraId="638123B7" w14:textId="77777777" w:rsidTr="00205D28">
        <w:tc>
          <w:tcPr>
            <w:tcW w:w="6062" w:type="dxa"/>
            <w:shd w:val="clear" w:color="auto" w:fill="auto"/>
            <w:vAlign w:val="center"/>
          </w:tcPr>
          <w:p w14:paraId="5EA5CB24" w14:textId="77777777" w:rsidR="009B15AB" w:rsidRPr="00CF77C1" w:rsidRDefault="009B15AB" w:rsidP="0080044B">
            <w:pPr>
              <w:jc w:val="left"/>
              <w:rPr>
                <w:lang w:val="sr-Cyrl-RS"/>
              </w:rPr>
            </w:pPr>
            <w:r w:rsidRPr="00CF77C1">
              <w:rPr>
                <w:lang w:val="sr-Cyrl-RS"/>
              </w:rPr>
              <w:t>Енергетска дозвола</w:t>
            </w:r>
          </w:p>
        </w:tc>
        <w:tc>
          <w:tcPr>
            <w:tcW w:w="3260" w:type="dxa"/>
            <w:shd w:val="clear" w:color="auto" w:fill="auto"/>
            <w:vAlign w:val="center"/>
          </w:tcPr>
          <w:p w14:paraId="196F0184" w14:textId="7B14A782" w:rsidR="009B15AB" w:rsidRPr="00CF77C1" w:rsidRDefault="00AC627E" w:rsidP="0080044B">
            <w:pPr>
              <w:jc w:val="left"/>
              <w:rPr>
                <w:lang w:val="sr-Cyrl-RS"/>
              </w:rPr>
            </w:pPr>
            <w:r w:rsidRPr="00CF77C1">
              <w:rPr>
                <w:lang w:val="sr-Cyrl-RS"/>
              </w:rPr>
              <w:t>м</w:t>
            </w:r>
            <w:r w:rsidR="005C650D" w:rsidRPr="00CF77C1">
              <w:rPr>
                <w:lang w:val="sr-Cyrl-RS"/>
              </w:rPr>
              <w:t>инистарство надлежно за послове</w:t>
            </w:r>
            <w:r w:rsidR="00EC7E28" w:rsidRPr="00CF77C1">
              <w:rPr>
                <w:lang w:val="sr-Cyrl-RS"/>
              </w:rPr>
              <w:t xml:space="preserve"> </w:t>
            </w:r>
            <w:r w:rsidR="0013305E" w:rsidRPr="00CF77C1">
              <w:rPr>
                <w:lang w:val="sr-Cyrl-RS"/>
              </w:rPr>
              <w:t>рударства и енергетике</w:t>
            </w:r>
          </w:p>
        </w:tc>
        <w:tc>
          <w:tcPr>
            <w:tcW w:w="769" w:type="dxa"/>
            <w:shd w:val="clear" w:color="auto" w:fill="auto"/>
            <w:vAlign w:val="center"/>
          </w:tcPr>
          <w:p w14:paraId="5299EBD6" w14:textId="77777777" w:rsidR="009B15AB" w:rsidRPr="00CF77C1" w:rsidRDefault="009B15AB" w:rsidP="0080044B">
            <w:pPr>
              <w:spacing w:before="0" w:after="0"/>
              <w:jc w:val="center"/>
              <w:rPr>
                <w:lang w:val="sr-Cyrl-RS"/>
              </w:rPr>
            </w:pPr>
            <w:r w:rsidRPr="00CF77C1">
              <w:rPr>
                <w:lang w:val="sr-Cyrl-RS"/>
              </w:rPr>
              <w:t>х</w:t>
            </w:r>
          </w:p>
        </w:tc>
        <w:tc>
          <w:tcPr>
            <w:tcW w:w="770" w:type="dxa"/>
            <w:shd w:val="clear" w:color="auto" w:fill="auto"/>
            <w:vAlign w:val="center"/>
          </w:tcPr>
          <w:p w14:paraId="75F94422" w14:textId="77777777" w:rsidR="009B15AB" w:rsidRPr="00CF77C1" w:rsidRDefault="009B15AB" w:rsidP="0080044B">
            <w:pPr>
              <w:spacing w:before="0" w:after="0"/>
              <w:jc w:val="center"/>
              <w:rPr>
                <w:lang w:val="sr-Cyrl-RS"/>
              </w:rPr>
            </w:pPr>
          </w:p>
        </w:tc>
        <w:tc>
          <w:tcPr>
            <w:tcW w:w="769" w:type="dxa"/>
            <w:shd w:val="clear" w:color="auto" w:fill="auto"/>
            <w:vAlign w:val="center"/>
          </w:tcPr>
          <w:p w14:paraId="76B7D2EB" w14:textId="77777777" w:rsidR="009B15AB" w:rsidRPr="00CF77C1" w:rsidRDefault="009B15AB" w:rsidP="0080044B">
            <w:pPr>
              <w:spacing w:before="0" w:after="0"/>
              <w:jc w:val="center"/>
              <w:rPr>
                <w:lang w:val="sr-Cyrl-RS"/>
              </w:rPr>
            </w:pPr>
          </w:p>
        </w:tc>
        <w:tc>
          <w:tcPr>
            <w:tcW w:w="770" w:type="dxa"/>
            <w:shd w:val="clear" w:color="auto" w:fill="auto"/>
            <w:vAlign w:val="center"/>
          </w:tcPr>
          <w:p w14:paraId="05238A45" w14:textId="77777777" w:rsidR="009B15AB" w:rsidRPr="00CF77C1" w:rsidRDefault="009B15AB" w:rsidP="0080044B">
            <w:pPr>
              <w:spacing w:before="0" w:after="0"/>
              <w:jc w:val="center"/>
              <w:rPr>
                <w:lang w:val="sr-Cyrl-RS"/>
              </w:rPr>
            </w:pPr>
          </w:p>
        </w:tc>
        <w:tc>
          <w:tcPr>
            <w:tcW w:w="769" w:type="dxa"/>
            <w:shd w:val="clear" w:color="auto" w:fill="auto"/>
            <w:vAlign w:val="center"/>
          </w:tcPr>
          <w:p w14:paraId="3F7C2726" w14:textId="77777777" w:rsidR="009B15AB" w:rsidRPr="00CF77C1" w:rsidRDefault="009B15AB" w:rsidP="0080044B">
            <w:pPr>
              <w:spacing w:before="0" w:after="0"/>
              <w:jc w:val="center"/>
              <w:rPr>
                <w:lang w:val="sr-Cyrl-RS"/>
              </w:rPr>
            </w:pPr>
          </w:p>
        </w:tc>
        <w:tc>
          <w:tcPr>
            <w:tcW w:w="770" w:type="dxa"/>
            <w:shd w:val="clear" w:color="auto" w:fill="auto"/>
            <w:vAlign w:val="center"/>
          </w:tcPr>
          <w:p w14:paraId="18F6AB7B" w14:textId="77777777" w:rsidR="009B15AB" w:rsidRPr="00CF77C1" w:rsidRDefault="009B15AB" w:rsidP="0080044B">
            <w:pPr>
              <w:spacing w:before="0" w:after="0"/>
              <w:jc w:val="center"/>
              <w:rPr>
                <w:lang w:val="sr-Cyrl-RS"/>
              </w:rPr>
            </w:pPr>
          </w:p>
        </w:tc>
        <w:tc>
          <w:tcPr>
            <w:tcW w:w="770" w:type="dxa"/>
            <w:shd w:val="clear" w:color="auto" w:fill="auto"/>
            <w:vAlign w:val="center"/>
          </w:tcPr>
          <w:p w14:paraId="4A1D5CE2" w14:textId="77777777" w:rsidR="009B15AB" w:rsidRPr="00CF77C1" w:rsidRDefault="009B15AB" w:rsidP="0080044B">
            <w:pPr>
              <w:spacing w:before="0" w:after="0"/>
              <w:jc w:val="center"/>
              <w:rPr>
                <w:lang w:val="sr-Cyrl-RS"/>
              </w:rPr>
            </w:pPr>
          </w:p>
        </w:tc>
      </w:tr>
      <w:tr w:rsidR="009B15AB" w:rsidRPr="00CF77C1" w14:paraId="00561A97" w14:textId="77777777" w:rsidTr="00205D28">
        <w:tc>
          <w:tcPr>
            <w:tcW w:w="6062" w:type="dxa"/>
            <w:shd w:val="clear" w:color="auto" w:fill="auto"/>
            <w:vAlign w:val="center"/>
          </w:tcPr>
          <w:p w14:paraId="6C44069C" w14:textId="77777777" w:rsidR="009B15AB" w:rsidRPr="00CF77C1" w:rsidRDefault="009B15AB" w:rsidP="0080044B">
            <w:pPr>
              <w:jc w:val="left"/>
              <w:rPr>
                <w:lang w:val="sr-Cyrl-RS"/>
              </w:rPr>
            </w:pPr>
            <w:r w:rsidRPr="00CF77C1">
              <w:rPr>
                <w:lang w:val="sr-Cyrl-RS"/>
              </w:rPr>
              <w:t>Пројекат за грађевинску дозволу и грађевинска дозвола</w:t>
            </w:r>
          </w:p>
        </w:tc>
        <w:tc>
          <w:tcPr>
            <w:tcW w:w="3260" w:type="dxa"/>
            <w:shd w:val="clear" w:color="auto" w:fill="auto"/>
            <w:vAlign w:val="center"/>
          </w:tcPr>
          <w:p w14:paraId="08BE746E" w14:textId="04CE1EA7" w:rsidR="009B15AB" w:rsidRPr="00CF77C1" w:rsidRDefault="00205D28" w:rsidP="0080044B">
            <w:pPr>
              <w:jc w:val="left"/>
              <w:rPr>
                <w:lang w:val="sr-Cyrl-RS"/>
              </w:rPr>
            </w:pPr>
            <w:r w:rsidRPr="00CF77C1">
              <w:rPr>
                <w:lang w:val="sr-Cyrl-RS"/>
              </w:rPr>
              <w:t>Транспортгас Србија д.о.о.</w:t>
            </w:r>
          </w:p>
        </w:tc>
        <w:tc>
          <w:tcPr>
            <w:tcW w:w="769" w:type="dxa"/>
            <w:shd w:val="clear" w:color="auto" w:fill="auto"/>
            <w:vAlign w:val="center"/>
          </w:tcPr>
          <w:p w14:paraId="0D8546DA" w14:textId="77777777" w:rsidR="009B15AB" w:rsidRPr="00CF77C1" w:rsidRDefault="009B15AB" w:rsidP="0080044B">
            <w:pPr>
              <w:spacing w:before="0" w:after="0"/>
              <w:jc w:val="center"/>
              <w:rPr>
                <w:lang w:val="sr-Cyrl-RS"/>
              </w:rPr>
            </w:pPr>
          </w:p>
        </w:tc>
        <w:tc>
          <w:tcPr>
            <w:tcW w:w="770" w:type="dxa"/>
            <w:shd w:val="clear" w:color="auto" w:fill="auto"/>
            <w:vAlign w:val="center"/>
          </w:tcPr>
          <w:p w14:paraId="4CFBD716" w14:textId="77777777" w:rsidR="009B15AB" w:rsidRPr="00CF77C1" w:rsidRDefault="009B15AB" w:rsidP="0080044B">
            <w:pPr>
              <w:spacing w:before="0" w:after="0"/>
              <w:jc w:val="center"/>
              <w:rPr>
                <w:lang w:val="sr-Cyrl-RS"/>
              </w:rPr>
            </w:pPr>
            <w:r w:rsidRPr="00CF77C1">
              <w:rPr>
                <w:lang w:val="sr-Cyrl-RS"/>
              </w:rPr>
              <w:t>х</w:t>
            </w:r>
          </w:p>
        </w:tc>
        <w:tc>
          <w:tcPr>
            <w:tcW w:w="769" w:type="dxa"/>
            <w:shd w:val="clear" w:color="auto" w:fill="auto"/>
            <w:vAlign w:val="center"/>
          </w:tcPr>
          <w:p w14:paraId="7477422D" w14:textId="77777777" w:rsidR="009B15AB" w:rsidRPr="00CF77C1" w:rsidRDefault="009B15AB" w:rsidP="0080044B">
            <w:pPr>
              <w:spacing w:before="0" w:after="0"/>
              <w:jc w:val="center"/>
              <w:rPr>
                <w:lang w:val="sr-Cyrl-RS"/>
              </w:rPr>
            </w:pPr>
          </w:p>
        </w:tc>
        <w:tc>
          <w:tcPr>
            <w:tcW w:w="770" w:type="dxa"/>
            <w:shd w:val="clear" w:color="auto" w:fill="auto"/>
            <w:vAlign w:val="center"/>
          </w:tcPr>
          <w:p w14:paraId="1E32BABA" w14:textId="77777777" w:rsidR="009B15AB" w:rsidRPr="00CF77C1" w:rsidRDefault="009B15AB" w:rsidP="0080044B">
            <w:pPr>
              <w:spacing w:before="0" w:after="0"/>
              <w:jc w:val="center"/>
              <w:rPr>
                <w:lang w:val="sr-Cyrl-RS"/>
              </w:rPr>
            </w:pPr>
          </w:p>
        </w:tc>
        <w:tc>
          <w:tcPr>
            <w:tcW w:w="769" w:type="dxa"/>
            <w:shd w:val="clear" w:color="auto" w:fill="auto"/>
            <w:vAlign w:val="center"/>
          </w:tcPr>
          <w:p w14:paraId="1B322726" w14:textId="77777777" w:rsidR="009B15AB" w:rsidRPr="00CF77C1" w:rsidRDefault="009B15AB" w:rsidP="0080044B">
            <w:pPr>
              <w:spacing w:before="0" w:after="0"/>
              <w:jc w:val="center"/>
              <w:rPr>
                <w:lang w:val="sr-Cyrl-RS"/>
              </w:rPr>
            </w:pPr>
          </w:p>
        </w:tc>
        <w:tc>
          <w:tcPr>
            <w:tcW w:w="770" w:type="dxa"/>
            <w:shd w:val="clear" w:color="auto" w:fill="auto"/>
            <w:vAlign w:val="center"/>
          </w:tcPr>
          <w:p w14:paraId="6E148B68" w14:textId="77777777" w:rsidR="009B15AB" w:rsidRPr="00CF77C1" w:rsidRDefault="009B15AB" w:rsidP="0080044B">
            <w:pPr>
              <w:spacing w:before="0" w:after="0"/>
              <w:jc w:val="center"/>
              <w:rPr>
                <w:lang w:val="sr-Cyrl-RS"/>
              </w:rPr>
            </w:pPr>
          </w:p>
        </w:tc>
        <w:tc>
          <w:tcPr>
            <w:tcW w:w="770" w:type="dxa"/>
            <w:shd w:val="clear" w:color="auto" w:fill="auto"/>
            <w:vAlign w:val="center"/>
          </w:tcPr>
          <w:p w14:paraId="2535143C" w14:textId="77777777" w:rsidR="009B15AB" w:rsidRPr="00CF77C1" w:rsidRDefault="009B15AB" w:rsidP="0080044B">
            <w:pPr>
              <w:spacing w:before="0" w:after="0"/>
              <w:jc w:val="center"/>
              <w:rPr>
                <w:lang w:val="sr-Cyrl-RS"/>
              </w:rPr>
            </w:pPr>
          </w:p>
        </w:tc>
      </w:tr>
      <w:tr w:rsidR="000947FE" w:rsidRPr="00CF77C1" w14:paraId="4A969FC6" w14:textId="77777777" w:rsidTr="00205D28">
        <w:tc>
          <w:tcPr>
            <w:tcW w:w="6062" w:type="dxa"/>
            <w:shd w:val="clear" w:color="auto" w:fill="auto"/>
            <w:vAlign w:val="center"/>
          </w:tcPr>
          <w:p w14:paraId="0246CFB4" w14:textId="77777777" w:rsidR="000947FE" w:rsidRPr="00CF77C1" w:rsidRDefault="000947FE" w:rsidP="0080044B">
            <w:pPr>
              <w:jc w:val="left"/>
              <w:rPr>
                <w:lang w:val="sr-Cyrl-RS"/>
              </w:rPr>
            </w:pPr>
            <w:r w:rsidRPr="00CF77C1">
              <w:rPr>
                <w:lang w:val="sr-Cyrl-RS"/>
              </w:rPr>
              <w:t>Израда тендерске документације</w:t>
            </w:r>
          </w:p>
        </w:tc>
        <w:tc>
          <w:tcPr>
            <w:tcW w:w="3260" w:type="dxa"/>
            <w:shd w:val="clear" w:color="auto" w:fill="auto"/>
            <w:vAlign w:val="center"/>
          </w:tcPr>
          <w:p w14:paraId="719ACC62" w14:textId="5D5F5EAB" w:rsidR="000947FE" w:rsidRPr="00CF77C1" w:rsidRDefault="00B57AE3" w:rsidP="000947FE">
            <w:pPr>
              <w:jc w:val="left"/>
              <w:rPr>
                <w:lang w:val="sr-Cyrl-RS"/>
              </w:rPr>
            </w:pPr>
            <w:r w:rsidRPr="00CF77C1">
              <w:rPr>
                <w:lang w:val="sr-Cyrl-RS"/>
              </w:rPr>
              <w:t>министарство</w:t>
            </w:r>
            <w:r>
              <w:rPr>
                <w:lang w:val="sr-Cyrl-RS"/>
              </w:rPr>
              <w:t xml:space="preserve"> </w:t>
            </w:r>
            <w:r w:rsidR="00D137F9">
              <w:rPr>
                <w:lang w:val="sr-Cyrl-RS"/>
              </w:rPr>
              <w:t>надлежно за послове</w:t>
            </w:r>
            <w:r w:rsidR="006225F1" w:rsidRPr="00CF77C1">
              <w:rPr>
                <w:lang w:val="sr-Cyrl-RS"/>
              </w:rPr>
              <w:t xml:space="preserve"> финансија - Сектор за уговарање и финансирање програма из средстава ЕУ (ЦФЦУ), </w:t>
            </w:r>
            <w:r w:rsidR="00205D28" w:rsidRPr="00CF77C1">
              <w:rPr>
                <w:lang w:val="sr-Cyrl-RS"/>
              </w:rPr>
              <w:t>Транспортгас Србија д.о.о.</w:t>
            </w:r>
          </w:p>
        </w:tc>
        <w:tc>
          <w:tcPr>
            <w:tcW w:w="769" w:type="dxa"/>
            <w:shd w:val="clear" w:color="auto" w:fill="auto"/>
            <w:vAlign w:val="center"/>
          </w:tcPr>
          <w:p w14:paraId="5A9FC951" w14:textId="1C7D53C5" w:rsidR="000947FE" w:rsidRPr="00CF77C1" w:rsidRDefault="000947FE" w:rsidP="0080044B">
            <w:pPr>
              <w:spacing w:before="0" w:after="0"/>
              <w:jc w:val="center"/>
              <w:rPr>
                <w:lang w:val="sr-Cyrl-RS"/>
              </w:rPr>
            </w:pPr>
          </w:p>
        </w:tc>
        <w:tc>
          <w:tcPr>
            <w:tcW w:w="770" w:type="dxa"/>
            <w:shd w:val="clear" w:color="auto" w:fill="auto"/>
            <w:vAlign w:val="center"/>
          </w:tcPr>
          <w:p w14:paraId="3EFB20D6" w14:textId="7E44E4EF" w:rsidR="000947FE" w:rsidRPr="00CF77C1" w:rsidRDefault="000947FE" w:rsidP="0080044B">
            <w:pPr>
              <w:spacing w:before="0" w:after="0"/>
              <w:jc w:val="center"/>
              <w:rPr>
                <w:lang w:val="sr-Cyrl-RS"/>
              </w:rPr>
            </w:pPr>
            <w:r w:rsidRPr="00CF77C1">
              <w:rPr>
                <w:lang w:val="sr-Cyrl-RS"/>
              </w:rPr>
              <w:t>х</w:t>
            </w:r>
          </w:p>
        </w:tc>
        <w:tc>
          <w:tcPr>
            <w:tcW w:w="769" w:type="dxa"/>
            <w:shd w:val="clear" w:color="auto" w:fill="auto"/>
            <w:vAlign w:val="center"/>
          </w:tcPr>
          <w:p w14:paraId="4327879C" w14:textId="340F9AB0" w:rsidR="000947FE" w:rsidRPr="00CF77C1" w:rsidRDefault="000947FE" w:rsidP="0080044B">
            <w:pPr>
              <w:spacing w:before="0" w:after="0"/>
              <w:jc w:val="center"/>
              <w:rPr>
                <w:lang w:val="sr-Cyrl-RS"/>
              </w:rPr>
            </w:pPr>
            <w:r w:rsidRPr="00CF77C1">
              <w:rPr>
                <w:lang w:val="sr-Cyrl-RS"/>
              </w:rPr>
              <w:t>х</w:t>
            </w:r>
          </w:p>
        </w:tc>
        <w:tc>
          <w:tcPr>
            <w:tcW w:w="770" w:type="dxa"/>
            <w:shd w:val="clear" w:color="auto" w:fill="auto"/>
            <w:vAlign w:val="center"/>
          </w:tcPr>
          <w:p w14:paraId="5E8A4BA7" w14:textId="77777777" w:rsidR="000947FE" w:rsidRPr="00CF77C1" w:rsidRDefault="000947FE" w:rsidP="0080044B">
            <w:pPr>
              <w:spacing w:before="0" w:after="0"/>
              <w:jc w:val="center"/>
              <w:rPr>
                <w:lang w:val="sr-Cyrl-RS"/>
              </w:rPr>
            </w:pPr>
          </w:p>
        </w:tc>
        <w:tc>
          <w:tcPr>
            <w:tcW w:w="769" w:type="dxa"/>
            <w:shd w:val="clear" w:color="auto" w:fill="auto"/>
            <w:vAlign w:val="center"/>
          </w:tcPr>
          <w:p w14:paraId="7A8539A7" w14:textId="77777777" w:rsidR="000947FE" w:rsidRPr="00CF77C1" w:rsidRDefault="000947FE" w:rsidP="0080044B">
            <w:pPr>
              <w:spacing w:before="0" w:after="0"/>
              <w:jc w:val="center"/>
              <w:rPr>
                <w:lang w:val="sr-Cyrl-RS"/>
              </w:rPr>
            </w:pPr>
          </w:p>
        </w:tc>
        <w:tc>
          <w:tcPr>
            <w:tcW w:w="770" w:type="dxa"/>
            <w:shd w:val="clear" w:color="auto" w:fill="auto"/>
            <w:vAlign w:val="center"/>
          </w:tcPr>
          <w:p w14:paraId="6401C2C3" w14:textId="77777777" w:rsidR="000947FE" w:rsidRPr="00CF77C1" w:rsidRDefault="000947FE" w:rsidP="0080044B">
            <w:pPr>
              <w:spacing w:before="0" w:after="0"/>
              <w:jc w:val="center"/>
              <w:rPr>
                <w:lang w:val="sr-Cyrl-RS"/>
              </w:rPr>
            </w:pPr>
          </w:p>
        </w:tc>
        <w:tc>
          <w:tcPr>
            <w:tcW w:w="770" w:type="dxa"/>
            <w:shd w:val="clear" w:color="auto" w:fill="auto"/>
            <w:vAlign w:val="center"/>
          </w:tcPr>
          <w:p w14:paraId="32999FDD" w14:textId="77777777" w:rsidR="000947FE" w:rsidRPr="00CF77C1" w:rsidRDefault="000947FE" w:rsidP="0080044B">
            <w:pPr>
              <w:spacing w:before="0" w:after="0"/>
              <w:jc w:val="center"/>
              <w:rPr>
                <w:lang w:val="sr-Cyrl-RS"/>
              </w:rPr>
            </w:pPr>
          </w:p>
        </w:tc>
      </w:tr>
      <w:tr w:rsidR="000947FE" w:rsidRPr="00CF77C1" w14:paraId="1EDF83B9" w14:textId="77777777" w:rsidTr="00205D28">
        <w:tc>
          <w:tcPr>
            <w:tcW w:w="6062" w:type="dxa"/>
            <w:shd w:val="clear" w:color="auto" w:fill="auto"/>
            <w:vAlign w:val="center"/>
          </w:tcPr>
          <w:p w14:paraId="0F7C5B81" w14:textId="77777777" w:rsidR="000947FE" w:rsidRPr="00CF77C1" w:rsidRDefault="000947FE" w:rsidP="0080044B">
            <w:pPr>
              <w:jc w:val="left"/>
              <w:rPr>
                <w:lang w:val="sr-Cyrl-RS"/>
              </w:rPr>
            </w:pPr>
            <w:r w:rsidRPr="00CF77C1">
              <w:rPr>
                <w:lang w:val="sr-Cyrl-RS"/>
              </w:rPr>
              <w:t>Пројекат за извођење</w:t>
            </w:r>
          </w:p>
        </w:tc>
        <w:tc>
          <w:tcPr>
            <w:tcW w:w="3260" w:type="dxa"/>
            <w:shd w:val="clear" w:color="auto" w:fill="auto"/>
            <w:vAlign w:val="center"/>
          </w:tcPr>
          <w:p w14:paraId="30CF1EE8" w14:textId="67C8814E" w:rsidR="000947FE" w:rsidRPr="00CF77C1" w:rsidRDefault="00205D28" w:rsidP="0080044B">
            <w:pPr>
              <w:jc w:val="left"/>
              <w:rPr>
                <w:lang w:val="sr-Cyrl-RS"/>
              </w:rPr>
            </w:pPr>
            <w:r w:rsidRPr="00CF77C1">
              <w:rPr>
                <w:lang w:val="sr-Cyrl-RS"/>
              </w:rPr>
              <w:t>Транспортгас Србија д.о.о.</w:t>
            </w:r>
          </w:p>
        </w:tc>
        <w:tc>
          <w:tcPr>
            <w:tcW w:w="769" w:type="dxa"/>
            <w:shd w:val="clear" w:color="auto" w:fill="auto"/>
            <w:vAlign w:val="center"/>
          </w:tcPr>
          <w:p w14:paraId="14E18938" w14:textId="77777777" w:rsidR="000947FE" w:rsidRPr="00CF77C1" w:rsidRDefault="000947FE" w:rsidP="0080044B">
            <w:pPr>
              <w:spacing w:before="0" w:after="0"/>
              <w:jc w:val="center"/>
              <w:rPr>
                <w:lang w:val="sr-Cyrl-RS"/>
              </w:rPr>
            </w:pPr>
          </w:p>
        </w:tc>
        <w:tc>
          <w:tcPr>
            <w:tcW w:w="770" w:type="dxa"/>
            <w:shd w:val="clear" w:color="auto" w:fill="auto"/>
            <w:vAlign w:val="center"/>
          </w:tcPr>
          <w:p w14:paraId="2B59E224" w14:textId="12AA5397" w:rsidR="000947FE" w:rsidRPr="00CF77C1" w:rsidRDefault="000947FE" w:rsidP="0080044B">
            <w:pPr>
              <w:spacing w:before="0" w:after="0"/>
              <w:jc w:val="center"/>
              <w:rPr>
                <w:lang w:val="sr-Cyrl-RS"/>
              </w:rPr>
            </w:pPr>
          </w:p>
        </w:tc>
        <w:tc>
          <w:tcPr>
            <w:tcW w:w="769" w:type="dxa"/>
            <w:shd w:val="clear" w:color="auto" w:fill="auto"/>
            <w:vAlign w:val="center"/>
          </w:tcPr>
          <w:p w14:paraId="32454CC8" w14:textId="55AE2123" w:rsidR="000947FE" w:rsidRPr="00CF77C1" w:rsidRDefault="000947FE" w:rsidP="0080044B">
            <w:pPr>
              <w:spacing w:before="0" w:after="0"/>
              <w:jc w:val="center"/>
              <w:rPr>
                <w:lang w:val="sr-Cyrl-RS"/>
              </w:rPr>
            </w:pPr>
            <w:r w:rsidRPr="00CF77C1">
              <w:rPr>
                <w:lang w:val="sr-Cyrl-RS"/>
              </w:rPr>
              <w:t>х</w:t>
            </w:r>
          </w:p>
        </w:tc>
        <w:tc>
          <w:tcPr>
            <w:tcW w:w="770" w:type="dxa"/>
            <w:shd w:val="clear" w:color="auto" w:fill="auto"/>
            <w:vAlign w:val="center"/>
          </w:tcPr>
          <w:p w14:paraId="279F55FF" w14:textId="143A1555" w:rsidR="000947FE" w:rsidRPr="00CF77C1" w:rsidRDefault="000947FE" w:rsidP="0080044B">
            <w:pPr>
              <w:spacing w:before="0" w:after="0"/>
              <w:jc w:val="center"/>
              <w:rPr>
                <w:lang w:val="sr-Cyrl-RS"/>
              </w:rPr>
            </w:pPr>
            <w:r w:rsidRPr="00CF77C1">
              <w:rPr>
                <w:lang w:val="sr-Cyrl-RS"/>
              </w:rPr>
              <w:t>x</w:t>
            </w:r>
          </w:p>
        </w:tc>
        <w:tc>
          <w:tcPr>
            <w:tcW w:w="769" w:type="dxa"/>
            <w:shd w:val="clear" w:color="auto" w:fill="auto"/>
            <w:vAlign w:val="center"/>
          </w:tcPr>
          <w:p w14:paraId="26B2DA1A" w14:textId="77777777" w:rsidR="000947FE" w:rsidRPr="00CF77C1" w:rsidRDefault="000947FE" w:rsidP="0080044B">
            <w:pPr>
              <w:spacing w:before="0" w:after="0"/>
              <w:jc w:val="center"/>
              <w:rPr>
                <w:lang w:val="sr-Cyrl-RS"/>
              </w:rPr>
            </w:pPr>
          </w:p>
        </w:tc>
        <w:tc>
          <w:tcPr>
            <w:tcW w:w="770" w:type="dxa"/>
            <w:shd w:val="clear" w:color="auto" w:fill="auto"/>
            <w:vAlign w:val="center"/>
          </w:tcPr>
          <w:p w14:paraId="3665CF58" w14:textId="77777777" w:rsidR="000947FE" w:rsidRPr="00CF77C1" w:rsidRDefault="000947FE" w:rsidP="0080044B">
            <w:pPr>
              <w:spacing w:before="0" w:after="0"/>
              <w:jc w:val="center"/>
              <w:rPr>
                <w:lang w:val="sr-Cyrl-RS"/>
              </w:rPr>
            </w:pPr>
          </w:p>
        </w:tc>
        <w:tc>
          <w:tcPr>
            <w:tcW w:w="770" w:type="dxa"/>
            <w:shd w:val="clear" w:color="auto" w:fill="auto"/>
            <w:vAlign w:val="center"/>
          </w:tcPr>
          <w:p w14:paraId="7AD029C6" w14:textId="77777777" w:rsidR="000947FE" w:rsidRPr="00CF77C1" w:rsidRDefault="000947FE" w:rsidP="0080044B">
            <w:pPr>
              <w:spacing w:before="0" w:after="0"/>
              <w:jc w:val="center"/>
              <w:rPr>
                <w:lang w:val="sr-Cyrl-RS"/>
              </w:rPr>
            </w:pPr>
          </w:p>
        </w:tc>
      </w:tr>
      <w:tr w:rsidR="000947FE" w:rsidRPr="00CF77C1" w14:paraId="0AEA7621" w14:textId="77777777" w:rsidTr="00205D28">
        <w:tc>
          <w:tcPr>
            <w:tcW w:w="6062" w:type="dxa"/>
            <w:shd w:val="clear" w:color="auto" w:fill="auto"/>
            <w:vAlign w:val="center"/>
          </w:tcPr>
          <w:p w14:paraId="7FCD0E2B" w14:textId="77777777" w:rsidR="000947FE" w:rsidRPr="00CF77C1" w:rsidRDefault="000947FE" w:rsidP="0080044B">
            <w:pPr>
              <w:jc w:val="left"/>
              <w:rPr>
                <w:lang w:val="sr-Cyrl-RS"/>
              </w:rPr>
            </w:pPr>
            <w:r w:rsidRPr="00CF77C1">
              <w:rPr>
                <w:lang w:val="sr-Cyrl-RS"/>
              </w:rPr>
              <w:t>Изградња</w:t>
            </w:r>
          </w:p>
        </w:tc>
        <w:tc>
          <w:tcPr>
            <w:tcW w:w="3260" w:type="dxa"/>
            <w:shd w:val="clear" w:color="auto" w:fill="auto"/>
            <w:vAlign w:val="center"/>
          </w:tcPr>
          <w:p w14:paraId="78A59023" w14:textId="4E6AB2B5" w:rsidR="000947FE" w:rsidRPr="00CF77C1" w:rsidRDefault="001C4E4D" w:rsidP="0080044B">
            <w:pPr>
              <w:jc w:val="left"/>
              <w:rPr>
                <w:lang w:val="sr-Cyrl-RS"/>
              </w:rPr>
            </w:pPr>
            <w:r w:rsidRPr="00CF77C1">
              <w:rPr>
                <w:lang w:val="sr-Cyrl-RS"/>
              </w:rPr>
              <w:t>-</w:t>
            </w:r>
          </w:p>
        </w:tc>
        <w:tc>
          <w:tcPr>
            <w:tcW w:w="769" w:type="dxa"/>
            <w:shd w:val="clear" w:color="auto" w:fill="auto"/>
            <w:vAlign w:val="center"/>
          </w:tcPr>
          <w:p w14:paraId="02978D1F" w14:textId="77777777" w:rsidR="000947FE" w:rsidRPr="00CF77C1" w:rsidRDefault="000947FE" w:rsidP="0080044B">
            <w:pPr>
              <w:spacing w:before="0" w:after="0"/>
              <w:jc w:val="center"/>
              <w:rPr>
                <w:lang w:val="sr-Cyrl-RS"/>
              </w:rPr>
            </w:pPr>
          </w:p>
        </w:tc>
        <w:tc>
          <w:tcPr>
            <w:tcW w:w="770" w:type="dxa"/>
            <w:shd w:val="clear" w:color="auto" w:fill="auto"/>
            <w:vAlign w:val="center"/>
          </w:tcPr>
          <w:p w14:paraId="0B0DA23A" w14:textId="77777777" w:rsidR="000947FE" w:rsidRPr="00CF77C1" w:rsidRDefault="000947FE" w:rsidP="0080044B">
            <w:pPr>
              <w:spacing w:before="0" w:after="0"/>
              <w:jc w:val="center"/>
              <w:rPr>
                <w:lang w:val="sr-Cyrl-RS"/>
              </w:rPr>
            </w:pPr>
          </w:p>
        </w:tc>
        <w:tc>
          <w:tcPr>
            <w:tcW w:w="769" w:type="dxa"/>
            <w:shd w:val="clear" w:color="auto" w:fill="auto"/>
            <w:vAlign w:val="center"/>
          </w:tcPr>
          <w:p w14:paraId="251534E2" w14:textId="09831C64" w:rsidR="000947FE" w:rsidRPr="00CF77C1" w:rsidRDefault="000947FE" w:rsidP="0080044B">
            <w:pPr>
              <w:spacing w:before="0" w:after="0"/>
              <w:jc w:val="center"/>
              <w:rPr>
                <w:lang w:val="sr-Cyrl-RS"/>
              </w:rPr>
            </w:pPr>
          </w:p>
        </w:tc>
        <w:tc>
          <w:tcPr>
            <w:tcW w:w="770" w:type="dxa"/>
            <w:shd w:val="clear" w:color="auto" w:fill="auto"/>
            <w:vAlign w:val="center"/>
          </w:tcPr>
          <w:p w14:paraId="399A9A35" w14:textId="13511AA6" w:rsidR="000947FE" w:rsidRPr="00CF77C1" w:rsidRDefault="000947FE" w:rsidP="0080044B">
            <w:pPr>
              <w:spacing w:before="0" w:after="0"/>
              <w:jc w:val="center"/>
              <w:rPr>
                <w:lang w:val="sr-Cyrl-RS"/>
              </w:rPr>
            </w:pPr>
            <w:r w:rsidRPr="00CF77C1">
              <w:rPr>
                <w:lang w:val="sr-Cyrl-RS"/>
              </w:rPr>
              <w:t>х</w:t>
            </w:r>
          </w:p>
        </w:tc>
        <w:tc>
          <w:tcPr>
            <w:tcW w:w="769" w:type="dxa"/>
            <w:shd w:val="clear" w:color="auto" w:fill="auto"/>
            <w:vAlign w:val="center"/>
          </w:tcPr>
          <w:p w14:paraId="7B1AC538" w14:textId="297811B2" w:rsidR="000947FE" w:rsidRPr="00CF77C1" w:rsidRDefault="000947FE" w:rsidP="0080044B">
            <w:pPr>
              <w:spacing w:before="0" w:after="0"/>
              <w:jc w:val="center"/>
              <w:rPr>
                <w:lang w:val="sr-Cyrl-RS"/>
              </w:rPr>
            </w:pPr>
            <w:r w:rsidRPr="00CF77C1">
              <w:rPr>
                <w:lang w:val="sr-Cyrl-RS"/>
              </w:rPr>
              <w:t>х</w:t>
            </w:r>
          </w:p>
        </w:tc>
        <w:tc>
          <w:tcPr>
            <w:tcW w:w="770" w:type="dxa"/>
            <w:shd w:val="clear" w:color="auto" w:fill="auto"/>
            <w:vAlign w:val="center"/>
          </w:tcPr>
          <w:p w14:paraId="4D0CF552" w14:textId="77777777" w:rsidR="000947FE" w:rsidRPr="00CF77C1" w:rsidRDefault="000947FE" w:rsidP="0080044B">
            <w:pPr>
              <w:spacing w:before="0" w:after="0"/>
              <w:jc w:val="center"/>
              <w:rPr>
                <w:lang w:val="sr-Cyrl-RS"/>
              </w:rPr>
            </w:pPr>
          </w:p>
        </w:tc>
        <w:tc>
          <w:tcPr>
            <w:tcW w:w="770" w:type="dxa"/>
            <w:shd w:val="clear" w:color="auto" w:fill="auto"/>
            <w:vAlign w:val="center"/>
          </w:tcPr>
          <w:p w14:paraId="052C2DEC" w14:textId="77777777" w:rsidR="000947FE" w:rsidRPr="00CF77C1" w:rsidRDefault="000947FE" w:rsidP="0080044B">
            <w:pPr>
              <w:spacing w:before="0" w:after="0"/>
              <w:jc w:val="center"/>
              <w:rPr>
                <w:lang w:val="sr-Cyrl-RS"/>
              </w:rPr>
            </w:pPr>
          </w:p>
        </w:tc>
      </w:tr>
    </w:tbl>
    <w:p w14:paraId="5FC276B9" w14:textId="6EB797E3" w:rsidR="00D66E85" w:rsidRPr="00CF77C1" w:rsidRDefault="00D66E85" w:rsidP="0080044B">
      <w:pPr>
        <w:rPr>
          <w:lang w:val="sr-Cyrl-RS"/>
        </w:rPr>
      </w:pPr>
    </w:p>
    <w:p w14:paraId="425193E3" w14:textId="14FEE7B6" w:rsidR="00D66E85" w:rsidRPr="00CF77C1" w:rsidRDefault="008C6DCA" w:rsidP="008C6DCA">
      <w:pPr>
        <w:keepNext/>
        <w:ind w:firstLine="720"/>
        <w:rPr>
          <w:lang w:val="sr-Cyrl-RS"/>
        </w:rPr>
      </w:pPr>
      <w:bookmarkStart w:id="154" w:name="_Ref476806080"/>
      <w:r w:rsidRPr="00CF77C1">
        <w:rPr>
          <w:lang w:val="sr-Cyrl-RS"/>
        </w:rPr>
        <w:t xml:space="preserve">П.22. </w:t>
      </w:r>
      <w:r w:rsidR="00D66E85" w:rsidRPr="00CF77C1">
        <w:rPr>
          <w:lang w:val="sr-Cyrl-RS"/>
        </w:rPr>
        <w:t xml:space="preserve">Пројекaт гасне интерконекције Србија </w:t>
      </w:r>
      <w:r w:rsidR="008F7E3A" w:rsidRPr="00CF77C1">
        <w:rPr>
          <w:lang w:val="sr-Cyrl-RS"/>
        </w:rPr>
        <w:t>-</w:t>
      </w:r>
      <w:r w:rsidR="00D66E85" w:rsidRPr="00CF77C1">
        <w:rPr>
          <w:lang w:val="sr-Cyrl-RS"/>
        </w:rPr>
        <w:t xml:space="preserve"> Хрватска, магистрални гасовод МГ- 08 Госпођинци (Футог) - Сотин (граница са Хрватском)</w:t>
      </w:r>
      <w:bookmarkEnd w:id="154"/>
    </w:p>
    <w:p w14:paraId="12846A32" w14:textId="739D084B" w:rsidR="00F0139B" w:rsidRPr="00CF77C1" w:rsidRDefault="00F0139B" w:rsidP="00C41967">
      <w:pPr>
        <w:keepNext/>
        <w:ind w:firstLine="720"/>
        <w:rPr>
          <w:lang w:val="sr-Cyrl-RS"/>
        </w:rPr>
      </w:pPr>
      <w:r w:rsidRPr="00CF77C1">
        <w:rPr>
          <w:lang w:val="sr-Cyrl-RS"/>
        </w:rPr>
        <w:t>Пројекат гасн</w:t>
      </w:r>
      <w:r w:rsidR="005656B1" w:rsidRPr="00CF77C1">
        <w:rPr>
          <w:lang w:val="sr-Cyrl-RS"/>
        </w:rPr>
        <w:t>е</w:t>
      </w:r>
      <w:r w:rsidRPr="00CF77C1">
        <w:rPr>
          <w:lang w:val="sr-Cyrl-RS"/>
        </w:rPr>
        <w:t xml:space="preserve"> интерконекције Србија - Хрватска се налази на Јединственој листи инфраструктурних пројеката у области енергетике, Приоритетној листи инфраструктурних енергетских пројеката (PMI листи), Листи пројеката од заједничког интереса (PCI листи) и Листи пројеката за повезаност гасом средњеисточне и југоисточне Европе (CESEC листи).</w:t>
      </w:r>
    </w:p>
    <w:p w14:paraId="4EA34EE5" w14:textId="3BC07745"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68</w:t>
      </w:r>
      <w:r w:rsidR="0092145E" w:rsidRPr="00CF77C1">
        <w:rPr>
          <w:b w:val="0"/>
          <w:lang w:val="sr-Cyrl-RS"/>
        </w:rPr>
        <w:fldChar w:fldCharType="end"/>
      </w:r>
      <w:r w:rsidR="00D66E85" w:rsidRPr="00CF77C1">
        <w:rPr>
          <w:b w:val="0"/>
          <w:lang w:val="sr-Cyrl-RS"/>
        </w:rPr>
        <w:t>: Основне карактеристике пројекта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6044"/>
        <w:gridCol w:w="2976"/>
        <w:gridCol w:w="3261"/>
      </w:tblGrid>
      <w:tr w:rsidR="003D3DD5" w:rsidRPr="00CF77C1" w14:paraId="7067F6F2" w14:textId="77777777" w:rsidTr="003D3DD5">
        <w:tc>
          <w:tcPr>
            <w:tcW w:w="2428" w:type="dxa"/>
            <w:shd w:val="clear" w:color="auto" w:fill="auto"/>
            <w:vAlign w:val="center"/>
          </w:tcPr>
          <w:p w14:paraId="0B5D327D" w14:textId="77777777" w:rsidR="003D3DD5" w:rsidRPr="00CF77C1" w:rsidRDefault="003D3DD5" w:rsidP="003D3DD5">
            <w:pPr>
              <w:framePr w:hSpace="181" w:wrap="notBeside" w:vAnchor="text" w:hAnchor="text" w:y="1"/>
              <w:jc w:val="center"/>
              <w:rPr>
                <w:lang w:val="sr-Cyrl-RS"/>
              </w:rPr>
            </w:pPr>
            <w:r w:rsidRPr="00CF77C1">
              <w:rPr>
                <w:lang w:val="sr-Cyrl-RS"/>
              </w:rPr>
              <w:t>Техничке карактеристике</w:t>
            </w:r>
          </w:p>
        </w:tc>
        <w:tc>
          <w:tcPr>
            <w:tcW w:w="6044" w:type="dxa"/>
            <w:vAlign w:val="center"/>
          </w:tcPr>
          <w:p w14:paraId="1166A15B" w14:textId="77777777" w:rsidR="003D3DD5" w:rsidRPr="00CF77C1" w:rsidRDefault="003D3DD5" w:rsidP="003D3DD5">
            <w:pPr>
              <w:framePr w:hSpace="181" w:wrap="notBeside" w:vAnchor="text" w:hAnchor="text" w:y="1"/>
              <w:jc w:val="center"/>
              <w:rPr>
                <w:lang w:val="sr-Cyrl-RS"/>
              </w:rPr>
            </w:pPr>
            <w:r w:rsidRPr="00CF77C1">
              <w:rPr>
                <w:lang w:val="sr-Cyrl-RS"/>
              </w:rPr>
              <w:t>Опис</w:t>
            </w:r>
          </w:p>
        </w:tc>
        <w:tc>
          <w:tcPr>
            <w:tcW w:w="2976" w:type="dxa"/>
            <w:vAlign w:val="center"/>
          </w:tcPr>
          <w:p w14:paraId="2948DF86" w14:textId="77777777" w:rsidR="003D3DD5" w:rsidRPr="00CF77C1" w:rsidRDefault="003D3DD5" w:rsidP="003D3DD5">
            <w:pPr>
              <w:framePr w:hSpace="181" w:wrap="notBeside" w:vAnchor="text" w:hAnchor="text" w:y="1"/>
              <w:jc w:val="center"/>
              <w:rPr>
                <w:lang w:val="sr-Cyrl-RS"/>
              </w:rPr>
            </w:pPr>
            <w:r w:rsidRPr="00CF77C1">
              <w:rPr>
                <w:lang w:val="sr-Cyrl-RS"/>
              </w:rPr>
              <w:t>Ефекти реализације на основу расположиве документације</w:t>
            </w:r>
          </w:p>
        </w:tc>
        <w:tc>
          <w:tcPr>
            <w:tcW w:w="3261" w:type="dxa"/>
            <w:shd w:val="clear" w:color="auto" w:fill="auto"/>
            <w:vAlign w:val="center"/>
          </w:tcPr>
          <w:p w14:paraId="6BB3EBBF" w14:textId="77777777" w:rsidR="003D3DD5" w:rsidRPr="00CF77C1" w:rsidRDefault="003D3DD5" w:rsidP="003D3DD5">
            <w:pPr>
              <w:framePr w:hSpace="181" w:wrap="notBeside" w:vAnchor="text" w:hAnchor="text" w:y="1"/>
              <w:jc w:val="center"/>
              <w:rPr>
                <w:lang w:val="sr-Cyrl-RS"/>
              </w:rPr>
            </w:pPr>
            <w:r w:rsidRPr="00CF77C1">
              <w:rPr>
                <w:lang w:val="sr-Cyrl-RS"/>
              </w:rPr>
              <w:t>Вредност пројекта и извор финансирања</w:t>
            </w:r>
          </w:p>
        </w:tc>
      </w:tr>
      <w:tr w:rsidR="003D3DD5" w:rsidRPr="00CF77C1" w14:paraId="24C6D96A" w14:textId="77777777" w:rsidTr="003D3DD5">
        <w:tc>
          <w:tcPr>
            <w:tcW w:w="2428" w:type="dxa"/>
            <w:shd w:val="clear" w:color="auto" w:fill="auto"/>
            <w:vAlign w:val="center"/>
          </w:tcPr>
          <w:p w14:paraId="5F7985CB" w14:textId="77777777" w:rsidR="003D3DD5" w:rsidRPr="00CF77C1" w:rsidRDefault="003D3DD5" w:rsidP="003D3DD5">
            <w:pPr>
              <w:framePr w:hSpace="181" w:wrap="notBeside" w:vAnchor="text" w:hAnchor="text" w:y="1"/>
              <w:jc w:val="left"/>
              <w:rPr>
                <w:szCs w:val="24"/>
                <w:lang w:val="sr-Cyrl-RS"/>
              </w:rPr>
            </w:pPr>
            <w:r w:rsidRPr="00CF77C1">
              <w:rPr>
                <w:szCs w:val="24"/>
                <w:lang w:val="sr-Cyrl-RS"/>
              </w:rPr>
              <w:t>Магистрални једноцевни гасовод дужине 95 km, пречника</w:t>
            </w:r>
            <w:r w:rsidRPr="00CF77C1">
              <w:rPr>
                <w:lang w:val="sr-Cyrl-RS"/>
              </w:rPr>
              <w:t xml:space="preserve"> DN600</w:t>
            </w:r>
            <w:r w:rsidRPr="00CF77C1">
              <w:rPr>
                <w:szCs w:val="24"/>
                <w:lang w:val="sr-Cyrl-RS"/>
              </w:rPr>
              <w:t>, капацитета 1,5 милијарди m</w:t>
            </w:r>
            <w:r w:rsidRPr="00CF77C1">
              <w:rPr>
                <w:szCs w:val="24"/>
                <w:vertAlign w:val="superscript"/>
                <w:lang w:val="sr-Cyrl-RS"/>
              </w:rPr>
              <w:t>3</w:t>
            </w:r>
            <w:r w:rsidRPr="00CF77C1">
              <w:rPr>
                <w:szCs w:val="24"/>
                <w:lang w:val="sr-Cyrl-RS"/>
              </w:rPr>
              <w:t>/годишње</w:t>
            </w:r>
          </w:p>
          <w:p w14:paraId="540E9B88" w14:textId="77777777" w:rsidR="003D3DD5" w:rsidRPr="00CF77C1" w:rsidRDefault="003D3DD5" w:rsidP="003D3DD5">
            <w:pPr>
              <w:framePr w:hSpace="181" w:wrap="notBeside" w:vAnchor="text" w:hAnchor="text" w:y="1"/>
              <w:jc w:val="left"/>
              <w:rPr>
                <w:szCs w:val="24"/>
                <w:lang w:val="sr-Cyrl-RS"/>
              </w:rPr>
            </w:pPr>
            <w:r w:rsidRPr="00CF77C1">
              <w:rPr>
                <w:szCs w:val="24"/>
                <w:lang w:val="sr-Cyrl-RS"/>
              </w:rPr>
              <w:t>Пројектовани притисак 75 bar</w:t>
            </w:r>
          </w:p>
        </w:tc>
        <w:tc>
          <w:tcPr>
            <w:tcW w:w="6044" w:type="dxa"/>
            <w:vAlign w:val="center"/>
          </w:tcPr>
          <w:p w14:paraId="4F7181A1" w14:textId="77777777" w:rsidR="003D3DD5" w:rsidRPr="00CF77C1" w:rsidRDefault="003D3DD5" w:rsidP="003D3DD5">
            <w:pPr>
              <w:framePr w:hSpace="181" w:wrap="notBeside" w:vAnchor="text" w:hAnchor="text" w:y="1"/>
              <w:jc w:val="left"/>
              <w:rPr>
                <w:lang w:val="sr-Cyrl-RS"/>
              </w:rPr>
            </w:pPr>
            <w:r w:rsidRPr="00CF77C1">
              <w:rPr>
                <w:lang w:val="sr-Cyrl-RS"/>
              </w:rPr>
              <w:t>Магистрални гасовод МГ-08 Госпођинци (Футог) - Сотин представља инфраструктурну основу за успостављање гасне интерконекције са Републиком Хрватском. Примарни технички елементи гасовода су цевовод, објекти који су саставни део гасовода и пратећа инфраструктура. Саставни део гасовода представљају следећи објекти и инсталације:</w:t>
            </w:r>
          </w:p>
          <w:p w14:paraId="5086D36E" w14:textId="109DA791" w:rsidR="003D3DD5" w:rsidRPr="00CF77C1" w:rsidRDefault="003D3DD5" w:rsidP="003D3DD5">
            <w:pPr>
              <w:framePr w:hSpace="181" w:wrap="notBeside" w:vAnchor="text" w:hAnchor="text" w:y="1"/>
              <w:jc w:val="left"/>
              <w:rPr>
                <w:lang w:val="sr-Cyrl-RS"/>
              </w:rPr>
            </w:pPr>
            <w:r w:rsidRPr="00CF77C1">
              <w:rPr>
                <w:lang w:val="sr-Cyrl-RS"/>
              </w:rPr>
              <w:t>- 1 примопредајна и чистачка станица на локацији у близи</w:t>
            </w:r>
            <w:r w:rsidR="00B746E8">
              <w:rPr>
                <w:lang w:val="sr-Cyrl-RS"/>
              </w:rPr>
              <w:t>ни државне границе;</w:t>
            </w:r>
          </w:p>
          <w:p w14:paraId="5F6A09E9" w14:textId="0B32213F" w:rsidR="003D3DD5" w:rsidRPr="00CF77C1" w:rsidRDefault="003D3DD5" w:rsidP="003D3DD5">
            <w:pPr>
              <w:framePr w:hSpace="181" w:wrap="notBeside" w:vAnchor="text" w:hAnchor="text" w:y="1"/>
              <w:jc w:val="left"/>
              <w:rPr>
                <w:lang w:val="sr-Cyrl-RS"/>
              </w:rPr>
            </w:pPr>
            <w:r w:rsidRPr="00CF77C1">
              <w:rPr>
                <w:lang w:val="sr-Cyrl-RS"/>
              </w:rPr>
              <w:t>- Блок станице</w:t>
            </w:r>
            <w:r w:rsidR="00B746E8">
              <w:rPr>
                <w:lang w:val="sr-Cyrl-RS"/>
              </w:rPr>
              <w:t>;</w:t>
            </w:r>
          </w:p>
          <w:p w14:paraId="020B1F84" w14:textId="1D3230E0" w:rsidR="003D3DD5" w:rsidRPr="00CF77C1" w:rsidRDefault="003D3DD5" w:rsidP="003D3DD5">
            <w:pPr>
              <w:framePr w:hSpace="181" w:wrap="notBeside" w:vAnchor="text" w:hAnchor="text" w:y="1"/>
              <w:jc w:val="left"/>
              <w:rPr>
                <w:lang w:val="sr-Cyrl-RS"/>
              </w:rPr>
            </w:pPr>
            <w:r w:rsidRPr="00CF77C1">
              <w:rPr>
                <w:lang w:val="sr-Cyrl-RS"/>
              </w:rPr>
              <w:t>- Уређаји катодне заштите линијског дела гасовода</w:t>
            </w:r>
            <w:r w:rsidR="00B746E8">
              <w:rPr>
                <w:lang w:val="sr-Cyrl-RS"/>
              </w:rPr>
              <w:t>;</w:t>
            </w:r>
          </w:p>
          <w:p w14:paraId="7FC4C5B1" w14:textId="25250743" w:rsidR="003D3DD5" w:rsidRPr="00CF77C1" w:rsidRDefault="003D3DD5" w:rsidP="003D3DD5">
            <w:pPr>
              <w:framePr w:hSpace="181" w:wrap="notBeside" w:vAnchor="text" w:hAnchor="text" w:y="1"/>
              <w:jc w:val="left"/>
              <w:rPr>
                <w:lang w:val="sr-Cyrl-RS"/>
              </w:rPr>
            </w:pPr>
            <w:r w:rsidRPr="00CF77C1">
              <w:rPr>
                <w:lang w:val="sr-Cyrl-RS"/>
              </w:rPr>
              <w:t>- Уређаји и опрема за потребе даљинског надзора и управљања постројењима</w:t>
            </w:r>
            <w:r w:rsidR="00B746E8">
              <w:rPr>
                <w:lang w:val="sr-Cyrl-RS"/>
              </w:rPr>
              <w:t>.</w:t>
            </w:r>
          </w:p>
        </w:tc>
        <w:tc>
          <w:tcPr>
            <w:tcW w:w="2976" w:type="dxa"/>
            <w:vAlign w:val="center"/>
          </w:tcPr>
          <w:p w14:paraId="3AE12717" w14:textId="77777777" w:rsidR="003D3DD5" w:rsidRPr="00CF77C1" w:rsidRDefault="003D3DD5" w:rsidP="003D3DD5">
            <w:pPr>
              <w:framePr w:hSpace="181" w:wrap="notBeside" w:vAnchor="text" w:hAnchor="text" w:y="1"/>
              <w:jc w:val="left"/>
              <w:rPr>
                <w:szCs w:val="24"/>
                <w:lang w:val="sr-Cyrl-RS"/>
              </w:rPr>
            </w:pPr>
            <w:r w:rsidRPr="00CF77C1">
              <w:rPr>
                <w:szCs w:val="24"/>
                <w:lang w:val="sr-Cyrl-RS"/>
              </w:rPr>
              <w:t>Обезбеђење додатног правца снабдевања</w:t>
            </w:r>
          </w:p>
          <w:p w14:paraId="6AA57DA3" w14:textId="77777777" w:rsidR="003D3DD5" w:rsidRPr="00CF77C1" w:rsidRDefault="003D3DD5" w:rsidP="003D3DD5">
            <w:pPr>
              <w:framePr w:hSpace="181" w:wrap="notBeside" w:vAnchor="text" w:hAnchor="text" w:y="1"/>
              <w:jc w:val="left"/>
              <w:rPr>
                <w:szCs w:val="24"/>
                <w:lang w:val="sr-Cyrl-RS"/>
              </w:rPr>
            </w:pPr>
            <w:r w:rsidRPr="00CF77C1">
              <w:rPr>
                <w:szCs w:val="24"/>
                <w:lang w:val="sr-Cyrl-RS"/>
              </w:rPr>
              <w:t>Повећање расположивих количина природног гаса из увоза за 31 % (са 12,96 милиона m</w:t>
            </w:r>
            <w:r w:rsidRPr="00CF77C1">
              <w:rPr>
                <w:szCs w:val="24"/>
                <w:vertAlign w:val="superscript"/>
                <w:lang w:val="sr-Cyrl-RS"/>
              </w:rPr>
              <w:t>3</w:t>
            </w:r>
            <w:r w:rsidRPr="00CF77C1">
              <w:rPr>
                <w:szCs w:val="24"/>
                <w:lang w:val="sr-Cyrl-RS"/>
              </w:rPr>
              <w:t>/дан на 17,06 милиона m3/дан).</w:t>
            </w:r>
          </w:p>
          <w:p w14:paraId="69D1BFB6" w14:textId="77777777" w:rsidR="003D3DD5" w:rsidRPr="00CF77C1" w:rsidRDefault="003D3DD5" w:rsidP="003D3DD5">
            <w:pPr>
              <w:framePr w:hSpace="181" w:wrap="notBeside" w:vAnchor="text" w:hAnchor="text" w:y="1"/>
              <w:jc w:val="left"/>
              <w:rPr>
                <w:szCs w:val="24"/>
                <w:lang w:val="sr-Cyrl-RS"/>
              </w:rPr>
            </w:pPr>
            <w:r w:rsidRPr="00CF77C1">
              <w:rPr>
                <w:szCs w:val="24"/>
                <w:lang w:val="sr-Cyrl-RS"/>
              </w:rPr>
              <w:t>У односу на максималну дневно увезену количину у периоду 2011-2015. године за потребе купаца у Србији (11,2 милиона m</w:t>
            </w:r>
            <w:r w:rsidRPr="00CF77C1">
              <w:rPr>
                <w:szCs w:val="24"/>
                <w:vertAlign w:val="superscript"/>
                <w:lang w:val="sr-Cyrl-RS"/>
              </w:rPr>
              <w:t>3</w:t>
            </w:r>
            <w:r w:rsidRPr="00CF77C1">
              <w:rPr>
                <w:szCs w:val="24"/>
                <w:lang w:val="sr-Cyrl-RS"/>
              </w:rPr>
              <w:t>/дан) ова интерконекција покрива 37% потреба.</w:t>
            </w:r>
          </w:p>
        </w:tc>
        <w:tc>
          <w:tcPr>
            <w:tcW w:w="3261" w:type="dxa"/>
            <w:shd w:val="clear" w:color="auto" w:fill="auto"/>
            <w:vAlign w:val="center"/>
          </w:tcPr>
          <w:p w14:paraId="16805D40" w14:textId="77777777" w:rsidR="00DC032B" w:rsidRPr="00CF77C1" w:rsidRDefault="00DC032B" w:rsidP="00DC032B">
            <w:pPr>
              <w:framePr w:hSpace="181" w:wrap="notBeside" w:vAnchor="text" w:hAnchor="text" w:y="1"/>
              <w:jc w:val="left"/>
              <w:rPr>
                <w:szCs w:val="24"/>
                <w:lang w:val="sr-Cyrl-RS"/>
              </w:rPr>
            </w:pPr>
            <w:r w:rsidRPr="00CF77C1">
              <w:rPr>
                <w:szCs w:val="24"/>
                <w:lang w:val="sr-Cyrl-RS"/>
              </w:rPr>
              <w:t>60</w:t>
            </w:r>
            <w:r w:rsidRPr="00CF77C1">
              <w:rPr>
                <w:color w:val="FF0000"/>
                <w:szCs w:val="24"/>
                <w:lang w:val="sr-Cyrl-RS"/>
              </w:rPr>
              <w:t xml:space="preserve"> </w:t>
            </w:r>
            <w:r w:rsidRPr="00CF77C1">
              <w:rPr>
                <w:szCs w:val="24"/>
                <w:lang w:val="sr-Cyrl-RS"/>
              </w:rPr>
              <w:t>милиона € (извор податка: ЈП Србијагас)</w:t>
            </w:r>
          </w:p>
          <w:p w14:paraId="246A8040" w14:textId="54585E85" w:rsidR="003D3DD5" w:rsidRPr="00CF77C1" w:rsidRDefault="00FE6568" w:rsidP="00DC032B">
            <w:pPr>
              <w:framePr w:hSpace="181" w:wrap="notBeside" w:vAnchor="text" w:hAnchor="text" w:y="1"/>
              <w:jc w:val="left"/>
              <w:rPr>
                <w:lang w:val="sr-Cyrl-RS"/>
              </w:rPr>
            </w:pPr>
            <w:r>
              <w:rPr>
                <w:lang w:val="sr-Cyrl-RS"/>
              </w:rPr>
              <w:t>Претприступни ЕУ фондови, б</w:t>
            </w:r>
            <w:r w:rsidR="00DC032B" w:rsidRPr="00CF77C1">
              <w:rPr>
                <w:lang w:val="sr-Cyrl-RS"/>
              </w:rPr>
              <w:t>уџет Републике Србије и други извори финансирања</w:t>
            </w:r>
          </w:p>
        </w:tc>
      </w:tr>
    </w:tbl>
    <w:p w14:paraId="3FCF3626" w14:textId="1605719A" w:rsidR="003D3DD5" w:rsidRPr="00CF77C1" w:rsidRDefault="003D3DD5" w:rsidP="00C41967">
      <w:pPr>
        <w:ind w:firstLine="720"/>
        <w:rPr>
          <w:lang w:val="sr-Cyrl-RS"/>
        </w:rPr>
      </w:pPr>
      <w:r w:rsidRPr="00CF77C1">
        <w:rPr>
          <w:lang w:val="sr-Cyrl-RS"/>
        </w:rPr>
        <w:t xml:space="preserve">Напомена: Разрадом концепције пројекта интерконекције Србија - Хрватска, у сарадњи са </w:t>
      </w:r>
      <w:r w:rsidR="00246C17" w:rsidRPr="00CF77C1">
        <w:rPr>
          <w:lang w:val="sr-Cyrl-RS"/>
        </w:rPr>
        <w:t>х</w:t>
      </w:r>
      <w:r w:rsidRPr="00CF77C1">
        <w:rPr>
          <w:lang w:val="sr-Cyrl-RS"/>
        </w:rPr>
        <w:t xml:space="preserve">рватском страном, усвојена је почетна тачка у Госпођинцима, чиме је увећана дужина гасовода, на основу чега је настала разлика у вредности пројекта између дате и оне из Јединствене листе инфраструктурних пројеката у области енергетике (видети </w:t>
      </w:r>
      <w:r w:rsidRPr="00CF77C1">
        <w:rPr>
          <w:lang w:val="sr-Cyrl-RS"/>
        </w:rPr>
        <w:fldChar w:fldCharType="begin"/>
      </w:r>
      <w:r w:rsidRPr="00CF77C1">
        <w:rPr>
          <w:lang w:val="sr-Cyrl-RS"/>
        </w:rPr>
        <w:instrText xml:space="preserve"> REF _Ref478730171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2D5918">
        <w:rPr>
          <w:lang w:val="sr-Cyrl-RS"/>
        </w:rPr>
        <w:t xml:space="preserve">таб. </w:t>
      </w:r>
      <w:r w:rsidR="002D5918" w:rsidRPr="002D5918">
        <w:rPr>
          <w:noProof/>
          <w:lang w:val="sr-Cyrl-RS"/>
        </w:rPr>
        <w:t>129</w:t>
      </w:r>
      <w:r w:rsidRPr="00CF77C1">
        <w:rPr>
          <w:lang w:val="sr-Cyrl-RS"/>
        </w:rPr>
        <w:fldChar w:fldCharType="end"/>
      </w:r>
      <w:r w:rsidRPr="00CF77C1">
        <w:rPr>
          <w:lang w:val="sr-Cyrl-RS"/>
        </w:rPr>
        <w:t>).</w:t>
      </w:r>
    </w:p>
    <w:p w14:paraId="2FD1D8B4" w14:textId="33E1F334"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69</w:t>
      </w:r>
      <w:r w:rsidR="0092145E" w:rsidRPr="00CF77C1">
        <w:rPr>
          <w:b w:val="0"/>
          <w:lang w:val="sr-Cyrl-RS"/>
        </w:rPr>
        <w:fldChar w:fldCharType="end"/>
      </w:r>
      <w:r w:rsidR="00D66E85" w:rsidRPr="00CF77C1">
        <w:rPr>
          <w:b w:val="0"/>
          <w:lang w:val="sr-Cyrl-RS"/>
        </w:rPr>
        <w:t>: Утицај пројеката на остварење стратешких циљева</w:t>
      </w:r>
    </w:p>
    <w:tbl>
      <w:tblPr>
        <w:tblW w:w="14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946"/>
        <w:gridCol w:w="2409"/>
        <w:gridCol w:w="2126"/>
      </w:tblGrid>
      <w:tr w:rsidR="00D66E85" w:rsidRPr="00CF77C1" w14:paraId="48EEB55E" w14:textId="77777777" w:rsidTr="00D66E85">
        <w:tc>
          <w:tcPr>
            <w:tcW w:w="3227" w:type="dxa"/>
            <w:shd w:val="clear" w:color="auto" w:fill="auto"/>
            <w:vAlign w:val="center"/>
          </w:tcPr>
          <w:p w14:paraId="20733EDE"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Стратешки циљ</w:t>
            </w:r>
          </w:p>
        </w:tc>
        <w:tc>
          <w:tcPr>
            <w:tcW w:w="6946" w:type="dxa"/>
            <w:vAlign w:val="center"/>
          </w:tcPr>
          <w:p w14:paraId="003F9D73"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Опис</w:t>
            </w:r>
          </w:p>
        </w:tc>
        <w:tc>
          <w:tcPr>
            <w:tcW w:w="2409" w:type="dxa"/>
            <w:vAlign w:val="center"/>
          </w:tcPr>
          <w:p w14:paraId="2387ED3E" w14:textId="77777777" w:rsidR="00D66E85" w:rsidRPr="00CF77C1" w:rsidRDefault="00D66E85" w:rsidP="0080044B">
            <w:pPr>
              <w:framePr w:hSpace="181" w:wrap="notBeside" w:vAnchor="text" w:hAnchor="text" w:y="1"/>
              <w:jc w:val="center"/>
              <w:rPr>
                <w:bCs/>
                <w:szCs w:val="24"/>
                <w:lang w:val="sr-Cyrl-RS"/>
              </w:rPr>
            </w:pPr>
            <w:r w:rsidRPr="00CF77C1">
              <w:rPr>
                <w:bCs/>
                <w:szCs w:val="24"/>
                <w:lang w:val="sr-Cyrl-RS"/>
              </w:rPr>
              <w:t>Вредност индикатора по реализацији пројекта</w:t>
            </w:r>
          </w:p>
        </w:tc>
        <w:tc>
          <w:tcPr>
            <w:tcW w:w="2126" w:type="dxa"/>
            <w:vAlign w:val="center"/>
          </w:tcPr>
          <w:p w14:paraId="30A51A4C"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 xml:space="preserve">Промена у односу </w:t>
            </w:r>
            <w:r w:rsidRPr="00CF77C1">
              <w:rPr>
                <w:szCs w:val="24"/>
                <w:lang w:val="sr-Cyrl-RS"/>
              </w:rPr>
              <w:br/>
              <w:t>на 2015. годину</w:t>
            </w:r>
          </w:p>
        </w:tc>
      </w:tr>
      <w:tr w:rsidR="00D66E85" w:rsidRPr="00CF77C1" w14:paraId="75E85BF2" w14:textId="77777777" w:rsidTr="00F25351">
        <w:trPr>
          <w:trHeight w:val="20"/>
        </w:trPr>
        <w:tc>
          <w:tcPr>
            <w:tcW w:w="3227" w:type="dxa"/>
            <w:shd w:val="clear" w:color="auto" w:fill="auto"/>
            <w:vAlign w:val="center"/>
          </w:tcPr>
          <w:p w14:paraId="08B0B63C"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 xml:space="preserve">Обезбеђење сигурног снабдевања домаћег тржишта природним гасом </w:t>
            </w:r>
          </w:p>
        </w:tc>
        <w:tc>
          <w:tcPr>
            <w:tcW w:w="6946" w:type="dxa"/>
            <w:vAlign w:val="center"/>
          </w:tcPr>
          <w:p w14:paraId="7E4BE287" w14:textId="77777777" w:rsidR="00D66E85" w:rsidRPr="00CF77C1" w:rsidRDefault="00D66E85" w:rsidP="0080044B">
            <w:pPr>
              <w:framePr w:hSpace="181" w:wrap="notBeside" w:vAnchor="text" w:hAnchor="text" w:y="1"/>
              <w:jc w:val="left"/>
              <w:rPr>
                <w:szCs w:val="24"/>
                <w:lang w:val="sr-Cyrl-RS"/>
              </w:rPr>
            </w:pPr>
            <w:r w:rsidRPr="00CF77C1">
              <w:rPr>
                <w:bCs/>
                <w:szCs w:val="24"/>
                <w:lang w:val="sr-Cyrl-RS"/>
              </w:rPr>
              <w:t xml:space="preserve">Значајно се унапређује; Додатни улаз природног гаса у мрежу повећава сигурност њеног функционисања и отвара могућност набавке природног гаса из других извора. </w:t>
            </w:r>
          </w:p>
        </w:tc>
        <w:tc>
          <w:tcPr>
            <w:tcW w:w="2409" w:type="dxa"/>
            <w:vAlign w:val="center"/>
          </w:tcPr>
          <w:p w14:paraId="403E40DD"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(N-1) = 58,9%</w:t>
            </w:r>
          </w:p>
        </w:tc>
        <w:tc>
          <w:tcPr>
            <w:tcW w:w="2126" w:type="dxa"/>
            <w:vAlign w:val="center"/>
          </w:tcPr>
          <w:p w14:paraId="2F4B46D0"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+70,9%</w:t>
            </w:r>
          </w:p>
        </w:tc>
      </w:tr>
      <w:tr w:rsidR="00D66E85" w:rsidRPr="00CF77C1" w14:paraId="3DDB5BBD" w14:textId="77777777" w:rsidTr="00F25351">
        <w:trPr>
          <w:trHeight w:val="20"/>
        </w:trPr>
        <w:tc>
          <w:tcPr>
            <w:tcW w:w="3227" w:type="dxa"/>
            <w:shd w:val="clear" w:color="auto" w:fill="auto"/>
            <w:vAlign w:val="center"/>
          </w:tcPr>
          <w:p w14:paraId="6E1C5091"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Успостављање домаћег и регионалног тржишта природног гаса</w:t>
            </w:r>
          </w:p>
        </w:tc>
        <w:tc>
          <w:tcPr>
            <w:tcW w:w="6946" w:type="dxa"/>
            <w:vAlign w:val="center"/>
          </w:tcPr>
          <w:p w14:paraId="4F4BBC0B"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Унапређује се; Отвара могућност смањења транзитних трошкова. Представља предуслов за стварање регионалног тржишта природног гаса. Потенцијално повећање броја учесника на тржишту.</w:t>
            </w:r>
          </w:p>
        </w:tc>
        <w:tc>
          <w:tcPr>
            <w:tcW w:w="2409" w:type="dxa"/>
            <w:vAlign w:val="center"/>
          </w:tcPr>
          <w:p w14:paraId="2779C518"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c>
          <w:tcPr>
            <w:tcW w:w="2126" w:type="dxa"/>
            <w:vAlign w:val="center"/>
          </w:tcPr>
          <w:p w14:paraId="058AEE0F"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r>
      <w:tr w:rsidR="00D66E85" w:rsidRPr="00CF77C1" w14:paraId="7A5224E1" w14:textId="77777777" w:rsidTr="00F25351">
        <w:trPr>
          <w:trHeight w:val="20"/>
        </w:trPr>
        <w:tc>
          <w:tcPr>
            <w:tcW w:w="3227" w:type="dxa"/>
            <w:shd w:val="clear" w:color="auto" w:fill="auto"/>
            <w:vAlign w:val="center"/>
          </w:tcPr>
          <w:p w14:paraId="235B3488"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Диверсификација извора и праваца снабдевања природним гасом</w:t>
            </w:r>
          </w:p>
        </w:tc>
        <w:tc>
          <w:tcPr>
            <w:tcW w:w="6946" w:type="dxa"/>
            <w:vAlign w:val="center"/>
          </w:tcPr>
          <w:p w14:paraId="7CFB1B32" w14:textId="77777777" w:rsidR="00D66E85" w:rsidRPr="00CF77C1" w:rsidRDefault="00D66E85" w:rsidP="0080044B">
            <w:pPr>
              <w:framePr w:hSpace="181" w:wrap="notBeside" w:vAnchor="text" w:hAnchor="text" w:y="1"/>
              <w:jc w:val="left"/>
              <w:rPr>
                <w:szCs w:val="24"/>
                <w:lang w:val="sr-Cyrl-RS"/>
              </w:rPr>
            </w:pPr>
            <w:r w:rsidRPr="00CF77C1">
              <w:rPr>
                <w:bCs/>
                <w:szCs w:val="24"/>
                <w:lang w:val="sr-Cyrl-RS"/>
              </w:rPr>
              <w:t xml:space="preserve">Унапређује се; </w:t>
            </w:r>
            <w:r w:rsidRPr="00CF77C1">
              <w:rPr>
                <w:szCs w:val="24"/>
                <w:lang w:val="sr-Cyrl-RS"/>
              </w:rPr>
              <w:t>Отвара могућност за добијање алтернативног извора и правца снабдевања алжирским</w:t>
            </w:r>
            <w:r w:rsidR="00BD44C7" w:rsidRPr="00CF77C1">
              <w:rPr>
                <w:szCs w:val="24"/>
                <w:lang w:val="sr-Cyrl-RS"/>
              </w:rPr>
              <w:t xml:space="preserve"> </w:t>
            </w:r>
            <w:r w:rsidRPr="00CF77C1">
              <w:rPr>
                <w:szCs w:val="24"/>
                <w:lang w:val="sr-Cyrl-RS"/>
              </w:rPr>
              <w:t>гасом из правца Републике Италије преко Републике Хрватске или преко будућег терминала за течни природни гас у Републици Хрватској (предвиђени капацитет 5-6 милијарди m</w:t>
            </w:r>
            <w:r w:rsidRPr="00CF77C1">
              <w:rPr>
                <w:szCs w:val="24"/>
                <w:vertAlign w:val="superscript"/>
                <w:lang w:val="sr-Cyrl-RS"/>
              </w:rPr>
              <w:t>3</w:t>
            </w:r>
            <w:r w:rsidRPr="00CF77C1">
              <w:rPr>
                <w:szCs w:val="24"/>
                <w:lang w:val="sr-Cyrl-RS"/>
              </w:rPr>
              <w:t>), а за потребе потрошача у Републици Србији.</w:t>
            </w:r>
          </w:p>
        </w:tc>
        <w:tc>
          <w:tcPr>
            <w:tcW w:w="2409" w:type="dxa"/>
            <w:vAlign w:val="center"/>
          </w:tcPr>
          <w:p w14:paraId="484F4C8B"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ИДУПС = 6348</w:t>
            </w:r>
          </w:p>
        </w:tc>
        <w:tc>
          <w:tcPr>
            <w:tcW w:w="2126" w:type="dxa"/>
            <w:vAlign w:val="center"/>
          </w:tcPr>
          <w:p w14:paraId="2538423F"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-36,5%</w:t>
            </w:r>
          </w:p>
        </w:tc>
      </w:tr>
    </w:tbl>
    <w:p w14:paraId="3C5DBC35" w14:textId="0EF7FC4D"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70</w:t>
      </w:r>
      <w:r w:rsidR="0092145E" w:rsidRPr="00CF77C1">
        <w:rPr>
          <w:b w:val="0"/>
          <w:lang w:val="sr-Cyrl-RS"/>
        </w:rPr>
        <w:fldChar w:fldCharType="end"/>
      </w:r>
      <w:r w:rsidR="00D66E85" w:rsidRPr="00CF77C1">
        <w:rPr>
          <w:b w:val="0"/>
          <w:lang w:val="sr-Cyrl-RS"/>
        </w:rPr>
        <w:t>: Статус пројекта</w:t>
      </w:r>
    </w:p>
    <w:tbl>
      <w:tblPr>
        <w:tblStyle w:val="TableGrid"/>
        <w:tblW w:w="14709" w:type="dxa"/>
        <w:tblLook w:val="04A0" w:firstRow="1" w:lastRow="0" w:firstColumn="1" w:lastColumn="0" w:noHBand="0" w:noVBand="1"/>
      </w:tblPr>
      <w:tblGrid>
        <w:gridCol w:w="3227"/>
        <w:gridCol w:w="3402"/>
        <w:gridCol w:w="8080"/>
      </w:tblGrid>
      <w:tr w:rsidR="00D66E85" w:rsidRPr="00CF77C1" w14:paraId="47F16A2A" w14:textId="77777777" w:rsidTr="00D66E85">
        <w:tc>
          <w:tcPr>
            <w:tcW w:w="3227" w:type="dxa"/>
            <w:vAlign w:val="center"/>
          </w:tcPr>
          <w:p w14:paraId="730A0974" w14:textId="77777777" w:rsidR="00D66E85" w:rsidRPr="00CF77C1" w:rsidRDefault="00D66E85" w:rsidP="0080044B">
            <w:pPr>
              <w:framePr w:hSpace="180" w:wrap="around" w:vAnchor="text" w:hAnchor="text" w:y="1"/>
              <w:jc w:val="center"/>
              <w:rPr>
                <w:lang w:val="sr-Cyrl-RS"/>
              </w:rPr>
            </w:pPr>
            <w:r w:rsidRPr="00CF77C1">
              <w:rPr>
                <w:lang w:val="sr-Cyrl-RS"/>
              </w:rPr>
              <w:t>Пројекат</w:t>
            </w:r>
          </w:p>
        </w:tc>
        <w:tc>
          <w:tcPr>
            <w:tcW w:w="3402" w:type="dxa"/>
            <w:vAlign w:val="center"/>
          </w:tcPr>
          <w:p w14:paraId="63199CED" w14:textId="77777777" w:rsidR="00D66E85" w:rsidRPr="00CF77C1" w:rsidRDefault="00D66E85" w:rsidP="0080044B">
            <w:pPr>
              <w:framePr w:hSpace="180" w:wrap="around" w:vAnchor="text" w:hAnchor="text" w:y="1"/>
              <w:jc w:val="center"/>
              <w:rPr>
                <w:lang w:val="sr-Cyrl-RS"/>
              </w:rPr>
            </w:pPr>
            <w:r w:rsidRPr="00CF77C1">
              <w:rPr>
                <w:lang w:val="sr-Cyrl-RS"/>
              </w:rPr>
              <w:t>Статус припреме пројекта</w:t>
            </w:r>
          </w:p>
        </w:tc>
        <w:tc>
          <w:tcPr>
            <w:tcW w:w="8080" w:type="dxa"/>
            <w:vAlign w:val="center"/>
          </w:tcPr>
          <w:p w14:paraId="68A61E9D" w14:textId="77777777" w:rsidR="00D66E85" w:rsidRPr="00CF77C1" w:rsidRDefault="00D66E85" w:rsidP="0080044B">
            <w:pPr>
              <w:framePr w:hSpace="180" w:wrap="around" w:vAnchor="text" w:hAnchor="text" w:y="1"/>
              <w:jc w:val="center"/>
              <w:rPr>
                <w:lang w:val="sr-Cyrl-RS"/>
              </w:rPr>
            </w:pPr>
            <w:r w:rsidRPr="00CF77C1">
              <w:rPr>
                <w:lang w:val="sr-Cyrl-RS"/>
              </w:rPr>
              <w:t>Недостајућа планска и техничка документација</w:t>
            </w:r>
          </w:p>
        </w:tc>
      </w:tr>
      <w:tr w:rsidR="00D66E85" w:rsidRPr="00CF77C1" w14:paraId="682C2B50" w14:textId="77777777" w:rsidTr="00D66E85">
        <w:tc>
          <w:tcPr>
            <w:tcW w:w="3227" w:type="dxa"/>
            <w:vAlign w:val="center"/>
          </w:tcPr>
          <w:p w14:paraId="1382B423" w14:textId="77777777" w:rsidR="00D66E85" w:rsidRPr="00CF77C1" w:rsidRDefault="00D66E85" w:rsidP="0080044B">
            <w:pPr>
              <w:framePr w:hSpace="180" w:wrap="around" w:vAnchor="text" w:hAnchor="text" w:y="1"/>
              <w:jc w:val="left"/>
              <w:rPr>
                <w:lang w:val="sr-Cyrl-RS"/>
              </w:rPr>
            </w:pPr>
            <w:r w:rsidRPr="00CF77C1">
              <w:rPr>
                <w:lang w:val="sr-Cyrl-RS"/>
              </w:rPr>
              <w:t>МГ- 08 Госпођинци/Футог - Сотин (граница са Хрватском)</w:t>
            </w:r>
          </w:p>
        </w:tc>
        <w:tc>
          <w:tcPr>
            <w:tcW w:w="3402" w:type="dxa"/>
            <w:vAlign w:val="center"/>
          </w:tcPr>
          <w:p w14:paraId="18456541" w14:textId="77777777" w:rsidR="00D66E85" w:rsidRPr="00CF77C1" w:rsidRDefault="00D66E85" w:rsidP="0080044B">
            <w:pPr>
              <w:framePr w:hSpace="180" w:wrap="around" w:vAnchor="text" w:hAnchor="text" w:y="1"/>
              <w:jc w:val="left"/>
              <w:rPr>
                <w:lang w:val="sr-Cyrl-RS"/>
              </w:rPr>
            </w:pPr>
            <w:r w:rsidRPr="00CF77C1">
              <w:rPr>
                <w:lang w:val="sr-Cyrl-RS"/>
              </w:rPr>
              <w:t>Траса на нивоу генералног пројекта.</w:t>
            </w:r>
          </w:p>
          <w:p w14:paraId="394A2D7B" w14:textId="77777777" w:rsidR="00D66E85" w:rsidRPr="00CF77C1" w:rsidRDefault="00D66E85" w:rsidP="0080044B">
            <w:pPr>
              <w:framePr w:hSpace="180" w:wrap="around" w:vAnchor="text" w:hAnchor="text" w:y="1"/>
              <w:jc w:val="left"/>
              <w:rPr>
                <w:lang w:val="sr-Cyrl-RS"/>
              </w:rPr>
            </w:pPr>
          </w:p>
        </w:tc>
        <w:tc>
          <w:tcPr>
            <w:tcW w:w="8080" w:type="dxa"/>
            <w:vAlign w:val="center"/>
          </w:tcPr>
          <w:p w14:paraId="6DBF8A5E" w14:textId="77777777" w:rsidR="00D66E85" w:rsidRPr="00CF77C1" w:rsidRDefault="00D66E85" w:rsidP="0080044B">
            <w:pPr>
              <w:framePr w:hSpace="180" w:wrap="around" w:vAnchor="text" w:hAnchor="text" w:y="1"/>
              <w:jc w:val="left"/>
              <w:rPr>
                <w:lang w:val="sr-Cyrl-RS"/>
              </w:rPr>
            </w:pPr>
            <w:r w:rsidRPr="00CF77C1">
              <w:rPr>
                <w:lang w:val="sr-Cyrl-RS"/>
              </w:rPr>
              <w:t>Просторни план подручја посебне намене, идејно решење, локацијски услови, студија оправданости, идејни пројекат, студија процене утицаја на животну средину, пројекат за грађевинску дозволу, грађевинска дозвола, пројекат за извођење, пројекат изведеног објекта све у складу са захтевима Закона о планирању и изградњи, енергетска дозвола у складу са Законом о енергетици, тендерска документација за изградњу.</w:t>
            </w:r>
          </w:p>
        </w:tc>
      </w:tr>
    </w:tbl>
    <w:p w14:paraId="01867CF3" w14:textId="27F26759"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71</w:t>
      </w:r>
      <w:r w:rsidR="0092145E" w:rsidRPr="00CF77C1">
        <w:rPr>
          <w:b w:val="0"/>
          <w:lang w:val="sr-Cyrl-RS"/>
        </w:rPr>
        <w:fldChar w:fldCharType="end"/>
      </w:r>
      <w:r w:rsidR="00D66E85" w:rsidRPr="00CF77C1">
        <w:rPr>
          <w:b w:val="0"/>
          <w:lang w:val="sr-Cyrl-RS"/>
        </w:rPr>
        <w:t>: Динамика реализације активн</w:t>
      </w:r>
      <w:r w:rsidR="00FC6F6F">
        <w:rPr>
          <w:b w:val="0"/>
          <w:lang w:val="sr-Cyrl-RS"/>
        </w:rPr>
        <w:t>ости у периоду реализације ПОС</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2"/>
        <w:gridCol w:w="2410"/>
        <w:gridCol w:w="769"/>
        <w:gridCol w:w="770"/>
        <w:gridCol w:w="769"/>
        <w:gridCol w:w="770"/>
        <w:gridCol w:w="769"/>
        <w:gridCol w:w="770"/>
        <w:gridCol w:w="770"/>
      </w:tblGrid>
      <w:tr w:rsidR="00D66E85" w:rsidRPr="00CF77C1" w14:paraId="1F70E211" w14:textId="77777777" w:rsidTr="00D66E85">
        <w:trPr>
          <w:cantSplit/>
          <w:trHeight w:val="929"/>
          <w:tblHeader/>
        </w:trPr>
        <w:tc>
          <w:tcPr>
            <w:tcW w:w="6912" w:type="dxa"/>
            <w:shd w:val="clear" w:color="auto" w:fill="auto"/>
            <w:vAlign w:val="center"/>
          </w:tcPr>
          <w:p w14:paraId="1F74246F" w14:textId="77777777" w:rsidR="00D66E85" w:rsidRPr="00CF77C1" w:rsidRDefault="00D66E85" w:rsidP="0080044B">
            <w:pPr>
              <w:framePr w:hSpace="181" w:wrap="notBeside" w:vAnchor="text" w:hAnchor="text" w:y="1"/>
              <w:jc w:val="center"/>
              <w:rPr>
                <w:lang w:val="sr-Cyrl-RS"/>
              </w:rPr>
            </w:pPr>
            <w:r w:rsidRPr="00CF77C1">
              <w:rPr>
                <w:lang w:val="sr-Cyrl-RS"/>
              </w:rPr>
              <w:t>Пројекат:</w:t>
            </w:r>
          </w:p>
          <w:p w14:paraId="45A68BF8" w14:textId="77777777" w:rsidR="00D66E85" w:rsidRPr="00CF77C1" w:rsidRDefault="00D66E85" w:rsidP="0080044B">
            <w:pPr>
              <w:framePr w:hSpace="181" w:wrap="notBeside" w:vAnchor="text" w:hAnchor="text" w:y="1"/>
              <w:jc w:val="center"/>
              <w:rPr>
                <w:lang w:val="sr-Cyrl-RS"/>
              </w:rPr>
            </w:pPr>
            <w:r w:rsidRPr="00CF77C1">
              <w:rPr>
                <w:lang w:val="sr-Cyrl-RS"/>
              </w:rPr>
              <w:t xml:space="preserve">МГ- 08 Госпођинци/Футог - Сотин </w:t>
            </w:r>
            <w:r w:rsidRPr="00CF77C1">
              <w:rPr>
                <w:lang w:val="sr-Cyrl-RS"/>
              </w:rPr>
              <w:br/>
              <w:t>(граница са Хрватском)</w:t>
            </w:r>
          </w:p>
        </w:tc>
        <w:tc>
          <w:tcPr>
            <w:tcW w:w="2410" w:type="dxa"/>
            <w:shd w:val="clear" w:color="auto" w:fill="auto"/>
            <w:vAlign w:val="center"/>
          </w:tcPr>
          <w:p w14:paraId="21547FAD" w14:textId="77777777" w:rsidR="00D66E85" w:rsidRPr="00CF77C1" w:rsidRDefault="00DD69C2" w:rsidP="0080044B">
            <w:pPr>
              <w:framePr w:hSpace="181" w:wrap="notBeside" w:vAnchor="text" w:hAnchor="text" w:y="1"/>
              <w:jc w:val="center"/>
              <w:rPr>
                <w:lang w:val="sr-Cyrl-RS"/>
              </w:rPr>
            </w:pPr>
            <w:r w:rsidRPr="00CF77C1">
              <w:rPr>
                <w:lang w:val="sr-Cyrl-RS"/>
              </w:rPr>
              <w:t>Одговорни субјекат</w:t>
            </w:r>
          </w:p>
        </w:tc>
        <w:tc>
          <w:tcPr>
            <w:tcW w:w="769" w:type="dxa"/>
            <w:shd w:val="clear" w:color="auto" w:fill="auto"/>
            <w:vAlign w:val="center"/>
          </w:tcPr>
          <w:p w14:paraId="41B2D216" w14:textId="77777777" w:rsidR="00D66E85" w:rsidRPr="00CF77C1" w:rsidRDefault="00D66E85" w:rsidP="0080044B">
            <w:pPr>
              <w:keepNext/>
              <w:framePr w:hSpace="181" w:wrap="notBeside" w:vAnchor="text" w:hAnchor="text" w:y="1"/>
              <w:jc w:val="center"/>
              <w:rPr>
                <w:lang w:val="sr-Cyrl-RS"/>
              </w:rPr>
            </w:pPr>
            <w:r w:rsidRPr="00CF77C1">
              <w:rPr>
                <w:lang w:val="sr-Cyrl-RS"/>
              </w:rPr>
              <w:t>2017.</w:t>
            </w:r>
          </w:p>
        </w:tc>
        <w:tc>
          <w:tcPr>
            <w:tcW w:w="770" w:type="dxa"/>
            <w:shd w:val="clear" w:color="auto" w:fill="auto"/>
            <w:vAlign w:val="center"/>
          </w:tcPr>
          <w:p w14:paraId="04325F5A" w14:textId="77777777" w:rsidR="00D66E85" w:rsidRPr="00CF77C1" w:rsidRDefault="00D66E85" w:rsidP="0080044B">
            <w:pPr>
              <w:keepNext/>
              <w:framePr w:hSpace="181" w:wrap="notBeside" w:vAnchor="text" w:hAnchor="text" w:y="1"/>
              <w:jc w:val="center"/>
              <w:rPr>
                <w:lang w:val="sr-Cyrl-RS"/>
              </w:rPr>
            </w:pPr>
            <w:r w:rsidRPr="00CF77C1">
              <w:rPr>
                <w:lang w:val="sr-Cyrl-RS"/>
              </w:rPr>
              <w:t>2018.</w:t>
            </w:r>
          </w:p>
        </w:tc>
        <w:tc>
          <w:tcPr>
            <w:tcW w:w="769" w:type="dxa"/>
            <w:shd w:val="clear" w:color="auto" w:fill="auto"/>
            <w:vAlign w:val="center"/>
          </w:tcPr>
          <w:p w14:paraId="1B80AC81" w14:textId="77777777" w:rsidR="00D66E85" w:rsidRPr="00CF77C1" w:rsidRDefault="00D66E85" w:rsidP="0080044B">
            <w:pPr>
              <w:keepNext/>
              <w:framePr w:hSpace="181" w:wrap="notBeside" w:vAnchor="text" w:hAnchor="text" w:y="1"/>
              <w:jc w:val="center"/>
              <w:rPr>
                <w:lang w:val="sr-Cyrl-RS"/>
              </w:rPr>
            </w:pPr>
            <w:r w:rsidRPr="00CF77C1">
              <w:rPr>
                <w:lang w:val="sr-Cyrl-RS"/>
              </w:rPr>
              <w:t>2019.</w:t>
            </w:r>
          </w:p>
        </w:tc>
        <w:tc>
          <w:tcPr>
            <w:tcW w:w="770" w:type="dxa"/>
            <w:shd w:val="clear" w:color="auto" w:fill="auto"/>
            <w:vAlign w:val="center"/>
          </w:tcPr>
          <w:p w14:paraId="32669C2B" w14:textId="77777777" w:rsidR="00D66E85" w:rsidRPr="00CF77C1" w:rsidRDefault="00D66E85" w:rsidP="0080044B">
            <w:pPr>
              <w:keepNext/>
              <w:framePr w:hSpace="181" w:wrap="notBeside" w:vAnchor="text" w:hAnchor="text" w:y="1"/>
              <w:jc w:val="center"/>
              <w:rPr>
                <w:lang w:val="sr-Cyrl-RS"/>
              </w:rPr>
            </w:pPr>
            <w:r w:rsidRPr="00CF77C1">
              <w:rPr>
                <w:lang w:val="sr-Cyrl-RS"/>
              </w:rPr>
              <w:t>2020.</w:t>
            </w:r>
          </w:p>
        </w:tc>
        <w:tc>
          <w:tcPr>
            <w:tcW w:w="769" w:type="dxa"/>
            <w:shd w:val="clear" w:color="auto" w:fill="auto"/>
            <w:vAlign w:val="center"/>
          </w:tcPr>
          <w:p w14:paraId="2581E627" w14:textId="77777777" w:rsidR="00D66E85" w:rsidRPr="00CF77C1" w:rsidRDefault="00D66E85" w:rsidP="0080044B">
            <w:pPr>
              <w:keepNext/>
              <w:framePr w:hSpace="181" w:wrap="notBeside" w:vAnchor="text" w:hAnchor="text" w:y="1"/>
              <w:jc w:val="center"/>
              <w:rPr>
                <w:lang w:val="sr-Cyrl-RS"/>
              </w:rPr>
            </w:pPr>
            <w:r w:rsidRPr="00CF77C1">
              <w:rPr>
                <w:lang w:val="sr-Cyrl-RS"/>
              </w:rPr>
              <w:t>2021.</w:t>
            </w:r>
          </w:p>
        </w:tc>
        <w:tc>
          <w:tcPr>
            <w:tcW w:w="770" w:type="dxa"/>
            <w:shd w:val="clear" w:color="auto" w:fill="auto"/>
            <w:vAlign w:val="center"/>
          </w:tcPr>
          <w:p w14:paraId="0367396B" w14:textId="77777777" w:rsidR="00D66E85" w:rsidRPr="00CF77C1" w:rsidRDefault="00D66E85" w:rsidP="0080044B">
            <w:pPr>
              <w:keepNext/>
              <w:framePr w:hSpace="181" w:wrap="notBeside" w:vAnchor="text" w:hAnchor="text" w:y="1"/>
              <w:jc w:val="center"/>
              <w:rPr>
                <w:lang w:val="sr-Cyrl-RS"/>
              </w:rPr>
            </w:pPr>
            <w:r w:rsidRPr="00CF77C1">
              <w:rPr>
                <w:lang w:val="sr-Cyrl-RS"/>
              </w:rPr>
              <w:t>2022.</w:t>
            </w:r>
          </w:p>
        </w:tc>
        <w:tc>
          <w:tcPr>
            <w:tcW w:w="770" w:type="dxa"/>
            <w:vAlign w:val="center"/>
          </w:tcPr>
          <w:p w14:paraId="2A1269C8" w14:textId="77777777" w:rsidR="00D66E85" w:rsidRPr="00CF77C1" w:rsidRDefault="00D66E85" w:rsidP="0080044B">
            <w:pPr>
              <w:keepNext/>
              <w:framePr w:hSpace="181" w:wrap="notBeside" w:vAnchor="text" w:hAnchor="text" w:y="1"/>
              <w:jc w:val="center"/>
              <w:rPr>
                <w:lang w:val="sr-Cyrl-RS"/>
              </w:rPr>
            </w:pPr>
            <w:r w:rsidRPr="00CF77C1">
              <w:rPr>
                <w:lang w:val="sr-Cyrl-RS"/>
              </w:rPr>
              <w:t>2023.</w:t>
            </w:r>
          </w:p>
        </w:tc>
      </w:tr>
      <w:tr w:rsidR="000574F1" w:rsidRPr="00CF77C1" w14:paraId="3CFAE551" w14:textId="77777777" w:rsidTr="00D66E85">
        <w:trPr>
          <w:cantSplit/>
          <w:trHeight w:val="349"/>
        </w:trPr>
        <w:tc>
          <w:tcPr>
            <w:tcW w:w="6912" w:type="dxa"/>
            <w:shd w:val="clear" w:color="auto" w:fill="auto"/>
            <w:vAlign w:val="center"/>
          </w:tcPr>
          <w:p w14:paraId="489D79CC" w14:textId="77777777" w:rsidR="000574F1" w:rsidRPr="00CF77C1" w:rsidRDefault="000574F1" w:rsidP="0080044B">
            <w:pPr>
              <w:framePr w:hSpace="181" w:wrap="notBeside" w:vAnchor="text" w:hAnchor="text" w:y="1"/>
              <w:jc w:val="left"/>
              <w:rPr>
                <w:lang w:val="sr-Cyrl-RS"/>
              </w:rPr>
            </w:pPr>
            <w:r w:rsidRPr="00CF77C1">
              <w:rPr>
                <w:lang w:val="sr-Cyrl-RS"/>
              </w:rPr>
              <w:t>Припрема планске документације</w:t>
            </w:r>
          </w:p>
        </w:tc>
        <w:tc>
          <w:tcPr>
            <w:tcW w:w="2410" w:type="dxa"/>
            <w:vMerge w:val="restart"/>
            <w:shd w:val="clear" w:color="auto" w:fill="auto"/>
            <w:vAlign w:val="center"/>
          </w:tcPr>
          <w:p w14:paraId="5C5655DC" w14:textId="5F487FC9" w:rsidR="000574F1" w:rsidRPr="00CF77C1" w:rsidRDefault="00205D28" w:rsidP="0080044B">
            <w:pPr>
              <w:framePr w:hSpace="181" w:wrap="notBeside" w:vAnchor="text" w:hAnchor="text" w:y="1"/>
              <w:jc w:val="left"/>
              <w:rPr>
                <w:lang w:val="sr-Cyrl-RS"/>
              </w:rPr>
            </w:pPr>
            <w:r w:rsidRPr="00CF77C1">
              <w:rPr>
                <w:lang w:val="sr-Cyrl-RS"/>
              </w:rPr>
              <w:t>Транспортгас Србија д.о.о.</w:t>
            </w:r>
          </w:p>
        </w:tc>
        <w:tc>
          <w:tcPr>
            <w:tcW w:w="769" w:type="dxa"/>
            <w:shd w:val="clear" w:color="auto" w:fill="auto"/>
            <w:vAlign w:val="center"/>
          </w:tcPr>
          <w:p w14:paraId="7728AF16"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ED1DAD9"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03C59A6A"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4EC1976B"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73DAC593"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2ADA9336" w14:textId="77777777" w:rsidR="000574F1" w:rsidRPr="00CF77C1" w:rsidRDefault="000574F1" w:rsidP="0080044B">
            <w:pPr>
              <w:framePr w:hSpace="181" w:wrap="notBeside" w:vAnchor="text" w:hAnchor="text" w:y="1"/>
              <w:jc w:val="center"/>
              <w:rPr>
                <w:lang w:val="sr-Cyrl-RS"/>
              </w:rPr>
            </w:pPr>
            <w:r w:rsidRPr="00CF77C1">
              <w:rPr>
                <w:lang w:val="sr-Cyrl-RS"/>
              </w:rPr>
              <w:t>х</w:t>
            </w:r>
          </w:p>
        </w:tc>
        <w:tc>
          <w:tcPr>
            <w:tcW w:w="770" w:type="dxa"/>
            <w:vAlign w:val="center"/>
          </w:tcPr>
          <w:p w14:paraId="1E4E4D5F" w14:textId="77777777" w:rsidR="000574F1" w:rsidRPr="00CF77C1" w:rsidRDefault="000574F1" w:rsidP="0080044B">
            <w:pPr>
              <w:framePr w:hSpace="181" w:wrap="notBeside" w:vAnchor="text" w:hAnchor="text" w:y="1"/>
              <w:jc w:val="center"/>
              <w:rPr>
                <w:lang w:val="sr-Cyrl-RS"/>
              </w:rPr>
            </w:pPr>
          </w:p>
        </w:tc>
      </w:tr>
      <w:tr w:rsidR="000574F1" w:rsidRPr="00CF77C1" w14:paraId="1149ED55" w14:textId="77777777" w:rsidTr="00D66E85">
        <w:trPr>
          <w:cantSplit/>
          <w:trHeight w:val="370"/>
        </w:trPr>
        <w:tc>
          <w:tcPr>
            <w:tcW w:w="6912" w:type="dxa"/>
            <w:shd w:val="clear" w:color="auto" w:fill="auto"/>
            <w:vAlign w:val="center"/>
          </w:tcPr>
          <w:p w14:paraId="003C29EC" w14:textId="77777777" w:rsidR="000574F1" w:rsidRPr="00CF77C1" w:rsidRDefault="000574F1" w:rsidP="0080044B">
            <w:pPr>
              <w:framePr w:hSpace="181" w:wrap="notBeside" w:vAnchor="text" w:hAnchor="text" w:y="1"/>
              <w:jc w:val="left"/>
              <w:rPr>
                <w:lang w:val="sr-Cyrl-RS"/>
              </w:rPr>
            </w:pPr>
            <w:r w:rsidRPr="00CF77C1">
              <w:rPr>
                <w:lang w:val="sr-Cyrl-RS"/>
              </w:rPr>
              <w:t>Истражни радови</w:t>
            </w:r>
          </w:p>
        </w:tc>
        <w:tc>
          <w:tcPr>
            <w:tcW w:w="2410" w:type="dxa"/>
            <w:vMerge/>
            <w:shd w:val="clear" w:color="auto" w:fill="auto"/>
            <w:vAlign w:val="center"/>
          </w:tcPr>
          <w:p w14:paraId="1F20FFE1"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5005169B"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E41258D"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544A8BFB"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4AE8FC77"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672A4ABA"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5C81B82E" w14:textId="77777777" w:rsidR="000574F1" w:rsidRPr="00CF77C1" w:rsidRDefault="000574F1" w:rsidP="0080044B">
            <w:pPr>
              <w:framePr w:hSpace="181" w:wrap="notBeside" w:vAnchor="text" w:hAnchor="text" w:y="1"/>
              <w:jc w:val="center"/>
              <w:rPr>
                <w:lang w:val="sr-Cyrl-RS"/>
              </w:rPr>
            </w:pPr>
            <w:r w:rsidRPr="00CF77C1">
              <w:rPr>
                <w:lang w:val="sr-Cyrl-RS"/>
              </w:rPr>
              <w:t>х</w:t>
            </w:r>
          </w:p>
        </w:tc>
        <w:tc>
          <w:tcPr>
            <w:tcW w:w="770" w:type="dxa"/>
            <w:vAlign w:val="center"/>
          </w:tcPr>
          <w:p w14:paraId="7783AB27" w14:textId="77777777" w:rsidR="000574F1" w:rsidRPr="00CF77C1" w:rsidRDefault="000574F1" w:rsidP="0080044B">
            <w:pPr>
              <w:framePr w:hSpace="181" w:wrap="notBeside" w:vAnchor="text" w:hAnchor="text" w:y="1"/>
              <w:jc w:val="center"/>
              <w:rPr>
                <w:lang w:val="sr-Cyrl-RS"/>
              </w:rPr>
            </w:pPr>
          </w:p>
        </w:tc>
      </w:tr>
      <w:tr w:rsidR="000574F1" w:rsidRPr="00CF77C1" w14:paraId="0B9D46A3" w14:textId="77777777" w:rsidTr="00D66E85">
        <w:trPr>
          <w:cantSplit/>
          <w:trHeight w:val="248"/>
        </w:trPr>
        <w:tc>
          <w:tcPr>
            <w:tcW w:w="6912" w:type="dxa"/>
            <w:shd w:val="clear" w:color="auto" w:fill="auto"/>
            <w:vAlign w:val="center"/>
          </w:tcPr>
          <w:p w14:paraId="5C229A96" w14:textId="77777777" w:rsidR="000574F1" w:rsidRPr="00CF77C1" w:rsidRDefault="000574F1" w:rsidP="0080044B">
            <w:pPr>
              <w:framePr w:hSpace="181" w:wrap="notBeside" w:vAnchor="text" w:hAnchor="text" w:y="1"/>
              <w:jc w:val="left"/>
              <w:rPr>
                <w:lang w:val="sr-Cyrl-RS"/>
              </w:rPr>
            </w:pPr>
            <w:r w:rsidRPr="00CF77C1">
              <w:rPr>
                <w:lang w:val="sr-Cyrl-RS"/>
              </w:rPr>
              <w:t>Идејно решење и локацијска дозвола</w:t>
            </w:r>
          </w:p>
        </w:tc>
        <w:tc>
          <w:tcPr>
            <w:tcW w:w="2410" w:type="dxa"/>
            <w:vMerge/>
            <w:shd w:val="clear" w:color="auto" w:fill="auto"/>
            <w:vAlign w:val="center"/>
          </w:tcPr>
          <w:p w14:paraId="36915BFD"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0182B72E"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EBA1104"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132B8DDD"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8EE1A3D"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317141CF"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0F66166"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67037B47" w14:textId="77777777" w:rsidR="000574F1" w:rsidRPr="00CF77C1" w:rsidRDefault="000574F1" w:rsidP="0080044B">
            <w:pPr>
              <w:framePr w:hSpace="181" w:wrap="notBeside" w:vAnchor="text" w:hAnchor="text" w:y="1"/>
              <w:jc w:val="center"/>
              <w:rPr>
                <w:lang w:val="sr-Cyrl-RS"/>
              </w:rPr>
            </w:pPr>
            <w:r w:rsidRPr="00CF77C1">
              <w:rPr>
                <w:lang w:val="sr-Cyrl-RS"/>
              </w:rPr>
              <w:t>х</w:t>
            </w:r>
          </w:p>
        </w:tc>
      </w:tr>
      <w:tr w:rsidR="000574F1" w:rsidRPr="00CF77C1" w14:paraId="3D56C491" w14:textId="77777777" w:rsidTr="00D66E85">
        <w:trPr>
          <w:cantSplit/>
          <w:trHeight w:val="303"/>
        </w:trPr>
        <w:tc>
          <w:tcPr>
            <w:tcW w:w="6912" w:type="dxa"/>
            <w:shd w:val="clear" w:color="auto" w:fill="auto"/>
            <w:vAlign w:val="center"/>
          </w:tcPr>
          <w:p w14:paraId="2BAB87A6" w14:textId="77777777" w:rsidR="000574F1" w:rsidRPr="00CF77C1" w:rsidRDefault="000574F1" w:rsidP="0080044B">
            <w:pPr>
              <w:framePr w:hSpace="181" w:wrap="notBeside" w:vAnchor="text" w:hAnchor="text" w:y="1"/>
              <w:jc w:val="left"/>
              <w:rPr>
                <w:lang w:val="sr-Cyrl-RS"/>
              </w:rPr>
            </w:pPr>
            <w:r w:rsidRPr="00CF77C1">
              <w:rPr>
                <w:lang w:val="sr-Cyrl-RS"/>
              </w:rPr>
              <w:t>Студија о процени утицаја на животну средину и друштво</w:t>
            </w:r>
          </w:p>
        </w:tc>
        <w:tc>
          <w:tcPr>
            <w:tcW w:w="2410" w:type="dxa"/>
            <w:vMerge/>
            <w:shd w:val="clear" w:color="auto" w:fill="auto"/>
            <w:vAlign w:val="center"/>
          </w:tcPr>
          <w:p w14:paraId="6E7FBA20"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35146120"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9DEDA12"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2560CF64"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E00E38E"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53268937"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86AD987"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0627BBA8" w14:textId="77777777" w:rsidR="000574F1" w:rsidRPr="00CF77C1" w:rsidRDefault="000574F1" w:rsidP="0080044B">
            <w:pPr>
              <w:framePr w:hSpace="181" w:wrap="notBeside" w:vAnchor="text" w:hAnchor="text" w:y="1"/>
              <w:jc w:val="center"/>
              <w:rPr>
                <w:lang w:val="sr-Cyrl-RS"/>
              </w:rPr>
            </w:pPr>
            <w:r w:rsidRPr="00CF77C1">
              <w:rPr>
                <w:lang w:val="sr-Cyrl-RS"/>
              </w:rPr>
              <w:t>х</w:t>
            </w:r>
          </w:p>
        </w:tc>
      </w:tr>
      <w:tr w:rsidR="000574F1" w:rsidRPr="00CF77C1" w14:paraId="3420EA22" w14:textId="77777777" w:rsidTr="00D66E85">
        <w:trPr>
          <w:cantSplit/>
          <w:trHeight w:val="323"/>
        </w:trPr>
        <w:tc>
          <w:tcPr>
            <w:tcW w:w="6912" w:type="dxa"/>
            <w:shd w:val="clear" w:color="auto" w:fill="auto"/>
            <w:vAlign w:val="center"/>
          </w:tcPr>
          <w:p w14:paraId="44BFD2C8" w14:textId="77777777" w:rsidR="000574F1" w:rsidRPr="00CF77C1" w:rsidRDefault="000574F1" w:rsidP="0080044B">
            <w:pPr>
              <w:framePr w:hSpace="181" w:wrap="notBeside" w:vAnchor="text" w:hAnchor="text" w:y="1"/>
              <w:jc w:val="left"/>
              <w:rPr>
                <w:lang w:val="sr-Cyrl-RS"/>
              </w:rPr>
            </w:pPr>
            <w:r w:rsidRPr="00CF77C1">
              <w:rPr>
                <w:lang w:val="sr-Cyrl-RS"/>
              </w:rPr>
              <w:t>Решавање имовинско-правних послова</w:t>
            </w:r>
          </w:p>
        </w:tc>
        <w:tc>
          <w:tcPr>
            <w:tcW w:w="2410" w:type="dxa"/>
            <w:vMerge/>
            <w:shd w:val="clear" w:color="auto" w:fill="auto"/>
            <w:vAlign w:val="center"/>
          </w:tcPr>
          <w:p w14:paraId="0E060FE9"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199D1B8A"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3B3631F5"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29276004"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69B5563"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7027B24B" w14:textId="77777777" w:rsidR="000574F1" w:rsidRPr="00CF77C1" w:rsidRDefault="000574F1" w:rsidP="0080044B">
            <w:pPr>
              <w:framePr w:hSpace="181" w:wrap="notBeside" w:vAnchor="text" w:hAnchor="text" w:y="1"/>
              <w:jc w:val="center"/>
              <w:rPr>
                <w:lang w:val="sr-Cyrl-RS"/>
              </w:rPr>
            </w:pPr>
            <w:r w:rsidRPr="00CF77C1">
              <w:rPr>
                <w:lang w:val="sr-Cyrl-RS"/>
              </w:rPr>
              <w:t>x</w:t>
            </w:r>
          </w:p>
        </w:tc>
        <w:tc>
          <w:tcPr>
            <w:tcW w:w="770" w:type="dxa"/>
            <w:shd w:val="clear" w:color="auto" w:fill="auto"/>
            <w:vAlign w:val="center"/>
          </w:tcPr>
          <w:p w14:paraId="3DEFE6B3" w14:textId="77777777" w:rsidR="000574F1" w:rsidRPr="00CF77C1" w:rsidRDefault="000574F1" w:rsidP="0080044B">
            <w:pPr>
              <w:framePr w:hSpace="181" w:wrap="notBeside" w:vAnchor="text" w:hAnchor="text" w:y="1"/>
              <w:jc w:val="center"/>
              <w:rPr>
                <w:lang w:val="sr-Cyrl-RS"/>
              </w:rPr>
            </w:pPr>
            <w:r w:rsidRPr="00CF77C1">
              <w:rPr>
                <w:lang w:val="sr-Cyrl-RS"/>
              </w:rPr>
              <w:t>x</w:t>
            </w:r>
          </w:p>
        </w:tc>
        <w:tc>
          <w:tcPr>
            <w:tcW w:w="770" w:type="dxa"/>
            <w:vAlign w:val="center"/>
          </w:tcPr>
          <w:p w14:paraId="377239D1" w14:textId="77777777" w:rsidR="000574F1" w:rsidRPr="00CF77C1" w:rsidRDefault="000574F1" w:rsidP="0080044B">
            <w:pPr>
              <w:framePr w:hSpace="181" w:wrap="notBeside" w:vAnchor="text" w:hAnchor="text" w:y="1"/>
              <w:jc w:val="center"/>
              <w:rPr>
                <w:lang w:val="sr-Cyrl-RS"/>
              </w:rPr>
            </w:pPr>
            <w:r w:rsidRPr="00CF77C1">
              <w:rPr>
                <w:lang w:val="sr-Cyrl-RS"/>
              </w:rPr>
              <w:t>х</w:t>
            </w:r>
          </w:p>
        </w:tc>
      </w:tr>
      <w:tr w:rsidR="000574F1" w:rsidRPr="00CF77C1" w14:paraId="16FDC78B" w14:textId="77777777" w:rsidTr="00D66E85">
        <w:trPr>
          <w:cantSplit/>
          <w:trHeight w:val="343"/>
        </w:trPr>
        <w:tc>
          <w:tcPr>
            <w:tcW w:w="6912" w:type="dxa"/>
            <w:shd w:val="clear" w:color="auto" w:fill="auto"/>
            <w:vAlign w:val="center"/>
          </w:tcPr>
          <w:p w14:paraId="6DC2E0B5" w14:textId="77777777" w:rsidR="000574F1" w:rsidRPr="00CF77C1" w:rsidRDefault="000574F1" w:rsidP="0080044B">
            <w:pPr>
              <w:framePr w:hSpace="181" w:wrap="notBeside" w:vAnchor="text" w:hAnchor="text" w:y="1"/>
              <w:jc w:val="left"/>
              <w:rPr>
                <w:lang w:val="sr-Cyrl-RS"/>
              </w:rPr>
            </w:pPr>
            <w:r w:rsidRPr="00CF77C1">
              <w:rPr>
                <w:lang w:val="sr-Cyrl-RS"/>
              </w:rPr>
              <w:t>Идејни пројекат и студија оправданости</w:t>
            </w:r>
          </w:p>
        </w:tc>
        <w:tc>
          <w:tcPr>
            <w:tcW w:w="2410" w:type="dxa"/>
            <w:vMerge/>
            <w:shd w:val="clear" w:color="auto" w:fill="auto"/>
            <w:vAlign w:val="center"/>
          </w:tcPr>
          <w:p w14:paraId="68336F18"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1839E8ED"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0A99395"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048F798C"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F36AF1A"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3FE8431B"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4C634864"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17DD11BA" w14:textId="77777777" w:rsidR="000574F1" w:rsidRPr="00CF77C1" w:rsidRDefault="000574F1" w:rsidP="0080044B">
            <w:pPr>
              <w:framePr w:hSpace="181" w:wrap="notBeside" w:vAnchor="text" w:hAnchor="text" w:y="1"/>
              <w:jc w:val="center"/>
              <w:rPr>
                <w:lang w:val="sr-Cyrl-RS"/>
              </w:rPr>
            </w:pPr>
            <w:r w:rsidRPr="00CF77C1">
              <w:rPr>
                <w:lang w:val="sr-Cyrl-RS"/>
              </w:rPr>
              <w:t>х</w:t>
            </w:r>
          </w:p>
        </w:tc>
      </w:tr>
      <w:tr w:rsidR="000574F1" w:rsidRPr="00CF77C1" w14:paraId="14E90497" w14:textId="77777777" w:rsidTr="00D66E85">
        <w:trPr>
          <w:cantSplit/>
          <w:trHeight w:val="364"/>
        </w:trPr>
        <w:tc>
          <w:tcPr>
            <w:tcW w:w="6912" w:type="dxa"/>
            <w:shd w:val="clear" w:color="auto" w:fill="auto"/>
            <w:vAlign w:val="center"/>
          </w:tcPr>
          <w:p w14:paraId="20DCD11A" w14:textId="77777777" w:rsidR="000574F1" w:rsidRPr="00CF77C1" w:rsidRDefault="000574F1" w:rsidP="0080044B">
            <w:pPr>
              <w:framePr w:hSpace="181" w:wrap="notBeside" w:vAnchor="text" w:hAnchor="text" w:y="1"/>
              <w:jc w:val="left"/>
              <w:rPr>
                <w:lang w:val="sr-Cyrl-RS"/>
              </w:rPr>
            </w:pPr>
            <w:r w:rsidRPr="00CF77C1">
              <w:rPr>
                <w:lang w:val="sr-Cyrl-RS"/>
              </w:rPr>
              <w:t>Енергетска дозвола</w:t>
            </w:r>
          </w:p>
        </w:tc>
        <w:tc>
          <w:tcPr>
            <w:tcW w:w="2410" w:type="dxa"/>
            <w:vMerge/>
            <w:shd w:val="clear" w:color="auto" w:fill="auto"/>
            <w:vAlign w:val="center"/>
          </w:tcPr>
          <w:p w14:paraId="524E8F5C"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2ADEB01D"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3C170D65"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5B69B2C2"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0FB98DE"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4F242EB3"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3A206FC2"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096C258B" w14:textId="77777777" w:rsidR="000574F1" w:rsidRPr="00CF77C1" w:rsidRDefault="000574F1" w:rsidP="0080044B">
            <w:pPr>
              <w:framePr w:hSpace="181" w:wrap="notBeside" w:vAnchor="text" w:hAnchor="text" w:y="1"/>
              <w:jc w:val="center"/>
              <w:rPr>
                <w:lang w:val="sr-Cyrl-RS"/>
              </w:rPr>
            </w:pPr>
            <w:r w:rsidRPr="00CF77C1">
              <w:rPr>
                <w:lang w:val="sr-Cyrl-RS"/>
              </w:rPr>
              <w:t>х</w:t>
            </w:r>
          </w:p>
        </w:tc>
      </w:tr>
      <w:tr w:rsidR="000574F1" w:rsidRPr="00CF77C1" w14:paraId="2374A7EB" w14:textId="77777777" w:rsidTr="00D66E85">
        <w:trPr>
          <w:cantSplit/>
          <w:trHeight w:val="397"/>
        </w:trPr>
        <w:tc>
          <w:tcPr>
            <w:tcW w:w="6912" w:type="dxa"/>
            <w:shd w:val="clear" w:color="auto" w:fill="auto"/>
            <w:vAlign w:val="center"/>
          </w:tcPr>
          <w:p w14:paraId="4A61C615" w14:textId="77777777" w:rsidR="000574F1" w:rsidRPr="00CF77C1" w:rsidRDefault="000574F1" w:rsidP="0080044B">
            <w:pPr>
              <w:framePr w:hSpace="181" w:wrap="notBeside" w:vAnchor="text" w:hAnchor="text" w:y="1"/>
              <w:jc w:val="left"/>
              <w:rPr>
                <w:lang w:val="sr-Cyrl-RS"/>
              </w:rPr>
            </w:pPr>
            <w:r w:rsidRPr="00CF77C1">
              <w:rPr>
                <w:lang w:val="sr-Cyrl-RS"/>
              </w:rPr>
              <w:t>Пројекат за грађевинску дозволу и грађевинска дозвола</w:t>
            </w:r>
          </w:p>
        </w:tc>
        <w:tc>
          <w:tcPr>
            <w:tcW w:w="2410" w:type="dxa"/>
            <w:vMerge/>
            <w:shd w:val="clear" w:color="auto" w:fill="auto"/>
            <w:vAlign w:val="center"/>
          </w:tcPr>
          <w:p w14:paraId="23F8FA6F"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21AC2FE5"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5B6272D"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1809D206"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4BCB0081"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45DF23EA"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1C7193B0"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4C3B8BF2" w14:textId="77777777" w:rsidR="000574F1" w:rsidRPr="00CF77C1" w:rsidRDefault="000574F1" w:rsidP="0080044B">
            <w:pPr>
              <w:framePr w:hSpace="181" w:wrap="notBeside" w:vAnchor="text" w:hAnchor="text" w:y="1"/>
              <w:jc w:val="center"/>
              <w:rPr>
                <w:lang w:val="sr-Cyrl-RS"/>
              </w:rPr>
            </w:pPr>
            <w:r w:rsidRPr="00CF77C1">
              <w:rPr>
                <w:lang w:val="sr-Cyrl-RS"/>
              </w:rPr>
              <w:t>x</w:t>
            </w:r>
          </w:p>
        </w:tc>
      </w:tr>
      <w:tr w:rsidR="000574F1" w:rsidRPr="00CF77C1" w14:paraId="312E9359" w14:textId="77777777" w:rsidTr="00D66E85">
        <w:trPr>
          <w:cantSplit/>
          <w:trHeight w:val="262"/>
        </w:trPr>
        <w:tc>
          <w:tcPr>
            <w:tcW w:w="6912" w:type="dxa"/>
            <w:shd w:val="clear" w:color="auto" w:fill="auto"/>
            <w:vAlign w:val="center"/>
          </w:tcPr>
          <w:p w14:paraId="4D5AB684" w14:textId="77777777" w:rsidR="000574F1" w:rsidRPr="00CF77C1" w:rsidRDefault="000574F1" w:rsidP="0080044B">
            <w:pPr>
              <w:framePr w:hSpace="181" w:wrap="notBeside" w:vAnchor="text" w:hAnchor="text" w:y="1"/>
              <w:jc w:val="left"/>
              <w:rPr>
                <w:lang w:val="sr-Cyrl-RS"/>
              </w:rPr>
            </w:pPr>
            <w:r w:rsidRPr="00CF77C1">
              <w:rPr>
                <w:lang w:val="sr-Cyrl-RS"/>
              </w:rPr>
              <w:t>Израда тендерске документације</w:t>
            </w:r>
          </w:p>
        </w:tc>
        <w:tc>
          <w:tcPr>
            <w:tcW w:w="2410" w:type="dxa"/>
            <w:vMerge/>
            <w:shd w:val="clear" w:color="auto" w:fill="auto"/>
            <w:vAlign w:val="center"/>
          </w:tcPr>
          <w:p w14:paraId="2C18BF1F"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4C68C195"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9D7493E"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0321C0BE"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40EBFE1C"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38803DC9"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2ACF08AF"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638CF20C" w14:textId="77777777" w:rsidR="000574F1" w:rsidRPr="00CF77C1" w:rsidRDefault="000574F1" w:rsidP="0080044B">
            <w:pPr>
              <w:framePr w:hSpace="181" w:wrap="notBeside" w:vAnchor="text" w:hAnchor="text" w:y="1"/>
              <w:jc w:val="center"/>
              <w:rPr>
                <w:lang w:val="sr-Cyrl-RS"/>
              </w:rPr>
            </w:pPr>
            <w:r w:rsidRPr="00CF77C1">
              <w:rPr>
                <w:lang w:val="sr-Cyrl-RS"/>
              </w:rPr>
              <w:t>х</w:t>
            </w:r>
          </w:p>
        </w:tc>
      </w:tr>
      <w:tr w:rsidR="000574F1" w:rsidRPr="00CF77C1" w14:paraId="0F2434D1" w14:textId="77777777" w:rsidTr="00D66E85">
        <w:trPr>
          <w:cantSplit/>
          <w:trHeight w:val="282"/>
        </w:trPr>
        <w:tc>
          <w:tcPr>
            <w:tcW w:w="6912" w:type="dxa"/>
            <w:shd w:val="clear" w:color="auto" w:fill="auto"/>
            <w:vAlign w:val="center"/>
          </w:tcPr>
          <w:p w14:paraId="62D780C4" w14:textId="77777777" w:rsidR="000574F1" w:rsidRPr="00CF77C1" w:rsidRDefault="000574F1" w:rsidP="0080044B">
            <w:pPr>
              <w:framePr w:hSpace="181" w:wrap="notBeside" w:vAnchor="text" w:hAnchor="text" w:y="1"/>
              <w:jc w:val="left"/>
              <w:rPr>
                <w:lang w:val="sr-Cyrl-RS"/>
              </w:rPr>
            </w:pPr>
            <w:r w:rsidRPr="00CF77C1">
              <w:rPr>
                <w:lang w:val="sr-Cyrl-RS"/>
              </w:rPr>
              <w:t>Пројекат за извођење</w:t>
            </w:r>
          </w:p>
        </w:tc>
        <w:tc>
          <w:tcPr>
            <w:tcW w:w="2410" w:type="dxa"/>
            <w:vMerge/>
            <w:shd w:val="clear" w:color="auto" w:fill="auto"/>
            <w:vAlign w:val="center"/>
          </w:tcPr>
          <w:p w14:paraId="0073CB54"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754C0D1C"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019FE2D6"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6DCDEDE7"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102C9FAC"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1AF645F4"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74E66B84"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46B7AAE7" w14:textId="77777777" w:rsidR="000574F1" w:rsidRPr="00CF77C1" w:rsidRDefault="000574F1" w:rsidP="0080044B">
            <w:pPr>
              <w:framePr w:hSpace="181" w:wrap="notBeside" w:vAnchor="text" w:hAnchor="text" w:y="1"/>
              <w:jc w:val="center"/>
              <w:rPr>
                <w:lang w:val="sr-Cyrl-RS"/>
              </w:rPr>
            </w:pPr>
          </w:p>
        </w:tc>
      </w:tr>
      <w:tr w:rsidR="000574F1" w:rsidRPr="00CF77C1" w14:paraId="19699C15" w14:textId="77777777" w:rsidTr="00D66E85">
        <w:trPr>
          <w:cantSplit/>
          <w:trHeight w:val="378"/>
        </w:trPr>
        <w:tc>
          <w:tcPr>
            <w:tcW w:w="6912" w:type="dxa"/>
            <w:shd w:val="clear" w:color="auto" w:fill="auto"/>
            <w:vAlign w:val="center"/>
          </w:tcPr>
          <w:p w14:paraId="7B0AE1AE" w14:textId="77777777" w:rsidR="000574F1" w:rsidRPr="00CF77C1" w:rsidRDefault="000574F1" w:rsidP="0080044B">
            <w:pPr>
              <w:framePr w:hSpace="181" w:wrap="notBeside" w:vAnchor="text" w:hAnchor="text" w:y="1"/>
              <w:jc w:val="left"/>
              <w:rPr>
                <w:lang w:val="sr-Cyrl-RS"/>
              </w:rPr>
            </w:pPr>
            <w:r w:rsidRPr="00CF77C1">
              <w:rPr>
                <w:lang w:val="sr-Cyrl-RS"/>
              </w:rPr>
              <w:t>Изградња</w:t>
            </w:r>
          </w:p>
        </w:tc>
        <w:tc>
          <w:tcPr>
            <w:tcW w:w="2410" w:type="dxa"/>
            <w:shd w:val="clear" w:color="auto" w:fill="auto"/>
            <w:vAlign w:val="center"/>
          </w:tcPr>
          <w:p w14:paraId="6B80D368" w14:textId="77777777" w:rsidR="000574F1" w:rsidRPr="00CF77C1" w:rsidRDefault="000574F1" w:rsidP="0080044B">
            <w:pPr>
              <w:framePr w:hSpace="181" w:wrap="notBeside" w:vAnchor="text" w:hAnchor="text" w:y="1"/>
              <w:jc w:val="left"/>
              <w:rPr>
                <w:lang w:val="sr-Cyrl-RS"/>
              </w:rPr>
            </w:pPr>
            <w:r w:rsidRPr="00CF77C1">
              <w:rPr>
                <w:lang w:val="sr-Cyrl-RS"/>
              </w:rPr>
              <w:t>-</w:t>
            </w:r>
          </w:p>
        </w:tc>
        <w:tc>
          <w:tcPr>
            <w:tcW w:w="769" w:type="dxa"/>
            <w:shd w:val="clear" w:color="auto" w:fill="auto"/>
            <w:vAlign w:val="center"/>
          </w:tcPr>
          <w:p w14:paraId="483B3F15"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23EFDDAD"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4417EF8B"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654D7C17" w14:textId="77777777" w:rsidR="000574F1" w:rsidRPr="00CF77C1" w:rsidRDefault="000574F1" w:rsidP="0080044B">
            <w:pPr>
              <w:framePr w:hSpace="181" w:wrap="notBeside" w:vAnchor="text" w:hAnchor="text" w:y="1"/>
              <w:jc w:val="center"/>
              <w:rPr>
                <w:lang w:val="sr-Cyrl-RS"/>
              </w:rPr>
            </w:pPr>
          </w:p>
        </w:tc>
        <w:tc>
          <w:tcPr>
            <w:tcW w:w="769" w:type="dxa"/>
            <w:shd w:val="clear" w:color="auto" w:fill="auto"/>
            <w:vAlign w:val="center"/>
          </w:tcPr>
          <w:p w14:paraId="689E5AF7" w14:textId="77777777" w:rsidR="000574F1" w:rsidRPr="00CF77C1" w:rsidRDefault="000574F1" w:rsidP="0080044B">
            <w:pPr>
              <w:framePr w:hSpace="181" w:wrap="notBeside" w:vAnchor="text" w:hAnchor="text" w:y="1"/>
              <w:jc w:val="center"/>
              <w:rPr>
                <w:lang w:val="sr-Cyrl-RS"/>
              </w:rPr>
            </w:pPr>
          </w:p>
        </w:tc>
        <w:tc>
          <w:tcPr>
            <w:tcW w:w="770" w:type="dxa"/>
            <w:shd w:val="clear" w:color="auto" w:fill="auto"/>
            <w:vAlign w:val="center"/>
          </w:tcPr>
          <w:p w14:paraId="1E14A30E" w14:textId="77777777" w:rsidR="000574F1" w:rsidRPr="00CF77C1" w:rsidRDefault="000574F1" w:rsidP="0080044B">
            <w:pPr>
              <w:framePr w:hSpace="181" w:wrap="notBeside" w:vAnchor="text" w:hAnchor="text" w:y="1"/>
              <w:jc w:val="center"/>
              <w:rPr>
                <w:lang w:val="sr-Cyrl-RS"/>
              </w:rPr>
            </w:pPr>
          </w:p>
        </w:tc>
        <w:tc>
          <w:tcPr>
            <w:tcW w:w="770" w:type="dxa"/>
            <w:vAlign w:val="center"/>
          </w:tcPr>
          <w:p w14:paraId="18C00417" w14:textId="77777777" w:rsidR="000574F1" w:rsidRPr="00CF77C1" w:rsidRDefault="000574F1" w:rsidP="0080044B">
            <w:pPr>
              <w:framePr w:hSpace="181" w:wrap="notBeside" w:vAnchor="text" w:hAnchor="text" w:y="1"/>
              <w:jc w:val="center"/>
              <w:rPr>
                <w:lang w:val="sr-Cyrl-RS"/>
              </w:rPr>
            </w:pPr>
          </w:p>
        </w:tc>
      </w:tr>
    </w:tbl>
    <w:p w14:paraId="03958E2D" w14:textId="77777777" w:rsidR="00D66E85" w:rsidRPr="00CF77C1" w:rsidRDefault="00D66E85" w:rsidP="0080044B">
      <w:pPr>
        <w:rPr>
          <w:lang w:val="sr-Cyrl-RS"/>
        </w:rPr>
      </w:pPr>
    </w:p>
    <w:p w14:paraId="1B7BFED6" w14:textId="77777777" w:rsidR="002E3868" w:rsidRPr="00CF77C1" w:rsidRDefault="002E3868" w:rsidP="0080044B">
      <w:pPr>
        <w:rPr>
          <w:lang w:val="sr-Cyrl-RS"/>
        </w:rPr>
      </w:pPr>
    </w:p>
    <w:p w14:paraId="7EEC0AD7" w14:textId="5B1B6CD3" w:rsidR="00D66E85" w:rsidRPr="00CF77C1" w:rsidRDefault="008C6DCA" w:rsidP="008C6DCA">
      <w:pPr>
        <w:pStyle w:val="ListParagraph"/>
        <w:keepNext/>
        <w:contextualSpacing w:val="0"/>
        <w:rPr>
          <w:lang w:val="sr-Cyrl-RS"/>
        </w:rPr>
      </w:pPr>
      <w:bookmarkStart w:id="155" w:name="_Ref476806081"/>
      <w:r w:rsidRPr="00CF77C1">
        <w:rPr>
          <w:lang w:val="sr-Cyrl-RS"/>
        </w:rPr>
        <w:t xml:space="preserve">П.23. </w:t>
      </w:r>
      <w:r w:rsidR="00D66E85" w:rsidRPr="00CF77C1">
        <w:rPr>
          <w:lang w:val="sr-Cyrl-RS"/>
        </w:rPr>
        <w:t>Пројекaт гасне интерконекције Србија - Румунија, гасовод Мокрин - Арад (граница са Румунијом)</w:t>
      </w:r>
      <w:bookmarkEnd w:id="155"/>
    </w:p>
    <w:p w14:paraId="2DABFDB8" w14:textId="2E0A440D" w:rsidR="00F0139B" w:rsidRPr="00CF77C1" w:rsidRDefault="00F0139B" w:rsidP="00C41967">
      <w:pPr>
        <w:keepNext/>
        <w:ind w:firstLine="720"/>
        <w:rPr>
          <w:lang w:val="sr-Cyrl-RS"/>
        </w:rPr>
      </w:pPr>
      <w:r w:rsidRPr="00CF77C1">
        <w:rPr>
          <w:lang w:val="sr-Cyrl-RS"/>
        </w:rPr>
        <w:t>Пројекат гасне интерконекције Србија - Румунија се налази на Јединственој листи инфраструктурних пројеката у области енергетике.</w:t>
      </w:r>
    </w:p>
    <w:p w14:paraId="4068D5AA" w14:textId="3BFEC713"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72</w:t>
      </w:r>
      <w:r w:rsidR="0092145E" w:rsidRPr="00CF77C1">
        <w:rPr>
          <w:b w:val="0"/>
          <w:lang w:val="sr-Cyrl-RS"/>
        </w:rPr>
        <w:fldChar w:fldCharType="end"/>
      </w:r>
      <w:r w:rsidR="00D66E85" w:rsidRPr="00CF77C1">
        <w:rPr>
          <w:b w:val="0"/>
          <w:lang w:val="sr-Cyrl-RS"/>
        </w:rPr>
        <w:t>: Основне карактеристике пројекта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6044"/>
        <w:gridCol w:w="2976"/>
        <w:gridCol w:w="3261"/>
      </w:tblGrid>
      <w:tr w:rsidR="00246C17" w:rsidRPr="00CF77C1" w14:paraId="0B3A3E04" w14:textId="77777777" w:rsidTr="00246C17">
        <w:tc>
          <w:tcPr>
            <w:tcW w:w="2428" w:type="dxa"/>
            <w:shd w:val="clear" w:color="auto" w:fill="auto"/>
            <w:vAlign w:val="center"/>
          </w:tcPr>
          <w:p w14:paraId="35C18AE9" w14:textId="77777777" w:rsidR="00246C17" w:rsidRPr="00CF77C1" w:rsidRDefault="00246C17" w:rsidP="00246C17">
            <w:pPr>
              <w:framePr w:hSpace="181" w:wrap="notBeside" w:vAnchor="text" w:hAnchor="text" w:y="1"/>
              <w:jc w:val="center"/>
              <w:rPr>
                <w:lang w:val="sr-Cyrl-RS"/>
              </w:rPr>
            </w:pPr>
            <w:r w:rsidRPr="00CF77C1">
              <w:rPr>
                <w:lang w:val="sr-Cyrl-RS"/>
              </w:rPr>
              <w:t>Техничке карактеристике</w:t>
            </w:r>
          </w:p>
        </w:tc>
        <w:tc>
          <w:tcPr>
            <w:tcW w:w="6044" w:type="dxa"/>
            <w:vAlign w:val="center"/>
          </w:tcPr>
          <w:p w14:paraId="5CFADB65" w14:textId="77777777" w:rsidR="00246C17" w:rsidRPr="00CF77C1" w:rsidRDefault="00246C17" w:rsidP="00246C17">
            <w:pPr>
              <w:framePr w:hSpace="181" w:wrap="notBeside" w:vAnchor="text" w:hAnchor="text" w:y="1"/>
              <w:jc w:val="center"/>
              <w:rPr>
                <w:lang w:val="sr-Cyrl-RS"/>
              </w:rPr>
            </w:pPr>
            <w:r w:rsidRPr="00CF77C1">
              <w:rPr>
                <w:lang w:val="sr-Cyrl-RS"/>
              </w:rPr>
              <w:t>Опис</w:t>
            </w:r>
          </w:p>
        </w:tc>
        <w:tc>
          <w:tcPr>
            <w:tcW w:w="2976" w:type="dxa"/>
            <w:vAlign w:val="center"/>
          </w:tcPr>
          <w:p w14:paraId="1EBF87DC" w14:textId="77777777" w:rsidR="00246C17" w:rsidRPr="00CF77C1" w:rsidRDefault="00246C17" w:rsidP="00246C17">
            <w:pPr>
              <w:framePr w:hSpace="181" w:wrap="notBeside" w:vAnchor="text" w:hAnchor="text" w:y="1"/>
              <w:jc w:val="center"/>
              <w:rPr>
                <w:lang w:val="sr-Cyrl-RS"/>
              </w:rPr>
            </w:pPr>
            <w:r w:rsidRPr="00CF77C1">
              <w:rPr>
                <w:lang w:val="sr-Cyrl-RS"/>
              </w:rPr>
              <w:t>Ефекти реализације на основу расположиве документације</w:t>
            </w:r>
          </w:p>
        </w:tc>
        <w:tc>
          <w:tcPr>
            <w:tcW w:w="3261" w:type="dxa"/>
            <w:shd w:val="clear" w:color="auto" w:fill="auto"/>
            <w:vAlign w:val="center"/>
          </w:tcPr>
          <w:p w14:paraId="34CBD86B" w14:textId="77777777" w:rsidR="00246C17" w:rsidRPr="00CF77C1" w:rsidRDefault="00246C17" w:rsidP="00246C17">
            <w:pPr>
              <w:framePr w:hSpace="181" w:wrap="notBeside" w:vAnchor="text" w:hAnchor="text" w:y="1"/>
              <w:jc w:val="center"/>
              <w:rPr>
                <w:lang w:val="sr-Cyrl-RS"/>
              </w:rPr>
            </w:pPr>
            <w:r w:rsidRPr="00CF77C1">
              <w:rPr>
                <w:lang w:val="sr-Cyrl-RS"/>
              </w:rPr>
              <w:t>Вредност пројекта и извор финансирања</w:t>
            </w:r>
          </w:p>
        </w:tc>
      </w:tr>
      <w:tr w:rsidR="00246C17" w:rsidRPr="00CF77C1" w14:paraId="60F2E9FE" w14:textId="77777777" w:rsidTr="00246C17">
        <w:tc>
          <w:tcPr>
            <w:tcW w:w="2428" w:type="dxa"/>
            <w:shd w:val="clear" w:color="auto" w:fill="auto"/>
            <w:vAlign w:val="center"/>
          </w:tcPr>
          <w:p w14:paraId="5469DB52" w14:textId="77777777" w:rsidR="00246C17" w:rsidRPr="00CF77C1" w:rsidRDefault="00246C17" w:rsidP="00246C17">
            <w:pPr>
              <w:framePr w:hSpace="181" w:wrap="notBeside" w:vAnchor="text" w:hAnchor="text" w:y="1"/>
              <w:jc w:val="left"/>
              <w:rPr>
                <w:szCs w:val="24"/>
                <w:lang w:val="sr-Cyrl-RS"/>
              </w:rPr>
            </w:pPr>
            <w:r w:rsidRPr="00CF77C1">
              <w:rPr>
                <w:szCs w:val="24"/>
                <w:lang w:val="sr-Cyrl-RS"/>
              </w:rPr>
              <w:t>Магистрални једноцевни гасовод дужине 6 km, пречника DN 600, техничког капацитета 1,6 милијарди m</w:t>
            </w:r>
            <w:r w:rsidRPr="00CF77C1">
              <w:rPr>
                <w:szCs w:val="24"/>
                <w:vertAlign w:val="superscript"/>
                <w:lang w:val="sr-Cyrl-RS"/>
              </w:rPr>
              <w:t>3</w:t>
            </w:r>
            <w:r w:rsidRPr="00CF77C1">
              <w:rPr>
                <w:szCs w:val="24"/>
                <w:lang w:val="sr-Cyrl-RS"/>
              </w:rPr>
              <w:t>/годишње,</w:t>
            </w:r>
          </w:p>
          <w:p w14:paraId="7C0FB7A5" w14:textId="77777777" w:rsidR="00246C17" w:rsidRPr="00CF77C1" w:rsidRDefault="00246C17" w:rsidP="00246C17">
            <w:pPr>
              <w:framePr w:hSpace="181" w:wrap="notBeside" w:vAnchor="text" w:hAnchor="text" w:y="1"/>
              <w:jc w:val="left"/>
              <w:rPr>
                <w:lang w:val="sr-Cyrl-RS"/>
              </w:rPr>
            </w:pPr>
            <w:r w:rsidRPr="00CF77C1">
              <w:rPr>
                <w:szCs w:val="24"/>
                <w:lang w:val="sr-Cyrl-RS"/>
              </w:rPr>
              <w:t>максимални радни притисак 50 bar</w:t>
            </w:r>
          </w:p>
        </w:tc>
        <w:tc>
          <w:tcPr>
            <w:tcW w:w="6044" w:type="dxa"/>
            <w:vAlign w:val="center"/>
          </w:tcPr>
          <w:p w14:paraId="02053380" w14:textId="77777777" w:rsidR="00246C17" w:rsidRPr="00CF77C1" w:rsidRDefault="00246C17" w:rsidP="00246C17">
            <w:pPr>
              <w:framePr w:hSpace="181" w:wrap="notBeside" w:vAnchor="text" w:hAnchor="text" w:y="1"/>
              <w:jc w:val="left"/>
              <w:rPr>
                <w:lang w:val="sr-Cyrl-RS"/>
              </w:rPr>
            </w:pPr>
            <w:r w:rsidRPr="00CF77C1">
              <w:rPr>
                <w:lang w:val="sr-Cyrl-RS"/>
              </w:rPr>
              <w:t>Магистрални гасовод Мокрин - Арад представља инфраструктурну основу за успостављање гасне интерконекције са Румунијом. Примарни технички елементи гасовода су цевовод, објекти који су саставни део гасовода и пратећа инфраструктура. Саставни део гасовода представљају следећи објекти и инсталације:</w:t>
            </w:r>
          </w:p>
          <w:p w14:paraId="1C956109" w14:textId="77777777" w:rsidR="00246C17" w:rsidRPr="00CF77C1" w:rsidRDefault="00246C17" w:rsidP="00246C17">
            <w:pPr>
              <w:framePr w:hSpace="181" w:wrap="notBeside" w:vAnchor="text" w:hAnchor="text" w:y="1"/>
              <w:jc w:val="left"/>
              <w:rPr>
                <w:lang w:val="sr-Cyrl-RS"/>
              </w:rPr>
            </w:pPr>
            <w:r w:rsidRPr="00CF77C1">
              <w:rPr>
                <w:lang w:val="sr-Cyrl-RS"/>
              </w:rPr>
              <w:t>- 1 примопредајна и 2 чистачкe станицe</w:t>
            </w:r>
          </w:p>
          <w:p w14:paraId="29B85E34" w14:textId="77777777" w:rsidR="00246C17" w:rsidRPr="00CF77C1" w:rsidRDefault="00246C17" w:rsidP="00246C17">
            <w:pPr>
              <w:framePr w:hSpace="181" w:wrap="notBeside" w:vAnchor="text" w:hAnchor="text" w:y="1"/>
              <w:jc w:val="left"/>
              <w:rPr>
                <w:lang w:val="sr-Cyrl-RS"/>
              </w:rPr>
            </w:pPr>
            <w:r w:rsidRPr="00CF77C1">
              <w:rPr>
                <w:lang w:val="sr-Cyrl-RS"/>
              </w:rPr>
              <w:t>- Блок станице</w:t>
            </w:r>
          </w:p>
          <w:p w14:paraId="2102C9C2" w14:textId="77777777" w:rsidR="00246C17" w:rsidRPr="00CF77C1" w:rsidRDefault="00246C17" w:rsidP="00246C17">
            <w:pPr>
              <w:framePr w:hSpace="181" w:wrap="notBeside" w:vAnchor="text" w:hAnchor="text" w:y="1"/>
              <w:jc w:val="left"/>
              <w:rPr>
                <w:lang w:val="sr-Cyrl-RS"/>
              </w:rPr>
            </w:pPr>
            <w:r w:rsidRPr="00CF77C1">
              <w:rPr>
                <w:lang w:val="sr-Cyrl-RS"/>
              </w:rPr>
              <w:t>- Уређаји катодне заштите линијског дела гасовода</w:t>
            </w:r>
          </w:p>
          <w:p w14:paraId="0302DB4A" w14:textId="77777777" w:rsidR="00246C17" w:rsidRPr="00CF77C1" w:rsidRDefault="00246C17" w:rsidP="00246C17">
            <w:pPr>
              <w:framePr w:hSpace="181" w:wrap="notBeside" w:vAnchor="text" w:hAnchor="text" w:y="1"/>
              <w:jc w:val="left"/>
              <w:rPr>
                <w:lang w:val="sr-Cyrl-RS"/>
              </w:rPr>
            </w:pPr>
            <w:r w:rsidRPr="00CF77C1">
              <w:rPr>
                <w:lang w:val="sr-Cyrl-RS"/>
              </w:rPr>
              <w:t>- Уређаји и опрема за потребе даљинског надзора и управљања постројењима</w:t>
            </w:r>
          </w:p>
        </w:tc>
        <w:tc>
          <w:tcPr>
            <w:tcW w:w="2976" w:type="dxa"/>
          </w:tcPr>
          <w:p w14:paraId="1FA3681F" w14:textId="77777777" w:rsidR="00246C17" w:rsidRPr="00CF77C1" w:rsidRDefault="00246C17" w:rsidP="00246C17">
            <w:pPr>
              <w:framePr w:hSpace="181" w:wrap="notBeside" w:vAnchor="text" w:hAnchor="text" w:y="1"/>
              <w:jc w:val="left"/>
              <w:rPr>
                <w:szCs w:val="24"/>
                <w:lang w:val="sr-Cyrl-RS"/>
              </w:rPr>
            </w:pPr>
            <w:r w:rsidRPr="00CF77C1">
              <w:rPr>
                <w:szCs w:val="24"/>
                <w:lang w:val="sr-Cyrl-RS"/>
              </w:rPr>
              <w:t>Повећање расположивих количина природног гаса из увоза за 34% (са 12,96 милиона m</w:t>
            </w:r>
            <w:r w:rsidRPr="00CF77C1">
              <w:rPr>
                <w:szCs w:val="24"/>
                <w:vertAlign w:val="superscript"/>
                <w:lang w:val="sr-Cyrl-RS"/>
              </w:rPr>
              <w:t>3</w:t>
            </w:r>
            <w:r w:rsidRPr="00CF77C1">
              <w:rPr>
                <w:szCs w:val="24"/>
                <w:lang w:val="sr-Cyrl-RS"/>
              </w:rPr>
              <w:t>/дан на 17,34 милиона m</w:t>
            </w:r>
            <w:r w:rsidRPr="00CF77C1">
              <w:rPr>
                <w:szCs w:val="24"/>
                <w:vertAlign w:val="superscript"/>
                <w:lang w:val="sr-Cyrl-RS"/>
              </w:rPr>
              <w:t>3</w:t>
            </w:r>
            <w:r w:rsidRPr="00CF77C1">
              <w:rPr>
                <w:szCs w:val="24"/>
                <w:lang w:val="sr-Cyrl-RS"/>
              </w:rPr>
              <w:t>/дан).</w:t>
            </w:r>
          </w:p>
          <w:p w14:paraId="5ADE369E" w14:textId="77777777" w:rsidR="00246C17" w:rsidRPr="00CF77C1" w:rsidRDefault="00246C17" w:rsidP="00246C17">
            <w:pPr>
              <w:framePr w:hSpace="181" w:wrap="notBeside" w:vAnchor="text" w:hAnchor="text" w:y="1"/>
              <w:jc w:val="left"/>
              <w:rPr>
                <w:lang w:val="sr-Cyrl-RS"/>
              </w:rPr>
            </w:pPr>
            <w:r w:rsidRPr="00CF77C1">
              <w:rPr>
                <w:szCs w:val="24"/>
                <w:lang w:val="sr-Cyrl-RS"/>
              </w:rPr>
              <w:t>У односу на максималну дневно увезену количину у периоду 2011-2015. године за потребе купаца у Србији (11,2 милиона m</w:t>
            </w:r>
            <w:r w:rsidRPr="00CF77C1">
              <w:rPr>
                <w:szCs w:val="24"/>
                <w:vertAlign w:val="superscript"/>
                <w:lang w:val="sr-Cyrl-RS"/>
              </w:rPr>
              <w:t>3</w:t>
            </w:r>
            <w:r w:rsidRPr="00CF77C1">
              <w:rPr>
                <w:szCs w:val="24"/>
                <w:lang w:val="sr-Cyrl-RS"/>
              </w:rPr>
              <w:t>/дан) ова интерконекција покрива 39% потреба.</w:t>
            </w:r>
          </w:p>
        </w:tc>
        <w:tc>
          <w:tcPr>
            <w:tcW w:w="3261" w:type="dxa"/>
            <w:shd w:val="clear" w:color="auto" w:fill="auto"/>
          </w:tcPr>
          <w:p w14:paraId="19E23593" w14:textId="77777777" w:rsidR="00246C17" w:rsidRPr="00CF77C1" w:rsidRDefault="00246C17" w:rsidP="00246C17">
            <w:pPr>
              <w:framePr w:hSpace="181" w:wrap="notBeside" w:vAnchor="text" w:hAnchor="text" w:y="1"/>
              <w:jc w:val="left"/>
              <w:rPr>
                <w:lang w:val="sr-Cyrl-RS"/>
              </w:rPr>
            </w:pPr>
            <w:r w:rsidRPr="00CF77C1">
              <w:rPr>
                <w:lang w:val="sr-Cyrl-RS"/>
              </w:rPr>
              <w:t>Процењена вредност пројекта 85 милиона € (извор податка: Market report: Serbia natural gas sector: prospects, market structure and strategy, 22 August 2016, EY)</w:t>
            </w:r>
          </w:p>
          <w:p w14:paraId="162E0AA4" w14:textId="77777777" w:rsidR="00246C17" w:rsidRPr="00CF77C1" w:rsidRDefault="00246C17" w:rsidP="00246C17">
            <w:pPr>
              <w:framePr w:hSpace="181" w:wrap="notBeside" w:vAnchor="text" w:hAnchor="text" w:y="1"/>
              <w:jc w:val="left"/>
              <w:rPr>
                <w:szCs w:val="24"/>
                <w:lang w:val="sr-Cyrl-RS"/>
              </w:rPr>
            </w:pPr>
            <w:r w:rsidRPr="00CF77C1">
              <w:rPr>
                <w:lang w:val="sr-Cyrl-RS"/>
              </w:rPr>
              <w:t xml:space="preserve">Део у Србији </w:t>
            </w:r>
            <w:r w:rsidRPr="00CF77C1">
              <w:rPr>
                <w:szCs w:val="24"/>
                <w:lang w:val="sr-Cyrl-RS"/>
              </w:rPr>
              <w:t>6 милиона € (извор податка: ЈП Србијагас)</w:t>
            </w:r>
          </w:p>
          <w:p w14:paraId="7F5AFEEE" w14:textId="1FADDE10" w:rsidR="00246C17" w:rsidRPr="00FE6568" w:rsidRDefault="00FE6568" w:rsidP="00246C17">
            <w:pPr>
              <w:framePr w:hSpace="181" w:wrap="notBeside" w:vAnchor="text" w:hAnchor="text" w:y="1"/>
              <w:jc w:val="left"/>
              <w:rPr>
                <w:lang w:val="sr-Cyrl-RS"/>
              </w:rPr>
            </w:pPr>
            <w:r>
              <w:rPr>
                <w:lang w:val="sr-Cyrl-RS"/>
              </w:rPr>
              <w:t>Претприступни ЕУ фондови, б</w:t>
            </w:r>
            <w:r w:rsidR="00DC032B" w:rsidRPr="00CF77C1">
              <w:rPr>
                <w:lang w:val="sr-Cyrl-RS"/>
              </w:rPr>
              <w:t>уџет Републике Србије и други извори финансирања</w:t>
            </w:r>
          </w:p>
        </w:tc>
      </w:tr>
    </w:tbl>
    <w:p w14:paraId="27384BD2" w14:textId="0FB49450" w:rsidR="00246C17" w:rsidRPr="00CF77C1" w:rsidRDefault="00246C17" w:rsidP="00246C17">
      <w:pPr>
        <w:rPr>
          <w:lang w:val="sr-Cyrl-RS"/>
        </w:rPr>
      </w:pPr>
      <w:r w:rsidRPr="00CF77C1">
        <w:rPr>
          <w:lang w:val="sr-Cyrl-RS"/>
        </w:rPr>
        <w:t xml:space="preserve">Напомена: Разрадом концепције пројекта интерконекције Србија - Румунија, у сарадњи са румунском страном, предвиђена је мерна станица на територији Републике Србије, на основу чега је настала разлика у вредности пројекта између дате и оне из Јединствене листе инфраструктурних пројеката у области енергетике (видети </w:t>
      </w:r>
      <w:r w:rsidRPr="00CF77C1">
        <w:rPr>
          <w:lang w:val="sr-Cyrl-RS"/>
        </w:rPr>
        <w:fldChar w:fldCharType="begin"/>
      </w:r>
      <w:r w:rsidRPr="00CF77C1">
        <w:rPr>
          <w:lang w:val="sr-Cyrl-RS"/>
        </w:rPr>
        <w:instrText xml:space="preserve"> REF _Ref478730171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2D5918">
        <w:rPr>
          <w:lang w:val="sr-Cyrl-RS"/>
        </w:rPr>
        <w:t xml:space="preserve">таб. </w:t>
      </w:r>
      <w:r w:rsidR="002D5918" w:rsidRPr="002D5918">
        <w:rPr>
          <w:noProof/>
          <w:lang w:val="sr-Cyrl-RS"/>
        </w:rPr>
        <w:t>129</w:t>
      </w:r>
      <w:r w:rsidRPr="00CF77C1">
        <w:rPr>
          <w:lang w:val="sr-Cyrl-RS"/>
        </w:rPr>
        <w:fldChar w:fldCharType="end"/>
      </w:r>
      <w:r w:rsidRPr="00CF77C1">
        <w:rPr>
          <w:lang w:val="sr-Cyrl-RS"/>
        </w:rPr>
        <w:t>).</w:t>
      </w:r>
    </w:p>
    <w:p w14:paraId="57866294" w14:textId="6DBF275D" w:rsidR="00D66E85" w:rsidRPr="00CF77C1" w:rsidRDefault="00D61BC9" w:rsidP="00C41967">
      <w:pPr>
        <w:pStyle w:val="Caption"/>
        <w:ind w:left="180" w:right="360" w:firstLine="54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73</w:t>
      </w:r>
      <w:r w:rsidR="0092145E" w:rsidRPr="00CF77C1">
        <w:rPr>
          <w:b w:val="0"/>
          <w:lang w:val="sr-Cyrl-RS"/>
        </w:rPr>
        <w:fldChar w:fldCharType="end"/>
      </w:r>
      <w:r w:rsidR="00D66E85" w:rsidRPr="00CF77C1">
        <w:rPr>
          <w:b w:val="0"/>
          <w:lang w:val="sr-Cyrl-RS"/>
        </w:rPr>
        <w:t>: Утицај пројеката на остварење стратешких циљева</w:t>
      </w:r>
    </w:p>
    <w:tbl>
      <w:tblPr>
        <w:tblW w:w="14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946"/>
        <w:gridCol w:w="2409"/>
        <w:gridCol w:w="2126"/>
      </w:tblGrid>
      <w:tr w:rsidR="00D66E85" w:rsidRPr="00CF77C1" w14:paraId="2FA51D9B" w14:textId="77777777" w:rsidTr="00D66E85">
        <w:tc>
          <w:tcPr>
            <w:tcW w:w="3227" w:type="dxa"/>
            <w:shd w:val="clear" w:color="auto" w:fill="auto"/>
            <w:vAlign w:val="center"/>
          </w:tcPr>
          <w:p w14:paraId="5980A7F9"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Стратешки циљ</w:t>
            </w:r>
          </w:p>
        </w:tc>
        <w:tc>
          <w:tcPr>
            <w:tcW w:w="6946" w:type="dxa"/>
            <w:vAlign w:val="center"/>
          </w:tcPr>
          <w:p w14:paraId="37B8DDFD"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Опис</w:t>
            </w:r>
          </w:p>
        </w:tc>
        <w:tc>
          <w:tcPr>
            <w:tcW w:w="2409" w:type="dxa"/>
            <w:vAlign w:val="center"/>
          </w:tcPr>
          <w:p w14:paraId="4A290747" w14:textId="77777777" w:rsidR="00D66E85" w:rsidRPr="00CF77C1" w:rsidRDefault="00D66E85" w:rsidP="0080044B">
            <w:pPr>
              <w:framePr w:hSpace="181" w:wrap="notBeside" w:vAnchor="text" w:hAnchor="text" w:y="1"/>
              <w:jc w:val="center"/>
              <w:rPr>
                <w:bCs/>
                <w:szCs w:val="24"/>
                <w:lang w:val="sr-Cyrl-RS"/>
              </w:rPr>
            </w:pPr>
            <w:r w:rsidRPr="00CF77C1">
              <w:rPr>
                <w:bCs/>
                <w:szCs w:val="24"/>
                <w:lang w:val="sr-Cyrl-RS"/>
              </w:rPr>
              <w:t>Вредност индикатора по реализацији пројекта</w:t>
            </w:r>
          </w:p>
        </w:tc>
        <w:tc>
          <w:tcPr>
            <w:tcW w:w="2126" w:type="dxa"/>
            <w:vAlign w:val="center"/>
          </w:tcPr>
          <w:p w14:paraId="23091CDD"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 xml:space="preserve">Промена у односу </w:t>
            </w:r>
            <w:r w:rsidRPr="00CF77C1">
              <w:rPr>
                <w:szCs w:val="24"/>
                <w:lang w:val="sr-Cyrl-RS"/>
              </w:rPr>
              <w:br/>
              <w:t>на 2015. годину</w:t>
            </w:r>
          </w:p>
        </w:tc>
      </w:tr>
      <w:tr w:rsidR="00D66E85" w:rsidRPr="00CF77C1" w14:paraId="2F51FDB4" w14:textId="77777777" w:rsidTr="00F25351">
        <w:trPr>
          <w:trHeight w:val="20"/>
        </w:trPr>
        <w:tc>
          <w:tcPr>
            <w:tcW w:w="3227" w:type="dxa"/>
            <w:shd w:val="clear" w:color="auto" w:fill="auto"/>
            <w:vAlign w:val="center"/>
          </w:tcPr>
          <w:p w14:paraId="6C6D9C8C"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 xml:space="preserve">Обезбеђење сигурног снабдевања домаћег тржишта природним гасом </w:t>
            </w:r>
          </w:p>
        </w:tc>
        <w:tc>
          <w:tcPr>
            <w:tcW w:w="6946" w:type="dxa"/>
            <w:vAlign w:val="center"/>
          </w:tcPr>
          <w:p w14:paraId="441B8D83" w14:textId="65564A96" w:rsidR="00D66E85" w:rsidRPr="00CF77C1" w:rsidRDefault="00D66E85" w:rsidP="00B30718">
            <w:pPr>
              <w:framePr w:hSpace="181" w:wrap="notBeside" w:vAnchor="text" w:hAnchor="text" w:y="1"/>
              <w:jc w:val="left"/>
              <w:rPr>
                <w:bCs/>
                <w:szCs w:val="24"/>
                <w:lang w:val="sr-Cyrl-RS"/>
              </w:rPr>
            </w:pPr>
            <w:r w:rsidRPr="00CF77C1">
              <w:rPr>
                <w:bCs/>
                <w:szCs w:val="24"/>
                <w:lang w:val="sr-Cyrl-RS"/>
              </w:rPr>
              <w:t>Значајно се унапређује; Додатни улаз природног гаса у мрежу повећава сигурност</w:t>
            </w:r>
            <w:r w:rsidR="00EC7E28" w:rsidRPr="00CF77C1">
              <w:rPr>
                <w:bCs/>
                <w:szCs w:val="24"/>
                <w:lang w:val="sr-Cyrl-RS"/>
              </w:rPr>
              <w:t xml:space="preserve"> </w:t>
            </w:r>
            <w:r w:rsidR="00D178E1" w:rsidRPr="00CF77C1">
              <w:rPr>
                <w:bCs/>
                <w:szCs w:val="24"/>
                <w:lang w:val="sr-Cyrl-RS"/>
              </w:rPr>
              <w:t>снабдевања, поузданост функционисања система</w:t>
            </w:r>
            <w:r w:rsidR="00D178E1" w:rsidRPr="00CF77C1" w:rsidDel="00D178E1">
              <w:rPr>
                <w:bCs/>
                <w:szCs w:val="24"/>
                <w:lang w:val="sr-Cyrl-RS"/>
              </w:rPr>
              <w:t xml:space="preserve"> </w:t>
            </w:r>
            <w:r w:rsidRPr="00CF77C1">
              <w:rPr>
                <w:bCs/>
                <w:szCs w:val="24"/>
                <w:lang w:val="sr-Cyrl-RS"/>
              </w:rPr>
              <w:t>и отвара могућност набавке природног гаса из других извора. Значајно растерећење основног магистралног правца Хоргош-Батајница.</w:t>
            </w:r>
          </w:p>
        </w:tc>
        <w:tc>
          <w:tcPr>
            <w:tcW w:w="2409" w:type="dxa"/>
            <w:vAlign w:val="center"/>
          </w:tcPr>
          <w:p w14:paraId="7010AEBB"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(N-1) = 60,6%</w:t>
            </w:r>
          </w:p>
        </w:tc>
        <w:tc>
          <w:tcPr>
            <w:tcW w:w="2126" w:type="dxa"/>
            <w:vAlign w:val="center"/>
          </w:tcPr>
          <w:p w14:paraId="4B0C3B76"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+76%</w:t>
            </w:r>
          </w:p>
        </w:tc>
      </w:tr>
      <w:tr w:rsidR="00D66E85" w:rsidRPr="00CF77C1" w14:paraId="3E6885FA" w14:textId="77777777" w:rsidTr="00F25351">
        <w:trPr>
          <w:trHeight w:val="20"/>
        </w:trPr>
        <w:tc>
          <w:tcPr>
            <w:tcW w:w="3227" w:type="dxa"/>
            <w:shd w:val="clear" w:color="auto" w:fill="auto"/>
            <w:vAlign w:val="center"/>
          </w:tcPr>
          <w:p w14:paraId="777EA214"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Успостављање домаћег и регионалног тржишта природног гаса</w:t>
            </w:r>
          </w:p>
        </w:tc>
        <w:tc>
          <w:tcPr>
            <w:tcW w:w="6946" w:type="dxa"/>
            <w:vAlign w:val="center"/>
          </w:tcPr>
          <w:p w14:paraId="501CC23D" w14:textId="77777777" w:rsidR="00D66E85" w:rsidRPr="00CF77C1" w:rsidRDefault="00D66E85" w:rsidP="0080044B">
            <w:pPr>
              <w:framePr w:hSpace="181" w:wrap="notBeside" w:vAnchor="text" w:hAnchor="text" w:y="1"/>
              <w:jc w:val="left"/>
              <w:rPr>
                <w:szCs w:val="24"/>
                <w:lang w:val="sr-Cyrl-RS"/>
              </w:rPr>
            </w:pPr>
            <w:r w:rsidRPr="00CF77C1">
              <w:rPr>
                <w:bCs/>
                <w:szCs w:val="24"/>
                <w:lang w:val="sr-Cyrl-RS"/>
              </w:rPr>
              <w:t xml:space="preserve">Унапређује се; Отвара могућност смањења транзитних трошкова. Представља предуслов за стварање регионалног тржишта природног гаса. Потенцијално повећање броја учесника на тржишту. Отвара могућност </w:t>
            </w:r>
            <w:r w:rsidRPr="00CF77C1">
              <w:rPr>
                <w:szCs w:val="24"/>
                <w:lang w:val="sr-Cyrl-RS"/>
              </w:rPr>
              <w:t>укључивање постојећег и будућих складишта гаса у регионално тржиште природног гаса.</w:t>
            </w:r>
          </w:p>
        </w:tc>
        <w:tc>
          <w:tcPr>
            <w:tcW w:w="2409" w:type="dxa"/>
            <w:vAlign w:val="center"/>
          </w:tcPr>
          <w:p w14:paraId="7A548A6E"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c>
          <w:tcPr>
            <w:tcW w:w="2126" w:type="dxa"/>
            <w:vAlign w:val="center"/>
          </w:tcPr>
          <w:p w14:paraId="184F89DC"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r>
      <w:tr w:rsidR="00D66E85" w:rsidRPr="00CF77C1" w14:paraId="14F6307E" w14:textId="77777777" w:rsidTr="00F25351">
        <w:trPr>
          <w:trHeight w:val="20"/>
        </w:trPr>
        <w:tc>
          <w:tcPr>
            <w:tcW w:w="3227" w:type="dxa"/>
            <w:shd w:val="clear" w:color="auto" w:fill="auto"/>
            <w:vAlign w:val="center"/>
          </w:tcPr>
          <w:p w14:paraId="4AE8A57B"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Диверсификација извора и праваца снабдевања природним гасом</w:t>
            </w:r>
          </w:p>
        </w:tc>
        <w:tc>
          <w:tcPr>
            <w:tcW w:w="6946" w:type="dxa"/>
            <w:vAlign w:val="center"/>
          </w:tcPr>
          <w:p w14:paraId="5A213B78" w14:textId="77777777" w:rsidR="00D66E85" w:rsidRPr="00CF77C1" w:rsidRDefault="00D66E85" w:rsidP="0080044B">
            <w:pPr>
              <w:framePr w:hSpace="181" w:wrap="notBeside" w:vAnchor="text" w:hAnchor="text" w:y="1"/>
              <w:jc w:val="left"/>
              <w:rPr>
                <w:szCs w:val="24"/>
                <w:lang w:val="sr-Cyrl-RS"/>
              </w:rPr>
            </w:pPr>
            <w:r w:rsidRPr="00CF77C1">
              <w:rPr>
                <w:bCs/>
                <w:szCs w:val="24"/>
                <w:lang w:val="sr-Cyrl-RS"/>
              </w:rPr>
              <w:t>Унапређује се; Посебно у случају реализације трансконтиненталних пројекта снабдевања природним гасом трасом преко Румуније.</w:t>
            </w:r>
          </w:p>
        </w:tc>
        <w:tc>
          <w:tcPr>
            <w:tcW w:w="2409" w:type="dxa"/>
            <w:vAlign w:val="center"/>
          </w:tcPr>
          <w:p w14:paraId="47F357FD"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ИДУПС = 6224</w:t>
            </w:r>
          </w:p>
        </w:tc>
        <w:tc>
          <w:tcPr>
            <w:tcW w:w="2126" w:type="dxa"/>
            <w:vAlign w:val="center"/>
          </w:tcPr>
          <w:p w14:paraId="5D83663E"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-37,7%</w:t>
            </w:r>
          </w:p>
        </w:tc>
      </w:tr>
    </w:tbl>
    <w:p w14:paraId="43AF0EB1" w14:textId="166A35CE"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74</w:t>
      </w:r>
      <w:r w:rsidR="0092145E" w:rsidRPr="00CF77C1">
        <w:rPr>
          <w:b w:val="0"/>
          <w:lang w:val="sr-Cyrl-RS"/>
        </w:rPr>
        <w:fldChar w:fldCharType="end"/>
      </w:r>
      <w:r w:rsidR="00D66E85" w:rsidRPr="00CF77C1">
        <w:rPr>
          <w:b w:val="0"/>
          <w:lang w:val="sr-Cyrl-RS"/>
        </w:rPr>
        <w:t>: Статус пројекта</w:t>
      </w:r>
    </w:p>
    <w:tbl>
      <w:tblPr>
        <w:tblStyle w:val="TableGrid"/>
        <w:tblW w:w="14709" w:type="dxa"/>
        <w:tblLook w:val="04A0" w:firstRow="1" w:lastRow="0" w:firstColumn="1" w:lastColumn="0" w:noHBand="0" w:noVBand="1"/>
      </w:tblPr>
      <w:tblGrid>
        <w:gridCol w:w="3227"/>
        <w:gridCol w:w="3402"/>
        <w:gridCol w:w="8080"/>
      </w:tblGrid>
      <w:tr w:rsidR="00D66E85" w:rsidRPr="00CF77C1" w14:paraId="587E5871" w14:textId="77777777" w:rsidTr="00D66E85">
        <w:tc>
          <w:tcPr>
            <w:tcW w:w="3227" w:type="dxa"/>
            <w:vAlign w:val="center"/>
          </w:tcPr>
          <w:p w14:paraId="2DD369A1" w14:textId="77777777" w:rsidR="00D66E85" w:rsidRPr="00CF77C1" w:rsidRDefault="00D66E85" w:rsidP="0080044B">
            <w:pPr>
              <w:framePr w:hSpace="180" w:wrap="around" w:vAnchor="text" w:hAnchor="text" w:y="1"/>
              <w:jc w:val="center"/>
              <w:rPr>
                <w:lang w:val="sr-Cyrl-RS"/>
              </w:rPr>
            </w:pPr>
            <w:r w:rsidRPr="00CF77C1">
              <w:rPr>
                <w:lang w:val="sr-Cyrl-RS"/>
              </w:rPr>
              <w:t>Пројекат</w:t>
            </w:r>
          </w:p>
        </w:tc>
        <w:tc>
          <w:tcPr>
            <w:tcW w:w="3402" w:type="dxa"/>
            <w:vAlign w:val="center"/>
          </w:tcPr>
          <w:p w14:paraId="22880A59" w14:textId="77777777" w:rsidR="00D66E85" w:rsidRPr="00CF77C1" w:rsidRDefault="00D66E85" w:rsidP="0080044B">
            <w:pPr>
              <w:framePr w:hSpace="180" w:wrap="around" w:vAnchor="text" w:hAnchor="text" w:y="1"/>
              <w:jc w:val="center"/>
              <w:rPr>
                <w:lang w:val="sr-Cyrl-RS"/>
              </w:rPr>
            </w:pPr>
            <w:r w:rsidRPr="00CF77C1">
              <w:rPr>
                <w:lang w:val="sr-Cyrl-RS"/>
              </w:rPr>
              <w:t>Статус припреме пројекта</w:t>
            </w:r>
          </w:p>
        </w:tc>
        <w:tc>
          <w:tcPr>
            <w:tcW w:w="8080" w:type="dxa"/>
            <w:vAlign w:val="center"/>
          </w:tcPr>
          <w:p w14:paraId="5801CF66" w14:textId="77777777" w:rsidR="00D66E85" w:rsidRPr="00CF77C1" w:rsidRDefault="00D66E85" w:rsidP="0080044B">
            <w:pPr>
              <w:framePr w:hSpace="180" w:wrap="around" w:vAnchor="text" w:hAnchor="text" w:y="1"/>
              <w:jc w:val="center"/>
              <w:rPr>
                <w:lang w:val="sr-Cyrl-RS"/>
              </w:rPr>
            </w:pPr>
            <w:r w:rsidRPr="00CF77C1">
              <w:rPr>
                <w:lang w:val="sr-Cyrl-RS"/>
              </w:rPr>
              <w:t>Недостајућа планска и техничка документација</w:t>
            </w:r>
          </w:p>
        </w:tc>
      </w:tr>
      <w:tr w:rsidR="00D66E85" w:rsidRPr="00CF77C1" w14:paraId="39130120" w14:textId="77777777" w:rsidTr="00D66E85">
        <w:tc>
          <w:tcPr>
            <w:tcW w:w="3227" w:type="dxa"/>
            <w:vAlign w:val="center"/>
          </w:tcPr>
          <w:p w14:paraId="0213BF78" w14:textId="77777777" w:rsidR="00D66E85" w:rsidRPr="00CF77C1" w:rsidRDefault="00D66E85" w:rsidP="0080044B">
            <w:pPr>
              <w:framePr w:hSpace="180" w:wrap="around" w:vAnchor="text" w:hAnchor="text" w:y="1"/>
              <w:jc w:val="left"/>
              <w:rPr>
                <w:szCs w:val="24"/>
                <w:lang w:val="sr-Cyrl-RS"/>
              </w:rPr>
            </w:pPr>
            <w:r w:rsidRPr="00CF77C1">
              <w:rPr>
                <w:szCs w:val="24"/>
                <w:lang w:val="sr-Cyrl-RS"/>
              </w:rPr>
              <w:t>Пројекaт гасне интерконекције Србија - Румунија, гасовод Мокрин - Арад (граница са Румунијом)</w:t>
            </w:r>
          </w:p>
        </w:tc>
        <w:tc>
          <w:tcPr>
            <w:tcW w:w="3402" w:type="dxa"/>
            <w:vAlign w:val="center"/>
          </w:tcPr>
          <w:p w14:paraId="4AA51EF5" w14:textId="77777777" w:rsidR="00D66E85" w:rsidRPr="00CF77C1" w:rsidRDefault="00D66E85" w:rsidP="0080044B">
            <w:pPr>
              <w:framePr w:hSpace="180" w:wrap="around" w:vAnchor="text" w:hAnchor="text" w:y="1"/>
              <w:jc w:val="left"/>
              <w:rPr>
                <w:szCs w:val="24"/>
                <w:lang w:val="sr-Cyrl-RS"/>
              </w:rPr>
            </w:pPr>
            <w:r w:rsidRPr="00CF77C1">
              <w:rPr>
                <w:szCs w:val="24"/>
                <w:lang w:val="sr-Cyrl-RS"/>
              </w:rPr>
              <w:t>Траса на нивоу генералног пројекта.</w:t>
            </w:r>
          </w:p>
          <w:p w14:paraId="3BA177F8" w14:textId="77777777" w:rsidR="00D66E85" w:rsidRPr="00CF77C1" w:rsidRDefault="00D66E85" w:rsidP="0080044B">
            <w:pPr>
              <w:framePr w:hSpace="180" w:wrap="around" w:vAnchor="text" w:hAnchor="text" w:y="1"/>
              <w:jc w:val="left"/>
              <w:rPr>
                <w:szCs w:val="24"/>
                <w:lang w:val="sr-Cyrl-RS"/>
              </w:rPr>
            </w:pPr>
          </w:p>
        </w:tc>
        <w:tc>
          <w:tcPr>
            <w:tcW w:w="8080" w:type="dxa"/>
            <w:vAlign w:val="center"/>
          </w:tcPr>
          <w:p w14:paraId="3C844334" w14:textId="77777777" w:rsidR="00D66E85" w:rsidRPr="00CF77C1" w:rsidRDefault="00D66E85" w:rsidP="0080044B">
            <w:pPr>
              <w:framePr w:hSpace="180" w:wrap="around" w:vAnchor="text" w:hAnchor="text" w:y="1"/>
              <w:jc w:val="left"/>
              <w:rPr>
                <w:szCs w:val="24"/>
                <w:lang w:val="sr-Cyrl-RS"/>
              </w:rPr>
            </w:pPr>
            <w:r w:rsidRPr="00CF77C1">
              <w:rPr>
                <w:szCs w:val="24"/>
                <w:lang w:val="sr-Cyrl-RS"/>
              </w:rPr>
              <w:t>Просторни план подручја посебне намене, идејно решење, локацијски услови, студија оправданости, идејни пројекат, студија процене утицаја на животну средину, пројекат за грађевинску дозволу, грађевинска дозвола, пројекат за извођење, пројекат изведеног објекта све у складу са захтевима Закона о планирању и изградњи, енергетска дозвола у складу са Законом о енергетици, тендерска документација за изградњу.</w:t>
            </w:r>
          </w:p>
        </w:tc>
      </w:tr>
    </w:tbl>
    <w:p w14:paraId="291EFD4C" w14:textId="5E127A3A" w:rsidR="00D66E85" w:rsidRPr="00CF77C1" w:rsidRDefault="00C41967" w:rsidP="00C41967">
      <w:pPr>
        <w:pStyle w:val="Caption"/>
        <w:ind w:firstLine="720"/>
        <w:rPr>
          <w:b w:val="0"/>
          <w:lang w:val="sr-Cyrl-RS"/>
        </w:rPr>
      </w:pPr>
      <w:r w:rsidRPr="00CF77C1">
        <w:rPr>
          <w:b w:val="0"/>
          <w:lang w:val="sr-Cyrl-RS"/>
        </w:rPr>
        <w:t>т</w:t>
      </w:r>
      <w:r w:rsidR="00D61BC9" w:rsidRPr="00CF77C1">
        <w:rPr>
          <w:b w:val="0"/>
          <w:lang w:val="sr-Cyrl-RS"/>
        </w:rPr>
        <w:t>аб.</w:t>
      </w:r>
      <w:r w:rsidR="00D66E85" w:rsidRPr="00CF77C1">
        <w:rPr>
          <w:b w:val="0"/>
          <w:lang w:val="sr-Cyrl-RS"/>
        </w:rPr>
        <w:t xml:space="preserve"> </w:t>
      </w:r>
      <w:r w:rsidR="0092145E" w:rsidRPr="00CF77C1">
        <w:rPr>
          <w:b w:val="0"/>
          <w:lang w:val="sr-Cyrl-RS"/>
        </w:rPr>
        <w:fldChar w:fldCharType="begin"/>
      </w:r>
      <w:r w:rsidR="00D61BC9"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75</w:t>
      </w:r>
      <w:r w:rsidR="0092145E" w:rsidRPr="00CF77C1">
        <w:rPr>
          <w:b w:val="0"/>
          <w:lang w:val="sr-Cyrl-RS"/>
        </w:rPr>
        <w:fldChar w:fldCharType="end"/>
      </w:r>
      <w:r w:rsidR="00D66E85" w:rsidRPr="00CF77C1">
        <w:rPr>
          <w:b w:val="0"/>
          <w:lang w:val="sr-Cyrl-RS"/>
        </w:rPr>
        <w:t>: Динамика реализације активн</w:t>
      </w:r>
      <w:r w:rsidR="00FC6F6F">
        <w:rPr>
          <w:b w:val="0"/>
          <w:lang w:val="sr-Cyrl-RS"/>
        </w:rPr>
        <w:t>ости у периоду реализације ПОС</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2"/>
        <w:gridCol w:w="2410"/>
        <w:gridCol w:w="769"/>
        <w:gridCol w:w="770"/>
        <w:gridCol w:w="769"/>
        <w:gridCol w:w="770"/>
        <w:gridCol w:w="769"/>
        <w:gridCol w:w="770"/>
        <w:gridCol w:w="770"/>
      </w:tblGrid>
      <w:tr w:rsidR="00D66E85" w:rsidRPr="00CF77C1" w14:paraId="32131595" w14:textId="77777777" w:rsidTr="00D66E85">
        <w:trPr>
          <w:cantSplit/>
          <w:trHeight w:val="929"/>
          <w:tblHeader/>
        </w:trPr>
        <w:tc>
          <w:tcPr>
            <w:tcW w:w="6912" w:type="dxa"/>
            <w:shd w:val="clear" w:color="auto" w:fill="auto"/>
            <w:vAlign w:val="center"/>
          </w:tcPr>
          <w:p w14:paraId="24E809D4" w14:textId="77777777" w:rsidR="00D66E85" w:rsidRPr="00CF77C1" w:rsidRDefault="00D66E85" w:rsidP="0080044B">
            <w:pPr>
              <w:framePr w:hSpace="181" w:wrap="notBeside" w:vAnchor="text" w:hAnchor="text" w:y="1"/>
              <w:jc w:val="center"/>
              <w:rPr>
                <w:lang w:val="sr-Cyrl-RS"/>
              </w:rPr>
            </w:pPr>
            <w:r w:rsidRPr="00CF77C1">
              <w:rPr>
                <w:lang w:val="sr-Cyrl-RS"/>
              </w:rPr>
              <w:t>Пројекат:</w:t>
            </w:r>
          </w:p>
          <w:p w14:paraId="74CDCCD9" w14:textId="77777777" w:rsidR="00D66E85" w:rsidRPr="00CF77C1" w:rsidRDefault="00D66E85" w:rsidP="0080044B">
            <w:pPr>
              <w:framePr w:hSpace="181" w:wrap="notBeside" w:vAnchor="text" w:hAnchor="text" w:y="1"/>
              <w:jc w:val="center"/>
              <w:rPr>
                <w:lang w:val="sr-Cyrl-RS"/>
              </w:rPr>
            </w:pPr>
            <w:r w:rsidRPr="00CF77C1">
              <w:rPr>
                <w:bCs/>
                <w:lang w:val="sr-Cyrl-RS"/>
              </w:rPr>
              <w:t>Гаснa интерконекцијa Србија - Румунија</w:t>
            </w:r>
          </w:p>
        </w:tc>
        <w:tc>
          <w:tcPr>
            <w:tcW w:w="2410" w:type="dxa"/>
            <w:shd w:val="clear" w:color="auto" w:fill="auto"/>
            <w:vAlign w:val="center"/>
          </w:tcPr>
          <w:p w14:paraId="1638A1F0" w14:textId="77777777" w:rsidR="00D66E85" w:rsidRPr="00CF77C1" w:rsidRDefault="00DD69C2" w:rsidP="0080044B">
            <w:pPr>
              <w:framePr w:hSpace="181" w:wrap="notBeside" w:vAnchor="text" w:hAnchor="text" w:y="1"/>
              <w:jc w:val="center"/>
              <w:rPr>
                <w:lang w:val="sr-Cyrl-RS"/>
              </w:rPr>
            </w:pPr>
            <w:r w:rsidRPr="00CF77C1">
              <w:rPr>
                <w:lang w:val="sr-Cyrl-RS"/>
              </w:rPr>
              <w:t>Одговорни субјекат</w:t>
            </w:r>
          </w:p>
        </w:tc>
        <w:tc>
          <w:tcPr>
            <w:tcW w:w="769" w:type="dxa"/>
            <w:shd w:val="clear" w:color="auto" w:fill="auto"/>
            <w:vAlign w:val="center"/>
          </w:tcPr>
          <w:p w14:paraId="15A92678" w14:textId="77777777" w:rsidR="00D66E85" w:rsidRPr="00CF77C1" w:rsidRDefault="00D66E85" w:rsidP="0080044B">
            <w:pPr>
              <w:keepNext/>
              <w:framePr w:hSpace="181" w:wrap="notBeside" w:vAnchor="text" w:hAnchor="text" w:y="1"/>
              <w:jc w:val="center"/>
              <w:rPr>
                <w:lang w:val="sr-Cyrl-RS"/>
              </w:rPr>
            </w:pPr>
            <w:r w:rsidRPr="00CF77C1">
              <w:rPr>
                <w:lang w:val="sr-Cyrl-RS"/>
              </w:rPr>
              <w:t>2017.</w:t>
            </w:r>
          </w:p>
        </w:tc>
        <w:tc>
          <w:tcPr>
            <w:tcW w:w="770" w:type="dxa"/>
            <w:shd w:val="clear" w:color="auto" w:fill="auto"/>
            <w:vAlign w:val="center"/>
          </w:tcPr>
          <w:p w14:paraId="15357880" w14:textId="77777777" w:rsidR="00D66E85" w:rsidRPr="00CF77C1" w:rsidRDefault="00D66E85" w:rsidP="0080044B">
            <w:pPr>
              <w:keepNext/>
              <w:framePr w:hSpace="181" w:wrap="notBeside" w:vAnchor="text" w:hAnchor="text" w:y="1"/>
              <w:jc w:val="center"/>
              <w:rPr>
                <w:lang w:val="sr-Cyrl-RS"/>
              </w:rPr>
            </w:pPr>
            <w:r w:rsidRPr="00CF77C1">
              <w:rPr>
                <w:lang w:val="sr-Cyrl-RS"/>
              </w:rPr>
              <w:t>2018.</w:t>
            </w:r>
          </w:p>
        </w:tc>
        <w:tc>
          <w:tcPr>
            <w:tcW w:w="769" w:type="dxa"/>
            <w:shd w:val="clear" w:color="auto" w:fill="auto"/>
            <w:vAlign w:val="center"/>
          </w:tcPr>
          <w:p w14:paraId="3F5C951A" w14:textId="77777777" w:rsidR="00D66E85" w:rsidRPr="00CF77C1" w:rsidRDefault="00D66E85" w:rsidP="0080044B">
            <w:pPr>
              <w:keepNext/>
              <w:framePr w:hSpace="181" w:wrap="notBeside" w:vAnchor="text" w:hAnchor="text" w:y="1"/>
              <w:jc w:val="center"/>
              <w:rPr>
                <w:lang w:val="sr-Cyrl-RS"/>
              </w:rPr>
            </w:pPr>
            <w:r w:rsidRPr="00CF77C1">
              <w:rPr>
                <w:lang w:val="sr-Cyrl-RS"/>
              </w:rPr>
              <w:t>2019.</w:t>
            </w:r>
          </w:p>
        </w:tc>
        <w:tc>
          <w:tcPr>
            <w:tcW w:w="770" w:type="dxa"/>
            <w:shd w:val="clear" w:color="auto" w:fill="auto"/>
            <w:vAlign w:val="center"/>
          </w:tcPr>
          <w:p w14:paraId="5DD0CEAD" w14:textId="77777777" w:rsidR="00D66E85" w:rsidRPr="00CF77C1" w:rsidRDefault="00D66E85" w:rsidP="0080044B">
            <w:pPr>
              <w:keepNext/>
              <w:framePr w:hSpace="181" w:wrap="notBeside" w:vAnchor="text" w:hAnchor="text" w:y="1"/>
              <w:jc w:val="center"/>
              <w:rPr>
                <w:lang w:val="sr-Cyrl-RS"/>
              </w:rPr>
            </w:pPr>
            <w:r w:rsidRPr="00CF77C1">
              <w:rPr>
                <w:lang w:val="sr-Cyrl-RS"/>
              </w:rPr>
              <w:t>2020.</w:t>
            </w:r>
          </w:p>
        </w:tc>
        <w:tc>
          <w:tcPr>
            <w:tcW w:w="769" w:type="dxa"/>
            <w:shd w:val="clear" w:color="auto" w:fill="auto"/>
            <w:vAlign w:val="center"/>
          </w:tcPr>
          <w:p w14:paraId="2E95A096" w14:textId="77777777" w:rsidR="00D66E85" w:rsidRPr="00CF77C1" w:rsidRDefault="00D66E85" w:rsidP="0080044B">
            <w:pPr>
              <w:keepNext/>
              <w:framePr w:hSpace="181" w:wrap="notBeside" w:vAnchor="text" w:hAnchor="text" w:y="1"/>
              <w:jc w:val="center"/>
              <w:rPr>
                <w:lang w:val="sr-Cyrl-RS"/>
              </w:rPr>
            </w:pPr>
            <w:r w:rsidRPr="00CF77C1">
              <w:rPr>
                <w:lang w:val="sr-Cyrl-RS"/>
              </w:rPr>
              <w:t>2021.</w:t>
            </w:r>
          </w:p>
        </w:tc>
        <w:tc>
          <w:tcPr>
            <w:tcW w:w="770" w:type="dxa"/>
            <w:shd w:val="clear" w:color="auto" w:fill="auto"/>
            <w:vAlign w:val="center"/>
          </w:tcPr>
          <w:p w14:paraId="3D3E56E3" w14:textId="77777777" w:rsidR="00D66E85" w:rsidRPr="00CF77C1" w:rsidRDefault="00D66E85" w:rsidP="0080044B">
            <w:pPr>
              <w:keepNext/>
              <w:framePr w:hSpace="181" w:wrap="notBeside" w:vAnchor="text" w:hAnchor="text" w:y="1"/>
              <w:jc w:val="center"/>
              <w:rPr>
                <w:lang w:val="sr-Cyrl-RS"/>
              </w:rPr>
            </w:pPr>
            <w:r w:rsidRPr="00CF77C1">
              <w:rPr>
                <w:lang w:val="sr-Cyrl-RS"/>
              </w:rPr>
              <w:t>2022.</w:t>
            </w:r>
          </w:p>
        </w:tc>
        <w:tc>
          <w:tcPr>
            <w:tcW w:w="770" w:type="dxa"/>
            <w:vAlign w:val="center"/>
          </w:tcPr>
          <w:p w14:paraId="1B980561" w14:textId="77777777" w:rsidR="00D66E85" w:rsidRPr="00CF77C1" w:rsidRDefault="00D66E85" w:rsidP="0080044B">
            <w:pPr>
              <w:keepNext/>
              <w:framePr w:hSpace="181" w:wrap="notBeside" w:vAnchor="text" w:hAnchor="text" w:y="1"/>
              <w:jc w:val="center"/>
              <w:rPr>
                <w:lang w:val="sr-Cyrl-RS"/>
              </w:rPr>
            </w:pPr>
            <w:r w:rsidRPr="00CF77C1">
              <w:rPr>
                <w:lang w:val="sr-Cyrl-RS"/>
              </w:rPr>
              <w:t>2023.</w:t>
            </w:r>
          </w:p>
        </w:tc>
      </w:tr>
      <w:tr w:rsidR="000574F1" w:rsidRPr="00CF77C1" w14:paraId="74768B6E" w14:textId="77777777" w:rsidTr="00D66E85">
        <w:trPr>
          <w:cantSplit/>
          <w:trHeight w:val="349"/>
        </w:trPr>
        <w:tc>
          <w:tcPr>
            <w:tcW w:w="6912" w:type="dxa"/>
            <w:shd w:val="clear" w:color="auto" w:fill="auto"/>
            <w:vAlign w:val="center"/>
          </w:tcPr>
          <w:p w14:paraId="212FC993" w14:textId="77777777" w:rsidR="000574F1" w:rsidRPr="00CF77C1" w:rsidRDefault="000574F1" w:rsidP="0080044B">
            <w:pPr>
              <w:framePr w:hSpace="181" w:wrap="notBeside" w:vAnchor="text" w:hAnchor="text" w:y="1"/>
              <w:jc w:val="left"/>
              <w:rPr>
                <w:lang w:val="sr-Cyrl-RS"/>
              </w:rPr>
            </w:pPr>
            <w:r w:rsidRPr="00CF77C1">
              <w:rPr>
                <w:lang w:val="sr-Cyrl-RS"/>
              </w:rPr>
              <w:t>Припрема планске документације</w:t>
            </w:r>
          </w:p>
        </w:tc>
        <w:tc>
          <w:tcPr>
            <w:tcW w:w="2410" w:type="dxa"/>
            <w:vMerge w:val="restart"/>
            <w:shd w:val="clear" w:color="auto" w:fill="auto"/>
            <w:vAlign w:val="center"/>
          </w:tcPr>
          <w:p w14:paraId="4154DB14" w14:textId="75D1E458" w:rsidR="000574F1" w:rsidRPr="00CF77C1" w:rsidRDefault="00205D28" w:rsidP="0080044B">
            <w:pPr>
              <w:framePr w:hSpace="181" w:wrap="notBeside" w:vAnchor="text" w:hAnchor="text" w:y="1"/>
              <w:jc w:val="left"/>
              <w:rPr>
                <w:lang w:val="sr-Cyrl-RS"/>
              </w:rPr>
            </w:pPr>
            <w:r w:rsidRPr="00CF77C1">
              <w:rPr>
                <w:lang w:val="sr-Cyrl-RS"/>
              </w:rPr>
              <w:t>Транспортгас Србија д.о.о.</w:t>
            </w:r>
          </w:p>
        </w:tc>
        <w:tc>
          <w:tcPr>
            <w:tcW w:w="769" w:type="dxa"/>
            <w:shd w:val="clear" w:color="auto" w:fill="auto"/>
            <w:vAlign w:val="center"/>
          </w:tcPr>
          <w:p w14:paraId="6F655D76"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1EBF77D9"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32657C9A"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7A69DF55"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4AA9B358"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B520D5C" w14:textId="77777777" w:rsidR="000574F1" w:rsidRPr="00CF77C1" w:rsidRDefault="000574F1" w:rsidP="0080044B">
            <w:pPr>
              <w:framePr w:hSpace="181" w:wrap="notBeside" w:vAnchor="text" w:hAnchor="text" w:y="1"/>
              <w:jc w:val="center"/>
              <w:rPr>
                <w:szCs w:val="24"/>
                <w:lang w:val="sr-Cyrl-RS"/>
              </w:rPr>
            </w:pPr>
            <w:r w:rsidRPr="00CF77C1">
              <w:rPr>
                <w:szCs w:val="24"/>
                <w:lang w:val="sr-Cyrl-RS"/>
              </w:rPr>
              <w:t>x</w:t>
            </w:r>
          </w:p>
        </w:tc>
        <w:tc>
          <w:tcPr>
            <w:tcW w:w="770" w:type="dxa"/>
            <w:vAlign w:val="center"/>
          </w:tcPr>
          <w:p w14:paraId="45D76CD2" w14:textId="77777777" w:rsidR="000574F1" w:rsidRPr="00CF77C1" w:rsidRDefault="000574F1" w:rsidP="0080044B">
            <w:pPr>
              <w:framePr w:hSpace="181" w:wrap="notBeside" w:vAnchor="text" w:hAnchor="text" w:y="1"/>
              <w:jc w:val="center"/>
              <w:rPr>
                <w:szCs w:val="24"/>
                <w:lang w:val="sr-Cyrl-RS"/>
              </w:rPr>
            </w:pPr>
          </w:p>
        </w:tc>
      </w:tr>
      <w:tr w:rsidR="000574F1" w:rsidRPr="00CF77C1" w14:paraId="1DEA0D1E" w14:textId="77777777" w:rsidTr="00D66E85">
        <w:trPr>
          <w:cantSplit/>
          <w:trHeight w:val="370"/>
        </w:trPr>
        <w:tc>
          <w:tcPr>
            <w:tcW w:w="6912" w:type="dxa"/>
            <w:shd w:val="clear" w:color="auto" w:fill="auto"/>
            <w:vAlign w:val="center"/>
          </w:tcPr>
          <w:p w14:paraId="02CFDE52" w14:textId="77777777" w:rsidR="000574F1" w:rsidRPr="00CF77C1" w:rsidRDefault="000574F1" w:rsidP="0080044B">
            <w:pPr>
              <w:framePr w:hSpace="181" w:wrap="notBeside" w:vAnchor="text" w:hAnchor="text" w:y="1"/>
              <w:jc w:val="left"/>
              <w:rPr>
                <w:lang w:val="sr-Cyrl-RS"/>
              </w:rPr>
            </w:pPr>
            <w:r w:rsidRPr="00CF77C1">
              <w:rPr>
                <w:lang w:val="sr-Cyrl-RS"/>
              </w:rPr>
              <w:t>Истражни радови</w:t>
            </w:r>
          </w:p>
        </w:tc>
        <w:tc>
          <w:tcPr>
            <w:tcW w:w="2410" w:type="dxa"/>
            <w:vMerge/>
            <w:shd w:val="clear" w:color="auto" w:fill="auto"/>
            <w:vAlign w:val="center"/>
          </w:tcPr>
          <w:p w14:paraId="7B909DDE"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760542B0"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42DC4037"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1698559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D17A8D7"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3FB52209"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22E79CB2"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2A7321F2" w14:textId="77777777" w:rsidR="000574F1" w:rsidRPr="00CF77C1" w:rsidRDefault="000574F1" w:rsidP="0080044B">
            <w:pPr>
              <w:framePr w:hSpace="181" w:wrap="notBeside" w:vAnchor="text" w:hAnchor="text" w:y="1"/>
              <w:jc w:val="center"/>
              <w:rPr>
                <w:szCs w:val="24"/>
                <w:lang w:val="sr-Cyrl-RS"/>
              </w:rPr>
            </w:pPr>
            <w:r w:rsidRPr="00CF77C1">
              <w:rPr>
                <w:szCs w:val="24"/>
                <w:lang w:val="sr-Cyrl-RS"/>
              </w:rPr>
              <w:t>x</w:t>
            </w:r>
          </w:p>
        </w:tc>
      </w:tr>
      <w:tr w:rsidR="000574F1" w:rsidRPr="00CF77C1" w14:paraId="4A50900F" w14:textId="77777777" w:rsidTr="00D66E85">
        <w:trPr>
          <w:cantSplit/>
          <w:trHeight w:val="248"/>
        </w:trPr>
        <w:tc>
          <w:tcPr>
            <w:tcW w:w="6912" w:type="dxa"/>
            <w:shd w:val="clear" w:color="auto" w:fill="auto"/>
            <w:vAlign w:val="center"/>
          </w:tcPr>
          <w:p w14:paraId="37060753" w14:textId="77777777" w:rsidR="000574F1" w:rsidRPr="00CF77C1" w:rsidRDefault="000574F1" w:rsidP="0080044B">
            <w:pPr>
              <w:framePr w:hSpace="181" w:wrap="notBeside" w:vAnchor="text" w:hAnchor="text" w:y="1"/>
              <w:jc w:val="left"/>
              <w:rPr>
                <w:lang w:val="sr-Cyrl-RS"/>
              </w:rPr>
            </w:pPr>
            <w:r w:rsidRPr="00CF77C1">
              <w:rPr>
                <w:lang w:val="sr-Cyrl-RS"/>
              </w:rPr>
              <w:t>Идејно решење и локацијска дозвола</w:t>
            </w:r>
          </w:p>
        </w:tc>
        <w:tc>
          <w:tcPr>
            <w:tcW w:w="2410" w:type="dxa"/>
            <w:vMerge/>
            <w:shd w:val="clear" w:color="auto" w:fill="auto"/>
            <w:vAlign w:val="center"/>
          </w:tcPr>
          <w:p w14:paraId="7D53C34E"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11788478"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577EB041"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323CA47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5B7DACC3"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7F599EA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2C27BF57"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0BE42448" w14:textId="77777777" w:rsidR="000574F1" w:rsidRPr="00CF77C1" w:rsidRDefault="000574F1" w:rsidP="0080044B">
            <w:pPr>
              <w:framePr w:hSpace="181" w:wrap="notBeside" w:vAnchor="text" w:hAnchor="text" w:y="1"/>
              <w:jc w:val="center"/>
              <w:rPr>
                <w:szCs w:val="24"/>
                <w:lang w:val="sr-Cyrl-RS"/>
              </w:rPr>
            </w:pPr>
            <w:r w:rsidRPr="00CF77C1">
              <w:rPr>
                <w:szCs w:val="24"/>
                <w:lang w:val="sr-Cyrl-RS"/>
              </w:rPr>
              <w:t>x</w:t>
            </w:r>
          </w:p>
        </w:tc>
      </w:tr>
      <w:tr w:rsidR="000574F1" w:rsidRPr="00CF77C1" w14:paraId="08B48595" w14:textId="77777777" w:rsidTr="00D66E85">
        <w:trPr>
          <w:cantSplit/>
          <w:trHeight w:val="303"/>
        </w:trPr>
        <w:tc>
          <w:tcPr>
            <w:tcW w:w="6912" w:type="dxa"/>
            <w:shd w:val="clear" w:color="auto" w:fill="auto"/>
            <w:vAlign w:val="center"/>
          </w:tcPr>
          <w:p w14:paraId="0FB3683E" w14:textId="77777777" w:rsidR="000574F1" w:rsidRPr="00CF77C1" w:rsidRDefault="000574F1" w:rsidP="0080044B">
            <w:pPr>
              <w:framePr w:hSpace="181" w:wrap="notBeside" w:vAnchor="text" w:hAnchor="text" w:y="1"/>
              <w:jc w:val="left"/>
              <w:rPr>
                <w:lang w:val="sr-Cyrl-RS"/>
              </w:rPr>
            </w:pPr>
            <w:r w:rsidRPr="00CF77C1">
              <w:rPr>
                <w:lang w:val="sr-Cyrl-RS"/>
              </w:rPr>
              <w:t>Студија о процени утицаја на животну средину и друштво</w:t>
            </w:r>
          </w:p>
        </w:tc>
        <w:tc>
          <w:tcPr>
            <w:tcW w:w="2410" w:type="dxa"/>
            <w:vMerge/>
            <w:shd w:val="clear" w:color="auto" w:fill="auto"/>
            <w:vAlign w:val="center"/>
          </w:tcPr>
          <w:p w14:paraId="70B2CF5D"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16CA0F82"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0C1B748"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02A122D2"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7AC187B6"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6D803E8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BEB1FFF"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363775F2" w14:textId="77777777" w:rsidR="000574F1" w:rsidRPr="00CF77C1" w:rsidRDefault="000574F1" w:rsidP="0080044B">
            <w:pPr>
              <w:framePr w:hSpace="181" w:wrap="notBeside" w:vAnchor="text" w:hAnchor="text" w:y="1"/>
              <w:jc w:val="center"/>
              <w:rPr>
                <w:szCs w:val="24"/>
                <w:lang w:val="sr-Cyrl-RS"/>
              </w:rPr>
            </w:pPr>
            <w:r w:rsidRPr="00CF77C1">
              <w:rPr>
                <w:szCs w:val="24"/>
                <w:lang w:val="sr-Cyrl-RS"/>
              </w:rPr>
              <w:t>x</w:t>
            </w:r>
          </w:p>
        </w:tc>
      </w:tr>
      <w:tr w:rsidR="000574F1" w:rsidRPr="00CF77C1" w14:paraId="2CA25553" w14:textId="77777777" w:rsidTr="00D66E85">
        <w:trPr>
          <w:cantSplit/>
          <w:trHeight w:val="323"/>
        </w:trPr>
        <w:tc>
          <w:tcPr>
            <w:tcW w:w="6912" w:type="dxa"/>
            <w:shd w:val="clear" w:color="auto" w:fill="auto"/>
            <w:vAlign w:val="center"/>
          </w:tcPr>
          <w:p w14:paraId="10754F3E" w14:textId="77777777" w:rsidR="000574F1" w:rsidRPr="00CF77C1" w:rsidRDefault="000574F1" w:rsidP="0080044B">
            <w:pPr>
              <w:framePr w:hSpace="181" w:wrap="notBeside" w:vAnchor="text" w:hAnchor="text" w:y="1"/>
              <w:jc w:val="left"/>
              <w:rPr>
                <w:lang w:val="sr-Cyrl-RS"/>
              </w:rPr>
            </w:pPr>
            <w:r w:rsidRPr="00CF77C1">
              <w:rPr>
                <w:lang w:val="sr-Cyrl-RS"/>
              </w:rPr>
              <w:t>Решавање имовинско-правних послова</w:t>
            </w:r>
          </w:p>
        </w:tc>
        <w:tc>
          <w:tcPr>
            <w:tcW w:w="2410" w:type="dxa"/>
            <w:vMerge/>
            <w:shd w:val="clear" w:color="auto" w:fill="auto"/>
            <w:vAlign w:val="center"/>
          </w:tcPr>
          <w:p w14:paraId="7F6DB425"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2EA4D93E"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052EE549"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731ED91D"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017C2533"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12ABCC27"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3C3B79A"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66678691" w14:textId="77777777" w:rsidR="000574F1" w:rsidRPr="00CF77C1" w:rsidRDefault="000574F1" w:rsidP="0080044B">
            <w:pPr>
              <w:framePr w:hSpace="181" w:wrap="notBeside" w:vAnchor="text" w:hAnchor="text" w:y="1"/>
              <w:jc w:val="center"/>
              <w:rPr>
                <w:szCs w:val="24"/>
                <w:lang w:val="sr-Cyrl-RS"/>
              </w:rPr>
            </w:pPr>
            <w:r w:rsidRPr="00CF77C1">
              <w:rPr>
                <w:szCs w:val="24"/>
                <w:lang w:val="sr-Cyrl-RS"/>
              </w:rPr>
              <w:t>x</w:t>
            </w:r>
          </w:p>
        </w:tc>
      </w:tr>
      <w:tr w:rsidR="000574F1" w:rsidRPr="00CF77C1" w14:paraId="7520E3D2" w14:textId="77777777" w:rsidTr="00D66E85">
        <w:trPr>
          <w:cantSplit/>
          <w:trHeight w:val="343"/>
        </w:trPr>
        <w:tc>
          <w:tcPr>
            <w:tcW w:w="6912" w:type="dxa"/>
            <w:shd w:val="clear" w:color="auto" w:fill="auto"/>
            <w:vAlign w:val="center"/>
          </w:tcPr>
          <w:p w14:paraId="6AB01329" w14:textId="77777777" w:rsidR="000574F1" w:rsidRPr="00CF77C1" w:rsidRDefault="000574F1" w:rsidP="0080044B">
            <w:pPr>
              <w:framePr w:hSpace="181" w:wrap="notBeside" w:vAnchor="text" w:hAnchor="text" w:y="1"/>
              <w:jc w:val="left"/>
              <w:rPr>
                <w:lang w:val="sr-Cyrl-RS"/>
              </w:rPr>
            </w:pPr>
            <w:r w:rsidRPr="00CF77C1">
              <w:rPr>
                <w:lang w:val="sr-Cyrl-RS"/>
              </w:rPr>
              <w:t>Идејни пројекат и студија оправданости</w:t>
            </w:r>
          </w:p>
        </w:tc>
        <w:tc>
          <w:tcPr>
            <w:tcW w:w="2410" w:type="dxa"/>
            <w:vMerge/>
            <w:shd w:val="clear" w:color="auto" w:fill="auto"/>
            <w:vAlign w:val="center"/>
          </w:tcPr>
          <w:p w14:paraId="7FDC0D11"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37EE4B1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4BC2E228"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0E6AF299"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37E997CC"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17713A2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DD02010"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646AED5D" w14:textId="77777777" w:rsidR="000574F1" w:rsidRPr="00CF77C1" w:rsidRDefault="000574F1" w:rsidP="0080044B">
            <w:pPr>
              <w:framePr w:hSpace="181" w:wrap="notBeside" w:vAnchor="text" w:hAnchor="text" w:y="1"/>
              <w:jc w:val="center"/>
              <w:rPr>
                <w:szCs w:val="24"/>
                <w:lang w:val="sr-Cyrl-RS"/>
              </w:rPr>
            </w:pPr>
            <w:r w:rsidRPr="00CF77C1">
              <w:rPr>
                <w:szCs w:val="24"/>
                <w:lang w:val="sr-Cyrl-RS"/>
              </w:rPr>
              <w:t>x</w:t>
            </w:r>
          </w:p>
        </w:tc>
      </w:tr>
      <w:tr w:rsidR="000574F1" w:rsidRPr="00CF77C1" w14:paraId="312D7A28" w14:textId="77777777" w:rsidTr="00D66E85">
        <w:trPr>
          <w:cantSplit/>
          <w:trHeight w:val="364"/>
        </w:trPr>
        <w:tc>
          <w:tcPr>
            <w:tcW w:w="6912" w:type="dxa"/>
            <w:shd w:val="clear" w:color="auto" w:fill="auto"/>
            <w:vAlign w:val="center"/>
          </w:tcPr>
          <w:p w14:paraId="09D0E3BB" w14:textId="77777777" w:rsidR="000574F1" w:rsidRPr="00CF77C1" w:rsidRDefault="000574F1" w:rsidP="0080044B">
            <w:pPr>
              <w:framePr w:hSpace="181" w:wrap="notBeside" w:vAnchor="text" w:hAnchor="text" w:y="1"/>
              <w:jc w:val="left"/>
              <w:rPr>
                <w:lang w:val="sr-Cyrl-RS"/>
              </w:rPr>
            </w:pPr>
            <w:r w:rsidRPr="00CF77C1">
              <w:rPr>
                <w:lang w:val="sr-Cyrl-RS"/>
              </w:rPr>
              <w:t>Енергетска дозвола</w:t>
            </w:r>
          </w:p>
        </w:tc>
        <w:tc>
          <w:tcPr>
            <w:tcW w:w="2410" w:type="dxa"/>
            <w:vMerge/>
            <w:shd w:val="clear" w:color="auto" w:fill="auto"/>
            <w:vAlign w:val="center"/>
          </w:tcPr>
          <w:p w14:paraId="2DBD3AE7"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4F896BB6"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5F5FD02"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28F8120A"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4FD8DB14"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4D59791D"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7C88281F"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0E781E42" w14:textId="77777777" w:rsidR="000574F1" w:rsidRPr="00CF77C1" w:rsidRDefault="000574F1" w:rsidP="0080044B">
            <w:pPr>
              <w:framePr w:hSpace="181" w:wrap="notBeside" w:vAnchor="text" w:hAnchor="text" w:y="1"/>
              <w:jc w:val="center"/>
              <w:rPr>
                <w:szCs w:val="24"/>
                <w:lang w:val="sr-Cyrl-RS"/>
              </w:rPr>
            </w:pPr>
          </w:p>
        </w:tc>
      </w:tr>
      <w:tr w:rsidR="000574F1" w:rsidRPr="00CF77C1" w14:paraId="626D8F25" w14:textId="77777777" w:rsidTr="00D66E85">
        <w:trPr>
          <w:cantSplit/>
          <w:trHeight w:val="397"/>
        </w:trPr>
        <w:tc>
          <w:tcPr>
            <w:tcW w:w="6912" w:type="dxa"/>
            <w:shd w:val="clear" w:color="auto" w:fill="auto"/>
            <w:vAlign w:val="center"/>
          </w:tcPr>
          <w:p w14:paraId="38B42281" w14:textId="77777777" w:rsidR="000574F1" w:rsidRPr="00CF77C1" w:rsidRDefault="000574F1" w:rsidP="0080044B">
            <w:pPr>
              <w:framePr w:hSpace="181" w:wrap="notBeside" w:vAnchor="text" w:hAnchor="text" w:y="1"/>
              <w:jc w:val="left"/>
              <w:rPr>
                <w:lang w:val="sr-Cyrl-RS"/>
              </w:rPr>
            </w:pPr>
            <w:r w:rsidRPr="00CF77C1">
              <w:rPr>
                <w:lang w:val="sr-Cyrl-RS"/>
              </w:rPr>
              <w:t>Пројекат за грађевинску дозволу и грађевинска дозвола</w:t>
            </w:r>
          </w:p>
        </w:tc>
        <w:tc>
          <w:tcPr>
            <w:tcW w:w="2410" w:type="dxa"/>
            <w:vMerge/>
            <w:shd w:val="clear" w:color="auto" w:fill="auto"/>
            <w:vAlign w:val="center"/>
          </w:tcPr>
          <w:p w14:paraId="719C7DC3"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1B9185F2"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38CC622A"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13DEC984"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64E581C7"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53B08B4E"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36DD0B46"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59065166" w14:textId="77777777" w:rsidR="000574F1" w:rsidRPr="00CF77C1" w:rsidRDefault="000574F1" w:rsidP="0080044B">
            <w:pPr>
              <w:framePr w:hSpace="181" w:wrap="notBeside" w:vAnchor="text" w:hAnchor="text" w:y="1"/>
              <w:jc w:val="center"/>
              <w:rPr>
                <w:szCs w:val="24"/>
                <w:lang w:val="sr-Cyrl-RS"/>
              </w:rPr>
            </w:pPr>
          </w:p>
        </w:tc>
      </w:tr>
      <w:tr w:rsidR="000574F1" w:rsidRPr="00CF77C1" w14:paraId="56231492" w14:textId="77777777" w:rsidTr="00D66E85">
        <w:trPr>
          <w:cantSplit/>
          <w:trHeight w:val="262"/>
        </w:trPr>
        <w:tc>
          <w:tcPr>
            <w:tcW w:w="6912" w:type="dxa"/>
            <w:shd w:val="clear" w:color="auto" w:fill="auto"/>
            <w:vAlign w:val="center"/>
          </w:tcPr>
          <w:p w14:paraId="20195729" w14:textId="77777777" w:rsidR="000574F1" w:rsidRPr="00CF77C1" w:rsidRDefault="000574F1" w:rsidP="0080044B">
            <w:pPr>
              <w:framePr w:hSpace="181" w:wrap="notBeside" w:vAnchor="text" w:hAnchor="text" w:y="1"/>
              <w:jc w:val="left"/>
              <w:rPr>
                <w:lang w:val="sr-Cyrl-RS"/>
              </w:rPr>
            </w:pPr>
            <w:r w:rsidRPr="00CF77C1">
              <w:rPr>
                <w:lang w:val="sr-Cyrl-RS"/>
              </w:rPr>
              <w:t>Израда тендерске документације</w:t>
            </w:r>
          </w:p>
        </w:tc>
        <w:tc>
          <w:tcPr>
            <w:tcW w:w="2410" w:type="dxa"/>
            <w:vMerge/>
            <w:shd w:val="clear" w:color="auto" w:fill="auto"/>
            <w:vAlign w:val="center"/>
          </w:tcPr>
          <w:p w14:paraId="073175C6"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0F7FD10C"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358381F7"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111DBAF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3C99A411"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6D37E4F5"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14578178"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7C0E92CF" w14:textId="77777777" w:rsidR="000574F1" w:rsidRPr="00CF77C1" w:rsidRDefault="000574F1" w:rsidP="0080044B">
            <w:pPr>
              <w:framePr w:hSpace="181" w:wrap="notBeside" w:vAnchor="text" w:hAnchor="text" w:y="1"/>
              <w:jc w:val="center"/>
              <w:rPr>
                <w:szCs w:val="24"/>
                <w:lang w:val="sr-Cyrl-RS"/>
              </w:rPr>
            </w:pPr>
          </w:p>
        </w:tc>
      </w:tr>
      <w:tr w:rsidR="000574F1" w:rsidRPr="00CF77C1" w14:paraId="563AFEE9" w14:textId="77777777" w:rsidTr="00D66E85">
        <w:trPr>
          <w:cantSplit/>
          <w:trHeight w:val="282"/>
        </w:trPr>
        <w:tc>
          <w:tcPr>
            <w:tcW w:w="6912" w:type="dxa"/>
            <w:shd w:val="clear" w:color="auto" w:fill="auto"/>
            <w:vAlign w:val="center"/>
          </w:tcPr>
          <w:p w14:paraId="1AD90B2B" w14:textId="77777777" w:rsidR="000574F1" w:rsidRPr="00CF77C1" w:rsidRDefault="000574F1" w:rsidP="0080044B">
            <w:pPr>
              <w:framePr w:hSpace="181" w:wrap="notBeside" w:vAnchor="text" w:hAnchor="text" w:y="1"/>
              <w:jc w:val="left"/>
              <w:rPr>
                <w:lang w:val="sr-Cyrl-RS"/>
              </w:rPr>
            </w:pPr>
            <w:r w:rsidRPr="00CF77C1">
              <w:rPr>
                <w:lang w:val="sr-Cyrl-RS"/>
              </w:rPr>
              <w:t>Пројекат за извођење</w:t>
            </w:r>
          </w:p>
        </w:tc>
        <w:tc>
          <w:tcPr>
            <w:tcW w:w="2410" w:type="dxa"/>
            <w:vMerge/>
            <w:shd w:val="clear" w:color="auto" w:fill="auto"/>
            <w:vAlign w:val="center"/>
          </w:tcPr>
          <w:p w14:paraId="138E3A34" w14:textId="77777777" w:rsidR="000574F1" w:rsidRPr="00CF77C1" w:rsidRDefault="000574F1" w:rsidP="0080044B">
            <w:pPr>
              <w:framePr w:hSpace="181" w:wrap="notBeside" w:vAnchor="text" w:hAnchor="text" w:y="1"/>
              <w:jc w:val="left"/>
              <w:rPr>
                <w:lang w:val="sr-Cyrl-RS"/>
              </w:rPr>
            </w:pPr>
          </w:p>
        </w:tc>
        <w:tc>
          <w:tcPr>
            <w:tcW w:w="769" w:type="dxa"/>
            <w:shd w:val="clear" w:color="auto" w:fill="auto"/>
            <w:vAlign w:val="center"/>
          </w:tcPr>
          <w:p w14:paraId="525B9E9A"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1FE05F40"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7DB2E3E7"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52DE03F6"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2A4AD5B3"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13F50BFF"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3AD9F28E" w14:textId="77777777" w:rsidR="000574F1" w:rsidRPr="00CF77C1" w:rsidRDefault="000574F1" w:rsidP="0080044B">
            <w:pPr>
              <w:framePr w:hSpace="181" w:wrap="notBeside" w:vAnchor="text" w:hAnchor="text" w:y="1"/>
              <w:jc w:val="center"/>
              <w:rPr>
                <w:szCs w:val="24"/>
                <w:lang w:val="sr-Cyrl-RS"/>
              </w:rPr>
            </w:pPr>
          </w:p>
        </w:tc>
      </w:tr>
      <w:tr w:rsidR="000574F1" w:rsidRPr="00CF77C1" w14:paraId="67EC6184" w14:textId="77777777" w:rsidTr="00D66E85">
        <w:trPr>
          <w:cantSplit/>
          <w:trHeight w:val="378"/>
        </w:trPr>
        <w:tc>
          <w:tcPr>
            <w:tcW w:w="6912" w:type="dxa"/>
            <w:shd w:val="clear" w:color="auto" w:fill="auto"/>
            <w:vAlign w:val="center"/>
          </w:tcPr>
          <w:p w14:paraId="30521BDE" w14:textId="77777777" w:rsidR="000574F1" w:rsidRPr="00CF77C1" w:rsidRDefault="000574F1" w:rsidP="0080044B">
            <w:pPr>
              <w:framePr w:hSpace="181" w:wrap="notBeside" w:vAnchor="text" w:hAnchor="text" w:y="1"/>
              <w:jc w:val="left"/>
              <w:rPr>
                <w:lang w:val="sr-Cyrl-RS"/>
              </w:rPr>
            </w:pPr>
            <w:r w:rsidRPr="00CF77C1">
              <w:rPr>
                <w:lang w:val="sr-Cyrl-RS"/>
              </w:rPr>
              <w:t>Изградња</w:t>
            </w:r>
          </w:p>
        </w:tc>
        <w:tc>
          <w:tcPr>
            <w:tcW w:w="2410" w:type="dxa"/>
            <w:shd w:val="clear" w:color="auto" w:fill="auto"/>
            <w:vAlign w:val="center"/>
          </w:tcPr>
          <w:p w14:paraId="5903EAB7" w14:textId="77777777" w:rsidR="000574F1" w:rsidRPr="00CF77C1" w:rsidRDefault="000574F1" w:rsidP="0080044B">
            <w:pPr>
              <w:framePr w:hSpace="181" w:wrap="notBeside" w:vAnchor="text" w:hAnchor="text" w:y="1"/>
              <w:jc w:val="left"/>
              <w:rPr>
                <w:lang w:val="sr-Cyrl-RS"/>
              </w:rPr>
            </w:pPr>
            <w:r w:rsidRPr="00CF77C1">
              <w:rPr>
                <w:lang w:val="sr-Cyrl-RS"/>
              </w:rPr>
              <w:t>-</w:t>
            </w:r>
          </w:p>
        </w:tc>
        <w:tc>
          <w:tcPr>
            <w:tcW w:w="769" w:type="dxa"/>
            <w:shd w:val="clear" w:color="auto" w:fill="auto"/>
            <w:vAlign w:val="center"/>
          </w:tcPr>
          <w:p w14:paraId="06504ADF"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5154FF10"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44C9EF8A"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11F75C19" w14:textId="77777777" w:rsidR="000574F1" w:rsidRPr="00CF77C1" w:rsidRDefault="000574F1" w:rsidP="0080044B">
            <w:pPr>
              <w:framePr w:hSpace="181" w:wrap="notBeside" w:vAnchor="text" w:hAnchor="text" w:y="1"/>
              <w:jc w:val="center"/>
              <w:rPr>
                <w:szCs w:val="24"/>
                <w:lang w:val="sr-Cyrl-RS"/>
              </w:rPr>
            </w:pPr>
          </w:p>
        </w:tc>
        <w:tc>
          <w:tcPr>
            <w:tcW w:w="769" w:type="dxa"/>
            <w:shd w:val="clear" w:color="auto" w:fill="auto"/>
            <w:vAlign w:val="center"/>
          </w:tcPr>
          <w:p w14:paraId="5994F230" w14:textId="77777777" w:rsidR="000574F1" w:rsidRPr="00CF77C1" w:rsidRDefault="000574F1" w:rsidP="0080044B">
            <w:pPr>
              <w:framePr w:hSpace="181" w:wrap="notBeside" w:vAnchor="text" w:hAnchor="text" w:y="1"/>
              <w:jc w:val="center"/>
              <w:rPr>
                <w:szCs w:val="24"/>
                <w:lang w:val="sr-Cyrl-RS"/>
              </w:rPr>
            </w:pPr>
          </w:p>
        </w:tc>
        <w:tc>
          <w:tcPr>
            <w:tcW w:w="770" w:type="dxa"/>
            <w:shd w:val="clear" w:color="auto" w:fill="auto"/>
            <w:vAlign w:val="center"/>
          </w:tcPr>
          <w:p w14:paraId="421C03BD" w14:textId="77777777" w:rsidR="000574F1" w:rsidRPr="00CF77C1" w:rsidRDefault="000574F1" w:rsidP="0080044B">
            <w:pPr>
              <w:framePr w:hSpace="181" w:wrap="notBeside" w:vAnchor="text" w:hAnchor="text" w:y="1"/>
              <w:jc w:val="center"/>
              <w:rPr>
                <w:szCs w:val="24"/>
                <w:lang w:val="sr-Cyrl-RS"/>
              </w:rPr>
            </w:pPr>
          </w:p>
        </w:tc>
        <w:tc>
          <w:tcPr>
            <w:tcW w:w="770" w:type="dxa"/>
            <w:vAlign w:val="center"/>
          </w:tcPr>
          <w:p w14:paraId="47C83D81" w14:textId="77777777" w:rsidR="000574F1" w:rsidRPr="00CF77C1" w:rsidRDefault="000574F1" w:rsidP="0080044B">
            <w:pPr>
              <w:framePr w:hSpace="181" w:wrap="notBeside" w:vAnchor="text" w:hAnchor="text" w:y="1"/>
              <w:jc w:val="center"/>
              <w:rPr>
                <w:szCs w:val="24"/>
                <w:lang w:val="sr-Cyrl-RS"/>
              </w:rPr>
            </w:pPr>
          </w:p>
        </w:tc>
      </w:tr>
    </w:tbl>
    <w:p w14:paraId="7265F51E" w14:textId="77777777" w:rsidR="00D66E85" w:rsidRPr="00CF77C1" w:rsidRDefault="00D66E85" w:rsidP="0080044B">
      <w:pPr>
        <w:rPr>
          <w:lang w:val="sr-Cyrl-RS"/>
        </w:rPr>
      </w:pPr>
    </w:p>
    <w:p w14:paraId="4C797CE1" w14:textId="1D9450D8" w:rsidR="00D66E85" w:rsidRPr="00CF77C1" w:rsidRDefault="008C6DCA" w:rsidP="008C6DCA">
      <w:pPr>
        <w:pStyle w:val="ListParagraph"/>
        <w:keepNext/>
        <w:contextualSpacing w:val="0"/>
        <w:rPr>
          <w:lang w:val="sr-Cyrl-RS"/>
        </w:rPr>
      </w:pPr>
      <w:bookmarkStart w:id="156" w:name="_Ref476806084"/>
      <w:r w:rsidRPr="00CF77C1">
        <w:rPr>
          <w:lang w:val="sr-Cyrl-RS"/>
        </w:rPr>
        <w:t xml:space="preserve">П.24. </w:t>
      </w:r>
      <w:r w:rsidR="00D66E85" w:rsidRPr="00CF77C1">
        <w:rPr>
          <w:lang w:val="sr-Cyrl-RS"/>
        </w:rPr>
        <w:t>Пројекaт проширења капацитета подземног складишта гаса Банатски Двор</w:t>
      </w:r>
      <w:bookmarkEnd w:id="156"/>
    </w:p>
    <w:p w14:paraId="6BB89CAD" w14:textId="388FAD5F"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76</w:t>
      </w:r>
      <w:r w:rsidR="0092145E" w:rsidRPr="00CF77C1">
        <w:rPr>
          <w:b w:val="0"/>
          <w:lang w:val="sr-Cyrl-RS"/>
        </w:rPr>
        <w:fldChar w:fldCharType="end"/>
      </w:r>
      <w:r w:rsidR="00D66E85" w:rsidRPr="00CF77C1">
        <w:rPr>
          <w:b w:val="0"/>
          <w:lang w:val="sr-Cyrl-RS"/>
        </w:rPr>
        <w:t>: Основне карактеристике пројекта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6044"/>
        <w:gridCol w:w="2976"/>
        <w:gridCol w:w="3261"/>
      </w:tblGrid>
      <w:tr w:rsidR="00D66E85" w:rsidRPr="00CF77C1" w14:paraId="7B6412EE" w14:textId="77777777" w:rsidTr="00D66E85">
        <w:tc>
          <w:tcPr>
            <w:tcW w:w="2428" w:type="dxa"/>
            <w:shd w:val="clear" w:color="auto" w:fill="auto"/>
            <w:vAlign w:val="center"/>
          </w:tcPr>
          <w:p w14:paraId="245F89FE" w14:textId="77777777" w:rsidR="00D66E85" w:rsidRPr="00CF77C1" w:rsidRDefault="00D66E85" w:rsidP="0080044B">
            <w:pPr>
              <w:framePr w:hSpace="181" w:wrap="notBeside" w:vAnchor="text" w:hAnchor="text" w:y="1"/>
              <w:jc w:val="center"/>
              <w:rPr>
                <w:lang w:val="sr-Cyrl-RS"/>
              </w:rPr>
            </w:pPr>
            <w:r w:rsidRPr="00CF77C1">
              <w:rPr>
                <w:lang w:val="sr-Cyrl-RS"/>
              </w:rPr>
              <w:t>Техничке карактеристике</w:t>
            </w:r>
          </w:p>
        </w:tc>
        <w:tc>
          <w:tcPr>
            <w:tcW w:w="6044" w:type="dxa"/>
            <w:vAlign w:val="center"/>
          </w:tcPr>
          <w:p w14:paraId="003D938B" w14:textId="77777777" w:rsidR="00D66E85" w:rsidRPr="00CF77C1" w:rsidRDefault="00D66E85" w:rsidP="0080044B">
            <w:pPr>
              <w:framePr w:hSpace="181" w:wrap="notBeside" w:vAnchor="text" w:hAnchor="text" w:y="1"/>
              <w:jc w:val="center"/>
              <w:rPr>
                <w:lang w:val="sr-Cyrl-RS"/>
              </w:rPr>
            </w:pPr>
            <w:r w:rsidRPr="00CF77C1">
              <w:rPr>
                <w:lang w:val="sr-Cyrl-RS"/>
              </w:rPr>
              <w:t>Опис</w:t>
            </w:r>
          </w:p>
        </w:tc>
        <w:tc>
          <w:tcPr>
            <w:tcW w:w="2976" w:type="dxa"/>
            <w:vAlign w:val="center"/>
          </w:tcPr>
          <w:p w14:paraId="5551ECCC" w14:textId="77777777" w:rsidR="00D66E85" w:rsidRPr="00CF77C1" w:rsidRDefault="00D66E85" w:rsidP="0080044B">
            <w:pPr>
              <w:framePr w:hSpace="181" w:wrap="notBeside" w:vAnchor="text" w:hAnchor="text" w:y="1"/>
              <w:jc w:val="center"/>
              <w:rPr>
                <w:lang w:val="sr-Cyrl-RS"/>
              </w:rPr>
            </w:pPr>
            <w:r w:rsidRPr="00CF77C1">
              <w:rPr>
                <w:lang w:val="sr-Cyrl-RS"/>
              </w:rPr>
              <w:t>Ефекти реализације на основу расположиве документације</w:t>
            </w:r>
          </w:p>
        </w:tc>
        <w:tc>
          <w:tcPr>
            <w:tcW w:w="3261" w:type="dxa"/>
            <w:shd w:val="clear" w:color="auto" w:fill="auto"/>
            <w:vAlign w:val="center"/>
          </w:tcPr>
          <w:p w14:paraId="42F63BE2" w14:textId="77777777" w:rsidR="00D66E85" w:rsidRPr="00CF77C1" w:rsidRDefault="00D66E85" w:rsidP="0080044B">
            <w:pPr>
              <w:framePr w:hSpace="181" w:wrap="notBeside" w:vAnchor="text" w:hAnchor="text" w:y="1"/>
              <w:jc w:val="center"/>
              <w:rPr>
                <w:lang w:val="sr-Cyrl-RS"/>
              </w:rPr>
            </w:pPr>
            <w:r w:rsidRPr="00CF77C1">
              <w:rPr>
                <w:lang w:val="sr-Cyrl-RS"/>
              </w:rPr>
              <w:t>Вредност пројекта и извор финансирања</w:t>
            </w:r>
          </w:p>
        </w:tc>
      </w:tr>
      <w:tr w:rsidR="000574F1" w:rsidRPr="00CF77C1" w14:paraId="5728FE54" w14:textId="77777777" w:rsidTr="00F25351">
        <w:tc>
          <w:tcPr>
            <w:tcW w:w="2428" w:type="dxa"/>
            <w:shd w:val="clear" w:color="auto" w:fill="auto"/>
            <w:vAlign w:val="center"/>
          </w:tcPr>
          <w:p w14:paraId="49373FC1" w14:textId="77777777" w:rsidR="000574F1" w:rsidRPr="00CF77C1" w:rsidRDefault="000574F1" w:rsidP="0080044B">
            <w:pPr>
              <w:framePr w:hSpace="181" w:wrap="notBeside" w:vAnchor="text" w:hAnchor="text" w:y="1"/>
              <w:jc w:val="left"/>
              <w:rPr>
                <w:szCs w:val="24"/>
                <w:lang w:val="sr-Cyrl-RS"/>
              </w:rPr>
            </w:pPr>
            <w:r w:rsidRPr="00CF77C1">
              <w:rPr>
                <w:szCs w:val="24"/>
                <w:lang w:val="sr-Cyrl-RS"/>
              </w:rPr>
              <w:t>Проширење техничког капацитета складишта на 800-1.000 милиона m</w:t>
            </w:r>
            <w:r w:rsidRPr="00CF77C1">
              <w:rPr>
                <w:szCs w:val="24"/>
                <w:vertAlign w:val="superscript"/>
                <w:lang w:val="sr-Cyrl-RS"/>
              </w:rPr>
              <w:t>3</w:t>
            </w:r>
            <w:r w:rsidRPr="00CF77C1">
              <w:rPr>
                <w:szCs w:val="24"/>
                <w:lang w:val="sr-Cyrl-RS"/>
              </w:rPr>
              <w:t xml:space="preserve"> са капацитетом дневног повлачења до 10 милиона m</w:t>
            </w:r>
            <w:r w:rsidRPr="00CF77C1">
              <w:rPr>
                <w:szCs w:val="24"/>
                <w:vertAlign w:val="superscript"/>
                <w:lang w:val="sr-Cyrl-RS"/>
              </w:rPr>
              <w:t>3</w:t>
            </w:r>
            <w:r w:rsidRPr="00CF77C1">
              <w:rPr>
                <w:szCs w:val="24"/>
                <w:lang w:val="sr-Cyrl-RS"/>
              </w:rPr>
              <w:t xml:space="preserve"> природног гаса</w:t>
            </w:r>
          </w:p>
        </w:tc>
        <w:tc>
          <w:tcPr>
            <w:tcW w:w="6044" w:type="dxa"/>
            <w:vAlign w:val="center"/>
          </w:tcPr>
          <w:p w14:paraId="67959C5D" w14:textId="77777777" w:rsidR="000574F1" w:rsidRPr="00CF77C1" w:rsidRDefault="000574F1" w:rsidP="0080044B">
            <w:pPr>
              <w:framePr w:hSpace="181" w:wrap="notBeside" w:vAnchor="text" w:hAnchor="text" w:y="1"/>
              <w:jc w:val="left"/>
              <w:rPr>
                <w:szCs w:val="24"/>
                <w:lang w:val="sr-Cyrl-RS"/>
              </w:rPr>
            </w:pPr>
            <w:r w:rsidRPr="00CF77C1">
              <w:rPr>
                <w:szCs w:val="24"/>
                <w:lang w:val="sr-Cyrl-RS"/>
              </w:rPr>
              <w:t>Проширење подземног складишта природног гаса у Банатском Двору са садашњег капацитета од 450 милиона m</w:t>
            </w:r>
            <w:r w:rsidRPr="00CF77C1">
              <w:rPr>
                <w:szCs w:val="24"/>
                <w:vertAlign w:val="superscript"/>
                <w:lang w:val="sr-Cyrl-RS"/>
              </w:rPr>
              <w:t>3</w:t>
            </w:r>
            <w:r w:rsidRPr="00CF77C1">
              <w:rPr>
                <w:szCs w:val="24"/>
                <w:lang w:val="sr-Cyrl-RS"/>
              </w:rPr>
              <w:t xml:space="preserve"> на капацитет од 800 милиона до 1 милијарде m</w:t>
            </w:r>
            <w:r w:rsidRPr="00CF77C1">
              <w:rPr>
                <w:szCs w:val="24"/>
                <w:vertAlign w:val="superscript"/>
                <w:lang w:val="sr-Cyrl-RS"/>
              </w:rPr>
              <w:t>3</w:t>
            </w:r>
            <w:r w:rsidRPr="00CF77C1">
              <w:rPr>
                <w:szCs w:val="24"/>
                <w:lang w:val="sr-Cyrl-RS"/>
              </w:rPr>
              <w:t xml:space="preserve"> са максималним техничким капацитетом производње од 9,96 милиона m</w:t>
            </w:r>
            <w:r w:rsidRPr="00CF77C1">
              <w:rPr>
                <w:szCs w:val="24"/>
                <w:vertAlign w:val="superscript"/>
                <w:lang w:val="sr-Cyrl-RS"/>
              </w:rPr>
              <w:t>3</w:t>
            </w:r>
            <w:r w:rsidRPr="00CF77C1">
              <w:rPr>
                <w:szCs w:val="24"/>
                <w:lang w:val="sr-Cyrl-RS"/>
              </w:rPr>
              <w:t>/дан (415.000 m</w:t>
            </w:r>
            <w:r w:rsidRPr="00CF77C1">
              <w:rPr>
                <w:szCs w:val="24"/>
                <w:vertAlign w:val="superscript"/>
                <w:lang w:val="sr-Cyrl-RS"/>
              </w:rPr>
              <w:t>3</w:t>
            </w:r>
            <w:r w:rsidRPr="00CF77C1">
              <w:rPr>
                <w:szCs w:val="24"/>
                <w:lang w:val="sr-Cyrl-RS"/>
              </w:rPr>
              <w:t>/h) и максималним техничким капацитетом утискивања од 5,52 милиона m</w:t>
            </w:r>
            <w:r w:rsidRPr="00CF77C1">
              <w:rPr>
                <w:szCs w:val="24"/>
                <w:vertAlign w:val="superscript"/>
                <w:lang w:val="sr-Cyrl-RS"/>
              </w:rPr>
              <w:t>3</w:t>
            </w:r>
            <w:r w:rsidRPr="00CF77C1">
              <w:rPr>
                <w:szCs w:val="24"/>
                <w:lang w:val="sr-Cyrl-RS"/>
              </w:rPr>
              <w:t>/дан (230.000 m</w:t>
            </w:r>
            <w:r w:rsidRPr="00CF77C1">
              <w:rPr>
                <w:szCs w:val="24"/>
                <w:vertAlign w:val="superscript"/>
                <w:lang w:val="sr-Cyrl-RS"/>
              </w:rPr>
              <w:t>3</w:t>
            </w:r>
            <w:r w:rsidRPr="00CF77C1">
              <w:rPr>
                <w:szCs w:val="24"/>
                <w:lang w:val="sr-Cyrl-RS"/>
              </w:rPr>
              <w:t>/h).</w:t>
            </w:r>
          </w:p>
        </w:tc>
        <w:tc>
          <w:tcPr>
            <w:tcW w:w="2976" w:type="dxa"/>
            <w:vAlign w:val="center"/>
          </w:tcPr>
          <w:p w14:paraId="719C8009" w14:textId="77777777" w:rsidR="000574F1" w:rsidRPr="00CF77C1" w:rsidRDefault="000574F1" w:rsidP="0080044B">
            <w:pPr>
              <w:framePr w:hSpace="181" w:wrap="notBeside" w:vAnchor="text" w:hAnchor="text" w:y="1"/>
              <w:jc w:val="left"/>
              <w:rPr>
                <w:szCs w:val="24"/>
                <w:lang w:val="sr-Cyrl-RS"/>
              </w:rPr>
            </w:pPr>
            <w:r w:rsidRPr="00CF77C1">
              <w:rPr>
                <w:szCs w:val="24"/>
                <w:lang w:val="sr-Cyrl-RS"/>
              </w:rPr>
              <w:t>Удвостручење расположивих количина природног гаса доступних из складишта (са 5 милиона m</w:t>
            </w:r>
            <w:r w:rsidRPr="00CF77C1">
              <w:rPr>
                <w:szCs w:val="24"/>
                <w:vertAlign w:val="superscript"/>
                <w:lang w:val="sr-Cyrl-RS"/>
              </w:rPr>
              <w:t>3</w:t>
            </w:r>
            <w:r w:rsidRPr="00CF77C1">
              <w:rPr>
                <w:szCs w:val="24"/>
                <w:lang w:val="sr-Cyrl-RS"/>
              </w:rPr>
              <w:t>/дан на 10 милиона m</w:t>
            </w:r>
            <w:r w:rsidRPr="00CF77C1">
              <w:rPr>
                <w:szCs w:val="24"/>
                <w:vertAlign w:val="superscript"/>
                <w:lang w:val="sr-Cyrl-RS"/>
              </w:rPr>
              <w:t>3</w:t>
            </w:r>
            <w:r w:rsidRPr="00CF77C1">
              <w:rPr>
                <w:szCs w:val="24"/>
                <w:lang w:val="sr-Cyrl-RS"/>
              </w:rPr>
              <w:t>/дан).</w:t>
            </w:r>
          </w:p>
          <w:p w14:paraId="1BE8DAD3" w14:textId="3AC5D1E0" w:rsidR="000574F1" w:rsidRPr="00CF77C1" w:rsidRDefault="000574F1" w:rsidP="0080044B">
            <w:pPr>
              <w:framePr w:hSpace="181" w:wrap="notBeside" w:vAnchor="text" w:hAnchor="text" w:y="1"/>
              <w:jc w:val="left"/>
              <w:rPr>
                <w:szCs w:val="24"/>
                <w:lang w:val="sr-Cyrl-RS"/>
              </w:rPr>
            </w:pPr>
            <w:r w:rsidRPr="00CF77C1">
              <w:rPr>
                <w:szCs w:val="24"/>
                <w:lang w:val="sr-Cyrl-RS"/>
              </w:rPr>
              <w:t xml:space="preserve">У односу на максималну дневно увезену количину у периоду 2011-2015. године за потребе купаца у </w:t>
            </w:r>
            <w:r w:rsidR="00185B50" w:rsidRPr="00CF77C1">
              <w:rPr>
                <w:szCs w:val="24"/>
                <w:lang w:val="sr-Cyrl-RS"/>
              </w:rPr>
              <w:t xml:space="preserve">Републици </w:t>
            </w:r>
            <w:r w:rsidRPr="00CF77C1">
              <w:rPr>
                <w:szCs w:val="24"/>
                <w:lang w:val="sr-Cyrl-RS"/>
              </w:rPr>
              <w:t>Србији (11,2 милиона m</w:t>
            </w:r>
            <w:r w:rsidRPr="00CF77C1">
              <w:rPr>
                <w:szCs w:val="24"/>
                <w:vertAlign w:val="superscript"/>
                <w:lang w:val="sr-Cyrl-RS"/>
              </w:rPr>
              <w:t>3</w:t>
            </w:r>
            <w:r w:rsidRPr="00CF77C1">
              <w:rPr>
                <w:szCs w:val="24"/>
                <w:lang w:val="sr-Cyrl-RS"/>
              </w:rPr>
              <w:t>/дан) додатни капацитет покрива 44,6% потреба.</w:t>
            </w:r>
          </w:p>
        </w:tc>
        <w:tc>
          <w:tcPr>
            <w:tcW w:w="3261" w:type="dxa"/>
            <w:shd w:val="clear" w:color="auto" w:fill="auto"/>
            <w:vAlign w:val="center"/>
          </w:tcPr>
          <w:p w14:paraId="4F1F8660" w14:textId="77777777" w:rsidR="00E46C90" w:rsidRPr="00CF77C1" w:rsidRDefault="000574F1" w:rsidP="0080044B">
            <w:pPr>
              <w:framePr w:hSpace="181" w:wrap="notBeside" w:vAnchor="text" w:hAnchor="text" w:y="1"/>
              <w:tabs>
                <w:tab w:val="left" w:pos="284"/>
              </w:tabs>
              <w:overflowPunct w:val="0"/>
              <w:autoSpaceDE w:val="0"/>
              <w:autoSpaceDN w:val="0"/>
              <w:adjustRightInd w:val="0"/>
              <w:spacing w:after="0"/>
              <w:jc w:val="left"/>
              <w:textAlignment w:val="baseline"/>
              <w:rPr>
                <w:szCs w:val="24"/>
                <w:lang w:val="sr-Cyrl-RS"/>
              </w:rPr>
            </w:pPr>
            <w:r w:rsidRPr="00CF77C1">
              <w:rPr>
                <w:szCs w:val="24"/>
                <w:lang w:val="sr-Cyrl-RS"/>
              </w:rPr>
              <w:t>65 милиона €</w:t>
            </w:r>
          </w:p>
          <w:p w14:paraId="0772F3C9" w14:textId="77777777" w:rsidR="000574F1" w:rsidRPr="00CF77C1" w:rsidRDefault="000574F1" w:rsidP="0080044B">
            <w:pPr>
              <w:framePr w:hSpace="181" w:wrap="notBeside" w:vAnchor="text" w:hAnchor="text" w:y="1"/>
              <w:tabs>
                <w:tab w:val="left" w:pos="284"/>
              </w:tabs>
              <w:overflowPunct w:val="0"/>
              <w:autoSpaceDE w:val="0"/>
              <w:autoSpaceDN w:val="0"/>
              <w:adjustRightInd w:val="0"/>
              <w:spacing w:after="0"/>
              <w:jc w:val="left"/>
              <w:textAlignment w:val="baseline"/>
              <w:rPr>
                <w:szCs w:val="24"/>
                <w:lang w:val="sr-Cyrl-RS"/>
              </w:rPr>
            </w:pPr>
            <w:r w:rsidRPr="00CF77C1">
              <w:rPr>
                <w:szCs w:val="24"/>
                <w:lang w:val="sr-Cyrl-RS"/>
              </w:rPr>
              <w:t>Пројектно финансирање</w:t>
            </w:r>
          </w:p>
          <w:p w14:paraId="5FFF1081" w14:textId="77777777" w:rsidR="000574F1" w:rsidRPr="00CF77C1" w:rsidRDefault="000574F1" w:rsidP="0080044B">
            <w:pPr>
              <w:framePr w:hSpace="181" w:wrap="notBeside" w:vAnchor="text" w:hAnchor="text" w:y="1"/>
              <w:jc w:val="left"/>
              <w:rPr>
                <w:szCs w:val="24"/>
                <w:lang w:val="sr-Cyrl-RS"/>
              </w:rPr>
            </w:pPr>
            <w:r w:rsidRPr="00CF77C1">
              <w:rPr>
                <w:szCs w:val="24"/>
                <w:lang w:val="sr-Cyrl-RS"/>
              </w:rPr>
              <w:t>(извор податка: ЈП Србијагас)</w:t>
            </w:r>
          </w:p>
        </w:tc>
      </w:tr>
    </w:tbl>
    <w:p w14:paraId="5AB1B1B5" w14:textId="2853D697"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77</w:t>
      </w:r>
      <w:r w:rsidR="0092145E" w:rsidRPr="00CF77C1">
        <w:rPr>
          <w:b w:val="0"/>
          <w:lang w:val="sr-Cyrl-RS"/>
        </w:rPr>
        <w:fldChar w:fldCharType="end"/>
      </w:r>
      <w:r w:rsidR="00D66E85" w:rsidRPr="00CF77C1">
        <w:rPr>
          <w:b w:val="0"/>
          <w:lang w:val="sr-Cyrl-RS"/>
        </w:rPr>
        <w:t>: Утицај пројеката на остварење стратешких циљева</w:t>
      </w:r>
    </w:p>
    <w:tbl>
      <w:tblPr>
        <w:tblW w:w="14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946"/>
        <w:gridCol w:w="2409"/>
        <w:gridCol w:w="2126"/>
      </w:tblGrid>
      <w:tr w:rsidR="00D66E85" w:rsidRPr="00CF77C1" w14:paraId="4828D0F1" w14:textId="77777777" w:rsidTr="00D66E85">
        <w:tc>
          <w:tcPr>
            <w:tcW w:w="3227" w:type="dxa"/>
            <w:shd w:val="clear" w:color="auto" w:fill="auto"/>
            <w:vAlign w:val="center"/>
          </w:tcPr>
          <w:p w14:paraId="6DFB5ABF"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Стратешки циљ</w:t>
            </w:r>
          </w:p>
        </w:tc>
        <w:tc>
          <w:tcPr>
            <w:tcW w:w="6946" w:type="dxa"/>
            <w:vAlign w:val="center"/>
          </w:tcPr>
          <w:p w14:paraId="5ED5441A"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Опис</w:t>
            </w:r>
          </w:p>
        </w:tc>
        <w:tc>
          <w:tcPr>
            <w:tcW w:w="2409" w:type="dxa"/>
            <w:vAlign w:val="center"/>
          </w:tcPr>
          <w:p w14:paraId="36A276E2" w14:textId="77777777" w:rsidR="00D66E85" w:rsidRPr="00CF77C1" w:rsidRDefault="00D66E85" w:rsidP="0080044B">
            <w:pPr>
              <w:framePr w:hSpace="181" w:wrap="notBeside" w:vAnchor="text" w:hAnchor="text" w:y="1"/>
              <w:jc w:val="center"/>
              <w:rPr>
                <w:bCs/>
                <w:szCs w:val="24"/>
                <w:lang w:val="sr-Cyrl-RS"/>
              </w:rPr>
            </w:pPr>
            <w:r w:rsidRPr="00CF77C1">
              <w:rPr>
                <w:bCs/>
                <w:szCs w:val="24"/>
                <w:lang w:val="sr-Cyrl-RS"/>
              </w:rPr>
              <w:t>Вредност индикатора по реализацији пројекта</w:t>
            </w:r>
          </w:p>
        </w:tc>
        <w:tc>
          <w:tcPr>
            <w:tcW w:w="2126" w:type="dxa"/>
            <w:vAlign w:val="center"/>
          </w:tcPr>
          <w:p w14:paraId="11B782FD" w14:textId="77777777" w:rsidR="00D66E85" w:rsidRPr="00CF77C1" w:rsidRDefault="00D66E85" w:rsidP="0080044B">
            <w:pPr>
              <w:framePr w:hSpace="181" w:wrap="notBeside" w:vAnchor="text" w:hAnchor="text" w:y="1"/>
              <w:jc w:val="center"/>
              <w:rPr>
                <w:szCs w:val="24"/>
                <w:lang w:val="sr-Cyrl-RS"/>
              </w:rPr>
            </w:pPr>
            <w:r w:rsidRPr="00CF77C1">
              <w:rPr>
                <w:szCs w:val="24"/>
                <w:lang w:val="sr-Cyrl-RS"/>
              </w:rPr>
              <w:t xml:space="preserve">Промена у односу </w:t>
            </w:r>
            <w:r w:rsidRPr="00CF77C1">
              <w:rPr>
                <w:szCs w:val="24"/>
                <w:lang w:val="sr-Cyrl-RS"/>
              </w:rPr>
              <w:br/>
              <w:t>на 2015. годину</w:t>
            </w:r>
          </w:p>
        </w:tc>
      </w:tr>
      <w:tr w:rsidR="00D66E85" w:rsidRPr="00CF77C1" w14:paraId="5F4795B4" w14:textId="77777777" w:rsidTr="00F25351">
        <w:trPr>
          <w:trHeight w:val="20"/>
        </w:trPr>
        <w:tc>
          <w:tcPr>
            <w:tcW w:w="3227" w:type="dxa"/>
            <w:shd w:val="clear" w:color="auto" w:fill="auto"/>
            <w:vAlign w:val="center"/>
          </w:tcPr>
          <w:p w14:paraId="60E48DC2"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 xml:space="preserve">Обезбеђење сигурног снабдевања домаћег тржишта природним гасом </w:t>
            </w:r>
          </w:p>
        </w:tc>
        <w:tc>
          <w:tcPr>
            <w:tcW w:w="6946" w:type="dxa"/>
            <w:vAlign w:val="center"/>
          </w:tcPr>
          <w:p w14:paraId="3B1F2E02" w14:textId="77777777" w:rsidR="00D66E85" w:rsidRPr="00CF77C1" w:rsidRDefault="00D66E85" w:rsidP="0080044B">
            <w:pPr>
              <w:framePr w:hSpace="181" w:wrap="notBeside" w:vAnchor="text" w:hAnchor="text" w:y="1"/>
              <w:jc w:val="left"/>
              <w:rPr>
                <w:szCs w:val="24"/>
                <w:lang w:val="sr-Cyrl-RS"/>
              </w:rPr>
            </w:pPr>
            <w:r w:rsidRPr="00CF77C1">
              <w:rPr>
                <w:bCs/>
                <w:szCs w:val="24"/>
                <w:lang w:val="sr-Cyrl-RS"/>
              </w:rPr>
              <w:t>Значајно се унапређује се; Пројектом се значајно повећавају расположиве количине природног гаса у периодима максималне дневне потрошње.</w:t>
            </w:r>
          </w:p>
        </w:tc>
        <w:tc>
          <w:tcPr>
            <w:tcW w:w="2409" w:type="dxa"/>
            <w:vAlign w:val="center"/>
          </w:tcPr>
          <w:p w14:paraId="3634D719"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(N-1) = 66,6%</w:t>
            </w:r>
          </w:p>
        </w:tc>
        <w:tc>
          <w:tcPr>
            <w:tcW w:w="2126" w:type="dxa"/>
            <w:vAlign w:val="center"/>
          </w:tcPr>
          <w:p w14:paraId="242CA1CA"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+93,3%</w:t>
            </w:r>
          </w:p>
        </w:tc>
      </w:tr>
      <w:tr w:rsidR="00D66E85" w:rsidRPr="00CF77C1" w14:paraId="365EB4EA" w14:textId="77777777" w:rsidTr="00F25351">
        <w:trPr>
          <w:trHeight w:val="20"/>
        </w:trPr>
        <w:tc>
          <w:tcPr>
            <w:tcW w:w="3227" w:type="dxa"/>
            <w:shd w:val="clear" w:color="auto" w:fill="auto"/>
            <w:vAlign w:val="center"/>
          </w:tcPr>
          <w:p w14:paraId="5846F3A1"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Успостављање домаћег и регионалног тржишта природног гаса</w:t>
            </w:r>
          </w:p>
        </w:tc>
        <w:tc>
          <w:tcPr>
            <w:tcW w:w="6946" w:type="dxa"/>
            <w:vAlign w:val="center"/>
          </w:tcPr>
          <w:p w14:paraId="34FD4E24" w14:textId="77777777" w:rsidR="00D66E85" w:rsidRPr="00CF77C1" w:rsidRDefault="00D66E85" w:rsidP="0080044B">
            <w:pPr>
              <w:framePr w:hSpace="181" w:wrap="notBeside" w:vAnchor="text" w:hAnchor="text" w:y="1"/>
              <w:jc w:val="left"/>
              <w:rPr>
                <w:szCs w:val="24"/>
                <w:lang w:val="sr-Cyrl-RS"/>
              </w:rPr>
            </w:pPr>
            <w:r w:rsidRPr="00CF77C1">
              <w:rPr>
                <w:bCs/>
                <w:szCs w:val="24"/>
                <w:lang w:val="sr-Cyrl-RS"/>
              </w:rPr>
              <w:t>Унапређује се; Додатни складишни капацитети, заједно са предвиђеним интерконекцијама,</w:t>
            </w:r>
            <w:r w:rsidR="00BD44C7" w:rsidRPr="00CF77C1">
              <w:rPr>
                <w:bCs/>
                <w:szCs w:val="24"/>
                <w:lang w:val="sr-Cyrl-RS"/>
              </w:rPr>
              <w:t xml:space="preserve"> </w:t>
            </w:r>
            <w:r w:rsidRPr="00CF77C1">
              <w:rPr>
                <w:bCs/>
                <w:szCs w:val="24"/>
                <w:lang w:val="sr-Cyrl-RS"/>
              </w:rPr>
              <w:t xml:space="preserve">отварају могућност њиховог коришћења на регионалном тржишту природног гаса. </w:t>
            </w:r>
          </w:p>
        </w:tc>
        <w:tc>
          <w:tcPr>
            <w:tcW w:w="2409" w:type="dxa"/>
            <w:vAlign w:val="center"/>
          </w:tcPr>
          <w:p w14:paraId="74AB8F12"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c>
          <w:tcPr>
            <w:tcW w:w="2126" w:type="dxa"/>
            <w:vAlign w:val="center"/>
          </w:tcPr>
          <w:p w14:paraId="749C9721"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r>
      <w:tr w:rsidR="00D66E85" w:rsidRPr="00CF77C1" w14:paraId="1F54F0EC" w14:textId="77777777" w:rsidTr="00F25351">
        <w:trPr>
          <w:trHeight w:val="20"/>
        </w:trPr>
        <w:tc>
          <w:tcPr>
            <w:tcW w:w="3227" w:type="dxa"/>
            <w:shd w:val="clear" w:color="auto" w:fill="auto"/>
            <w:vAlign w:val="center"/>
          </w:tcPr>
          <w:p w14:paraId="6A4F4C72" w14:textId="77777777" w:rsidR="00D66E85" w:rsidRPr="00CF77C1" w:rsidRDefault="00D66E85" w:rsidP="0080044B">
            <w:pPr>
              <w:framePr w:hSpace="181" w:wrap="notBeside" w:vAnchor="text" w:hAnchor="text" w:y="1"/>
              <w:jc w:val="left"/>
              <w:rPr>
                <w:bCs/>
                <w:szCs w:val="24"/>
                <w:lang w:val="sr-Cyrl-RS"/>
              </w:rPr>
            </w:pPr>
            <w:r w:rsidRPr="00CF77C1">
              <w:rPr>
                <w:bCs/>
                <w:szCs w:val="24"/>
                <w:lang w:val="sr-Cyrl-RS"/>
              </w:rPr>
              <w:t>Диверсификација извора и праваца снабдевања природним гасом</w:t>
            </w:r>
          </w:p>
        </w:tc>
        <w:tc>
          <w:tcPr>
            <w:tcW w:w="6946" w:type="dxa"/>
            <w:vAlign w:val="center"/>
          </w:tcPr>
          <w:p w14:paraId="7F34B0A4" w14:textId="77777777" w:rsidR="00D66E85" w:rsidRPr="00CF77C1" w:rsidRDefault="00D66E85" w:rsidP="0080044B">
            <w:pPr>
              <w:framePr w:hSpace="181" w:wrap="notBeside" w:vAnchor="text" w:hAnchor="text" w:y="1"/>
              <w:jc w:val="left"/>
              <w:rPr>
                <w:szCs w:val="24"/>
                <w:lang w:val="sr-Cyrl-RS"/>
              </w:rPr>
            </w:pPr>
            <w:r w:rsidRPr="00CF77C1">
              <w:rPr>
                <w:bCs/>
                <w:szCs w:val="24"/>
                <w:lang w:val="sr-Cyrl-RS"/>
              </w:rPr>
              <w:t>Нема утицаја</w:t>
            </w:r>
          </w:p>
        </w:tc>
        <w:tc>
          <w:tcPr>
            <w:tcW w:w="2409" w:type="dxa"/>
            <w:vAlign w:val="center"/>
          </w:tcPr>
          <w:p w14:paraId="23696DC1"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c>
          <w:tcPr>
            <w:tcW w:w="2126" w:type="dxa"/>
            <w:vAlign w:val="center"/>
          </w:tcPr>
          <w:p w14:paraId="1EA4476D" w14:textId="77777777" w:rsidR="00D66E85" w:rsidRPr="00CF77C1" w:rsidRDefault="00D66E85" w:rsidP="0080044B">
            <w:pPr>
              <w:framePr w:hSpace="181" w:wrap="notBeside" w:vAnchor="text" w:hAnchor="text" w:y="1"/>
              <w:jc w:val="left"/>
              <w:rPr>
                <w:szCs w:val="24"/>
                <w:lang w:val="sr-Cyrl-RS"/>
              </w:rPr>
            </w:pPr>
            <w:r w:rsidRPr="00CF77C1">
              <w:rPr>
                <w:szCs w:val="24"/>
                <w:lang w:val="sr-Cyrl-RS"/>
              </w:rPr>
              <w:t>-</w:t>
            </w:r>
          </w:p>
        </w:tc>
      </w:tr>
    </w:tbl>
    <w:p w14:paraId="18AB5CC9" w14:textId="3D751476"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78</w:t>
      </w:r>
      <w:r w:rsidR="0092145E" w:rsidRPr="00CF77C1">
        <w:rPr>
          <w:b w:val="0"/>
          <w:lang w:val="sr-Cyrl-RS"/>
        </w:rPr>
        <w:fldChar w:fldCharType="end"/>
      </w:r>
      <w:r w:rsidR="00D66E85" w:rsidRPr="00CF77C1">
        <w:rPr>
          <w:b w:val="0"/>
          <w:lang w:val="sr-Cyrl-RS"/>
        </w:rPr>
        <w:t>: Статус пројекта</w:t>
      </w:r>
    </w:p>
    <w:tbl>
      <w:tblPr>
        <w:tblStyle w:val="TableGrid"/>
        <w:tblW w:w="14709" w:type="dxa"/>
        <w:tblLook w:val="04A0" w:firstRow="1" w:lastRow="0" w:firstColumn="1" w:lastColumn="0" w:noHBand="0" w:noVBand="1"/>
      </w:tblPr>
      <w:tblGrid>
        <w:gridCol w:w="3227"/>
        <w:gridCol w:w="3402"/>
        <w:gridCol w:w="8080"/>
      </w:tblGrid>
      <w:tr w:rsidR="00D66E85" w:rsidRPr="00CF77C1" w14:paraId="0456E90B" w14:textId="77777777" w:rsidTr="00D66E85">
        <w:tc>
          <w:tcPr>
            <w:tcW w:w="3227" w:type="dxa"/>
            <w:vAlign w:val="center"/>
          </w:tcPr>
          <w:p w14:paraId="011356B4" w14:textId="77777777" w:rsidR="00D66E85" w:rsidRPr="00CF77C1" w:rsidRDefault="00D66E85" w:rsidP="0080044B">
            <w:pPr>
              <w:framePr w:hSpace="180" w:wrap="around" w:vAnchor="text" w:hAnchor="text" w:y="1"/>
              <w:jc w:val="center"/>
              <w:rPr>
                <w:lang w:val="sr-Cyrl-RS"/>
              </w:rPr>
            </w:pPr>
            <w:r w:rsidRPr="00CF77C1">
              <w:rPr>
                <w:lang w:val="sr-Cyrl-RS"/>
              </w:rPr>
              <w:t>Пројекат</w:t>
            </w:r>
          </w:p>
        </w:tc>
        <w:tc>
          <w:tcPr>
            <w:tcW w:w="3402" w:type="dxa"/>
            <w:vAlign w:val="center"/>
          </w:tcPr>
          <w:p w14:paraId="5DF1D609" w14:textId="77777777" w:rsidR="00D66E85" w:rsidRPr="00CF77C1" w:rsidRDefault="00D66E85" w:rsidP="0080044B">
            <w:pPr>
              <w:framePr w:hSpace="180" w:wrap="around" w:vAnchor="text" w:hAnchor="text" w:y="1"/>
              <w:jc w:val="center"/>
              <w:rPr>
                <w:lang w:val="sr-Cyrl-RS"/>
              </w:rPr>
            </w:pPr>
            <w:r w:rsidRPr="00CF77C1">
              <w:rPr>
                <w:lang w:val="sr-Cyrl-RS"/>
              </w:rPr>
              <w:t>Статус припреме пројекта</w:t>
            </w:r>
          </w:p>
        </w:tc>
        <w:tc>
          <w:tcPr>
            <w:tcW w:w="8080" w:type="dxa"/>
            <w:vAlign w:val="center"/>
          </w:tcPr>
          <w:p w14:paraId="21ACFC47" w14:textId="77777777" w:rsidR="00D66E85" w:rsidRPr="00CF77C1" w:rsidRDefault="00D66E85" w:rsidP="0080044B">
            <w:pPr>
              <w:framePr w:hSpace="180" w:wrap="around" w:vAnchor="text" w:hAnchor="text" w:y="1"/>
              <w:jc w:val="center"/>
              <w:rPr>
                <w:lang w:val="sr-Cyrl-RS"/>
              </w:rPr>
            </w:pPr>
            <w:r w:rsidRPr="00CF77C1">
              <w:rPr>
                <w:lang w:val="sr-Cyrl-RS"/>
              </w:rPr>
              <w:t>Недостајућа планска и техничка документација</w:t>
            </w:r>
          </w:p>
        </w:tc>
      </w:tr>
      <w:tr w:rsidR="00D66E85" w:rsidRPr="00CF77C1" w14:paraId="22356485" w14:textId="77777777" w:rsidTr="00D66E85">
        <w:tc>
          <w:tcPr>
            <w:tcW w:w="3227" w:type="dxa"/>
            <w:vAlign w:val="center"/>
          </w:tcPr>
          <w:p w14:paraId="1536F5C8" w14:textId="77777777" w:rsidR="00D66E85" w:rsidRPr="00CF77C1" w:rsidRDefault="00D66E85" w:rsidP="0080044B">
            <w:pPr>
              <w:framePr w:hSpace="180" w:wrap="around" w:vAnchor="text" w:hAnchor="text" w:y="1"/>
              <w:tabs>
                <w:tab w:val="left" w:pos="180"/>
              </w:tabs>
              <w:jc w:val="left"/>
              <w:rPr>
                <w:lang w:val="sr-Cyrl-RS"/>
              </w:rPr>
            </w:pPr>
            <w:r w:rsidRPr="00CF77C1">
              <w:rPr>
                <w:rFonts w:eastAsia="Calibri"/>
                <w:szCs w:val="22"/>
                <w:lang w:val="sr-Cyrl-RS"/>
              </w:rPr>
              <w:t>Проширење капацитета подземног складишта гаса Банатски Двор</w:t>
            </w:r>
          </w:p>
        </w:tc>
        <w:tc>
          <w:tcPr>
            <w:tcW w:w="3402" w:type="dxa"/>
            <w:vAlign w:val="center"/>
          </w:tcPr>
          <w:p w14:paraId="787FC8A1" w14:textId="77777777" w:rsidR="00D66E85" w:rsidRPr="00CF77C1" w:rsidRDefault="00D66E85" w:rsidP="0080044B">
            <w:pPr>
              <w:framePr w:hSpace="180" w:wrap="around" w:vAnchor="text" w:hAnchor="text" w:y="1"/>
              <w:jc w:val="left"/>
              <w:rPr>
                <w:lang w:val="sr-Cyrl-RS"/>
              </w:rPr>
            </w:pPr>
            <w:r w:rsidRPr="00CF77C1">
              <w:rPr>
                <w:lang w:val="sr-Cyrl-RS"/>
              </w:rPr>
              <w:t>Ниво генералног пројекта</w:t>
            </w:r>
          </w:p>
        </w:tc>
        <w:tc>
          <w:tcPr>
            <w:tcW w:w="8080" w:type="dxa"/>
            <w:vAlign w:val="center"/>
          </w:tcPr>
          <w:p w14:paraId="5940B38F" w14:textId="77777777" w:rsidR="00D66E85" w:rsidRPr="00CF77C1" w:rsidRDefault="00D66E85" w:rsidP="0080044B">
            <w:pPr>
              <w:framePr w:hSpace="180" w:wrap="around" w:vAnchor="text" w:hAnchor="text" w:y="1"/>
              <w:jc w:val="left"/>
              <w:rPr>
                <w:lang w:val="sr-Cyrl-RS"/>
              </w:rPr>
            </w:pPr>
            <w:r w:rsidRPr="00CF77C1">
              <w:rPr>
                <w:lang w:val="sr-Cyrl-RS"/>
              </w:rPr>
              <w:t>Просторни план подручја посебне намене, идејно решење, локацијски услови, студија оправданости, идејни пројекат, студија процене утицаја на животну средину, пројекат за грађевинску дозволу, грађевинска дозвола, пројекат за извођење, пројекат изведеног објекта све у складу са захтевима Закона о планирању и изградњи, енергетска дозвола у складу са Законом о енергетици, тендерска документација за изградњу.</w:t>
            </w:r>
          </w:p>
        </w:tc>
      </w:tr>
    </w:tbl>
    <w:p w14:paraId="755E078C" w14:textId="1A51BA9A"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79</w:t>
      </w:r>
      <w:r w:rsidR="0092145E" w:rsidRPr="00CF77C1">
        <w:rPr>
          <w:b w:val="0"/>
          <w:lang w:val="sr-Cyrl-RS"/>
        </w:rPr>
        <w:fldChar w:fldCharType="end"/>
      </w:r>
      <w:r w:rsidR="00D66E85" w:rsidRPr="00CF77C1">
        <w:rPr>
          <w:b w:val="0"/>
          <w:lang w:val="sr-Cyrl-RS"/>
        </w:rPr>
        <w:t>: Динамика реализације активности у</w:t>
      </w:r>
      <w:r w:rsidR="00FC6F6F">
        <w:rPr>
          <w:b w:val="0"/>
          <w:lang w:val="sr-Cyrl-RS"/>
        </w:rPr>
        <w:t xml:space="preserve"> периоду реализације ПОС</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2"/>
        <w:gridCol w:w="2410"/>
        <w:gridCol w:w="769"/>
        <w:gridCol w:w="770"/>
        <w:gridCol w:w="769"/>
        <w:gridCol w:w="770"/>
        <w:gridCol w:w="769"/>
        <w:gridCol w:w="770"/>
        <w:gridCol w:w="770"/>
      </w:tblGrid>
      <w:tr w:rsidR="00D66E85" w:rsidRPr="00CF77C1" w14:paraId="76120F5B" w14:textId="77777777" w:rsidTr="00D66E85">
        <w:trPr>
          <w:cantSplit/>
          <w:trHeight w:val="929"/>
          <w:tblHeader/>
        </w:trPr>
        <w:tc>
          <w:tcPr>
            <w:tcW w:w="6912" w:type="dxa"/>
            <w:shd w:val="clear" w:color="auto" w:fill="auto"/>
            <w:vAlign w:val="center"/>
          </w:tcPr>
          <w:p w14:paraId="33547FC5" w14:textId="77777777" w:rsidR="00D66E85" w:rsidRPr="00CF77C1" w:rsidRDefault="00D66E85" w:rsidP="0080044B">
            <w:pPr>
              <w:framePr w:hSpace="181" w:wrap="notBeside" w:vAnchor="text" w:hAnchor="text" w:y="1"/>
              <w:jc w:val="center"/>
              <w:rPr>
                <w:lang w:val="sr-Cyrl-RS"/>
              </w:rPr>
            </w:pPr>
            <w:r w:rsidRPr="00CF77C1">
              <w:rPr>
                <w:lang w:val="sr-Cyrl-RS"/>
              </w:rPr>
              <w:t>Пројекат:</w:t>
            </w:r>
          </w:p>
          <w:p w14:paraId="4BB6706C" w14:textId="77777777" w:rsidR="00D66E85" w:rsidRPr="00CF77C1" w:rsidRDefault="00D66E85" w:rsidP="0080044B">
            <w:pPr>
              <w:framePr w:hSpace="181" w:wrap="notBeside" w:vAnchor="text" w:hAnchor="text" w:y="1"/>
              <w:jc w:val="center"/>
              <w:rPr>
                <w:lang w:val="sr-Cyrl-RS"/>
              </w:rPr>
            </w:pPr>
            <w:r w:rsidRPr="00CF77C1">
              <w:rPr>
                <w:lang w:val="sr-Cyrl-RS"/>
              </w:rPr>
              <w:t xml:space="preserve">Проширење капацитета </w:t>
            </w:r>
            <w:r w:rsidRPr="00CF77C1">
              <w:rPr>
                <w:rFonts w:eastAsia="Calibri"/>
                <w:szCs w:val="22"/>
                <w:lang w:val="sr-Cyrl-RS"/>
              </w:rPr>
              <w:t>подземног складишта гаса Банатски Двор</w:t>
            </w:r>
          </w:p>
        </w:tc>
        <w:tc>
          <w:tcPr>
            <w:tcW w:w="2410" w:type="dxa"/>
            <w:shd w:val="clear" w:color="auto" w:fill="auto"/>
            <w:vAlign w:val="center"/>
          </w:tcPr>
          <w:p w14:paraId="3103C07E" w14:textId="77777777" w:rsidR="00D66E85" w:rsidRPr="00CF77C1" w:rsidRDefault="00DD69C2" w:rsidP="0080044B">
            <w:pPr>
              <w:framePr w:hSpace="181" w:wrap="notBeside" w:vAnchor="text" w:hAnchor="text" w:y="1"/>
              <w:jc w:val="center"/>
              <w:rPr>
                <w:lang w:val="sr-Cyrl-RS"/>
              </w:rPr>
            </w:pPr>
            <w:r w:rsidRPr="00CF77C1">
              <w:rPr>
                <w:lang w:val="sr-Cyrl-RS"/>
              </w:rPr>
              <w:t>Одговорни субјекат</w:t>
            </w:r>
          </w:p>
        </w:tc>
        <w:tc>
          <w:tcPr>
            <w:tcW w:w="769" w:type="dxa"/>
            <w:shd w:val="clear" w:color="auto" w:fill="auto"/>
            <w:vAlign w:val="center"/>
          </w:tcPr>
          <w:p w14:paraId="77FC72C5" w14:textId="77777777" w:rsidR="00D66E85" w:rsidRPr="00CF77C1" w:rsidRDefault="00D66E85" w:rsidP="0080044B">
            <w:pPr>
              <w:keepNext/>
              <w:framePr w:hSpace="181" w:wrap="notBeside" w:vAnchor="text" w:hAnchor="text" w:y="1"/>
              <w:jc w:val="center"/>
              <w:rPr>
                <w:lang w:val="sr-Cyrl-RS"/>
              </w:rPr>
            </w:pPr>
            <w:r w:rsidRPr="00CF77C1">
              <w:rPr>
                <w:lang w:val="sr-Cyrl-RS"/>
              </w:rPr>
              <w:t>2017.</w:t>
            </w:r>
          </w:p>
        </w:tc>
        <w:tc>
          <w:tcPr>
            <w:tcW w:w="770" w:type="dxa"/>
            <w:shd w:val="clear" w:color="auto" w:fill="auto"/>
            <w:vAlign w:val="center"/>
          </w:tcPr>
          <w:p w14:paraId="2ACBD6F8" w14:textId="77777777" w:rsidR="00D66E85" w:rsidRPr="00CF77C1" w:rsidRDefault="00D66E85" w:rsidP="0080044B">
            <w:pPr>
              <w:keepNext/>
              <w:framePr w:hSpace="181" w:wrap="notBeside" w:vAnchor="text" w:hAnchor="text" w:y="1"/>
              <w:jc w:val="center"/>
              <w:rPr>
                <w:lang w:val="sr-Cyrl-RS"/>
              </w:rPr>
            </w:pPr>
            <w:r w:rsidRPr="00CF77C1">
              <w:rPr>
                <w:lang w:val="sr-Cyrl-RS"/>
              </w:rPr>
              <w:t>2018.</w:t>
            </w:r>
          </w:p>
        </w:tc>
        <w:tc>
          <w:tcPr>
            <w:tcW w:w="769" w:type="dxa"/>
            <w:shd w:val="clear" w:color="auto" w:fill="auto"/>
            <w:vAlign w:val="center"/>
          </w:tcPr>
          <w:p w14:paraId="6902B50B" w14:textId="77777777" w:rsidR="00D66E85" w:rsidRPr="00CF77C1" w:rsidRDefault="00D66E85" w:rsidP="0080044B">
            <w:pPr>
              <w:keepNext/>
              <w:framePr w:hSpace="181" w:wrap="notBeside" w:vAnchor="text" w:hAnchor="text" w:y="1"/>
              <w:jc w:val="center"/>
              <w:rPr>
                <w:lang w:val="sr-Cyrl-RS"/>
              </w:rPr>
            </w:pPr>
            <w:r w:rsidRPr="00CF77C1">
              <w:rPr>
                <w:lang w:val="sr-Cyrl-RS"/>
              </w:rPr>
              <w:t>2019.</w:t>
            </w:r>
          </w:p>
        </w:tc>
        <w:tc>
          <w:tcPr>
            <w:tcW w:w="770" w:type="dxa"/>
            <w:shd w:val="clear" w:color="auto" w:fill="auto"/>
            <w:vAlign w:val="center"/>
          </w:tcPr>
          <w:p w14:paraId="27E855BE" w14:textId="77777777" w:rsidR="00D66E85" w:rsidRPr="00CF77C1" w:rsidRDefault="00D66E85" w:rsidP="0080044B">
            <w:pPr>
              <w:keepNext/>
              <w:framePr w:hSpace="181" w:wrap="notBeside" w:vAnchor="text" w:hAnchor="text" w:y="1"/>
              <w:jc w:val="center"/>
              <w:rPr>
                <w:lang w:val="sr-Cyrl-RS"/>
              </w:rPr>
            </w:pPr>
            <w:r w:rsidRPr="00CF77C1">
              <w:rPr>
                <w:lang w:val="sr-Cyrl-RS"/>
              </w:rPr>
              <w:t>2020.</w:t>
            </w:r>
          </w:p>
        </w:tc>
        <w:tc>
          <w:tcPr>
            <w:tcW w:w="769" w:type="dxa"/>
            <w:shd w:val="clear" w:color="auto" w:fill="auto"/>
            <w:vAlign w:val="center"/>
          </w:tcPr>
          <w:p w14:paraId="172E1F56" w14:textId="77777777" w:rsidR="00D66E85" w:rsidRPr="00CF77C1" w:rsidRDefault="00D66E85" w:rsidP="0080044B">
            <w:pPr>
              <w:keepNext/>
              <w:framePr w:hSpace="181" w:wrap="notBeside" w:vAnchor="text" w:hAnchor="text" w:y="1"/>
              <w:jc w:val="center"/>
              <w:rPr>
                <w:lang w:val="sr-Cyrl-RS"/>
              </w:rPr>
            </w:pPr>
            <w:r w:rsidRPr="00CF77C1">
              <w:rPr>
                <w:lang w:val="sr-Cyrl-RS"/>
              </w:rPr>
              <w:t>2021.</w:t>
            </w:r>
          </w:p>
        </w:tc>
        <w:tc>
          <w:tcPr>
            <w:tcW w:w="770" w:type="dxa"/>
            <w:shd w:val="clear" w:color="auto" w:fill="auto"/>
            <w:vAlign w:val="center"/>
          </w:tcPr>
          <w:p w14:paraId="5F74DA64" w14:textId="77777777" w:rsidR="00D66E85" w:rsidRPr="00CF77C1" w:rsidRDefault="00D66E85" w:rsidP="0080044B">
            <w:pPr>
              <w:keepNext/>
              <w:framePr w:hSpace="181" w:wrap="notBeside" w:vAnchor="text" w:hAnchor="text" w:y="1"/>
              <w:jc w:val="center"/>
              <w:rPr>
                <w:lang w:val="sr-Cyrl-RS"/>
              </w:rPr>
            </w:pPr>
            <w:r w:rsidRPr="00CF77C1">
              <w:rPr>
                <w:lang w:val="sr-Cyrl-RS"/>
              </w:rPr>
              <w:t>2022.</w:t>
            </w:r>
          </w:p>
        </w:tc>
        <w:tc>
          <w:tcPr>
            <w:tcW w:w="770" w:type="dxa"/>
            <w:vAlign w:val="center"/>
          </w:tcPr>
          <w:p w14:paraId="20EB185B" w14:textId="77777777" w:rsidR="00D66E85" w:rsidRPr="00CF77C1" w:rsidRDefault="00D66E85" w:rsidP="0080044B">
            <w:pPr>
              <w:keepNext/>
              <w:framePr w:hSpace="181" w:wrap="notBeside" w:vAnchor="text" w:hAnchor="text" w:y="1"/>
              <w:jc w:val="center"/>
              <w:rPr>
                <w:lang w:val="sr-Cyrl-RS"/>
              </w:rPr>
            </w:pPr>
            <w:r w:rsidRPr="00CF77C1">
              <w:rPr>
                <w:lang w:val="sr-Cyrl-RS"/>
              </w:rPr>
              <w:t>2023.</w:t>
            </w:r>
          </w:p>
        </w:tc>
      </w:tr>
      <w:tr w:rsidR="00D66E85" w:rsidRPr="00CF77C1" w14:paraId="5302B3A1" w14:textId="77777777" w:rsidTr="00BD44C7">
        <w:trPr>
          <w:cantSplit/>
          <w:trHeight w:val="370"/>
        </w:trPr>
        <w:tc>
          <w:tcPr>
            <w:tcW w:w="6912" w:type="dxa"/>
            <w:shd w:val="clear" w:color="auto" w:fill="auto"/>
            <w:vAlign w:val="center"/>
          </w:tcPr>
          <w:p w14:paraId="2DE40E05" w14:textId="77777777" w:rsidR="00D66E85" w:rsidRPr="00CF77C1" w:rsidRDefault="00D66E85" w:rsidP="0080044B">
            <w:pPr>
              <w:framePr w:hSpace="181" w:wrap="notBeside" w:vAnchor="text" w:hAnchor="text" w:y="1"/>
              <w:jc w:val="left"/>
              <w:rPr>
                <w:lang w:val="sr-Cyrl-RS"/>
              </w:rPr>
            </w:pPr>
            <w:r w:rsidRPr="00CF77C1">
              <w:rPr>
                <w:lang w:val="sr-Cyrl-RS"/>
              </w:rPr>
              <w:t>Истражни радови</w:t>
            </w:r>
          </w:p>
        </w:tc>
        <w:tc>
          <w:tcPr>
            <w:tcW w:w="2410" w:type="dxa"/>
            <w:vMerge w:val="restart"/>
            <w:shd w:val="clear" w:color="auto" w:fill="auto"/>
            <w:vAlign w:val="center"/>
          </w:tcPr>
          <w:p w14:paraId="20FAA851" w14:textId="41674F3F" w:rsidR="00D66E85" w:rsidRPr="00CF77C1" w:rsidRDefault="00D66E85" w:rsidP="0080044B">
            <w:pPr>
              <w:framePr w:hSpace="181" w:wrap="notBeside" w:vAnchor="text" w:hAnchor="text" w:y="1"/>
              <w:jc w:val="left"/>
              <w:rPr>
                <w:lang w:val="sr-Cyrl-RS"/>
              </w:rPr>
            </w:pPr>
            <w:r w:rsidRPr="00CF77C1">
              <w:rPr>
                <w:lang w:val="sr-Cyrl-RS"/>
              </w:rPr>
              <w:t>Оператор складишта природног гаса (Подземно складиште гаса „Банатски Двор</w:t>
            </w:r>
            <w:r w:rsidR="00AD5740" w:rsidRPr="00CF77C1">
              <w:rPr>
                <w:lang w:val="sr-Cyrl-RS"/>
              </w:rPr>
              <w:t>”</w:t>
            </w:r>
            <w:r w:rsidRPr="00CF77C1">
              <w:rPr>
                <w:lang w:val="sr-Cyrl-RS"/>
              </w:rPr>
              <w:t xml:space="preserve"> д</w:t>
            </w:r>
            <w:r w:rsidR="00FC6F6F">
              <w:rPr>
                <w:lang w:val="sr-Cyrl-RS"/>
              </w:rPr>
              <w:t>.</w:t>
            </w:r>
            <w:r w:rsidRPr="00CF77C1">
              <w:rPr>
                <w:lang w:val="sr-Cyrl-RS"/>
              </w:rPr>
              <w:t>о</w:t>
            </w:r>
            <w:r w:rsidR="00FC6F6F">
              <w:rPr>
                <w:lang w:val="sr-Cyrl-RS"/>
              </w:rPr>
              <w:t>.</w:t>
            </w:r>
            <w:r w:rsidRPr="00CF77C1">
              <w:rPr>
                <w:lang w:val="sr-Cyrl-RS"/>
              </w:rPr>
              <w:t>о</w:t>
            </w:r>
            <w:r w:rsidR="00FC6F6F">
              <w:rPr>
                <w:lang w:val="sr-Cyrl-RS"/>
              </w:rPr>
              <w:t>.</w:t>
            </w:r>
            <w:r w:rsidRPr="00CF77C1">
              <w:rPr>
                <w:lang w:val="sr-Cyrl-RS"/>
              </w:rPr>
              <w:t xml:space="preserve"> Нови Сад)</w:t>
            </w:r>
          </w:p>
        </w:tc>
        <w:tc>
          <w:tcPr>
            <w:tcW w:w="769" w:type="dxa"/>
            <w:shd w:val="clear" w:color="auto" w:fill="auto"/>
            <w:vAlign w:val="center"/>
          </w:tcPr>
          <w:p w14:paraId="4B17DE60" w14:textId="77777777" w:rsidR="00D66E85" w:rsidRPr="00CF77C1" w:rsidRDefault="00D66E85" w:rsidP="0080044B">
            <w:pPr>
              <w:framePr w:hSpace="181" w:wrap="notBeside" w:vAnchor="text" w:hAnchor="text" w:y="1"/>
              <w:jc w:val="center"/>
              <w:rPr>
                <w:lang w:val="sr-Cyrl-RS"/>
              </w:rPr>
            </w:pPr>
          </w:p>
        </w:tc>
        <w:tc>
          <w:tcPr>
            <w:tcW w:w="770" w:type="dxa"/>
            <w:shd w:val="clear" w:color="auto" w:fill="auto"/>
            <w:vAlign w:val="center"/>
          </w:tcPr>
          <w:p w14:paraId="6DBAF67E" w14:textId="77777777" w:rsidR="00D66E85" w:rsidRPr="00CF77C1" w:rsidRDefault="00D66E85" w:rsidP="0080044B">
            <w:pPr>
              <w:framePr w:hSpace="181" w:wrap="notBeside" w:vAnchor="text" w:hAnchor="text" w:y="1"/>
              <w:jc w:val="center"/>
              <w:rPr>
                <w:lang w:val="sr-Cyrl-RS"/>
              </w:rPr>
            </w:pPr>
          </w:p>
        </w:tc>
        <w:tc>
          <w:tcPr>
            <w:tcW w:w="769" w:type="dxa"/>
            <w:shd w:val="clear" w:color="auto" w:fill="auto"/>
            <w:vAlign w:val="center"/>
          </w:tcPr>
          <w:p w14:paraId="388F3603" w14:textId="77777777" w:rsidR="00D66E85" w:rsidRPr="00CF77C1" w:rsidRDefault="00D66E85" w:rsidP="0080044B">
            <w:pPr>
              <w:framePr w:hSpace="181" w:wrap="notBeside" w:vAnchor="text" w:hAnchor="text" w:y="1"/>
              <w:jc w:val="center"/>
              <w:rPr>
                <w:lang w:val="sr-Cyrl-RS"/>
              </w:rPr>
            </w:pPr>
          </w:p>
        </w:tc>
        <w:tc>
          <w:tcPr>
            <w:tcW w:w="770" w:type="dxa"/>
            <w:shd w:val="clear" w:color="auto" w:fill="auto"/>
            <w:vAlign w:val="center"/>
          </w:tcPr>
          <w:p w14:paraId="6917DCD7" w14:textId="77777777" w:rsidR="00D66E85" w:rsidRPr="00CF77C1" w:rsidRDefault="00D66E85"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53801672" w14:textId="77777777" w:rsidR="00D66E85" w:rsidRPr="00CF77C1" w:rsidRDefault="00D66E85" w:rsidP="0080044B">
            <w:pPr>
              <w:framePr w:hSpace="181" w:wrap="notBeside" w:vAnchor="text" w:hAnchor="text" w:y="1"/>
              <w:jc w:val="center"/>
              <w:rPr>
                <w:lang w:val="sr-Cyrl-RS"/>
              </w:rPr>
            </w:pPr>
          </w:p>
        </w:tc>
        <w:tc>
          <w:tcPr>
            <w:tcW w:w="770" w:type="dxa"/>
            <w:shd w:val="clear" w:color="auto" w:fill="auto"/>
            <w:vAlign w:val="center"/>
          </w:tcPr>
          <w:p w14:paraId="73E9F44B" w14:textId="77777777" w:rsidR="00D66E85" w:rsidRPr="00CF77C1" w:rsidRDefault="00D66E85" w:rsidP="0080044B">
            <w:pPr>
              <w:framePr w:hSpace="181" w:wrap="notBeside" w:vAnchor="text" w:hAnchor="text" w:y="1"/>
              <w:jc w:val="center"/>
              <w:rPr>
                <w:lang w:val="sr-Cyrl-RS"/>
              </w:rPr>
            </w:pPr>
          </w:p>
        </w:tc>
        <w:tc>
          <w:tcPr>
            <w:tcW w:w="770" w:type="dxa"/>
            <w:vAlign w:val="center"/>
          </w:tcPr>
          <w:p w14:paraId="714DDC20" w14:textId="77777777" w:rsidR="00D66E85" w:rsidRPr="00CF77C1" w:rsidRDefault="00D66E85" w:rsidP="0080044B">
            <w:pPr>
              <w:framePr w:hSpace="181" w:wrap="notBeside" w:vAnchor="text" w:hAnchor="text" w:y="1"/>
              <w:jc w:val="center"/>
              <w:rPr>
                <w:lang w:val="sr-Cyrl-RS"/>
              </w:rPr>
            </w:pPr>
          </w:p>
        </w:tc>
      </w:tr>
      <w:tr w:rsidR="00D66E85" w:rsidRPr="00CF77C1" w14:paraId="3FBF40FF" w14:textId="77777777" w:rsidTr="00D66E85">
        <w:trPr>
          <w:cantSplit/>
          <w:trHeight w:val="248"/>
        </w:trPr>
        <w:tc>
          <w:tcPr>
            <w:tcW w:w="6912" w:type="dxa"/>
            <w:shd w:val="clear" w:color="auto" w:fill="auto"/>
            <w:vAlign w:val="center"/>
          </w:tcPr>
          <w:p w14:paraId="29B21902" w14:textId="77777777" w:rsidR="00D66E85" w:rsidRPr="00CF77C1" w:rsidRDefault="00D66E85" w:rsidP="0080044B">
            <w:pPr>
              <w:framePr w:hSpace="181" w:wrap="notBeside" w:vAnchor="text" w:hAnchor="text" w:y="1"/>
              <w:jc w:val="left"/>
              <w:rPr>
                <w:lang w:val="sr-Cyrl-RS"/>
              </w:rPr>
            </w:pPr>
            <w:r w:rsidRPr="00CF77C1">
              <w:rPr>
                <w:lang w:val="sr-Cyrl-RS"/>
              </w:rPr>
              <w:t>Идејно решење и локацијска дозвола</w:t>
            </w:r>
          </w:p>
        </w:tc>
        <w:tc>
          <w:tcPr>
            <w:tcW w:w="2410" w:type="dxa"/>
            <w:vMerge/>
            <w:shd w:val="clear" w:color="auto" w:fill="auto"/>
          </w:tcPr>
          <w:p w14:paraId="30761C52"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3E295147"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521FE250"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2C3A08E1"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49737635"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6D8A9A41"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shd w:val="clear" w:color="auto" w:fill="auto"/>
            <w:vAlign w:val="center"/>
          </w:tcPr>
          <w:p w14:paraId="794CA8FE"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0CFC225F" w14:textId="77777777" w:rsidR="00D66E85" w:rsidRPr="00CF77C1" w:rsidRDefault="00D66E85" w:rsidP="0080044B">
            <w:pPr>
              <w:framePr w:hSpace="181" w:wrap="notBeside" w:vAnchor="text" w:hAnchor="text" w:y="1"/>
              <w:jc w:val="center"/>
              <w:rPr>
                <w:szCs w:val="24"/>
                <w:lang w:val="sr-Cyrl-RS"/>
              </w:rPr>
            </w:pPr>
          </w:p>
        </w:tc>
      </w:tr>
      <w:tr w:rsidR="00D66E85" w:rsidRPr="00CF77C1" w14:paraId="0F0DD08E" w14:textId="77777777" w:rsidTr="00D66E85">
        <w:trPr>
          <w:cantSplit/>
          <w:trHeight w:val="303"/>
        </w:trPr>
        <w:tc>
          <w:tcPr>
            <w:tcW w:w="6912" w:type="dxa"/>
            <w:shd w:val="clear" w:color="auto" w:fill="auto"/>
            <w:vAlign w:val="center"/>
          </w:tcPr>
          <w:p w14:paraId="272D501A" w14:textId="77777777" w:rsidR="00D66E85" w:rsidRPr="00CF77C1" w:rsidRDefault="00D66E85" w:rsidP="0080044B">
            <w:pPr>
              <w:framePr w:hSpace="181" w:wrap="notBeside" w:vAnchor="text" w:hAnchor="text" w:y="1"/>
              <w:jc w:val="left"/>
              <w:rPr>
                <w:lang w:val="sr-Cyrl-RS"/>
              </w:rPr>
            </w:pPr>
            <w:r w:rsidRPr="00CF77C1">
              <w:rPr>
                <w:lang w:val="sr-Cyrl-RS"/>
              </w:rPr>
              <w:t xml:space="preserve">Студија о процени утицаја на животну средину </w:t>
            </w:r>
          </w:p>
        </w:tc>
        <w:tc>
          <w:tcPr>
            <w:tcW w:w="2410" w:type="dxa"/>
            <w:vMerge/>
            <w:shd w:val="clear" w:color="auto" w:fill="auto"/>
          </w:tcPr>
          <w:p w14:paraId="1066CAA4"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5278BD35"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7CFF8CF7"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72CFE374"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2C55BF92"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70A30333"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shd w:val="clear" w:color="auto" w:fill="auto"/>
            <w:vAlign w:val="center"/>
          </w:tcPr>
          <w:p w14:paraId="38BEC073"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08E9DE9D" w14:textId="77777777" w:rsidR="00D66E85" w:rsidRPr="00CF77C1" w:rsidRDefault="00D66E85" w:rsidP="0080044B">
            <w:pPr>
              <w:framePr w:hSpace="181" w:wrap="notBeside" w:vAnchor="text" w:hAnchor="text" w:y="1"/>
              <w:jc w:val="center"/>
              <w:rPr>
                <w:szCs w:val="24"/>
                <w:lang w:val="sr-Cyrl-RS"/>
              </w:rPr>
            </w:pPr>
          </w:p>
        </w:tc>
      </w:tr>
      <w:tr w:rsidR="00D66E85" w:rsidRPr="00CF77C1" w14:paraId="0A7FAB43" w14:textId="77777777" w:rsidTr="00D66E85">
        <w:trPr>
          <w:cantSplit/>
          <w:trHeight w:val="323"/>
        </w:trPr>
        <w:tc>
          <w:tcPr>
            <w:tcW w:w="6912" w:type="dxa"/>
            <w:shd w:val="clear" w:color="auto" w:fill="auto"/>
            <w:vAlign w:val="center"/>
          </w:tcPr>
          <w:p w14:paraId="20068ECF" w14:textId="77777777" w:rsidR="00D66E85" w:rsidRPr="00CF77C1" w:rsidRDefault="00D66E85" w:rsidP="0080044B">
            <w:pPr>
              <w:framePr w:hSpace="181" w:wrap="notBeside" w:vAnchor="text" w:hAnchor="text" w:y="1"/>
              <w:jc w:val="left"/>
              <w:rPr>
                <w:lang w:val="sr-Cyrl-RS"/>
              </w:rPr>
            </w:pPr>
            <w:r w:rsidRPr="00CF77C1">
              <w:rPr>
                <w:lang w:val="sr-Cyrl-RS"/>
              </w:rPr>
              <w:t xml:space="preserve">Решавање </w:t>
            </w:r>
            <w:r w:rsidR="00A71236" w:rsidRPr="00CF77C1">
              <w:rPr>
                <w:lang w:val="sr-Cyrl-RS"/>
              </w:rPr>
              <w:t>имовинско-правних</w:t>
            </w:r>
            <w:r w:rsidRPr="00CF77C1">
              <w:rPr>
                <w:lang w:val="sr-Cyrl-RS"/>
              </w:rPr>
              <w:t xml:space="preserve"> послова</w:t>
            </w:r>
          </w:p>
        </w:tc>
        <w:tc>
          <w:tcPr>
            <w:tcW w:w="2410" w:type="dxa"/>
            <w:vMerge/>
            <w:shd w:val="clear" w:color="auto" w:fill="auto"/>
          </w:tcPr>
          <w:p w14:paraId="36A17005"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6A533AF8"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160A1D0E"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1D095736"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0A638425"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26D12488"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shd w:val="clear" w:color="auto" w:fill="auto"/>
            <w:vAlign w:val="center"/>
          </w:tcPr>
          <w:p w14:paraId="40734BE0"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22329B61" w14:textId="77777777" w:rsidR="00D66E85" w:rsidRPr="00CF77C1" w:rsidRDefault="00D66E85" w:rsidP="0080044B">
            <w:pPr>
              <w:framePr w:hSpace="181" w:wrap="notBeside" w:vAnchor="text" w:hAnchor="text" w:y="1"/>
              <w:jc w:val="center"/>
              <w:rPr>
                <w:szCs w:val="24"/>
                <w:lang w:val="sr-Cyrl-RS"/>
              </w:rPr>
            </w:pPr>
          </w:p>
        </w:tc>
      </w:tr>
      <w:tr w:rsidR="00D66E85" w:rsidRPr="00CF77C1" w14:paraId="79ABAD8D" w14:textId="77777777" w:rsidTr="00D66E85">
        <w:trPr>
          <w:cantSplit/>
          <w:trHeight w:val="343"/>
        </w:trPr>
        <w:tc>
          <w:tcPr>
            <w:tcW w:w="6912" w:type="dxa"/>
            <w:shd w:val="clear" w:color="auto" w:fill="auto"/>
            <w:vAlign w:val="center"/>
          </w:tcPr>
          <w:p w14:paraId="5ED9E6B4" w14:textId="77777777" w:rsidR="00D66E85" w:rsidRPr="00CF77C1" w:rsidRDefault="00D66E85" w:rsidP="0080044B">
            <w:pPr>
              <w:framePr w:hSpace="181" w:wrap="notBeside" w:vAnchor="text" w:hAnchor="text" w:y="1"/>
              <w:jc w:val="left"/>
              <w:rPr>
                <w:lang w:val="sr-Cyrl-RS"/>
              </w:rPr>
            </w:pPr>
            <w:r w:rsidRPr="00CF77C1">
              <w:rPr>
                <w:lang w:val="sr-Cyrl-RS"/>
              </w:rPr>
              <w:t>Идејни пројекат и студија оправданости</w:t>
            </w:r>
          </w:p>
        </w:tc>
        <w:tc>
          <w:tcPr>
            <w:tcW w:w="2410" w:type="dxa"/>
            <w:vMerge/>
            <w:shd w:val="clear" w:color="auto" w:fill="auto"/>
          </w:tcPr>
          <w:p w14:paraId="68747E86"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5826D38A"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648E2E72"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3D98B909"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26FF5E25"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2DCB7D0C"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7288F366"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0AEE792F" w14:textId="77777777" w:rsidR="00D66E85" w:rsidRPr="00CF77C1" w:rsidRDefault="00D66E85" w:rsidP="0080044B">
            <w:pPr>
              <w:framePr w:hSpace="181" w:wrap="notBeside" w:vAnchor="text" w:hAnchor="text" w:y="1"/>
              <w:jc w:val="center"/>
              <w:rPr>
                <w:szCs w:val="24"/>
                <w:lang w:val="sr-Cyrl-RS"/>
              </w:rPr>
            </w:pPr>
          </w:p>
        </w:tc>
      </w:tr>
      <w:tr w:rsidR="00D66E85" w:rsidRPr="00CF77C1" w14:paraId="5F4B04AE" w14:textId="77777777" w:rsidTr="00D66E85">
        <w:trPr>
          <w:cantSplit/>
          <w:trHeight w:val="364"/>
        </w:trPr>
        <w:tc>
          <w:tcPr>
            <w:tcW w:w="6912" w:type="dxa"/>
            <w:shd w:val="clear" w:color="auto" w:fill="auto"/>
            <w:vAlign w:val="center"/>
          </w:tcPr>
          <w:p w14:paraId="4A2E043E" w14:textId="77777777" w:rsidR="00D66E85" w:rsidRPr="00CF77C1" w:rsidRDefault="00D66E85" w:rsidP="0080044B">
            <w:pPr>
              <w:framePr w:hSpace="181" w:wrap="notBeside" w:vAnchor="text" w:hAnchor="text" w:y="1"/>
              <w:jc w:val="left"/>
              <w:rPr>
                <w:lang w:val="sr-Cyrl-RS"/>
              </w:rPr>
            </w:pPr>
            <w:r w:rsidRPr="00CF77C1">
              <w:rPr>
                <w:lang w:val="sr-Cyrl-RS"/>
              </w:rPr>
              <w:t>Енергетска дозвола</w:t>
            </w:r>
          </w:p>
        </w:tc>
        <w:tc>
          <w:tcPr>
            <w:tcW w:w="2410" w:type="dxa"/>
            <w:vMerge/>
            <w:shd w:val="clear" w:color="auto" w:fill="auto"/>
          </w:tcPr>
          <w:p w14:paraId="6265887A"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6C3194DF"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45292613"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56A67281"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4A83A344"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371B50D4"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2DF8A8C9"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377003B5" w14:textId="77777777" w:rsidR="00D66E85" w:rsidRPr="00CF77C1" w:rsidRDefault="00D66E85" w:rsidP="0080044B">
            <w:pPr>
              <w:framePr w:hSpace="181" w:wrap="notBeside" w:vAnchor="text" w:hAnchor="text" w:y="1"/>
              <w:jc w:val="center"/>
              <w:rPr>
                <w:szCs w:val="24"/>
                <w:lang w:val="sr-Cyrl-RS"/>
              </w:rPr>
            </w:pPr>
          </w:p>
        </w:tc>
      </w:tr>
      <w:tr w:rsidR="00D66E85" w:rsidRPr="00CF77C1" w14:paraId="579DD95B" w14:textId="77777777" w:rsidTr="00D66E85">
        <w:trPr>
          <w:cantSplit/>
          <w:trHeight w:val="397"/>
        </w:trPr>
        <w:tc>
          <w:tcPr>
            <w:tcW w:w="6912" w:type="dxa"/>
            <w:shd w:val="clear" w:color="auto" w:fill="auto"/>
            <w:vAlign w:val="center"/>
          </w:tcPr>
          <w:p w14:paraId="5BFF5D74" w14:textId="77777777" w:rsidR="00D66E85" w:rsidRPr="00CF77C1" w:rsidRDefault="00D66E85" w:rsidP="0080044B">
            <w:pPr>
              <w:framePr w:hSpace="181" w:wrap="notBeside" w:vAnchor="text" w:hAnchor="text" w:y="1"/>
              <w:jc w:val="left"/>
              <w:rPr>
                <w:lang w:val="sr-Cyrl-RS"/>
              </w:rPr>
            </w:pPr>
            <w:r w:rsidRPr="00CF77C1">
              <w:rPr>
                <w:lang w:val="sr-Cyrl-RS"/>
              </w:rPr>
              <w:t>Пројекат за грађевинску дозволу и грађевинска дозвола</w:t>
            </w:r>
          </w:p>
        </w:tc>
        <w:tc>
          <w:tcPr>
            <w:tcW w:w="2410" w:type="dxa"/>
            <w:vMerge/>
            <w:shd w:val="clear" w:color="auto" w:fill="auto"/>
          </w:tcPr>
          <w:p w14:paraId="6EB1079A"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187D7E55"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21643F33"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1DD94379"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32FE386C"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5DC75B4D"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44069188"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4B09F236" w14:textId="77777777" w:rsidR="00D66E85" w:rsidRPr="00CF77C1" w:rsidRDefault="00D66E85" w:rsidP="0080044B">
            <w:pPr>
              <w:framePr w:hSpace="181" w:wrap="notBeside" w:vAnchor="text" w:hAnchor="text" w:y="1"/>
              <w:jc w:val="center"/>
              <w:rPr>
                <w:szCs w:val="24"/>
                <w:lang w:val="sr-Cyrl-RS"/>
              </w:rPr>
            </w:pPr>
          </w:p>
        </w:tc>
      </w:tr>
      <w:tr w:rsidR="00D66E85" w:rsidRPr="00CF77C1" w14:paraId="4A8CB7A5" w14:textId="77777777" w:rsidTr="00D66E85">
        <w:trPr>
          <w:cantSplit/>
          <w:trHeight w:val="262"/>
        </w:trPr>
        <w:tc>
          <w:tcPr>
            <w:tcW w:w="6912" w:type="dxa"/>
            <w:shd w:val="clear" w:color="auto" w:fill="auto"/>
            <w:vAlign w:val="center"/>
          </w:tcPr>
          <w:p w14:paraId="5DA86CCC" w14:textId="77777777" w:rsidR="00D66E85" w:rsidRPr="00CF77C1" w:rsidRDefault="00D66E85" w:rsidP="0080044B">
            <w:pPr>
              <w:framePr w:hSpace="181" w:wrap="notBeside" w:vAnchor="text" w:hAnchor="text" w:y="1"/>
              <w:jc w:val="left"/>
              <w:rPr>
                <w:lang w:val="sr-Cyrl-RS"/>
              </w:rPr>
            </w:pPr>
            <w:r w:rsidRPr="00CF77C1">
              <w:rPr>
                <w:lang w:val="sr-Cyrl-RS"/>
              </w:rPr>
              <w:t>Израда тендерске документације</w:t>
            </w:r>
          </w:p>
        </w:tc>
        <w:tc>
          <w:tcPr>
            <w:tcW w:w="2410" w:type="dxa"/>
            <w:vMerge/>
            <w:shd w:val="clear" w:color="auto" w:fill="auto"/>
          </w:tcPr>
          <w:p w14:paraId="2162A7CD"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60CC2735"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1308FDE3"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5B00BAF0"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46108259"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02655F29"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06005EAC"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573C977F" w14:textId="77777777" w:rsidR="00D66E85" w:rsidRPr="00CF77C1" w:rsidRDefault="00D66E85" w:rsidP="0080044B">
            <w:pPr>
              <w:framePr w:hSpace="181" w:wrap="notBeside" w:vAnchor="text" w:hAnchor="text" w:y="1"/>
              <w:jc w:val="center"/>
              <w:rPr>
                <w:szCs w:val="24"/>
                <w:lang w:val="sr-Cyrl-RS"/>
              </w:rPr>
            </w:pPr>
          </w:p>
        </w:tc>
      </w:tr>
      <w:tr w:rsidR="00D66E85" w:rsidRPr="00CF77C1" w14:paraId="5BD5BF6F" w14:textId="77777777" w:rsidTr="00D66E85">
        <w:trPr>
          <w:cantSplit/>
          <w:trHeight w:val="282"/>
        </w:trPr>
        <w:tc>
          <w:tcPr>
            <w:tcW w:w="6912" w:type="dxa"/>
            <w:shd w:val="clear" w:color="auto" w:fill="auto"/>
            <w:vAlign w:val="center"/>
          </w:tcPr>
          <w:p w14:paraId="136E21AA" w14:textId="77777777" w:rsidR="00D66E85" w:rsidRPr="00CF77C1" w:rsidRDefault="00D66E85" w:rsidP="0080044B">
            <w:pPr>
              <w:framePr w:hSpace="181" w:wrap="notBeside" w:vAnchor="text" w:hAnchor="text" w:y="1"/>
              <w:jc w:val="left"/>
              <w:rPr>
                <w:lang w:val="sr-Cyrl-RS"/>
              </w:rPr>
            </w:pPr>
            <w:r w:rsidRPr="00CF77C1">
              <w:rPr>
                <w:lang w:val="sr-Cyrl-RS"/>
              </w:rPr>
              <w:t>Пројекат за извођење</w:t>
            </w:r>
          </w:p>
        </w:tc>
        <w:tc>
          <w:tcPr>
            <w:tcW w:w="2410" w:type="dxa"/>
            <w:vMerge/>
            <w:shd w:val="clear" w:color="auto" w:fill="auto"/>
          </w:tcPr>
          <w:p w14:paraId="030E3FBE" w14:textId="77777777" w:rsidR="00D66E85" w:rsidRPr="00CF77C1" w:rsidRDefault="00D66E85" w:rsidP="0080044B">
            <w:pPr>
              <w:framePr w:hSpace="181" w:wrap="notBeside" w:vAnchor="text" w:hAnchor="text" w:y="1"/>
              <w:jc w:val="left"/>
              <w:rPr>
                <w:lang w:val="sr-Cyrl-RS"/>
              </w:rPr>
            </w:pPr>
          </w:p>
        </w:tc>
        <w:tc>
          <w:tcPr>
            <w:tcW w:w="769" w:type="dxa"/>
            <w:shd w:val="clear" w:color="auto" w:fill="auto"/>
            <w:vAlign w:val="center"/>
          </w:tcPr>
          <w:p w14:paraId="54B00C5A"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00D6B89C"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4874EFF8"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4926D8E2"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725B2898"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2E314EE6" w14:textId="77777777" w:rsidR="00D66E85" w:rsidRPr="00CF77C1" w:rsidRDefault="00D66E85" w:rsidP="0080044B">
            <w:pPr>
              <w:framePr w:hSpace="181" w:wrap="notBeside" w:vAnchor="text" w:hAnchor="text" w:y="1"/>
              <w:jc w:val="center"/>
              <w:rPr>
                <w:szCs w:val="24"/>
                <w:lang w:val="sr-Cyrl-RS"/>
              </w:rPr>
            </w:pPr>
            <w:r w:rsidRPr="00CF77C1">
              <w:rPr>
                <w:lang w:val="sr-Cyrl-RS"/>
              </w:rPr>
              <w:t>х</w:t>
            </w:r>
          </w:p>
        </w:tc>
        <w:tc>
          <w:tcPr>
            <w:tcW w:w="770" w:type="dxa"/>
            <w:vAlign w:val="center"/>
          </w:tcPr>
          <w:p w14:paraId="34AC94D0" w14:textId="77777777" w:rsidR="00D66E85" w:rsidRPr="00CF77C1" w:rsidRDefault="00D66E85" w:rsidP="0080044B">
            <w:pPr>
              <w:framePr w:hSpace="181" w:wrap="notBeside" w:vAnchor="text" w:hAnchor="text" w:y="1"/>
              <w:jc w:val="center"/>
              <w:rPr>
                <w:szCs w:val="24"/>
                <w:lang w:val="sr-Cyrl-RS"/>
              </w:rPr>
            </w:pPr>
            <w:r w:rsidRPr="00CF77C1">
              <w:rPr>
                <w:lang w:val="sr-Cyrl-RS"/>
              </w:rPr>
              <w:t>x</w:t>
            </w:r>
          </w:p>
        </w:tc>
      </w:tr>
      <w:tr w:rsidR="00D66E85" w:rsidRPr="00CF77C1" w14:paraId="4DFA6D44" w14:textId="77777777" w:rsidTr="00D66E85">
        <w:trPr>
          <w:cantSplit/>
          <w:trHeight w:val="378"/>
        </w:trPr>
        <w:tc>
          <w:tcPr>
            <w:tcW w:w="6912" w:type="dxa"/>
            <w:shd w:val="clear" w:color="auto" w:fill="auto"/>
            <w:vAlign w:val="center"/>
          </w:tcPr>
          <w:p w14:paraId="321DF74B" w14:textId="77777777" w:rsidR="00D66E85" w:rsidRPr="00CF77C1" w:rsidRDefault="00F25351" w:rsidP="0080044B">
            <w:pPr>
              <w:framePr w:hSpace="181" w:wrap="notBeside" w:vAnchor="text" w:hAnchor="text" w:y="1"/>
              <w:jc w:val="left"/>
              <w:rPr>
                <w:lang w:val="sr-Cyrl-RS"/>
              </w:rPr>
            </w:pPr>
            <w:r w:rsidRPr="00CF77C1">
              <w:rPr>
                <w:lang w:val="sr-Cyrl-RS"/>
              </w:rPr>
              <w:t>Изградња</w:t>
            </w:r>
          </w:p>
        </w:tc>
        <w:tc>
          <w:tcPr>
            <w:tcW w:w="2410" w:type="dxa"/>
            <w:shd w:val="clear" w:color="auto" w:fill="auto"/>
            <w:vAlign w:val="center"/>
          </w:tcPr>
          <w:p w14:paraId="42A4B649" w14:textId="77777777" w:rsidR="00D66E85" w:rsidRPr="00CF77C1" w:rsidRDefault="00D66E85" w:rsidP="0080044B">
            <w:pPr>
              <w:framePr w:hSpace="181" w:wrap="notBeside" w:vAnchor="text" w:hAnchor="text" w:y="1"/>
              <w:jc w:val="left"/>
              <w:rPr>
                <w:lang w:val="sr-Cyrl-RS"/>
              </w:rPr>
            </w:pPr>
            <w:r w:rsidRPr="00CF77C1">
              <w:rPr>
                <w:lang w:val="sr-Cyrl-RS"/>
              </w:rPr>
              <w:t>-</w:t>
            </w:r>
          </w:p>
        </w:tc>
        <w:tc>
          <w:tcPr>
            <w:tcW w:w="769" w:type="dxa"/>
            <w:shd w:val="clear" w:color="auto" w:fill="auto"/>
            <w:vAlign w:val="center"/>
          </w:tcPr>
          <w:p w14:paraId="43F1F7A5"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34B648B6"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50104ACE"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1C128EC4" w14:textId="77777777" w:rsidR="00D66E85" w:rsidRPr="00CF77C1" w:rsidRDefault="00D66E85" w:rsidP="0080044B">
            <w:pPr>
              <w:framePr w:hSpace="181" w:wrap="notBeside" w:vAnchor="text" w:hAnchor="text" w:y="1"/>
              <w:jc w:val="center"/>
              <w:rPr>
                <w:szCs w:val="24"/>
                <w:lang w:val="sr-Cyrl-RS"/>
              </w:rPr>
            </w:pPr>
          </w:p>
        </w:tc>
        <w:tc>
          <w:tcPr>
            <w:tcW w:w="769" w:type="dxa"/>
            <w:shd w:val="clear" w:color="auto" w:fill="auto"/>
            <w:vAlign w:val="center"/>
          </w:tcPr>
          <w:p w14:paraId="0EFBA516" w14:textId="77777777" w:rsidR="00D66E85" w:rsidRPr="00CF77C1" w:rsidRDefault="00D66E85" w:rsidP="0080044B">
            <w:pPr>
              <w:framePr w:hSpace="181" w:wrap="notBeside" w:vAnchor="text" w:hAnchor="text" w:y="1"/>
              <w:jc w:val="center"/>
              <w:rPr>
                <w:szCs w:val="24"/>
                <w:lang w:val="sr-Cyrl-RS"/>
              </w:rPr>
            </w:pPr>
          </w:p>
        </w:tc>
        <w:tc>
          <w:tcPr>
            <w:tcW w:w="770" w:type="dxa"/>
            <w:shd w:val="clear" w:color="auto" w:fill="auto"/>
            <w:vAlign w:val="center"/>
          </w:tcPr>
          <w:p w14:paraId="66F8F317" w14:textId="77777777" w:rsidR="00D66E85" w:rsidRPr="00CF77C1" w:rsidRDefault="00D66E85" w:rsidP="0080044B">
            <w:pPr>
              <w:framePr w:hSpace="181" w:wrap="notBeside" w:vAnchor="text" w:hAnchor="text" w:y="1"/>
              <w:jc w:val="center"/>
              <w:rPr>
                <w:lang w:val="sr-Cyrl-RS"/>
              </w:rPr>
            </w:pPr>
            <w:r w:rsidRPr="00CF77C1">
              <w:rPr>
                <w:lang w:val="sr-Cyrl-RS"/>
              </w:rPr>
              <w:t>х</w:t>
            </w:r>
          </w:p>
        </w:tc>
        <w:tc>
          <w:tcPr>
            <w:tcW w:w="770" w:type="dxa"/>
            <w:vAlign w:val="center"/>
          </w:tcPr>
          <w:p w14:paraId="779298BC" w14:textId="77777777" w:rsidR="00D66E85" w:rsidRPr="00CF77C1" w:rsidRDefault="00D66E85" w:rsidP="0080044B">
            <w:pPr>
              <w:framePr w:hSpace="181" w:wrap="notBeside" w:vAnchor="text" w:hAnchor="text" w:y="1"/>
              <w:jc w:val="center"/>
              <w:rPr>
                <w:lang w:val="sr-Cyrl-RS"/>
              </w:rPr>
            </w:pPr>
            <w:r w:rsidRPr="00CF77C1">
              <w:rPr>
                <w:lang w:val="sr-Cyrl-RS"/>
              </w:rPr>
              <w:t>х</w:t>
            </w:r>
          </w:p>
        </w:tc>
      </w:tr>
    </w:tbl>
    <w:p w14:paraId="1B3EA50B" w14:textId="77777777" w:rsidR="00D66E85" w:rsidRPr="00CF77C1" w:rsidRDefault="00D66E85" w:rsidP="0080044B">
      <w:pPr>
        <w:rPr>
          <w:lang w:val="sr-Cyrl-RS"/>
        </w:rPr>
      </w:pPr>
    </w:p>
    <w:p w14:paraId="4D4E5A95" w14:textId="3E99CE07" w:rsidR="00D66E85" w:rsidRPr="00CF77C1" w:rsidRDefault="008C6DCA" w:rsidP="008C6DCA">
      <w:pPr>
        <w:pStyle w:val="ListParagraph"/>
        <w:keepNext/>
        <w:contextualSpacing w:val="0"/>
        <w:rPr>
          <w:lang w:val="sr-Cyrl-RS"/>
        </w:rPr>
      </w:pPr>
      <w:bookmarkStart w:id="157" w:name="_Ref476806086"/>
      <w:r w:rsidRPr="00CF77C1">
        <w:rPr>
          <w:lang w:val="sr-Cyrl-RS"/>
        </w:rPr>
        <w:t xml:space="preserve">П.25. </w:t>
      </w:r>
      <w:r w:rsidR="00D66E85" w:rsidRPr="00CF77C1">
        <w:rPr>
          <w:lang w:val="sr-Cyrl-RS"/>
        </w:rPr>
        <w:t>Изградња магистралних, разводних и дистрибутивних гасовода</w:t>
      </w:r>
      <w:bookmarkEnd w:id="157"/>
    </w:p>
    <w:p w14:paraId="28AB217D" w14:textId="0CC2DC7A" w:rsidR="00796107" w:rsidRPr="00CF77C1" w:rsidRDefault="00796107" w:rsidP="00C41967">
      <w:pPr>
        <w:tabs>
          <w:tab w:val="left" w:pos="3420"/>
        </w:tabs>
        <w:ind w:firstLine="720"/>
        <w:rPr>
          <w:lang w:val="sr-Cyrl-RS"/>
        </w:rPr>
      </w:pPr>
      <w:r w:rsidRPr="00CF77C1">
        <w:rPr>
          <w:lang w:val="sr-Cyrl-RS"/>
        </w:rPr>
        <w:t xml:space="preserve">таб. </w:t>
      </w:r>
      <w:r w:rsidRPr="00CF77C1">
        <w:rPr>
          <w:lang w:val="sr-Cyrl-RS"/>
        </w:rPr>
        <w:fldChar w:fldCharType="begin"/>
      </w:r>
      <w:r w:rsidRPr="00CF77C1">
        <w:rPr>
          <w:lang w:val="sr-Cyrl-RS"/>
        </w:rPr>
        <w:instrText xml:space="preserve"> SEQ таб. \* ARABIC </w:instrText>
      </w:r>
      <w:r w:rsidRPr="00CF77C1">
        <w:rPr>
          <w:lang w:val="sr-Cyrl-RS"/>
        </w:rPr>
        <w:fldChar w:fldCharType="separate"/>
      </w:r>
      <w:r w:rsidR="002D5918">
        <w:rPr>
          <w:noProof/>
          <w:lang w:val="sr-Cyrl-RS"/>
        </w:rPr>
        <w:t>80</w:t>
      </w:r>
      <w:r w:rsidRPr="00CF77C1">
        <w:rPr>
          <w:lang w:val="sr-Cyrl-RS"/>
        </w:rPr>
        <w:fldChar w:fldCharType="end"/>
      </w:r>
      <w:r w:rsidRPr="00CF77C1">
        <w:rPr>
          <w:lang w:val="sr-Cyrl-RS"/>
        </w:rPr>
        <w:t>: Основне карактеристике пројекта (извори податка: документација ЈП Србијагас и Југоросгаз ад, Market report: Serbia natural gas sector: prospects, market structure and strategy, 22 August 2016, EY) Током 2017. године није пре</w:t>
      </w:r>
      <w:r w:rsidR="00FE6568">
        <w:rPr>
          <w:lang w:val="sr-Cyrl-RS"/>
        </w:rPr>
        <w:t>двиђено коришћење средстава из б</w:t>
      </w:r>
      <w:r w:rsidRPr="00CF77C1">
        <w:rPr>
          <w:lang w:val="sr-Cyrl-RS"/>
        </w:rPr>
        <w:t>уџета Републике Србије. У</w:t>
      </w:r>
      <w:r w:rsidR="009A670A" w:rsidRPr="00CF77C1">
        <w:rPr>
          <w:lang w:val="sr-Cyrl-RS"/>
        </w:rPr>
        <w:t xml:space="preserve"> наредним го</w:t>
      </w:r>
      <w:r w:rsidR="00FE6568">
        <w:rPr>
          <w:lang w:val="sr-Cyrl-RS"/>
        </w:rPr>
        <w:t>динама средства из б</w:t>
      </w:r>
      <w:r w:rsidRPr="00CF77C1">
        <w:rPr>
          <w:lang w:val="sr-Cyrl-RS"/>
        </w:rPr>
        <w:t>уџета Републике Србије ће бити обезбеђена у оквиру утврђених лимита у ск</w:t>
      </w:r>
      <w:r w:rsidR="00FE6568">
        <w:rPr>
          <w:lang w:val="sr-Cyrl-RS"/>
        </w:rPr>
        <w:t>ладу са билансним могућностима б</w:t>
      </w:r>
      <w:r w:rsidR="00F03AD4">
        <w:rPr>
          <w:lang w:val="sr-Cyrl-RS"/>
        </w:rPr>
        <w:t>уџета Републике Србије.</w:t>
      </w:r>
    </w:p>
    <w:tbl>
      <w:tblPr>
        <w:tblW w:w="14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
        <w:gridCol w:w="1559"/>
        <w:gridCol w:w="3686"/>
        <w:gridCol w:w="4677"/>
        <w:gridCol w:w="3828"/>
      </w:tblGrid>
      <w:tr w:rsidR="00D66E85" w:rsidRPr="00CF77C1" w14:paraId="5044FF45" w14:textId="77777777" w:rsidTr="00C859C0">
        <w:tc>
          <w:tcPr>
            <w:tcW w:w="2467" w:type="dxa"/>
            <w:gridSpan w:val="2"/>
            <w:shd w:val="clear" w:color="auto" w:fill="auto"/>
            <w:tcMar>
              <w:left w:w="57" w:type="dxa"/>
              <w:right w:w="57" w:type="dxa"/>
            </w:tcMar>
            <w:vAlign w:val="center"/>
          </w:tcPr>
          <w:p w14:paraId="5FB2495E" w14:textId="77777777" w:rsidR="00D66E85" w:rsidRPr="00CF77C1" w:rsidRDefault="00D66E85" w:rsidP="00C859C0">
            <w:pPr>
              <w:framePr w:hSpace="181" w:wrap="notBeside" w:vAnchor="text" w:hAnchor="text" w:y="1"/>
              <w:jc w:val="center"/>
              <w:rPr>
                <w:sz w:val="18"/>
                <w:szCs w:val="18"/>
                <w:lang w:val="sr-Cyrl-RS"/>
              </w:rPr>
            </w:pPr>
            <w:r w:rsidRPr="00CF77C1">
              <w:rPr>
                <w:sz w:val="18"/>
                <w:szCs w:val="18"/>
                <w:lang w:val="sr-Cyrl-RS"/>
              </w:rPr>
              <w:t>Пројекат</w:t>
            </w:r>
          </w:p>
        </w:tc>
        <w:tc>
          <w:tcPr>
            <w:tcW w:w="3686" w:type="dxa"/>
            <w:tcMar>
              <w:left w:w="57" w:type="dxa"/>
              <w:right w:w="57" w:type="dxa"/>
            </w:tcMar>
            <w:vAlign w:val="center"/>
          </w:tcPr>
          <w:p w14:paraId="55B5938F" w14:textId="77777777" w:rsidR="00D66E85" w:rsidRPr="00CF77C1" w:rsidRDefault="00D66E85" w:rsidP="00C859C0">
            <w:pPr>
              <w:framePr w:hSpace="181" w:wrap="notBeside" w:vAnchor="text" w:hAnchor="text" w:y="1"/>
              <w:jc w:val="center"/>
              <w:rPr>
                <w:sz w:val="18"/>
                <w:szCs w:val="18"/>
                <w:lang w:val="sr-Cyrl-RS"/>
              </w:rPr>
            </w:pPr>
            <w:r w:rsidRPr="00CF77C1">
              <w:rPr>
                <w:sz w:val="18"/>
                <w:szCs w:val="18"/>
                <w:lang w:val="sr-Cyrl-RS"/>
              </w:rPr>
              <w:t>Опис</w:t>
            </w:r>
          </w:p>
        </w:tc>
        <w:tc>
          <w:tcPr>
            <w:tcW w:w="4677" w:type="dxa"/>
            <w:tcMar>
              <w:left w:w="57" w:type="dxa"/>
              <w:right w:w="57" w:type="dxa"/>
            </w:tcMar>
            <w:vAlign w:val="center"/>
          </w:tcPr>
          <w:p w14:paraId="31EAAAD1" w14:textId="77777777" w:rsidR="00D66E85" w:rsidRPr="00CF77C1" w:rsidRDefault="00D66E85" w:rsidP="00C859C0">
            <w:pPr>
              <w:framePr w:hSpace="181" w:wrap="notBeside" w:vAnchor="text" w:hAnchor="text" w:y="1"/>
              <w:jc w:val="center"/>
              <w:rPr>
                <w:sz w:val="18"/>
                <w:szCs w:val="18"/>
                <w:lang w:val="sr-Cyrl-RS"/>
              </w:rPr>
            </w:pPr>
            <w:r w:rsidRPr="00CF77C1">
              <w:rPr>
                <w:sz w:val="18"/>
                <w:szCs w:val="18"/>
                <w:lang w:val="sr-Cyrl-RS"/>
              </w:rPr>
              <w:t>Ефекти реализације на основу расположиве документације</w:t>
            </w:r>
          </w:p>
        </w:tc>
        <w:tc>
          <w:tcPr>
            <w:tcW w:w="3828" w:type="dxa"/>
            <w:shd w:val="clear" w:color="auto" w:fill="auto"/>
            <w:tcMar>
              <w:left w:w="57" w:type="dxa"/>
              <w:right w:w="57" w:type="dxa"/>
            </w:tcMar>
            <w:vAlign w:val="center"/>
          </w:tcPr>
          <w:p w14:paraId="12A7F3E9" w14:textId="77777777" w:rsidR="00D66E85" w:rsidRPr="00CF77C1" w:rsidRDefault="00D66E85" w:rsidP="00C859C0">
            <w:pPr>
              <w:framePr w:hSpace="181" w:wrap="notBeside" w:vAnchor="text" w:hAnchor="text" w:y="1"/>
              <w:jc w:val="center"/>
              <w:rPr>
                <w:sz w:val="18"/>
                <w:szCs w:val="18"/>
                <w:lang w:val="sr-Cyrl-RS"/>
              </w:rPr>
            </w:pPr>
            <w:r w:rsidRPr="00CF77C1">
              <w:rPr>
                <w:sz w:val="18"/>
                <w:szCs w:val="18"/>
                <w:lang w:val="sr-Cyrl-RS"/>
              </w:rPr>
              <w:t>Вредност пројекта и извор финансирања</w:t>
            </w:r>
          </w:p>
        </w:tc>
      </w:tr>
      <w:tr w:rsidR="000574F1" w:rsidRPr="00CF77C1" w14:paraId="438C8A9D" w14:textId="77777777" w:rsidTr="00C859C0">
        <w:tc>
          <w:tcPr>
            <w:tcW w:w="908" w:type="dxa"/>
            <w:vMerge w:val="restart"/>
            <w:shd w:val="clear" w:color="auto" w:fill="auto"/>
            <w:tcMar>
              <w:left w:w="57" w:type="dxa"/>
              <w:right w:w="57" w:type="dxa"/>
            </w:tcMar>
            <w:textDirection w:val="btLr"/>
            <w:vAlign w:val="center"/>
          </w:tcPr>
          <w:p w14:paraId="0201DACE" w14:textId="77777777" w:rsidR="000574F1" w:rsidRPr="00CF77C1" w:rsidRDefault="000574F1" w:rsidP="0080044B">
            <w:pPr>
              <w:framePr w:hSpace="181" w:wrap="notBeside" w:vAnchor="text" w:hAnchor="text" w:y="1"/>
              <w:ind w:left="113" w:right="113"/>
              <w:jc w:val="center"/>
              <w:rPr>
                <w:sz w:val="20"/>
                <w:lang w:val="sr-Cyrl-RS"/>
              </w:rPr>
            </w:pPr>
            <w:r w:rsidRPr="00CF77C1">
              <w:rPr>
                <w:sz w:val="20"/>
                <w:lang w:val="sr-Cyrl-RS"/>
              </w:rPr>
              <w:t>Изградња транспортних гасовода (2015. год.: дужина транспортне мреже 2.423 km, број мерно регулационих станица на излазу са транспортног система 269)</w:t>
            </w:r>
          </w:p>
        </w:tc>
        <w:tc>
          <w:tcPr>
            <w:tcW w:w="1559" w:type="dxa"/>
            <w:tcMar>
              <w:left w:w="57" w:type="dxa"/>
              <w:right w:w="57" w:type="dxa"/>
            </w:tcMar>
          </w:tcPr>
          <w:p w14:paraId="1C33B10F" w14:textId="77777777" w:rsidR="000574F1" w:rsidRPr="00CF77C1" w:rsidRDefault="000574F1" w:rsidP="0080044B">
            <w:pPr>
              <w:framePr w:hSpace="181" w:wrap="notBeside" w:vAnchor="text" w:hAnchor="text" w:y="1"/>
              <w:jc w:val="left"/>
              <w:rPr>
                <w:sz w:val="18"/>
                <w:szCs w:val="18"/>
                <w:lang w:val="sr-Cyrl-RS"/>
              </w:rPr>
            </w:pPr>
            <w:r w:rsidRPr="00CF77C1">
              <w:rPr>
                <w:sz w:val="18"/>
                <w:szCs w:val="18"/>
                <w:lang w:val="sr-Cyrl-RS"/>
              </w:rPr>
              <w:t>Магистрални гасовод РГ 11</w:t>
            </w:r>
            <w:r w:rsidRPr="00CF77C1">
              <w:rPr>
                <w:sz w:val="18"/>
                <w:szCs w:val="18"/>
                <w:lang w:val="sr-Cyrl-RS"/>
              </w:rPr>
              <w:noBreakHyphen/>
              <w:t>02</w:t>
            </w:r>
          </w:p>
        </w:tc>
        <w:tc>
          <w:tcPr>
            <w:tcW w:w="3686" w:type="dxa"/>
            <w:tcMar>
              <w:left w:w="57" w:type="dxa"/>
              <w:right w:w="57" w:type="dxa"/>
            </w:tcMar>
            <w:vAlign w:val="center"/>
          </w:tcPr>
          <w:p w14:paraId="061C43FA" w14:textId="2A39141E" w:rsidR="000574F1" w:rsidRPr="00CF77C1" w:rsidRDefault="000574F1" w:rsidP="0080044B">
            <w:pPr>
              <w:framePr w:hSpace="181" w:wrap="notBeside" w:vAnchor="text" w:hAnchor="text" w:y="1"/>
              <w:jc w:val="left"/>
              <w:rPr>
                <w:sz w:val="18"/>
                <w:szCs w:val="18"/>
                <w:lang w:val="sr-Cyrl-RS"/>
              </w:rPr>
            </w:pPr>
            <w:r w:rsidRPr="00CF77C1">
              <w:rPr>
                <w:sz w:val="18"/>
                <w:szCs w:val="18"/>
                <w:lang w:val="sr-Cyrl-RS"/>
              </w:rPr>
              <w:t xml:space="preserve">Магистрални једноцевни гасовод РГ 11-02 Лесковац-Владичин Хан-Врање дужине 70,7 километара, пречника 323,9 mm, максималног радног притиска до 50 bar, 6 блок станица, 3 главне мерно-регулационе станице (ГМРС </w:t>
            </w:r>
            <w:r w:rsidR="00AD5740" w:rsidRPr="00CF77C1">
              <w:rPr>
                <w:sz w:val="18"/>
                <w:szCs w:val="18"/>
                <w:lang w:val="sr-Cyrl-RS"/>
              </w:rPr>
              <w:t>“</w:t>
            </w:r>
            <w:r w:rsidRPr="00CF77C1">
              <w:rPr>
                <w:sz w:val="18"/>
                <w:szCs w:val="18"/>
                <w:lang w:val="sr-Cyrl-RS"/>
              </w:rPr>
              <w:t>Власотинце</w:t>
            </w:r>
            <w:r w:rsidR="00AD5740" w:rsidRPr="00CF77C1">
              <w:rPr>
                <w:sz w:val="18"/>
                <w:szCs w:val="18"/>
                <w:lang w:val="sr-Cyrl-RS"/>
              </w:rPr>
              <w:t>”</w:t>
            </w:r>
            <w:r w:rsidRPr="00CF77C1">
              <w:rPr>
                <w:sz w:val="18"/>
                <w:szCs w:val="18"/>
                <w:lang w:val="sr-Cyrl-RS"/>
              </w:rPr>
              <w:t xml:space="preserve"> 5.000 m³/h, ГМРС „Владичин Хан/Сурдулица</w:t>
            </w:r>
            <w:r w:rsidR="00AD5740" w:rsidRPr="00CF77C1">
              <w:rPr>
                <w:sz w:val="18"/>
                <w:szCs w:val="18"/>
                <w:lang w:val="sr-Cyrl-RS"/>
              </w:rPr>
              <w:t>”</w:t>
            </w:r>
            <w:r w:rsidRPr="00CF77C1">
              <w:rPr>
                <w:sz w:val="18"/>
                <w:szCs w:val="18"/>
                <w:lang w:val="sr-Cyrl-RS"/>
              </w:rPr>
              <w:t xml:space="preserve"> 5.000 m³/h, ГМРС „Врање</w:t>
            </w:r>
            <w:r w:rsidR="00AD5740" w:rsidRPr="00CF77C1">
              <w:rPr>
                <w:sz w:val="18"/>
                <w:szCs w:val="18"/>
                <w:lang w:val="sr-Cyrl-RS"/>
              </w:rPr>
              <w:t>”</w:t>
            </w:r>
            <w:r w:rsidRPr="00CF77C1">
              <w:rPr>
                <w:sz w:val="18"/>
                <w:szCs w:val="18"/>
                <w:lang w:val="sr-Cyrl-RS"/>
              </w:rPr>
              <w:t xml:space="preserve"> 10.000 m³/h) </w:t>
            </w:r>
          </w:p>
        </w:tc>
        <w:tc>
          <w:tcPr>
            <w:tcW w:w="4677" w:type="dxa"/>
            <w:tcMar>
              <w:left w:w="57" w:type="dxa"/>
              <w:right w:w="57" w:type="dxa"/>
            </w:tcMar>
            <w:vAlign w:val="center"/>
          </w:tcPr>
          <w:p w14:paraId="056888CB" w14:textId="77777777" w:rsidR="000574F1" w:rsidRPr="00CF77C1" w:rsidRDefault="000574F1" w:rsidP="0080044B">
            <w:pPr>
              <w:framePr w:hSpace="181" w:wrap="notBeside" w:vAnchor="text" w:hAnchor="text" w:y="1"/>
              <w:jc w:val="left"/>
              <w:rPr>
                <w:sz w:val="18"/>
                <w:szCs w:val="18"/>
                <w:lang w:val="sr-Cyrl-RS"/>
              </w:rPr>
            </w:pPr>
            <w:r w:rsidRPr="00CF77C1">
              <w:rPr>
                <w:sz w:val="18"/>
                <w:szCs w:val="18"/>
                <w:lang w:val="sr-Cyrl-RS"/>
              </w:rPr>
              <w:t>Ширење транспортне мреже Републике Србије у Јужном Поморављу, у општинама Власотинце, Владичин Хан, Сурдулица и граду Врању, стварање могућности за даљи развој гасоводног система према Бујановцу и Прешеву, као и могућност повезивања са гасоводним системом у Републици Македонији.</w:t>
            </w:r>
          </w:p>
        </w:tc>
        <w:tc>
          <w:tcPr>
            <w:tcW w:w="3828" w:type="dxa"/>
            <w:shd w:val="clear" w:color="auto" w:fill="auto"/>
            <w:tcMar>
              <w:left w:w="57" w:type="dxa"/>
              <w:right w:w="57" w:type="dxa"/>
            </w:tcMar>
            <w:vAlign w:val="center"/>
          </w:tcPr>
          <w:p w14:paraId="1654855A" w14:textId="77777777" w:rsidR="000574F1" w:rsidRPr="00CF77C1" w:rsidRDefault="000574F1" w:rsidP="0080044B">
            <w:pPr>
              <w:framePr w:hSpace="181" w:wrap="notBeside" w:vAnchor="text" w:hAnchor="text" w:y="1"/>
              <w:jc w:val="left"/>
              <w:rPr>
                <w:sz w:val="18"/>
                <w:szCs w:val="18"/>
                <w:lang w:val="sr-Cyrl-RS"/>
              </w:rPr>
            </w:pPr>
            <w:r w:rsidRPr="00CF77C1">
              <w:rPr>
                <w:sz w:val="18"/>
                <w:szCs w:val="18"/>
                <w:lang w:val="sr-Cyrl-RS"/>
              </w:rPr>
              <w:t xml:space="preserve">15,6 милиона $ вредност пројекта комплетног гасовода РГ 11-02. У периоду до 2023. године планирано улагање 7,8 милиона $ (пројектна документација, решавање имовинско-правних односа и куповина дела опреме и цеви, изградња гасовода од ГРЧ Ниш до ГМРС Владичин Хан) Сопствена средства Југоросгаз ад </w:t>
            </w:r>
          </w:p>
        </w:tc>
      </w:tr>
      <w:tr w:rsidR="00361DD1" w:rsidRPr="00CF77C1" w14:paraId="48918472" w14:textId="77777777" w:rsidTr="00C859C0">
        <w:tc>
          <w:tcPr>
            <w:tcW w:w="908" w:type="dxa"/>
            <w:vMerge/>
            <w:shd w:val="clear" w:color="auto" w:fill="auto"/>
            <w:tcMar>
              <w:left w:w="57" w:type="dxa"/>
              <w:right w:w="57" w:type="dxa"/>
            </w:tcMar>
            <w:vAlign w:val="center"/>
          </w:tcPr>
          <w:p w14:paraId="01AE765E" w14:textId="77777777" w:rsidR="00361DD1" w:rsidRPr="00CF77C1" w:rsidRDefault="00361DD1" w:rsidP="00361DD1">
            <w:pPr>
              <w:framePr w:hSpace="181" w:wrap="notBeside" w:vAnchor="text" w:hAnchor="text" w:y="1"/>
              <w:jc w:val="left"/>
              <w:rPr>
                <w:sz w:val="20"/>
                <w:lang w:val="sr-Cyrl-RS"/>
              </w:rPr>
            </w:pPr>
          </w:p>
        </w:tc>
        <w:tc>
          <w:tcPr>
            <w:tcW w:w="1559" w:type="dxa"/>
            <w:tcMar>
              <w:left w:w="57" w:type="dxa"/>
              <w:right w:w="57" w:type="dxa"/>
            </w:tcMar>
            <w:vAlign w:val="center"/>
          </w:tcPr>
          <w:p w14:paraId="1CFF92A6" w14:textId="77777777" w:rsidR="00361DD1" w:rsidRPr="00CF77C1" w:rsidRDefault="00361DD1" w:rsidP="00361DD1">
            <w:pPr>
              <w:framePr w:hSpace="181" w:wrap="notBeside" w:vAnchor="text" w:hAnchor="text" w:y="1"/>
              <w:jc w:val="left"/>
              <w:outlineLvl w:val="4"/>
              <w:rPr>
                <w:sz w:val="18"/>
                <w:szCs w:val="18"/>
                <w:lang w:val="sr-Cyrl-RS"/>
              </w:rPr>
            </w:pPr>
            <w:r w:rsidRPr="00CF77C1">
              <w:rPr>
                <w:sz w:val="18"/>
                <w:szCs w:val="18"/>
                <w:lang w:val="sr-Cyrl-RS"/>
              </w:rPr>
              <w:t>Магистрални гасовод МГ 01/II Итебеј - Београд југ</w:t>
            </w:r>
          </w:p>
        </w:tc>
        <w:tc>
          <w:tcPr>
            <w:tcW w:w="3686" w:type="dxa"/>
            <w:tcMar>
              <w:left w:w="57" w:type="dxa"/>
              <w:right w:w="57" w:type="dxa"/>
            </w:tcMar>
            <w:vAlign w:val="center"/>
          </w:tcPr>
          <w:p w14:paraId="13A99B03" w14:textId="77777777" w:rsidR="00361DD1" w:rsidRPr="00CF77C1" w:rsidRDefault="00361DD1" w:rsidP="00361DD1">
            <w:pPr>
              <w:framePr w:hSpace="181" w:wrap="notBeside" w:vAnchor="text" w:hAnchor="text" w:y="1"/>
              <w:jc w:val="left"/>
              <w:outlineLvl w:val="4"/>
              <w:rPr>
                <w:sz w:val="18"/>
                <w:szCs w:val="18"/>
                <w:lang w:val="sr-Cyrl-RS"/>
              </w:rPr>
            </w:pPr>
            <w:r w:rsidRPr="00CF77C1">
              <w:rPr>
                <w:sz w:val="18"/>
                <w:szCs w:val="18"/>
                <w:lang w:val="sr-Cyrl-RS"/>
              </w:rPr>
              <w:t>Магистрални једноцевни гасовод дужине око 130 km и пречника 610 mm</w:t>
            </w:r>
          </w:p>
        </w:tc>
        <w:tc>
          <w:tcPr>
            <w:tcW w:w="4677" w:type="dxa"/>
            <w:tcMar>
              <w:left w:w="57" w:type="dxa"/>
              <w:right w:w="57" w:type="dxa"/>
            </w:tcMar>
            <w:vAlign w:val="center"/>
          </w:tcPr>
          <w:p w14:paraId="382E9442"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Повећање сигурности функционисања транспортног система Републике Србије;</w:t>
            </w:r>
          </w:p>
          <w:p w14:paraId="0BB537F7"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Растерећење гасовода Кикинда - Панчево;</w:t>
            </w:r>
          </w:p>
          <w:p w14:paraId="6CAC8F1D" w14:textId="4230B979"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Стварање могућности за лакше функционисање домаћег тржишта природног гаса</w:t>
            </w:r>
          </w:p>
        </w:tc>
        <w:tc>
          <w:tcPr>
            <w:tcW w:w="3828" w:type="dxa"/>
            <w:shd w:val="clear" w:color="auto" w:fill="auto"/>
            <w:tcMar>
              <w:left w:w="57" w:type="dxa"/>
              <w:right w:w="57" w:type="dxa"/>
            </w:tcMar>
            <w:vAlign w:val="center"/>
          </w:tcPr>
          <w:p w14:paraId="13087EAA"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65,1 милиона €</w:t>
            </w:r>
          </w:p>
          <w:p w14:paraId="6C02F583" w14:textId="39E467A1"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Сопствена средства о</w:t>
            </w:r>
            <w:r w:rsidR="00623EFC">
              <w:rPr>
                <w:sz w:val="18"/>
                <w:szCs w:val="18"/>
                <w:lang w:val="sr-Cyrl-RS"/>
              </w:rPr>
              <w:t xml:space="preserve">ператора транспортног система, </w:t>
            </w:r>
            <w:r w:rsidR="00623EFC">
              <w:rPr>
                <w:sz w:val="18"/>
                <w:szCs w:val="18"/>
                <w:lang w:val="sr-Cyrl-CS"/>
              </w:rPr>
              <w:t>б</w:t>
            </w:r>
            <w:r w:rsidRPr="00CF77C1">
              <w:rPr>
                <w:sz w:val="18"/>
                <w:szCs w:val="18"/>
                <w:lang w:val="sr-Cyrl-RS"/>
              </w:rPr>
              <w:t>уџет Републике Србије</w:t>
            </w:r>
          </w:p>
        </w:tc>
      </w:tr>
      <w:tr w:rsidR="00361DD1" w:rsidRPr="00CF77C1" w14:paraId="0DA06345" w14:textId="77777777" w:rsidTr="00C859C0">
        <w:tc>
          <w:tcPr>
            <w:tcW w:w="908" w:type="dxa"/>
            <w:vMerge/>
            <w:shd w:val="clear" w:color="auto" w:fill="auto"/>
            <w:tcMar>
              <w:left w:w="57" w:type="dxa"/>
              <w:right w:w="57" w:type="dxa"/>
            </w:tcMar>
            <w:vAlign w:val="center"/>
          </w:tcPr>
          <w:p w14:paraId="15CCFAF2" w14:textId="77777777" w:rsidR="00361DD1" w:rsidRPr="00CF77C1" w:rsidRDefault="00361DD1" w:rsidP="00361DD1">
            <w:pPr>
              <w:framePr w:hSpace="181" w:wrap="notBeside" w:vAnchor="text" w:hAnchor="text" w:y="1"/>
              <w:jc w:val="left"/>
              <w:rPr>
                <w:sz w:val="20"/>
                <w:lang w:val="sr-Cyrl-RS"/>
              </w:rPr>
            </w:pPr>
          </w:p>
        </w:tc>
        <w:tc>
          <w:tcPr>
            <w:tcW w:w="1559" w:type="dxa"/>
            <w:tcMar>
              <w:left w:w="57" w:type="dxa"/>
              <w:right w:w="57" w:type="dxa"/>
            </w:tcMar>
            <w:vAlign w:val="center"/>
          </w:tcPr>
          <w:p w14:paraId="73C3CD6F" w14:textId="548B6A62" w:rsidR="00361DD1" w:rsidRPr="00CF77C1" w:rsidRDefault="00361DD1" w:rsidP="00361DD1">
            <w:pPr>
              <w:framePr w:hSpace="181" w:wrap="notBeside" w:vAnchor="text" w:hAnchor="text" w:y="1"/>
              <w:jc w:val="left"/>
              <w:outlineLvl w:val="4"/>
              <w:rPr>
                <w:sz w:val="18"/>
                <w:szCs w:val="18"/>
                <w:lang w:val="sr-Cyrl-RS"/>
              </w:rPr>
            </w:pPr>
            <w:r w:rsidRPr="00CF77C1">
              <w:rPr>
                <w:sz w:val="18"/>
                <w:szCs w:val="18"/>
                <w:lang w:val="sr-Cyrl-RS"/>
              </w:rPr>
              <w:t>Магистрални гасовод Батајница -Велика Плана - Ниш</w:t>
            </w:r>
          </w:p>
        </w:tc>
        <w:tc>
          <w:tcPr>
            <w:tcW w:w="3686" w:type="dxa"/>
            <w:tcMar>
              <w:left w:w="57" w:type="dxa"/>
              <w:right w:w="57" w:type="dxa"/>
            </w:tcMar>
            <w:vAlign w:val="center"/>
          </w:tcPr>
          <w:p w14:paraId="39AD0C04" w14:textId="3E579D19" w:rsidR="00361DD1" w:rsidRPr="00CF77C1" w:rsidRDefault="00361DD1" w:rsidP="00361DD1">
            <w:pPr>
              <w:framePr w:hSpace="181" w:wrap="notBeside" w:vAnchor="text" w:hAnchor="text" w:y="1"/>
              <w:jc w:val="left"/>
              <w:outlineLvl w:val="4"/>
              <w:rPr>
                <w:sz w:val="18"/>
                <w:szCs w:val="18"/>
                <w:lang w:val="sr-Cyrl-RS"/>
              </w:rPr>
            </w:pPr>
            <w:r w:rsidRPr="00CF77C1">
              <w:rPr>
                <w:sz w:val="18"/>
                <w:szCs w:val="18"/>
                <w:lang w:val="sr-Cyrl-RS"/>
              </w:rPr>
              <w:t xml:space="preserve">Магистрални гасовод </w:t>
            </w:r>
            <w:r w:rsidRPr="00CF77C1">
              <w:rPr>
                <w:sz w:val="18"/>
                <w:szCs w:val="18"/>
                <w:lang w:val="sr-Cyrl-RS"/>
              </w:rPr>
              <w:br/>
              <w:t xml:space="preserve">дужине 116 + 161 km и </w:t>
            </w:r>
            <w:r w:rsidRPr="00CF77C1">
              <w:rPr>
                <w:sz w:val="18"/>
                <w:szCs w:val="18"/>
                <w:lang w:val="sr-Cyrl-RS"/>
              </w:rPr>
              <w:br/>
              <w:t>пречникa DN 700</w:t>
            </w:r>
          </w:p>
        </w:tc>
        <w:tc>
          <w:tcPr>
            <w:tcW w:w="4677" w:type="dxa"/>
            <w:tcMar>
              <w:left w:w="57" w:type="dxa"/>
              <w:right w:w="57" w:type="dxa"/>
            </w:tcMar>
            <w:vAlign w:val="center"/>
          </w:tcPr>
          <w:p w14:paraId="69803E9C"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Повећање сигурности функционисања транспортног система Републике Србије;</w:t>
            </w:r>
          </w:p>
          <w:p w14:paraId="77EECFF1" w14:textId="010B8B51"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Повезивање гасовода Ниш - Димитровград са Батајницом;</w:t>
            </w:r>
          </w:p>
          <w:p w14:paraId="3EB2D67C" w14:textId="32EC492A"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Стварање могућности за лакше функционисање домаћег и регионалног тржишта природног гаса.</w:t>
            </w:r>
          </w:p>
        </w:tc>
        <w:tc>
          <w:tcPr>
            <w:tcW w:w="3828" w:type="dxa"/>
            <w:shd w:val="clear" w:color="auto" w:fill="auto"/>
            <w:tcMar>
              <w:left w:w="57" w:type="dxa"/>
              <w:right w:w="57" w:type="dxa"/>
            </w:tcMar>
            <w:vAlign w:val="center"/>
          </w:tcPr>
          <w:p w14:paraId="77F9887C"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91,7 + 115,7 милиона €</w:t>
            </w:r>
          </w:p>
          <w:p w14:paraId="6DDB3580" w14:textId="6E45B881"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Сопствена средства о</w:t>
            </w:r>
            <w:r w:rsidR="00623EFC">
              <w:rPr>
                <w:sz w:val="18"/>
                <w:szCs w:val="18"/>
                <w:lang w:val="sr-Cyrl-RS"/>
              </w:rPr>
              <w:t>ператора транспортног система, б</w:t>
            </w:r>
            <w:r w:rsidRPr="00CF77C1">
              <w:rPr>
                <w:sz w:val="18"/>
                <w:szCs w:val="18"/>
                <w:lang w:val="sr-Cyrl-RS"/>
              </w:rPr>
              <w:t>уџет Републике Србије</w:t>
            </w:r>
          </w:p>
        </w:tc>
      </w:tr>
      <w:tr w:rsidR="00361DD1" w:rsidRPr="00CF77C1" w14:paraId="37F5EDDB" w14:textId="77777777" w:rsidTr="00C859C0">
        <w:tc>
          <w:tcPr>
            <w:tcW w:w="908" w:type="dxa"/>
            <w:vMerge/>
            <w:shd w:val="clear" w:color="auto" w:fill="auto"/>
            <w:tcMar>
              <w:left w:w="57" w:type="dxa"/>
              <w:right w:w="57" w:type="dxa"/>
            </w:tcMar>
            <w:vAlign w:val="center"/>
          </w:tcPr>
          <w:p w14:paraId="1D6114A0" w14:textId="77777777" w:rsidR="00361DD1" w:rsidRPr="00CF77C1" w:rsidRDefault="00361DD1" w:rsidP="00361DD1">
            <w:pPr>
              <w:framePr w:hSpace="181" w:wrap="notBeside" w:vAnchor="text" w:hAnchor="text" w:y="1"/>
              <w:jc w:val="left"/>
              <w:rPr>
                <w:sz w:val="20"/>
                <w:lang w:val="sr-Cyrl-RS"/>
              </w:rPr>
            </w:pPr>
          </w:p>
        </w:tc>
        <w:tc>
          <w:tcPr>
            <w:tcW w:w="1559" w:type="dxa"/>
            <w:tcMar>
              <w:left w:w="57" w:type="dxa"/>
              <w:right w:w="57" w:type="dxa"/>
            </w:tcMar>
          </w:tcPr>
          <w:p w14:paraId="30610083" w14:textId="5D4735AE"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Разводни гасовод РГ 09-04/2 Александровац -Тутин</w:t>
            </w:r>
          </w:p>
        </w:tc>
        <w:tc>
          <w:tcPr>
            <w:tcW w:w="3686" w:type="dxa"/>
            <w:tcMar>
              <w:left w:w="57" w:type="dxa"/>
              <w:right w:w="57" w:type="dxa"/>
            </w:tcMar>
            <w:vAlign w:val="center"/>
          </w:tcPr>
          <w:p w14:paraId="145D78E2" w14:textId="5DDD60FE"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Разводни гасовод радног притиска до 50 bar дужине oко 121 km и пречника 323,9 mm</w:t>
            </w:r>
          </w:p>
        </w:tc>
        <w:tc>
          <w:tcPr>
            <w:tcW w:w="4677" w:type="dxa"/>
            <w:tcMar>
              <w:left w:w="57" w:type="dxa"/>
              <w:right w:w="57" w:type="dxa"/>
            </w:tcMar>
            <w:vAlign w:val="center"/>
          </w:tcPr>
          <w:p w14:paraId="60F34107" w14:textId="10DED056"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Развој транспортне мреже Републике Србије и гасификација општина (Брус-Копаоник, Рашка, Нови Пазар, Тутин) на траси гасовода.</w:t>
            </w:r>
          </w:p>
        </w:tc>
        <w:tc>
          <w:tcPr>
            <w:tcW w:w="3828" w:type="dxa"/>
            <w:shd w:val="clear" w:color="auto" w:fill="auto"/>
            <w:tcMar>
              <w:left w:w="57" w:type="dxa"/>
              <w:right w:w="57" w:type="dxa"/>
            </w:tcMar>
            <w:vAlign w:val="center"/>
          </w:tcPr>
          <w:p w14:paraId="62414A91"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53 милиона €</w:t>
            </w:r>
          </w:p>
          <w:p w14:paraId="6F129BF5" w14:textId="53E8B608"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Сопствена средства о</w:t>
            </w:r>
            <w:r w:rsidR="00623EFC">
              <w:rPr>
                <w:sz w:val="18"/>
                <w:szCs w:val="18"/>
                <w:lang w:val="sr-Cyrl-RS"/>
              </w:rPr>
              <w:t>ператора транспортног система, б</w:t>
            </w:r>
            <w:r w:rsidRPr="00CF77C1">
              <w:rPr>
                <w:sz w:val="18"/>
                <w:szCs w:val="18"/>
                <w:lang w:val="sr-Cyrl-RS"/>
              </w:rPr>
              <w:t>уџет Републике Србије</w:t>
            </w:r>
          </w:p>
        </w:tc>
      </w:tr>
      <w:tr w:rsidR="00361DD1" w:rsidRPr="00CF77C1" w14:paraId="5DFC1B82" w14:textId="77777777" w:rsidTr="00C859C0">
        <w:tc>
          <w:tcPr>
            <w:tcW w:w="908" w:type="dxa"/>
            <w:vMerge/>
            <w:shd w:val="clear" w:color="auto" w:fill="auto"/>
            <w:tcMar>
              <w:left w:w="57" w:type="dxa"/>
              <w:right w:w="57" w:type="dxa"/>
            </w:tcMar>
            <w:vAlign w:val="center"/>
          </w:tcPr>
          <w:p w14:paraId="1192EBF3" w14:textId="77777777" w:rsidR="00361DD1" w:rsidRPr="00CF77C1" w:rsidRDefault="00361DD1" w:rsidP="00361DD1">
            <w:pPr>
              <w:framePr w:hSpace="181" w:wrap="notBeside" w:vAnchor="text" w:hAnchor="text" w:y="1"/>
              <w:jc w:val="left"/>
              <w:rPr>
                <w:sz w:val="20"/>
                <w:lang w:val="sr-Cyrl-RS"/>
              </w:rPr>
            </w:pPr>
          </w:p>
        </w:tc>
        <w:tc>
          <w:tcPr>
            <w:tcW w:w="1559" w:type="dxa"/>
            <w:tcMar>
              <w:left w:w="57" w:type="dxa"/>
              <w:right w:w="57" w:type="dxa"/>
            </w:tcMar>
          </w:tcPr>
          <w:p w14:paraId="4C727748" w14:textId="10E0A06F"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Разводни гасовод Mокрин - ПСГ Банатски Двор</w:t>
            </w:r>
          </w:p>
        </w:tc>
        <w:tc>
          <w:tcPr>
            <w:tcW w:w="3686" w:type="dxa"/>
            <w:tcMar>
              <w:left w:w="57" w:type="dxa"/>
              <w:right w:w="57" w:type="dxa"/>
            </w:tcMar>
            <w:vAlign w:val="center"/>
          </w:tcPr>
          <w:p w14:paraId="5E56F339" w14:textId="75C76A29"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Разводни гасовод радног притиска до 50 bar дужине 50 km и пречника DN 600</w:t>
            </w:r>
          </w:p>
        </w:tc>
        <w:tc>
          <w:tcPr>
            <w:tcW w:w="4677" w:type="dxa"/>
            <w:tcMar>
              <w:left w:w="57" w:type="dxa"/>
              <w:right w:w="57" w:type="dxa"/>
            </w:tcMar>
            <w:vAlign w:val="center"/>
          </w:tcPr>
          <w:p w14:paraId="7E40A119" w14:textId="04E392AC"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Повезивање ПСГ Банатски Двор са гасоводом из Румуније;</w:t>
            </w:r>
          </w:p>
          <w:p w14:paraId="48BDCB64" w14:textId="297E9066"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Стварање могућности за лакше функционисање домаћег и регионалног тржишта природног гаса.</w:t>
            </w:r>
          </w:p>
        </w:tc>
        <w:tc>
          <w:tcPr>
            <w:tcW w:w="3828" w:type="dxa"/>
            <w:shd w:val="clear" w:color="auto" w:fill="auto"/>
            <w:tcMar>
              <w:left w:w="57" w:type="dxa"/>
              <w:right w:w="57" w:type="dxa"/>
            </w:tcMar>
            <w:vAlign w:val="center"/>
          </w:tcPr>
          <w:p w14:paraId="17DF89C1"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30 милиона €</w:t>
            </w:r>
          </w:p>
          <w:p w14:paraId="46C06554" w14:textId="48FDF981"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Сопствена средства о</w:t>
            </w:r>
            <w:r w:rsidR="00623EFC">
              <w:rPr>
                <w:sz w:val="18"/>
                <w:szCs w:val="18"/>
                <w:lang w:val="sr-Cyrl-RS"/>
              </w:rPr>
              <w:t>ператора транспортног система, б</w:t>
            </w:r>
            <w:r w:rsidRPr="00CF77C1">
              <w:rPr>
                <w:sz w:val="18"/>
                <w:szCs w:val="18"/>
                <w:lang w:val="sr-Cyrl-RS"/>
              </w:rPr>
              <w:t>уџет Републике Србије</w:t>
            </w:r>
          </w:p>
        </w:tc>
      </w:tr>
      <w:tr w:rsidR="00361DD1" w:rsidRPr="00CF77C1" w14:paraId="0C80AE17" w14:textId="77777777" w:rsidTr="00C859C0">
        <w:trPr>
          <w:trHeight w:val="277"/>
        </w:trPr>
        <w:tc>
          <w:tcPr>
            <w:tcW w:w="2467" w:type="dxa"/>
            <w:gridSpan w:val="2"/>
            <w:shd w:val="clear" w:color="auto" w:fill="auto"/>
            <w:tcMar>
              <w:left w:w="57" w:type="dxa"/>
              <w:right w:w="57" w:type="dxa"/>
            </w:tcMar>
            <w:vAlign w:val="center"/>
          </w:tcPr>
          <w:p w14:paraId="2BB83BD2"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Изградња дистрибутивних гасовода (2015. године: дужина дистрибутивне мреже 16.532 km, број активних прикључака 262.506)</w:t>
            </w:r>
          </w:p>
        </w:tc>
        <w:tc>
          <w:tcPr>
            <w:tcW w:w="3686" w:type="dxa"/>
            <w:tcMar>
              <w:left w:w="57" w:type="dxa"/>
              <w:right w:w="57" w:type="dxa"/>
            </w:tcMar>
            <w:vAlign w:val="center"/>
          </w:tcPr>
          <w:p w14:paraId="55DBA8DA"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Максимални радни притисак дистрибутивних гасовода 16 bar и 4 bar, гасоводи од челичних и полетиленских цеви различитог пречника</w:t>
            </w:r>
          </w:p>
        </w:tc>
        <w:tc>
          <w:tcPr>
            <w:tcW w:w="4677" w:type="dxa"/>
            <w:tcMar>
              <w:left w:w="57" w:type="dxa"/>
              <w:right w:w="57" w:type="dxa"/>
            </w:tcMar>
            <w:vAlign w:val="center"/>
          </w:tcPr>
          <w:p w14:paraId="77767091"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Смањење потрошње електричне енергије у домаћинствима, супституција течних горива (мазут, лож уље) у топланама и индустрији;</w:t>
            </w:r>
          </w:p>
          <w:p w14:paraId="66E98A8F" w14:textId="6BFC0123"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Повећање ефикасности коришћења примарне енергије применом ефикаснијих технологија (когенерација, кондензациони котлови и др.).</w:t>
            </w:r>
          </w:p>
        </w:tc>
        <w:tc>
          <w:tcPr>
            <w:tcW w:w="3828" w:type="dxa"/>
            <w:shd w:val="clear" w:color="auto" w:fill="auto"/>
            <w:tcMar>
              <w:left w:w="57" w:type="dxa"/>
              <w:right w:w="57" w:type="dxa"/>
            </w:tcMar>
            <w:vAlign w:val="center"/>
          </w:tcPr>
          <w:p w14:paraId="28758836" w14:textId="77777777" w:rsidR="00361DD1" w:rsidRPr="00CF77C1" w:rsidRDefault="00361DD1" w:rsidP="00361DD1">
            <w:pPr>
              <w:framePr w:hSpace="181" w:wrap="notBeside" w:vAnchor="text" w:hAnchor="text" w:y="1"/>
              <w:jc w:val="left"/>
              <w:rPr>
                <w:sz w:val="18"/>
                <w:szCs w:val="18"/>
                <w:lang w:val="sr-Cyrl-RS"/>
              </w:rPr>
            </w:pPr>
            <w:r w:rsidRPr="00CF77C1">
              <w:rPr>
                <w:sz w:val="18"/>
                <w:szCs w:val="18"/>
                <w:lang w:val="sr-Cyrl-RS"/>
              </w:rPr>
              <w:t>245 милиона €</w:t>
            </w:r>
          </w:p>
          <w:p w14:paraId="3FF7478C" w14:textId="1FE18006" w:rsidR="00361DD1" w:rsidRPr="00CF77C1" w:rsidRDefault="00623EFC" w:rsidP="00361DD1">
            <w:pPr>
              <w:framePr w:hSpace="181" w:wrap="notBeside" w:vAnchor="text" w:hAnchor="text" w:y="1"/>
              <w:jc w:val="left"/>
              <w:rPr>
                <w:sz w:val="18"/>
                <w:szCs w:val="18"/>
                <w:lang w:val="sr-Cyrl-RS"/>
              </w:rPr>
            </w:pPr>
            <w:r>
              <w:rPr>
                <w:sz w:val="18"/>
                <w:szCs w:val="18"/>
                <w:lang w:val="sr-Cyrl-RS"/>
              </w:rPr>
              <w:t>Сопствена средства ОДС, б</w:t>
            </w:r>
            <w:r w:rsidR="00361DD1" w:rsidRPr="00CF77C1">
              <w:rPr>
                <w:sz w:val="18"/>
                <w:szCs w:val="18"/>
                <w:lang w:val="sr-Cyrl-RS"/>
              </w:rPr>
              <w:t>уџет Републике Србије</w:t>
            </w:r>
          </w:p>
        </w:tc>
      </w:tr>
    </w:tbl>
    <w:p w14:paraId="5186D737" w14:textId="77777777" w:rsidR="004C761C" w:rsidRDefault="004C761C" w:rsidP="00C41967">
      <w:pPr>
        <w:pStyle w:val="Caption"/>
        <w:ind w:firstLine="720"/>
        <w:rPr>
          <w:b w:val="0"/>
        </w:rPr>
      </w:pPr>
    </w:p>
    <w:p w14:paraId="3CFB4733" w14:textId="77777777" w:rsidR="004C761C" w:rsidRDefault="004C761C" w:rsidP="00C41967">
      <w:pPr>
        <w:pStyle w:val="Caption"/>
        <w:ind w:firstLine="720"/>
        <w:rPr>
          <w:b w:val="0"/>
        </w:rPr>
      </w:pPr>
    </w:p>
    <w:p w14:paraId="3FA34EDE" w14:textId="6CF4D91E"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81</w:t>
      </w:r>
      <w:r w:rsidR="0092145E" w:rsidRPr="00CF77C1">
        <w:rPr>
          <w:b w:val="0"/>
          <w:lang w:val="sr-Cyrl-RS"/>
        </w:rPr>
        <w:fldChar w:fldCharType="end"/>
      </w:r>
      <w:r w:rsidR="00D66E85" w:rsidRPr="00CF77C1">
        <w:rPr>
          <w:b w:val="0"/>
          <w:lang w:val="sr-Cyrl-RS"/>
        </w:rPr>
        <w:t>: Утицај пројеката на остварење стратешких циљева</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1482"/>
      </w:tblGrid>
      <w:tr w:rsidR="00BD44C7" w:rsidRPr="00CF77C1" w14:paraId="26193BAF" w14:textId="77777777" w:rsidTr="00BD44C7">
        <w:tc>
          <w:tcPr>
            <w:tcW w:w="3227" w:type="dxa"/>
            <w:shd w:val="clear" w:color="auto" w:fill="auto"/>
            <w:vAlign w:val="center"/>
          </w:tcPr>
          <w:p w14:paraId="7715826C" w14:textId="77777777" w:rsidR="00BD44C7" w:rsidRPr="00CF77C1" w:rsidRDefault="00BD44C7" w:rsidP="0080044B">
            <w:pPr>
              <w:framePr w:hSpace="181" w:wrap="notBeside" w:vAnchor="text" w:hAnchor="text" w:y="1"/>
              <w:jc w:val="center"/>
              <w:rPr>
                <w:szCs w:val="24"/>
                <w:lang w:val="sr-Cyrl-RS"/>
              </w:rPr>
            </w:pPr>
            <w:r w:rsidRPr="00CF77C1">
              <w:rPr>
                <w:szCs w:val="24"/>
                <w:lang w:val="sr-Cyrl-RS"/>
              </w:rPr>
              <w:t>Стратешки циљ</w:t>
            </w:r>
          </w:p>
        </w:tc>
        <w:tc>
          <w:tcPr>
            <w:tcW w:w="11482" w:type="dxa"/>
            <w:vAlign w:val="center"/>
          </w:tcPr>
          <w:p w14:paraId="0F395908" w14:textId="77777777" w:rsidR="00BD44C7" w:rsidRPr="00CF77C1" w:rsidRDefault="00BD44C7" w:rsidP="0080044B">
            <w:pPr>
              <w:framePr w:hSpace="181" w:wrap="notBeside" w:vAnchor="text" w:hAnchor="text" w:y="1"/>
              <w:jc w:val="center"/>
              <w:rPr>
                <w:szCs w:val="24"/>
                <w:lang w:val="sr-Cyrl-RS"/>
              </w:rPr>
            </w:pPr>
            <w:r w:rsidRPr="00CF77C1">
              <w:rPr>
                <w:szCs w:val="24"/>
                <w:lang w:val="sr-Cyrl-RS"/>
              </w:rPr>
              <w:t>Опис</w:t>
            </w:r>
          </w:p>
        </w:tc>
      </w:tr>
      <w:tr w:rsidR="00BD44C7" w:rsidRPr="00CF77C1" w14:paraId="62073553" w14:textId="77777777" w:rsidTr="00F25351">
        <w:trPr>
          <w:trHeight w:val="20"/>
        </w:trPr>
        <w:tc>
          <w:tcPr>
            <w:tcW w:w="3227" w:type="dxa"/>
            <w:shd w:val="clear" w:color="auto" w:fill="auto"/>
            <w:vAlign w:val="center"/>
          </w:tcPr>
          <w:p w14:paraId="31136FC2" w14:textId="77777777" w:rsidR="00BD44C7" w:rsidRPr="00CF77C1" w:rsidRDefault="00BD44C7" w:rsidP="0080044B">
            <w:pPr>
              <w:framePr w:hSpace="181" w:wrap="notBeside" w:vAnchor="text" w:hAnchor="text" w:y="1"/>
              <w:jc w:val="left"/>
              <w:rPr>
                <w:bCs/>
                <w:szCs w:val="24"/>
                <w:lang w:val="sr-Cyrl-RS"/>
              </w:rPr>
            </w:pPr>
            <w:r w:rsidRPr="00CF77C1">
              <w:rPr>
                <w:bCs/>
                <w:szCs w:val="24"/>
                <w:lang w:val="sr-Cyrl-RS"/>
              </w:rPr>
              <w:t xml:space="preserve">Обезбеђење сигурног снабдевања домаћег тржишта природним гасом </w:t>
            </w:r>
          </w:p>
        </w:tc>
        <w:tc>
          <w:tcPr>
            <w:tcW w:w="11482" w:type="dxa"/>
            <w:vAlign w:val="center"/>
          </w:tcPr>
          <w:p w14:paraId="51B32E62" w14:textId="77777777" w:rsidR="00BD44C7" w:rsidRPr="00CF77C1" w:rsidRDefault="00BD44C7" w:rsidP="0080044B">
            <w:pPr>
              <w:framePr w:hSpace="181" w:wrap="notBeside" w:vAnchor="text" w:hAnchor="text" w:y="1"/>
              <w:jc w:val="left"/>
              <w:rPr>
                <w:bCs/>
                <w:szCs w:val="24"/>
                <w:lang w:val="sr-Cyrl-RS"/>
              </w:rPr>
            </w:pPr>
            <w:r w:rsidRPr="00CF77C1">
              <w:rPr>
                <w:bCs/>
                <w:szCs w:val="24"/>
                <w:lang w:val="sr-Cyrl-RS"/>
              </w:rPr>
              <w:t>Унапређује се; Изградњом гасовода Итебеј - Београд југ подиже се сигурност снабдевања Београда и централне Србије природним гасом</w:t>
            </w:r>
          </w:p>
        </w:tc>
      </w:tr>
      <w:tr w:rsidR="00BD44C7" w:rsidRPr="00CF77C1" w14:paraId="42C6756F" w14:textId="77777777" w:rsidTr="00F25351">
        <w:trPr>
          <w:trHeight w:val="20"/>
        </w:trPr>
        <w:tc>
          <w:tcPr>
            <w:tcW w:w="3227" w:type="dxa"/>
            <w:shd w:val="clear" w:color="auto" w:fill="auto"/>
            <w:vAlign w:val="center"/>
          </w:tcPr>
          <w:p w14:paraId="4995952E" w14:textId="77777777" w:rsidR="00BD44C7" w:rsidRPr="00CF77C1" w:rsidRDefault="00BD44C7" w:rsidP="0080044B">
            <w:pPr>
              <w:framePr w:hSpace="181" w:wrap="notBeside" w:vAnchor="text" w:hAnchor="text" w:y="1"/>
              <w:jc w:val="left"/>
              <w:rPr>
                <w:bCs/>
                <w:szCs w:val="24"/>
                <w:lang w:val="sr-Cyrl-RS"/>
              </w:rPr>
            </w:pPr>
            <w:r w:rsidRPr="00CF77C1">
              <w:rPr>
                <w:bCs/>
                <w:szCs w:val="24"/>
                <w:lang w:val="sr-Cyrl-RS"/>
              </w:rPr>
              <w:t>Успостављање домаћег и регионалног тржишта природног гаса</w:t>
            </w:r>
          </w:p>
        </w:tc>
        <w:tc>
          <w:tcPr>
            <w:tcW w:w="11482" w:type="dxa"/>
            <w:vAlign w:val="center"/>
          </w:tcPr>
          <w:p w14:paraId="0A88F25C" w14:textId="77777777" w:rsidR="00BD44C7" w:rsidRPr="00CF77C1" w:rsidRDefault="00BD44C7" w:rsidP="0080044B">
            <w:pPr>
              <w:framePr w:hSpace="181" w:wrap="notBeside" w:vAnchor="text" w:hAnchor="text" w:y="1"/>
              <w:jc w:val="left"/>
              <w:rPr>
                <w:bCs/>
                <w:szCs w:val="24"/>
                <w:lang w:val="sr-Cyrl-RS"/>
              </w:rPr>
            </w:pPr>
            <w:r w:rsidRPr="00CF77C1">
              <w:rPr>
                <w:bCs/>
                <w:szCs w:val="24"/>
                <w:lang w:val="sr-Cyrl-RS"/>
              </w:rPr>
              <w:t>Значајно се унапређује; Стварају се инфраструктурни предуслови (транспортни систем) за коришћење природног гаса у јужној, југозападној и централној Србији. Граде се нове и развијају постојеће мреже за дистрибуцију природног гаса чиме се омогућава повећани обим коришћења и развој домаћег тржишта природног гаса.</w:t>
            </w:r>
          </w:p>
        </w:tc>
      </w:tr>
      <w:tr w:rsidR="00BD44C7" w:rsidRPr="00CF77C1" w14:paraId="3BD7B56E" w14:textId="77777777" w:rsidTr="00F25351">
        <w:trPr>
          <w:trHeight w:val="20"/>
        </w:trPr>
        <w:tc>
          <w:tcPr>
            <w:tcW w:w="3227" w:type="dxa"/>
            <w:shd w:val="clear" w:color="auto" w:fill="auto"/>
            <w:vAlign w:val="center"/>
          </w:tcPr>
          <w:p w14:paraId="5293FE23" w14:textId="77777777" w:rsidR="00BD44C7" w:rsidRPr="00CF77C1" w:rsidRDefault="00BD44C7" w:rsidP="0080044B">
            <w:pPr>
              <w:framePr w:hSpace="181" w:wrap="notBeside" w:vAnchor="text" w:hAnchor="text" w:y="1"/>
              <w:jc w:val="left"/>
              <w:rPr>
                <w:bCs/>
                <w:szCs w:val="24"/>
                <w:lang w:val="sr-Cyrl-RS"/>
              </w:rPr>
            </w:pPr>
            <w:r w:rsidRPr="00CF77C1">
              <w:rPr>
                <w:bCs/>
                <w:szCs w:val="24"/>
                <w:lang w:val="sr-Cyrl-RS"/>
              </w:rPr>
              <w:t>Диверсификација извора и праваца снабдевања природним гасом</w:t>
            </w:r>
          </w:p>
        </w:tc>
        <w:tc>
          <w:tcPr>
            <w:tcW w:w="11482" w:type="dxa"/>
            <w:vAlign w:val="center"/>
          </w:tcPr>
          <w:p w14:paraId="12896440" w14:textId="77777777" w:rsidR="00BD44C7" w:rsidRPr="00CF77C1" w:rsidRDefault="00BD44C7" w:rsidP="0080044B">
            <w:pPr>
              <w:framePr w:hSpace="181" w:wrap="notBeside" w:vAnchor="text" w:hAnchor="text" w:y="1"/>
              <w:jc w:val="left"/>
              <w:rPr>
                <w:bCs/>
                <w:szCs w:val="24"/>
                <w:lang w:val="sr-Cyrl-RS"/>
              </w:rPr>
            </w:pPr>
            <w:r w:rsidRPr="00CF77C1">
              <w:rPr>
                <w:bCs/>
                <w:szCs w:val="24"/>
                <w:lang w:val="sr-Cyrl-RS"/>
              </w:rPr>
              <w:t>Нема утицаја</w:t>
            </w:r>
          </w:p>
        </w:tc>
      </w:tr>
    </w:tbl>
    <w:p w14:paraId="5D58100E" w14:textId="6A6EFAFC"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82</w:t>
      </w:r>
      <w:r w:rsidR="0092145E" w:rsidRPr="00CF77C1">
        <w:rPr>
          <w:b w:val="0"/>
          <w:lang w:val="sr-Cyrl-RS"/>
        </w:rPr>
        <w:fldChar w:fldCharType="end"/>
      </w:r>
      <w:r w:rsidR="00D66E85" w:rsidRPr="00CF77C1">
        <w:rPr>
          <w:b w:val="0"/>
          <w:lang w:val="sr-Cyrl-RS"/>
        </w:rPr>
        <w:t>: Статус пројекта</w:t>
      </w:r>
    </w:p>
    <w:tbl>
      <w:tblPr>
        <w:tblStyle w:val="TableGrid"/>
        <w:tblW w:w="14709" w:type="dxa"/>
        <w:tblLook w:val="04A0" w:firstRow="1" w:lastRow="0" w:firstColumn="1" w:lastColumn="0" w:noHBand="0" w:noVBand="1"/>
      </w:tblPr>
      <w:tblGrid>
        <w:gridCol w:w="3227"/>
        <w:gridCol w:w="5528"/>
        <w:gridCol w:w="5954"/>
      </w:tblGrid>
      <w:tr w:rsidR="00D66E85" w:rsidRPr="00CF77C1" w14:paraId="69FFAFD9" w14:textId="77777777" w:rsidTr="00F25351">
        <w:tc>
          <w:tcPr>
            <w:tcW w:w="3227" w:type="dxa"/>
            <w:vAlign w:val="center"/>
          </w:tcPr>
          <w:p w14:paraId="166CD3C9" w14:textId="77777777" w:rsidR="00D66E85" w:rsidRPr="00CF77C1" w:rsidRDefault="00D66E85" w:rsidP="0080044B">
            <w:pPr>
              <w:framePr w:hSpace="180" w:wrap="around" w:vAnchor="text" w:hAnchor="text" w:y="1"/>
              <w:jc w:val="center"/>
              <w:rPr>
                <w:lang w:val="sr-Cyrl-RS"/>
              </w:rPr>
            </w:pPr>
            <w:r w:rsidRPr="00CF77C1">
              <w:rPr>
                <w:lang w:val="sr-Cyrl-RS"/>
              </w:rPr>
              <w:t>Пројекат</w:t>
            </w:r>
          </w:p>
        </w:tc>
        <w:tc>
          <w:tcPr>
            <w:tcW w:w="5528" w:type="dxa"/>
            <w:vAlign w:val="center"/>
          </w:tcPr>
          <w:p w14:paraId="680592AB" w14:textId="77777777" w:rsidR="00D66E85" w:rsidRPr="00CF77C1" w:rsidRDefault="00D66E85" w:rsidP="0080044B">
            <w:pPr>
              <w:framePr w:hSpace="180" w:wrap="around" w:vAnchor="text" w:hAnchor="text" w:y="1"/>
              <w:jc w:val="center"/>
              <w:rPr>
                <w:lang w:val="sr-Cyrl-RS"/>
              </w:rPr>
            </w:pPr>
            <w:r w:rsidRPr="00CF77C1">
              <w:rPr>
                <w:lang w:val="sr-Cyrl-RS"/>
              </w:rPr>
              <w:t>Статус припреме пројекта</w:t>
            </w:r>
          </w:p>
        </w:tc>
        <w:tc>
          <w:tcPr>
            <w:tcW w:w="5954" w:type="dxa"/>
            <w:vAlign w:val="center"/>
          </w:tcPr>
          <w:p w14:paraId="38D8A35B" w14:textId="77777777" w:rsidR="00D66E85" w:rsidRPr="00CF77C1" w:rsidRDefault="00D66E85" w:rsidP="0080044B">
            <w:pPr>
              <w:framePr w:hSpace="180" w:wrap="around" w:vAnchor="text" w:hAnchor="text" w:y="1"/>
              <w:jc w:val="center"/>
              <w:rPr>
                <w:lang w:val="sr-Cyrl-RS"/>
              </w:rPr>
            </w:pPr>
            <w:r w:rsidRPr="00CF77C1">
              <w:rPr>
                <w:lang w:val="sr-Cyrl-RS"/>
              </w:rPr>
              <w:t>Недостајућа планска и техничка документација</w:t>
            </w:r>
          </w:p>
        </w:tc>
      </w:tr>
      <w:tr w:rsidR="00BD44C7" w:rsidRPr="00CF77C1" w14:paraId="254A498C" w14:textId="77777777" w:rsidTr="00F25351">
        <w:tc>
          <w:tcPr>
            <w:tcW w:w="3227" w:type="dxa"/>
            <w:vAlign w:val="center"/>
          </w:tcPr>
          <w:p w14:paraId="110A1737" w14:textId="77777777" w:rsidR="00BD44C7" w:rsidRPr="00CF77C1" w:rsidRDefault="00BD44C7" w:rsidP="0080044B">
            <w:pPr>
              <w:framePr w:hSpace="180" w:wrap="around" w:vAnchor="text" w:hAnchor="text" w:y="1"/>
              <w:jc w:val="left"/>
              <w:rPr>
                <w:lang w:val="sr-Cyrl-RS"/>
              </w:rPr>
            </w:pPr>
            <w:r w:rsidRPr="00CF77C1">
              <w:rPr>
                <w:lang w:val="sr-Cyrl-RS"/>
              </w:rPr>
              <w:t xml:space="preserve">Изградња магистралних, разводних и дистрибутивних гасовода </w:t>
            </w:r>
          </w:p>
        </w:tc>
        <w:tc>
          <w:tcPr>
            <w:tcW w:w="5528" w:type="dxa"/>
            <w:vAlign w:val="center"/>
          </w:tcPr>
          <w:p w14:paraId="4B29445D" w14:textId="77777777" w:rsidR="00BD44C7" w:rsidRPr="00CF77C1" w:rsidRDefault="00BD44C7" w:rsidP="0080044B">
            <w:pPr>
              <w:framePr w:hSpace="180" w:wrap="around" w:vAnchor="text" w:hAnchor="text" w:y="1"/>
              <w:jc w:val="left"/>
              <w:rPr>
                <w:lang w:val="sr-Cyrl-RS"/>
              </w:rPr>
            </w:pPr>
            <w:r w:rsidRPr="00CF77C1">
              <w:rPr>
                <w:lang w:val="sr-Cyrl-RS"/>
              </w:rPr>
              <w:t>У зависности од пројекта: Идејно решење, локацијски услови, студија оправданости, идејни пројекат, студија процене утицаја на животну средину, пројекат за грађевинску дозволу, грађевинска дозвола, пројекат за извођење, пројекат изведеног објекта све у складу са захтевима Закона о планирању и изградњи, енергетска дозвола у складу са Законом о енергетици, тендерска документација за изградњу.</w:t>
            </w:r>
          </w:p>
        </w:tc>
        <w:tc>
          <w:tcPr>
            <w:tcW w:w="5954" w:type="dxa"/>
            <w:vAlign w:val="center"/>
          </w:tcPr>
          <w:p w14:paraId="09308426" w14:textId="77777777" w:rsidR="00BD44C7" w:rsidRPr="00CF77C1" w:rsidRDefault="00BD44C7" w:rsidP="0080044B">
            <w:pPr>
              <w:framePr w:hSpace="180" w:wrap="around" w:vAnchor="text" w:hAnchor="text" w:y="1"/>
              <w:jc w:val="left"/>
              <w:rPr>
                <w:lang w:val="sr-Cyrl-RS"/>
              </w:rPr>
            </w:pPr>
            <w:r w:rsidRPr="00CF77C1">
              <w:rPr>
                <w:lang w:val="sr-Cyrl-RS"/>
              </w:rPr>
              <w:t>У зависности од пројекта: Идејно решење, локацијски услови, студија оправданости, идејни пројекат, студија процене утицаја на животну средину, пројекат за грађевинску дозволу, грађевинска дозвола, пројекат за извођење, пројекат изведеног објекта све у складу са захтевима Закона о планирању и изградњи, енергетска дозвола у складу са Законом о енергетици, тендерска документација за изградњу.</w:t>
            </w:r>
          </w:p>
        </w:tc>
      </w:tr>
    </w:tbl>
    <w:p w14:paraId="2DF44BFD" w14:textId="76FB3E27" w:rsidR="00D66E85" w:rsidRPr="00CF77C1" w:rsidRDefault="00D61BC9" w:rsidP="00C41967">
      <w:pPr>
        <w:pStyle w:val="Caption"/>
        <w:ind w:firstLine="720"/>
        <w:rPr>
          <w:b w:val="0"/>
          <w:lang w:val="sr-Cyrl-RS"/>
        </w:rPr>
      </w:pPr>
      <w:r w:rsidRPr="00CF77C1">
        <w:rPr>
          <w:b w:val="0"/>
          <w:lang w:val="sr-Cyrl-RS"/>
        </w:rPr>
        <w:t>таб.</w:t>
      </w:r>
      <w:r w:rsidR="00D66E8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83</w:t>
      </w:r>
      <w:r w:rsidR="0092145E" w:rsidRPr="00CF77C1">
        <w:rPr>
          <w:b w:val="0"/>
          <w:lang w:val="sr-Cyrl-RS"/>
        </w:rPr>
        <w:fldChar w:fldCharType="end"/>
      </w:r>
      <w:r w:rsidR="00D66E85" w:rsidRPr="00CF77C1">
        <w:rPr>
          <w:b w:val="0"/>
          <w:lang w:val="sr-Cyrl-RS"/>
        </w:rPr>
        <w:t xml:space="preserve">: </w:t>
      </w:r>
      <w:r w:rsidR="007B3C55" w:rsidRPr="00CF77C1">
        <w:rPr>
          <w:b w:val="0"/>
          <w:lang w:val="sr-Cyrl-RS"/>
        </w:rPr>
        <w:t>Динамика реализације активн</w:t>
      </w:r>
      <w:r w:rsidR="00FC6F6F">
        <w:rPr>
          <w:b w:val="0"/>
          <w:lang w:val="sr-Cyrl-RS"/>
        </w:rPr>
        <w:t>ости у периоду реализације ПОС</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2"/>
        <w:gridCol w:w="2410"/>
        <w:gridCol w:w="769"/>
        <w:gridCol w:w="770"/>
        <w:gridCol w:w="769"/>
        <w:gridCol w:w="770"/>
        <w:gridCol w:w="769"/>
        <w:gridCol w:w="770"/>
        <w:gridCol w:w="770"/>
      </w:tblGrid>
      <w:tr w:rsidR="00D66E85" w:rsidRPr="00CF77C1" w14:paraId="5238525D" w14:textId="77777777" w:rsidTr="00D66E85">
        <w:trPr>
          <w:cantSplit/>
          <w:trHeight w:val="929"/>
          <w:tblHeader/>
        </w:trPr>
        <w:tc>
          <w:tcPr>
            <w:tcW w:w="6912" w:type="dxa"/>
            <w:shd w:val="clear" w:color="auto" w:fill="auto"/>
            <w:vAlign w:val="center"/>
          </w:tcPr>
          <w:p w14:paraId="1013F15E" w14:textId="77777777" w:rsidR="00D66E85" w:rsidRPr="00CF77C1" w:rsidRDefault="00D66E85" w:rsidP="0080044B">
            <w:pPr>
              <w:framePr w:hSpace="181" w:wrap="notBeside" w:vAnchor="text" w:hAnchor="text" w:y="1"/>
              <w:jc w:val="center"/>
              <w:rPr>
                <w:lang w:val="sr-Cyrl-RS"/>
              </w:rPr>
            </w:pPr>
            <w:r w:rsidRPr="00CF77C1">
              <w:rPr>
                <w:lang w:val="sr-Cyrl-RS"/>
              </w:rPr>
              <w:t>Пројекат:</w:t>
            </w:r>
          </w:p>
          <w:p w14:paraId="681F6F6C" w14:textId="77777777" w:rsidR="00D66E85" w:rsidRPr="00CF77C1" w:rsidRDefault="00F25351" w:rsidP="0080044B">
            <w:pPr>
              <w:framePr w:hSpace="181" w:wrap="notBeside" w:vAnchor="text" w:hAnchor="text" w:y="1"/>
              <w:jc w:val="center"/>
              <w:rPr>
                <w:lang w:val="sr-Cyrl-RS"/>
              </w:rPr>
            </w:pPr>
            <w:r w:rsidRPr="00CF77C1">
              <w:rPr>
                <w:lang w:val="sr-Cyrl-RS"/>
              </w:rPr>
              <w:t>Изградња магистралних, разводних и дистрибутивних гасовода</w:t>
            </w:r>
          </w:p>
        </w:tc>
        <w:tc>
          <w:tcPr>
            <w:tcW w:w="2410" w:type="dxa"/>
            <w:shd w:val="clear" w:color="auto" w:fill="auto"/>
            <w:vAlign w:val="center"/>
          </w:tcPr>
          <w:p w14:paraId="19027EFE" w14:textId="77777777" w:rsidR="00D66E85" w:rsidRPr="00CF77C1" w:rsidRDefault="00DD69C2" w:rsidP="0080044B">
            <w:pPr>
              <w:framePr w:hSpace="181" w:wrap="notBeside" w:vAnchor="text" w:hAnchor="text" w:y="1"/>
              <w:jc w:val="center"/>
              <w:rPr>
                <w:lang w:val="sr-Cyrl-RS"/>
              </w:rPr>
            </w:pPr>
            <w:r w:rsidRPr="00CF77C1">
              <w:rPr>
                <w:lang w:val="sr-Cyrl-RS"/>
              </w:rPr>
              <w:t>Одговорни субјекат</w:t>
            </w:r>
          </w:p>
        </w:tc>
        <w:tc>
          <w:tcPr>
            <w:tcW w:w="769" w:type="dxa"/>
            <w:shd w:val="clear" w:color="auto" w:fill="auto"/>
            <w:vAlign w:val="center"/>
          </w:tcPr>
          <w:p w14:paraId="0FCE9A50" w14:textId="77777777" w:rsidR="00D66E85" w:rsidRPr="00CF77C1" w:rsidRDefault="00D66E85" w:rsidP="0080044B">
            <w:pPr>
              <w:keepNext/>
              <w:framePr w:hSpace="181" w:wrap="notBeside" w:vAnchor="text" w:hAnchor="text" w:y="1"/>
              <w:jc w:val="center"/>
              <w:rPr>
                <w:lang w:val="sr-Cyrl-RS"/>
              </w:rPr>
            </w:pPr>
            <w:r w:rsidRPr="00CF77C1">
              <w:rPr>
                <w:lang w:val="sr-Cyrl-RS"/>
              </w:rPr>
              <w:t>2017.</w:t>
            </w:r>
          </w:p>
        </w:tc>
        <w:tc>
          <w:tcPr>
            <w:tcW w:w="770" w:type="dxa"/>
            <w:shd w:val="clear" w:color="auto" w:fill="auto"/>
            <w:vAlign w:val="center"/>
          </w:tcPr>
          <w:p w14:paraId="04029FD8" w14:textId="77777777" w:rsidR="00D66E85" w:rsidRPr="00CF77C1" w:rsidRDefault="00D66E85" w:rsidP="0080044B">
            <w:pPr>
              <w:keepNext/>
              <w:framePr w:hSpace="181" w:wrap="notBeside" w:vAnchor="text" w:hAnchor="text" w:y="1"/>
              <w:jc w:val="center"/>
              <w:rPr>
                <w:lang w:val="sr-Cyrl-RS"/>
              </w:rPr>
            </w:pPr>
            <w:r w:rsidRPr="00CF77C1">
              <w:rPr>
                <w:lang w:val="sr-Cyrl-RS"/>
              </w:rPr>
              <w:t>2018.</w:t>
            </w:r>
          </w:p>
        </w:tc>
        <w:tc>
          <w:tcPr>
            <w:tcW w:w="769" w:type="dxa"/>
            <w:shd w:val="clear" w:color="auto" w:fill="auto"/>
            <w:vAlign w:val="center"/>
          </w:tcPr>
          <w:p w14:paraId="73BADE75" w14:textId="77777777" w:rsidR="00D66E85" w:rsidRPr="00CF77C1" w:rsidRDefault="00D66E85" w:rsidP="0080044B">
            <w:pPr>
              <w:keepNext/>
              <w:framePr w:hSpace="181" w:wrap="notBeside" w:vAnchor="text" w:hAnchor="text" w:y="1"/>
              <w:jc w:val="center"/>
              <w:rPr>
                <w:lang w:val="sr-Cyrl-RS"/>
              </w:rPr>
            </w:pPr>
            <w:r w:rsidRPr="00CF77C1">
              <w:rPr>
                <w:lang w:val="sr-Cyrl-RS"/>
              </w:rPr>
              <w:t>2019.</w:t>
            </w:r>
          </w:p>
        </w:tc>
        <w:tc>
          <w:tcPr>
            <w:tcW w:w="770" w:type="dxa"/>
            <w:shd w:val="clear" w:color="auto" w:fill="auto"/>
            <w:vAlign w:val="center"/>
          </w:tcPr>
          <w:p w14:paraId="62F52929" w14:textId="77777777" w:rsidR="00D66E85" w:rsidRPr="00CF77C1" w:rsidRDefault="00D66E85" w:rsidP="0080044B">
            <w:pPr>
              <w:keepNext/>
              <w:framePr w:hSpace="181" w:wrap="notBeside" w:vAnchor="text" w:hAnchor="text" w:y="1"/>
              <w:jc w:val="center"/>
              <w:rPr>
                <w:lang w:val="sr-Cyrl-RS"/>
              </w:rPr>
            </w:pPr>
            <w:r w:rsidRPr="00CF77C1">
              <w:rPr>
                <w:lang w:val="sr-Cyrl-RS"/>
              </w:rPr>
              <w:t>2020.</w:t>
            </w:r>
          </w:p>
        </w:tc>
        <w:tc>
          <w:tcPr>
            <w:tcW w:w="769" w:type="dxa"/>
            <w:shd w:val="clear" w:color="auto" w:fill="auto"/>
            <w:vAlign w:val="center"/>
          </w:tcPr>
          <w:p w14:paraId="7238F111" w14:textId="77777777" w:rsidR="00D66E85" w:rsidRPr="00CF77C1" w:rsidRDefault="00D66E85" w:rsidP="0080044B">
            <w:pPr>
              <w:keepNext/>
              <w:framePr w:hSpace="181" w:wrap="notBeside" w:vAnchor="text" w:hAnchor="text" w:y="1"/>
              <w:jc w:val="center"/>
              <w:rPr>
                <w:lang w:val="sr-Cyrl-RS"/>
              </w:rPr>
            </w:pPr>
            <w:r w:rsidRPr="00CF77C1">
              <w:rPr>
                <w:lang w:val="sr-Cyrl-RS"/>
              </w:rPr>
              <w:t>2021.</w:t>
            </w:r>
          </w:p>
        </w:tc>
        <w:tc>
          <w:tcPr>
            <w:tcW w:w="770" w:type="dxa"/>
            <w:shd w:val="clear" w:color="auto" w:fill="auto"/>
            <w:vAlign w:val="center"/>
          </w:tcPr>
          <w:p w14:paraId="0D851DF4" w14:textId="77777777" w:rsidR="00D66E85" w:rsidRPr="00CF77C1" w:rsidRDefault="00D66E85" w:rsidP="0080044B">
            <w:pPr>
              <w:keepNext/>
              <w:framePr w:hSpace="181" w:wrap="notBeside" w:vAnchor="text" w:hAnchor="text" w:y="1"/>
              <w:jc w:val="center"/>
              <w:rPr>
                <w:lang w:val="sr-Cyrl-RS"/>
              </w:rPr>
            </w:pPr>
            <w:r w:rsidRPr="00CF77C1">
              <w:rPr>
                <w:lang w:val="sr-Cyrl-RS"/>
              </w:rPr>
              <w:t>2022.</w:t>
            </w:r>
          </w:p>
        </w:tc>
        <w:tc>
          <w:tcPr>
            <w:tcW w:w="770" w:type="dxa"/>
            <w:vAlign w:val="center"/>
          </w:tcPr>
          <w:p w14:paraId="46DAC805" w14:textId="77777777" w:rsidR="00D66E85" w:rsidRPr="00CF77C1" w:rsidRDefault="00D66E85" w:rsidP="0080044B">
            <w:pPr>
              <w:keepNext/>
              <w:framePr w:hSpace="181" w:wrap="notBeside" w:vAnchor="text" w:hAnchor="text" w:y="1"/>
              <w:jc w:val="center"/>
              <w:rPr>
                <w:lang w:val="sr-Cyrl-RS"/>
              </w:rPr>
            </w:pPr>
            <w:r w:rsidRPr="00CF77C1">
              <w:rPr>
                <w:lang w:val="sr-Cyrl-RS"/>
              </w:rPr>
              <w:t>2023.</w:t>
            </w:r>
          </w:p>
        </w:tc>
      </w:tr>
      <w:tr w:rsidR="00BD44C7" w:rsidRPr="00CF77C1" w14:paraId="3C2410A2" w14:textId="77777777" w:rsidTr="00851D9E">
        <w:trPr>
          <w:cantSplit/>
          <w:trHeight w:val="370"/>
        </w:trPr>
        <w:tc>
          <w:tcPr>
            <w:tcW w:w="6912" w:type="dxa"/>
            <w:shd w:val="clear" w:color="auto" w:fill="auto"/>
            <w:vAlign w:val="center"/>
          </w:tcPr>
          <w:p w14:paraId="55BC9EDD" w14:textId="77777777" w:rsidR="00BD44C7" w:rsidRPr="00CF77C1" w:rsidRDefault="007B3C55" w:rsidP="0080044B">
            <w:pPr>
              <w:framePr w:hSpace="181" w:wrap="notBeside" w:vAnchor="text" w:hAnchor="text" w:y="1"/>
              <w:jc w:val="left"/>
              <w:rPr>
                <w:lang w:val="sr-Cyrl-RS"/>
              </w:rPr>
            </w:pPr>
            <w:r w:rsidRPr="00CF77C1">
              <w:rPr>
                <w:lang w:val="sr-Cyrl-RS"/>
              </w:rPr>
              <w:t>Идејно решење и локацијска дозвола</w:t>
            </w:r>
          </w:p>
        </w:tc>
        <w:tc>
          <w:tcPr>
            <w:tcW w:w="2410" w:type="dxa"/>
            <w:vMerge w:val="restart"/>
            <w:shd w:val="clear" w:color="auto" w:fill="auto"/>
            <w:vAlign w:val="center"/>
          </w:tcPr>
          <w:p w14:paraId="40275F66" w14:textId="24320CF9" w:rsidR="00BD44C7" w:rsidRPr="00CF77C1" w:rsidRDefault="00205D28" w:rsidP="0080044B">
            <w:pPr>
              <w:framePr w:hSpace="181" w:wrap="notBeside" w:vAnchor="text" w:hAnchor="text" w:y="1"/>
              <w:jc w:val="left"/>
              <w:rPr>
                <w:lang w:val="sr-Cyrl-RS"/>
              </w:rPr>
            </w:pPr>
            <w:r w:rsidRPr="00CF77C1">
              <w:rPr>
                <w:lang w:val="sr-Cyrl-RS"/>
              </w:rPr>
              <w:t>Транспортгас Србија д.о.о</w:t>
            </w:r>
            <w:r w:rsidR="00BD44C7" w:rsidRPr="00CF77C1">
              <w:rPr>
                <w:lang w:val="sr-Cyrl-RS"/>
              </w:rPr>
              <w:t>, Југоросгаз а</w:t>
            </w:r>
            <w:r w:rsidR="00286317">
              <w:rPr>
                <w:lang w:val="sr-Cyrl-RS"/>
              </w:rPr>
              <w:t>.</w:t>
            </w:r>
            <w:r w:rsidR="00BD44C7" w:rsidRPr="00CF77C1">
              <w:rPr>
                <w:lang w:val="sr-Cyrl-RS"/>
              </w:rPr>
              <w:t>д, Оператори дистрибутивних система</w:t>
            </w:r>
          </w:p>
        </w:tc>
        <w:tc>
          <w:tcPr>
            <w:tcW w:w="769" w:type="dxa"/>
            <w:shd w:val="clear" w:color="auto" w:fill="auto"/>
            <w:vAlign w:val="center"/>
          </w:tcPr>
          <w:p w14:paraId="4183A119"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71C81C23"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24EC65AD"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1C05542C"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137AE9EA"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6D6C65E2"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vAlign w:val="center"/>
          </w:tcPr>
          <w:p w14:paraId="728D91EC" w14:textId="77777777" w:rsidR="00BD44C7" w:rsidRPr="00CF77C1" w:rsidRDefault="00BD44C7" w:rsidP="0080044B">
            <w:pPr>
              <w:framePr w:hSpace="181" w:wrap="notBeside" w:vAnchor="text" w:hAnchor="text" w:y="1"/>
              <w:jc w:val="center"/>
              <w:rPr>
                <w:lang w:val="sr-Cyrl-RS"/>
              </w:rPr>
            </w:pPr>
            <w:r w:rsidRPr="00CF77C1">
              <w:rPr>
                <w:lang w:val="sr-Cyrl-RS"/>
              </w:rPr>
              <w:t>х</w:t>
            </w:r>
          </w:p>
        </w:tc>
      </w:tr>
      <w:tr w:rsidR="00BD44C7" w:rsidRPr="00CF77C1" w14:paraId="1367D038" w14:textId="77777777" w:rsidTr="00D66E85">
        <w:trPr>
          <w:cantSplit/>
          <w:trHeight w:val="303"/>
        </w:trPr>
        <w:tc>
          <w:tcPr>
            <w:tcW w:w="6912" w:type="dxa"/>
            <w:shd w:val="clear" w:color="auto" w:fill="auto"/>
            <w:vAlign w:val="center"/>
          </w:tcPr>
          <w:p w14:paraId="4E9EE11B" w14:textId="77777777" w:rsidR="00BD44C7" w:rsidRPr="00CF77C1" w:rsidRDefault="00BD44C7" w:rsidP="0080044B">
            <w:pPr>
              <w:framePr w:hSpace="181" w:wrap="notBeside" w:vAnchor="text" w:hAnchor="text" w:y="1"/>
              <w:jc w:val="left"/>
              <w:rPr>
                <w:lang w:val="sr-Cyrl-RS"/>
              </w:rPr>
            </w:pPr>
            <w:r w:rsidRPr="00CF77C1">
              <w:rPr>
                <w:lang w:val="sr-Cyrl-RS"/>
              </w:rPr>
              <w:t>Студија о процени утицаја на животну средину и друштво</w:t>
            </w:r>
          </w:p>
        </w:tc>
        <w:tc>
          <w:tcPr>
            <w:tcW w:w="2410" w:type="dxa"/>
            <w:vMerge/>
            <w:shd w:val="clear" w:color="auto" w:fill="auto"/>
          </w:tcPr>
          <w:p w14:paraId="402EA2DF" w14:textId="77777777" w:rsidR="00BD44C7" w:rsidRPr="00CF77C1" w:rsidRDefault="00BD44C7" w:rsidP="0080044B">
            <w:pPr>
              <w:framePr w:hSpace="181" w:wrap="notBeside" w:vAnchor="text" w:hAnchor="text" w:y="1"/>
              <w:jc w:val="left"/>
              <w:rPr>
                <w:lang w:val="sr-Cyrl-RS"/>
              </w:rPr>
            </w:pPr>
          </w:p>
        </w:tc>
        <w:tc>
          <w:tcPr>
            <w:tcW w:w="769" w:type="dxa"/>
            <w:shd w:val="clear" w:color="auto" w:fill="auto"/>
            <w:vAlign w:val="center"/>
          </w:tcPr>
          <w:p w14:paraId="582B2B96"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0B340CE3"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66DF0973"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157A6855"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14013968" w14:textId="77777777" w:rsidR="00BD44C7" w:rsidRPr="00CF77C1" w:rsidRDefault="00BD44C7" w:rsidP="0080044B">
            <w:pPr>
              <w:framePr w:hSpace="181" w:wrap="notBeside" w:vAnchor="text" w:hAnchor="text" w:y="1"/>
              <w:jc w:val="center"/>
              <w:rPr>
                <w:lang w:val="sr-Cyrl-RS"/>
              </w:rPr>
            </w:pPr>
          </w:p>
        </w:tc>
        <w:tc>
          <w:tcPr>
            <w:tcW w:w="770" w:type="dxa"/>
            <w:shd w:val="clear" w:color="auto" w:fill="auto"/>
            <w:vAlign w:val="center"/>
          </w:tcPr>
          <w:p w14:paraId="0E040AEC" w14:textId="77777777" w:rsidR="00BD44C7" w:rsidRPr="00CF77C1" w:rsidRDefault="00BD44C7" w:rsidP="0080044B">
            <w:pPr>
              <w:framePr w:hSpace="181" w:wrap="notBeside" w:vAnchor="text" w:hAnchor="text" w:y="1"/>
              <w:jc w:val="center"/>
              <w:rPr>
                <w:lang w:val="sr-Cyrl-RS"/>
              </w:rPr>
            </w:pPr>
          </w:p>
        </w:tc>
        <w:tc>
          <w:tcPr>
            <w:tcW w:w="770" w:type="dxa"/>
            <w:vAlign w:val="center"/>
          </w:tcPr>
          <w:p w14:paraId="4C23C5CB" w14:textId="77777777" w:rsidR="00BD44C7" w:rsidRPr="00CF77C1" w:rsidRDefault="00BD44C7" w:rsidP="0080044B">
            <w:pPr>
              <w:framePr w:hSpace="181" w:wrap="notBeside" w:vAnchor="text" w:hAnchor="text" w:y="1"/>
              <w:jc w:val="center"/>
              <w:rPr>
                <w:lang w:val="sr-Cyrl-RS"/>
              </w:rPr>
            </w:pPr>
          </w:p>
        </w:tc>
      </w:tr>
      <w:tr w:rsidR="00BD44C7" w:rsidRPr="00CF77C1" w14:paraId="01EE22EB" w14:textId="77777777" w:rsidTr="00D66E85">
        <w:trPr>
          <w:cantSplit/>
          <w:trHeight w:val="323"/>
        </w:trPr>
        <w:tc>
          <w:tcPr>
            <w:tcW w:w="6912" w:type="dxa"/>
            <w:shd w:val="clear" w:color="auto" w:fill="auto"/>
            <w:vAlign w:val="center"/>
          </w:tcPr>
          <w:p w14:paraId="10ABB529" w14:textId="77777777" w:rsidR="00BD44C7" w:rsidRPr="00CF77C1" w:rsidRDefault="00BD44C7" w:rsidP="0080044B">
            <w:pPr>
              <w:framePr w:hSpace="181" w:wrap="notBeside" w:vAnchor="text" w:hAnchor="text" w:y="1"/>
              <w:jc w:val="left"/>
              <w:rPr>
                <w:lang w:val="sr-Cyrl-RS"/>
              </w:rPr>
            </w:pPr>
            <w:r w:rsidRPr="00CF77C1">
              <w:rPr>
                <w:lang w:val="sr-Cyrl-RS"/>
              </w:rPr>
              <w:t xml:space="preserve">Решавање </w:t>
            </w:r>
            <w:r w:rsidR="00A71236" w:rsidRPr="00CF77C1">
              <w:rPr>
                <w:lang w:val="sr-Cyrl-RS"/>
              </w:rPr>
              <w:t>имовинско-правних</w:t>
            </w:r>
            <w:r w:rsidRPr="00CF77C1">
              <w:rPr>
                <w:lang w:val="sr-Cyrl-RS"/>
              </w:rPr>
              <w:t xml:space="preserve"> послова</w:t>
            </w:r>
          </w:p>
        </w:tc>
        <w:tc>
          <w:tcPr>
            <w:tcW w:w="2410" w:type="dxa"/>
            <w:vMerge/>
            <w:shd w:val="clear" w:color="auto" w:fill="auto"/>
          </w:tcPr>
          <w:p w14:paraId="26519DF1" w14:textId="77777777" w:rsidR="00BD44C7" w:rsidRPr="00CF77C1" w:rsidRDefault="00BD44C7" w:rsidP="0080044B">
            <w:pPr>
              <w:framePr w:hSpace="181" w:wrap="notBeside" w:vAnchor="text" w:hAnchor="text" w:y="1"/>
              <w:jc w:val="left"/>
              <w:rPr>
                <w:lang w:val="sr-Cyrl-RS"/>
              </w:rPr>
            </w:pPr>
          </w:p>
        </w:tc>
        <w:tc>
          <w:tcPr>
            <w:tcW w:w="769" w:type="dxa"/>
            <w:shd w:val="clear" w:color="auto" w:fill="auto"/>
            <w:vAlign w:val="center"/>
          </w:tcPr>
          <w:p w14:paraId="2424FB4C"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39C956CB"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7C138ED2"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155B0FC5"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6178A73F" w14:textId="77777777" w:rsidR="00BD44C7" w:rsidRPr="00CF77C1" w:rsidRDefault="007B3C55"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6CB4FBF1" w14:textId="77777777" w:rsidR="00BD44C7" w:rsidRPr="00CF77C1" w:rsidRDefault="007B3C55" w:rsidP="0080044B">
            <w:pPr>
              <w:framePr w:hSpace="181" w:wrap="notBeside" w:vAnchor="text" w:hAnchor="text" w:y="1"/>
              <w:jc w:val="center"/>
              <w:rPr>
                <w:lang w:val="sr-Cyrl-RS"/>
              </w:rPr>
            </w:pPr>
            <w:r w:rsidRPr="00CF77C1">
              <w:rPr>
                <w:lang w:val="sr-Cyrl-RS"/>
              </w:rPr>
              <w:t>х</w:t>
            </w:r>
          </w:p>
        </w:tc>
        <w:tc>
          <w:tcPr>
            <w:tcW w:w="770" w:type="dxa"/>
            <w:vAlign w:val="center"/>
          </w:tcPr>
          <w:p w14:paraId="76324781" w14:textId="77777777" w:rsidR="00BD44C7" w:rsidRPr="00CF77C1" w:rsidRDefault="007B3C55" w:rsidP="0080044B">
            <w:pPr>
              <w:framePr w:hSpace="181" w:wrap="notBeside" w:vAnchor="text" w:hAnchor="text" w:y="1"/>
              <w:jc w:val="center"/>
              <w:rPr>
                <w:lang w:val="sr-Cyrl-RS"/>
              </w:rPr>
            </w:pPr>
            <w:r w:rsidRPr="00CF77C1">
              <w:rPr>
                <w:lang w:val="sr-Cyrl-RS"/>
              </w:rPr>
              <w:t>х</w:t>
            </w:r>
          </w:p>
        </w:tc>
      </w:tr>
      <w:tr w:rsidR="00BD44C7" w:rsidRPr="00CF77C1" w14:paraId="5A1DF6E9" w14:textId="77777777" w:rsidTr="00D66E85">
        <w:trPr>
          <w:cantSplit/>
          <w:trHeight w:val="343"/>
        </w:trPr>
        <w:tc>
          <w:tcPr>
            <w:tcW w:w="6912" w:type="dxa"/>
            <w:shd w:val="clear" w:color="auto" w:fill="auto"/>
            <w:vAlign w:val="center"/>
          </w:tcPr>
          <w:p w14:paraId="27BE3903" w14:textId="77777777" w:rsidR="00BD44C7" w:rsidRPr="00CF77C1" w:rsidRDefault="00BD44C7" w:rsidP="0080044B">
            <w:pPr>
              <w:framePr w:hSpace="181" w:wrap="notBeside" w:vAnchor="text" w:hAnchor="text" w:y="1"/>
              <w:jc w:val="left"/>
              <w:rPr>
                <w:lang w:val="sr-Cyrl-RS"/>
              </w:rPr>
            </w:pPr>
            <w:r w:rsidRPr="00CF77C1">
              <w:rPr>
                <w:lang w:val="sr-Cyrl-RS"/>
              </w:rPr>
              <w:t>Идејни пројекат и студија оправданости</w:t>
            </w:r>
          </w:p>
        </w:tc>
        <w:tc>
          <w:tcPr>
            <w:tcW w:w="2410" w:type="dxa"/>
            <w:vMerge/>
            <w:shd w:val="clear" w:color="auto" w:fill="auto"/>
          </w:tcPr>
          <w:p w14:paraId="479DDEF1" w14:textId="77777777" w:rsidR="00BD44C7" w:rsidRPr="00CF77C1" w:rsidRDefault="00BD44C7" w:rsidP="0080044B">
            <w:pPr>
              <w:framePr w:hSpace="181" w:wrap="notBeside" w:vAnchor="text" w:hAnchor="text" w:y="1"/>
              <w:jc w:val="left"/>
              <w:rPr>
                <w:lang w:val="sr-Cyrl-RS"/>
              </w:rPr>
            </w:pPr>
          </w:p>
        </w:tc>
        <w:tc>
          <w:tcPr>
            <w:tcW w:w="769" w:type="dxa"/>
            <w:shd w:val="clear" w:color="auto" w:fill="auto"/>
            <w:vAlign w:val="center"/>
          </w:tcPr>
          <w:p w14:paraId="0E7E8C89"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27E2141A"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2729E2FE"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0CF5F0EF"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5228BF50" w14:textId="77777777" w:rsidR="00BD44C7" w:rsidRPr="00CF77C1" w:rsidRDefault="00BD44C7" w:rsidP="0080044B">
            <w:pPr>
              <w:framePr w:hSpace="181" w:wrap="notBeside" w:vAnchor="text" w:hAnchor="text" w:y="1"/>
              <w:jc w:val="center"/>
              <w:rPr>
                <w:lang w:val="sr-Cyrl-RS"/>
              </w:rPr>
            </w:pPr>
          </w:p>
        </w:tc>
        <w:tc>
          <w:tcPr>
            <w:tcW w:w="770" w:type="dxa"/>
            <w:shd w:val="clear" w:color="auto" w:fill="auto"/>
            <w:vAlign w:val="center"/>
          </w:tcPr>
          <w:p w14:paraId="00404CA3" w14:textId="77777777" w:rsidR="00BD44C7" w:rsidRPr="00CF77C1" w:rsidRDefault="00BD44C7" w:rsidP="0080044B">
            <w:pPr>
              <w:framePr w:hSpace="181" w:wrap="notBeside" w:vAnchor="text" w:hAnchor="text" w:y="1"/>
              <w:jc w:val="center"/>
              <w:rPr>
                <w:lang w:val="sr-Cyrl-RS"/>
              </w:rPr>
            </w:pPr>
          </w:p>
        </w:tc>
        <w:tc>
          <w:tcPr>
            <w:tcW w:w="770" w:type="dxa"/>
            <w:vAlign w:val="center"/>
          </w:tcPr>
          <w:p w14:paraId="3DC8C442" w14:textId="77777777" w:rsidR="00BD44C7" w:rsidRPr="00CF77C1" w:rsidRDefault="00BD44C7" w:rsidP="0080044B">
            <w:pPr>
              <w:framePr w:hSpace="181" w:wrap="notBeside" w:vAnchor="text" w:hAnchor="text" w:y="1"/>
              <w:jc w:val="center"/>
              <w:rPr>
                <w:lang w:val="sr-Cyrl-RS"/>
              </w:rPr>
            </w:pPr>
          </w:p>
        </w:tc>
      </w:tr>
      <w:tr w:rsidR="00BD44C7" w:rsidRPr="00CF77C1" w14:paraId="0909DC42" w14:textId="77777777" w:rsidTr="00D66E85">
        <w:trPr>
          <w:cantSplit/>
          <w:trHeight w:val="364"/>
        </w:trPr>
        <w:tc>
          <w:tcPr>
            <w:tcW w:w="6912" w:type="dxa"/>
            <w:shd w:val="clear" w:color="auto" w:fill="auto"/>
            <w:vAlign w:val="center"/>
          </w:tcPr>
          <w:p w14:paraId="4A963630" w14:textId="77777777" w:rsidR="00BD44C7" w:rsidRPr="00CF77C1" w:rsidRDefault="00BD44C7" w:rsidP="0080044B">
            <w:pPr>
              <w:framePr w:hSpace="181" w:wrap="notBeside" w:vAnchor="text" w:hAnchor="text" w:y="1"/>
              <w:jc w:val="left"/>
              <w:rPr>
                <w:lang w:val="sr-Cyrl-RS"/>
              </w:rPr>
            </w:pPr>
            <w:r w:rsidRPr="00CF77C1">
              <w:rPr>
                <w:lang w:val="sr-Cyrl-RS"/>
              </w:rPr>
              <w:t>Енергетска дозвола</w:t>
            </w:r>
          </w:p>
        </w:tc>
        <w:tc>
          <w:tcPr>
            <w:tcW w:w="2410" w:type="dxa"/>
            <w:vMerge/>
            <w:shd w:val="clear" w:color="auto" w:fill="auto"/>
          </w:tcPr>
          <w:p w14:paraId="7FA9BEB4" w14:textId="77777777" w:rsidR="00BD44C7" w:rsidRPr="00CF77C1" w:rsidRDefault="00BD44C7" w:rsidP="0080044B">
            <w:pPr>
              <w:framePr w:hSpace="181" w:wrap="notBeside" w:vAnchor="text" w:hAnchor="text" w:y="1"/>
              <w:jc w:val="left"/>
              <w:rPr>
                <w:lang w:val="sr-Cyrl-RS"/>
              </w:rPr>
            </w:pPr>
          </w:p>
        </w:tc>
        <w:tc>
          <w:tcPr>
            <w:tcW w:w="769" w:type="dxa"/>
            <w:shd w:val="clear" w:color="auto" w:fill="auto"/>
            <w:vAlign w:val="center"/>
          </w:tcPr>
          <w:p w14:paraId="2E05F57B"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35A72D5A"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69839BFA"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7903AE31"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1D3E8EFB" w14:textId="77777777" w:rsidR="00BD44C7" w:rsidRPr="00CF77C1" w:rsidRDefault="00BD44C7" w:rsidP="0080044B">
            <w:pPr>
              <w:framePr w:hSpace="181" w:wrap="notBeside" w:vAnchor="text" w:hAnchor="text" w:y="1"/>
              <w:jc w:val="center"/>
              <w:rPr>
                <w:lang w:val="sr-Cyrl-RS"/>
              </w:rPr>
            </w:pPr>
          </w:p>
        </w:tc>
        <w:tc>
          <w:tcPr>
            <w:tcW w:w="770" w:type="dxa"/>
            <w:shd w:val="clear" w:color="auto" w:fill="auto"/>
            <w:vAlign w:val="center"/>
          </w:tcPr>
          <w:p w14:paraId="03FFEC5C" w14:textId="77777777" w:rsidR="00BD44C7" w:rsidRPr="00CF77C1" w:rsidRDefault="00BD44C7" w:rsidP="0080044B">
            <w:pPr>
              <w:framePr w:hSpace="181" w:wrap="notBeside" w:vAnchor="text" w:hAnchor="text" w:y="1"/>
              <w:jc w:val="center"/>
              <w:rPr>
                <w:lang w:val="sr-Cyrl-RS"/>
              </w:rPr>
            </w:pPr>
          </w:p>
        </w:tc>
        <w:tc>
          <w:tcPr>
            <w:tcW w:w="770" w:type="dxa"/>
            <w:vAlign w:val="center"/>
          </w:tcPr>
          <w:p w14:paraId="0C1B293E" w14:textId="77777777" w:rsidR="00BD44C7" w:rsidRPr="00CF77C1" w:rsidRDefault="00BD44C7" w:rsidP="0080044B">
            <w:pPr>
              <w:framePr w:hSpace="181" w:wrap="notBeside" w:vAnchor="text" w:hAnchor="text" w:y="1"/>
              <w:jc w:val="center"/>
              <w:rPr>
                <w:lang w:val="sr-Cyrl-RS"/>
              </w:rPr>
            </w:pPr>
          </w:p>
        </w:tc>
      </w:tr>
      <w:tr w:rsidR="00BD44C7" w:rsidRPr="00CF77C1" w14:paraId="741D1B48" w14:textId="77777777" w:rsidTr="00D66E85">
        <w:trPr>
          <w:cantSplit/>
          <w:trHeight w:val="397"/>
        </w:trPr>
        <w:tc>
          <w:tcPr>
            <w:tcW w:w="6912" w:type="dxa"/>
            <w:shd w:val="clear" w:color="auto" w:fill="auto"/>
            <w:vAlign w:val="center"/>
          </w:tcPr>
          <w:p w14:paraId="5A53944F" w14:textId="77777777" w:rsidR="00BD44C7" w:rsidRPr="00CF77C1" w:rsidRDefault="00BD44C7" w:rsidP="0080044B">
            <w:pPr>
              <w:framePr w:hSpace="181" w:wrap="notBeside" w:vAnchor="text" w:hAnchor="text" w:y="1"/>
              <w:jc w:val="left"/>
              <w:rPr>
                <w:lang w:val="sr-Cyrl-RS"/>
              </w:rPr>
            </w:pPr>
            <w:r w:rsidRPr="00CF77C1">
              <w:rPr>
                <w:lang w:val="sr-Cyrl-RS"/>
              </w:rPr>
              <w:t>Пројекат за грађевинску дозволу и грађевинска дозвола</w:t>
            </w:r>
          </w:p>
        </w:tc>
        <w:tc>
          <w:tcPr>
            <w:tcW w:w="2410" w:type="dxa"/>
            <w:vMerge/>
            <w:shd w:val="clear" w:color="auto" w:fill="auto"/>
          </w:tcPr>
          <w:p w14:paraId="536D8DB7" w14:textId="77777777" w:rsidR="00BD44C7" w:rsidRPr="00CF77C1" w:rsidRDefault="00BD44C7" w:rsidP="0080044B">
            <w:pPr>
              <w:framePr w:hSpace="181" w:wrap="notBeside" w:vAnchor="text" w:hAnchor="text" w:y="1"/>
              <w:jc w:val="left"/>
              <w:rPr>
                <w:lang w:val="sr-Cyrl-RS"/>
              </w:rPr>
            </w:pPr>
          </w:p>
        </w:tc>
        <w:tc>
          <w:tcPr>
            <w:tcW w:w="769" w:type="dxa"/>
            <w:shd w:val="clear" w:color="auto" w:fill="auto"/>
            <w:vAlign w:val="center"/>
          </w:tcPr>
          <w:p w14:paraId="2CE2785A"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072FEA7E"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5443966D"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3FEEA558"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414A0154"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4F21BD9E"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vAlign w:val="center"/>
          </w:tcPr>
          <w:p w14:paraId="5C7448E3" w14:textId="77777777" w:rsidR="00BD44C7" w:rsidRPr="00CF77C1" w:rsidRDefault="00BD44C7" w:rsidP="0080044B">
            <w:pPr>
              <w:framePr w:hSpace="181" w:wrap="notBeside" w:vAnchor="text" w:hAnchor="text" w:y="1"/>
              <w:jc w:val="center"/>
              <w:rPr>
                <w:lang w:val="sr-Cyrl-RS"/>
              </w:rPr>
            </w:pPr>
            <w:r w:rsidRPr="00CF77C1">
              <w:rPr>
                <w:lang w:val="sr-Cyrl-RS"/>
              </w:rPr>
              <w:t>х</w:t>
            </w:r>
          </w:p>
        </w:tc>
      </w:tr>
      <w:tr w:rsidR="00BD44C7" w:rsidRPr="00CF77C1" w14:paraId="1E066059" w14:textId="77777777" w:rsidTr="00D66E85">
        <w:trPr>
          <w:cantSplit/>
          <w:trHeight w:val="262"/>
        </w:trPr>
        <w:tc>
          <w:tcPr>
            <w:tcW w:w="6912" w:type="dxa"/>
            <w:shd w:val="clear" w:color="auto" w:fill="auto"/>
            <w:vAlign w:val="center"/>
          </w:tcPr>
          <w:p w14:paraId="1BAC8BCD" w14:textId="77777777" w:rsidR="00BD44C7" w:rsidRPr="00CF77C1" w:rsidRDefault="00BD44C7" w:rsidP="0080044B">
            <w:pPr>
              <w:framePr w:hSpace="181" w:wrap="notBeside" w:vAnchor="text" w:hAnchor="text" w:y="1"/>
              <w:jc w:val="left"/>
              <w:rPr>
                <w:lang w:val="sr-Cyrl-RS"/>
              </w:rPr>
            </w:pPr>
            <w:r w:rsidRPr="00CF77C1">
              <w:rPr>
                <w:lang w:val="sr-Cyrl-RS"/>
              </w:rPr>
              <w:t>Израда тендерске документације</w:t>
            </w:r>
          </w:p>
        </w:tc>
        <w:tc>
          <w:tcPr>
            <w:tcW w:w="2410" w:type="dxa"/>
            <w:vMerge/>
            <w:shd w:val="clear" w:color="auto" w:fill="auto"/>
          </w:tcPr>
          <w:p w14:paraId="457BE7A7" w14:textId="77777777" w:rsidR="00BD44C7" w:rsidRPr="00CF77C1" w:rsidRDefault="00BD44C7" w:rsidP="0080044B">
            <w:pPr>
              <w:framePr w:hSpace="181" w:wrap="notBeside" w:vAnchor="text" w:hAnchor="text" w:y="1"/>
              <w:jc w:val="left"/>
              <w:rPr>
                <w:lang w:val="sr-Cyrl-RS"/>
              </w:rPr>
            </w:pPr>
          </w:p>
        </w:tc>
        <w:tc>
          <w:tcPr>
            <w:tcW w:w="769" w:type="dxa"/>
            <w:shd w:val="clear" w:color="auto" w:fill="auto"/>
            <w:vAlign w:val="center"/>
          </w:tcPr>
          <w:p w14:paraId="3D72C3A4"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76C83979"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7A51E16C" w14:textId="77777777" w:rsidR="00BD44C7" w:rsidRPr="00CF77C1" w:rsidRDefault="00BD44C7" w:rsidP="0080044B">
            <w:pPr>
              <w:framePr w:hSpace="181" w:wrap="notBeside" w:vAnchor="text" w:hAnchor="text" w:y="1"/>
              <w:jc w:val="center"/>
              <w:rPr>
                <w:lang w:val="sr-Cyrl-RS"/>
              </w:rPr>
            </w:pPr>
            <w:r w:rsidRPr="00CF77C1">
              <w:rPr>
                <w:lang w:val="sr-Cyrl-RS"/>
              </w:rPr>
              <w:t>x</w:t>
            </w:r>
          </w:p>
        </w:tc>
        <w:tc>
          <w:tcPr>
            <w:tcW w:w="770" w:type="dxa"/>
            <w:shd w:val="clear" w:color="auto" w:fill="auto"/>
            <w:vAlign w:val="center"/>
          </w:tcPr>
          <w:p w14:paraId="3241DFDA"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24356C2A"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3083430D"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vAlign w:val="center"/>
          </w:tcPr>
          <w:p w14:paraId="36B0219D" w14:textId="77777777" w:rsidR="00BD44C7" w:rsidRPr="00CF77C1" w:rsidRDefault="00BD44C7" w:rsidP="0080044B">
            <w:pPr>
              <w:framePr w:hSpace="181" w:wrap="notBeside" w:vAnchor="text" w:hAnchor="text" w:y="1"/>
              <w:jc w:val="center"/>
              <w:rPr>
                <w:lang w:val="sr-Cyrl-RS"/>
              </w:rPr>
            </w:pPr>
            <w:r w:rsidRPr="00CF77C1">
              <w:rPr>
                <w:lang w:val="sr-Cyrl-RS"/>
              </w:rPr>
              <w:t>х</w:t>
            </w:r>
          </w:p>
        </w:tc>
      </w:tr>
      <w:tr w:rsidR="00BD44C7" w:rsidRPr="00CF77C1" w14:paraId="275FA8A7" w14:textId="77777777" w:rsidTr="00D66E85">
        <w:trPr>
          <w:cantSplit/>
          <w:trHeight w:val="282"/>
        </w:trPr>
        <w:tc>
          <w:tcPr>
            <w:tcW w:w="6912" w:type="dxa"/>
            <w:shd w:val="clear" w:color="auto" w:fill="auto"/>
            <w:vAlign w:val="center"/>
          </w:tcPr>
          <w:p w14:paraId="75AB07C7" w14:textId="77777777" w:rsidR="00BD44C7" w:rsidRPr="00CF77C1" w:rsidRDefault="00BD44C7" w:rsidP="0080044B">
            <w:pPr>
              <w:framePr w:hSpace="181" w:wrap="notBeside" w:vAnchor="text" w:hAnchor="text" w:y="1"/>
              <w:jc w:val="left"/>
              <w:rPr>
                <w:lang w:val="sr-Cyrl-RS"/>
              </w:rPr>
            </w:pPr>
            <w:r w:rsidRPr="00CF77C1">
              <w:rPr>
                <w:lang w:val="sr-Cyrl-RS"/>
              </w:rPr>
              <w:t>Пројекат за извођење</w:t>
            </w:r>
          </w:p>
        </w:tc>
        <w:tc>
          <w:tcPr>
            <w:tcW w:w="2410" w:type="dxa"/>
            <w:vMerge/>
            <w:shd w:val="clear" w:color="auto" w:fill="auto"/>
          </w:tcPr>
          <w:p w14:paraId="3D564824" w14:textId="77777777" w:rsidR="00BD44C7" w:rsidRPr="00CF77C1" w:rsidRDefault="00BD44C7" w:rsidP="0080044B">
            <w:pPr>
              <w:framePr w:hSpace="181" w:wrap="notBeside" w:vAnchor="text" w:hAnchor="text" w:y="1"/>
              <w:jc w:val="left"/>
              <w:rPr>
                <w:lang w:val="sr-Cyrl-RS"/>
              </w:rPr>
            </w:pPr>
          </w:p>
        </w:tc>
        <w:tc>
          <w:tcPr>
            <w:tcW w:w="769" w:type="dxa"/>
            <w:shd w:val="clear" w:color="auto" w:fill="auto"/>
            <w:vAlign w:val="center"/>
          </w:tcPr>
          <w:p w14:paraId="321A67D1"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3A0D957E"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362CD113"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705D989F"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51B4F9FB"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26E6F384"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vAlign w:val="center"/>
          </w:tcPr>
          <w:p w14:paraId="0518E6EC" w14:textId="77777777" w:rsidR="00BD44C7" w:rsidRPr="00CF77C1" w:rsidRDefault="00BD44C7" w:rsidP="0080044B">
            <w:pPr>
              <w:framePr w:hSpace="181" w:wrap="notBeside" w:vAnchor="text" w:hAnchor="text" w:y="1"/>
              <w:jc w:val="center"/>
              <w:rPr>
                <w:lang w:val="sr-Cyrl-RS"/>
              </w:rPr>
            </w:pPr>
            <w:r w:rsidRPr="00CF77C1">
              <w:rPr>
                <w:lang w:val="sr-Cyrl-RS"/>
              </w:rPr>
              <w:t>х</w:t>
            </w:r>
          </w:p>
        </w:tc>
      </w:tr>
      <w:tr w:rsidR="00BD44C7" w:rsidRPr="00CF77C1" w14:paraId="2A7B2912" w14:textId="77777777" w:rsidTr="00D66E85">
        <w:trPr>
          <w:cantSplit/>
          <w:trHeight w:val="378"/>
        </w:trPr>
        <w:tc>
          <w:tcPr>
            <w:tcW w:w="6912" w:type="dxa"/>
            <w:shd w:val="clear" w:color="auto" w:fill="auto"/>
            <w:vAlign w:val="center"/>
          </w:tcPr>
          <w:p w14:paraId="1BD5DBFF" w14:textId="77777777" w:rsidR="00BD44C7" w:rsidRPr="00CF77C1" w:rsidRDefault="00F25351" w:rsidP="0080044B">
            <w:pPr>
              <w:framePr w:hSpace="181" w:wrap="notBeside" w:vAnchor="text" w:hAnchor="text" w:y="1"/>
              <w:jc w:val="left"/>
              <w:rPr>
                <w:lang w:val="sr-Cyrl-RS"/>
              </w:rPr>
            </w:pPr>
            <w:r w:rsidRPr="00CF77C1">
              <w:rPr>
                <w:lang w:val="sr-Cyrl-RS"/>
              </w:rPr>
              <w:t>Изградња</w:t>
            </w:r>
          </w:p>
        </w:tc>
        <w:tc>
          <w:tcPr>
            <w:tcW w:w="2410" w:type="dxa"/>
            <w:shd w:val="clear" w:color="auto" w:fill="auto"/>
            <w:vAlign w:val="center"/>
          </w:tcPr>
          <w:p w14:paraId="76658A7E" w14:textId="77777777" w:rsidR="00BD44C7" w:rsidRPr="00CF77C1" w:rsidRDefault="00BD44C7" w:rsidP="0080044B">
            <w:pPr>
              <w:framePr w:hSpace="181" w:wrap="notBeside" w:vAnchor="text" w:hAnchor="text" w:y="1"/>
              <w:jc w:val="left"/>
              <w:rPr>
                <w:lang w:val="sr-Cyrl-RS"/>
              </w:rPr>
            </w:pPr>
            <w:r w:rsidRPr="00CF77C1">
              <w:rPr>
                <w:lang w:val="sr-Cyrl-RS"/>
              </w:rPr>
              <w:t>-</w:t>
            </w:r>
          </w:p>
        </w:tc>
        <w:tc>
          <w:tcPr>
            <w:tcW w:w="769" w:type="dxa"/>
            <w:shd w:val="clear" w:color="auto" w:fill="auto"/>
            <w:vAlign w:val="center"/>
          </w:tcPr>
          <w:p w14:paraId="307F0134"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135E046E"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18DCAFF4"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6556DBC3"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69" w:type="dxa"/>
            <w:shd w:val="clear" w:color="auto" w:fill="auto"/>
            <w:vAlign w:val="center"/>
          </w:tcPr>
          <w:p w14:paraId="5039A38D"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shd w:val="clear" w:color="auto" w:fill="auto"/>
            <w:vAlign w:val="center"/>
          </w:tcPr>
          <w:p w14:paraId="4E443EA6" w14:textId="77777777" w:rsidR="00BD44C7" w:rsidRPr="00CF77C1" w:rsidRDefault="00BD44C7" w:rsidP="0080044B">
            <w:pPr>
              <w:framePr w:hSpace="181" w:wrap="notBeside" w:vAnchor="text" w:hAnchor="text" w:y="1"/>
              <w:jc w:val="center"/>
              <w:rPr>
                <w:lang w:val="sr-Cyrl-RS"/>
              </w:rPr>
            </w:pPr>
            <w:r w:rsidRPr="00CF77C1">
              <w:rPr>
                <w:lang w:val="sr-Cyrl-RS"/>
              </w:rPr>
              <w:t>х</w:t>
            </w:r>
          </w:p>
        </w:tc>
        <w:tc>
          <w:tcPr>
            <w:tcW w:w="770" w:type="dxa"/>
            <w:vAlign w:val="center"/>
          </w:tcPr>
          <w:p w14:paraId="2B244BC2" w14:textId="77777777" w:rsidR="00BD44C7" w:rsidRPr="00CF77C1" w:rsidRDefault="00BD44C7" w:rsidP="0080044B">
            <w:pPr>
              <w:framePr w:hSpace="181" w:wrap="notBeside" w:vAnchor="text" w:hAnchor="text" w:y="1"/>
              <w:jc w:val="center"/>
              <w:rPr>
                <w:lang w:val="sr-Cyrl-RS"/>
              </w:rPr>
            </w:pPr>
            <w:r w:rsidRPr="00CF77C1">
              <w:rPr>
                <w:lang w:val="sr-Cyrl-RS"/>
              </w:rPr>
              <w:t>х</w:t>
            </w:r>
          </w:p>
        </w:tc>
      </w:tr>
    </w:tbl>
    <w:p w14:paraId="51E357FA" w14:textId="68091FB5" w:rsidR="00D66E85" w:rsidRPr="00CF77C1" w:rsidRDefault="001C40F5" w:rsidP="00C41967">
      <w:pPr>
        <w:ind w:firstLine="720"/>
        <w:rPr>
          <w:lang w:val="sr-Cyrl-RS"/>
        </w:rPr>
      </w:pPr>
      <w:r w:rsidRPr="00CF77C1">
        <w:rPr>
          <w:lang w:val="sr-Cyrl-RS"/>
        </w:rPr>
        <w:t>Напомена: За финансирање активности током 2017. године није пре</w:t>
      </w:r>
      <w:r w:rsidR="00623EFC">
        <w:rPr>
          <w:lang w:val="sr-Cyrl-RS"/>
        </w:rPr>
        <w:t>двиђено коришћење средстава из б</w:t>
      </w:r>
      <w:r w:rsidRPr="00CF77C1">
        <w:rPr>
          <w:lang w:val="sr-Cyrl-RS"/>
        </w:rPr>
        <w:t>уџета Републике Србије.</w:t>
      </w:r>
      <w:r w:rsidR="00E21067" w:rsidRPr="00CF77C1">
        <w:t xml:space="preserve"> </w:t>
      </w:r>
      <w:r w:rsidR="00E21067" w:rsidRPr="00CF77C1">
        <w:rPr>
          <w:lang w:val="sr-Cyrl-RS"/>
        </w:rPr>
        <w:t>У</w:t>
      </w:r>
      <w:r w:rsidR="00623EFC">
        <w:rPr>
          <w:lang w:val="sr-Cyrl-RS"/>
        </w:rPr>
        <w:t xml:space="preserve"> наредним годинама средства из б</w:t>
      </w:r>
      <w:r w:rsidR="00E21067" w:rsidRPr="00CF77C1">
        <w:rPr>
          <w:lang w:val="sr-Cyrl-RS"/>
        </w:rPr>
        <w:t>уџета Републике Србије ће бити обезбеђена у оквиру утврђених лимита у ск</w:t>
      </w:r>
      <w:r w:rsidR="00623EFC">
        <w:rPr>
          <w:lang w:val="sr-Cyrl-RS"/>
        </w:rPr>
        <w:t>ладу са билансним могућностима б</w:t>
      </w:r>
      <w:r w:rsidR="00E21067" w:rsidRPr="00CF77C1">
        <w:rPr>
          <w:lang w:val="sr-Cyrl-RS"/>
        </w:rPr>
        <w:t>уџета Републике Србије.</w:t>
      </w:r>
    </w:p>
    <w:p w14:paraId="19B2F3C1" w14:textId="77777777" w:rsidR="00D66E85" w:rsidRPr="00CF77C1" w:rsidRDefault="00D66E85" w:rsidP="0080044B">
      <w:pPr>
        <w:rPr>
          <w:lang w:val="sr-Cyrl-RS"/>
        </w:rPr>
        <w:sectPr w:rsidR="00D66E85" w:rsidRPr="00CF77C1" w:rsidSect="00C41967">
          <w:headerReference w:type="default" r:id="rId94"/>
          <w:footerReference w:type="even" r:id="rId95"/>
          <w:footerReference w:type="default" r:id="rId96"/>
          <w:pgSz w:w="16839" w:h="11907" w:orient="landscape" w:code="9"/>
          <w:pgMar w:top="1418" w:right="1269" w:bottom="1134" w:left="1260" w:header="1004" w:footer="720" w:gutter="0"/>
          <w:cols w:space="720"/>
          <w:docGrid w:linePitch="360"/>
        </w:sectPr>
      </w:pPr>
    </w:p>
    <w:p w14:paraId="0D58C01A" w14:textId="72A2AFB6" w:rsidR="00C859C0" w:rsidRPr="00CF77C1" w:rsidRDefault="008C6DCA" w:rsidP="008C6DCA">
      <w:pPr>
        <w:pStyle w:val="Heading3"/>
        <w:numPr>
          <w:ilvl w:val="0"/>
          <w:numId w:val="0"/>
        </w:numPr>
        <w:ind w:left="720"/>
        <w:rPr>
          <w:b w:val="0"/>
          <w:lang w:val="sr-Cyrl-RS"/>
        </w:rPr>
      </w:pPr>
      <w:bookmarkStart w:id="158" w:name="_Toc484260309"/>
      <w:bookmarkStart w:id="159" w:name="_Toc463001128"/>
      <w:r w:rsidRPr="00CF77C1">
        <w:rPr>
          <w:b w:val="0"/>
          <w:lang w:val="sr-Cyrl-RS"/>
        </w:rPr>
        <w:t xml:space="preserve">3.5.3. </w:t>
      </w:r>
      <w:r w:rsidR="00C859C0" w:rsidRPr="00CF77C1">
        <w:rPr>
          <w:b w:val="0"/>
          <w:lang w:val="sr-Cyrl-RS"/>
        </w:rPr>
        <w:t>Подобласт заштите животне средине у области природног гаса</w:t>
      </w:r>
      <w:bookmarkEnd w:id="158"/>
    </w:p>
    <w:p w14:paraId="288F17E4" w14:textId="3DB93561" w:rsidR="00C859C0" w:rsidRPr="00CF77C1" w:rsidRDefault="00C859C0" w:rsidP="00C41967">
      <w:pPr>
        <w:ind w:firstLine="720"/>
        <w:rPr>
          <w:lang w:val="sr-Cyrl-RS"/>
        </w:rPr>
      </w:pPr>
      <w:r w:rsidRPr="00CF77C1">
        <w:rPr>
          <w:lang w:val="sr-Cyrl-RS"/>
        </w:rPr>
        <w:t>Природни гас је енергент са изразитим еколошким предностима у односу на друга фосилна горива. Емисија азотних оксида при сагоревању природног гаса је вишеструко мања у односу на угаљ, течна горива и биомасу, а емисија честица и оксида сумпора практично нема. Коефицијент емисија угљендиоксида за природни гас је значајно нижи у односу на сва остала фосилна горива.</w:t>
      </w:r>
    </w:p>
    <w:p w14:paraId="15F6F08B" w14:textId="62E0581C" w:rsidR="00C859C0" w:rsidRPr="00CF77C1" w:rsidRDefault="00C859C0" w:rsidP="00C41967">
      <w:pPr>
        <w:ind w:firstLine="720"/>
        <w:rPr>
          <w:lang w:val="sr-Cyrl-RS"/>
        </w:rPr>
      </w:pPr>
      <w:r w:rsidRPr="00CF77C1">
        <w:rPr>
          <w:lang w:val="sr-Cyrl-RS"/>
        </w:rPr>
        <w:t>Директне мере заштите животне средине у сектору природног гаса се односе на смањење количина природног гаса који се спаљује на бакљи приликом производње нафте и природног гаса, односно емитује приликом транспорта и дистрибуције. Ове мере, активности које их прате, рокови извршења, одговорни субјекти, као и индикатори за њихово праћење су</w:t>
      </w:r>
      <w:r w:rsidR="00956106" w:rsidRPr="00CF77C1">
        <w:rPr>
          <w:lang w:val="sr-Cyrl-RS"/>
        </w:rPr>
        <w:t xml:space="preserve"> наведене</w:t>
      </w:r>
      <w:r w:rsidRPr="00CF77C1">
        <w:rPr>
          <w:lang w:val="sr-Cyrl-RS"/>
        </w:rPr>
        <w:t xml:space="preserve"> у </w:t>
      </w:r>
      <w:r w:rsidR="00956106" w:rsidRPr="00CF77C1">
        <w:rPr>
          <w:lang w:val="sr-Cyrl-RS"/>
        </w:rPr>
        <w:fldChar w:fldCharType="begin"/>
      </w:r>
      <w:r w:rsidR="00956106" w:rsidRPr="00CF77C1">
        <w:rPr>
          <w:lang w:val="sr-Cyrl-RS"/>
        </w:rPr>
        <w:instrText xml:space="preserve"> REF _Ref484247968 \h </w:instrText>
      </w:r>
      <w:r w:rsidR="0077363A" w:rsidRPr="00CF77C1">
        <w:rPr>
          <w:lang w:val="sr-Cyrl-RS"/>
        </w:rPr>
        <w:instrText xml:space="preserve"> \* MERGEFORMAT </w:instrText>
      </w:r>
      <w:r w:rsidR="00956106" w:rsidRPr="00CF77C1">
        <w:rPr>
          <w:lang w:val="sr-Cyrl-RS"/>
        </w:rPr>
      </w:r>
      <w:r w:rsidR="00956106" w:rsidRPr="00CF77C1">
        <w:rPr>
          <w:lang w:val="sr-Cyrl-RS"/>
        </w:rPr>
        <w:fldChar w:fldCharType="separate"/>
      </w:r>
      <w:r w:rsidR="002D5918" w:rsidRPr="002D5918">
        <w:rPr>
          <w:lang w:val="sr-Cyrl-RS"/>
        </w:rPr>
        <w:t xml:space="preserve">таб. </w:t>
      </w:r>
      <w:r w:rsidR="002D5918" w:rsidRPr="002D5918">
        <w:rPr>
          <w:noProof/>
          <w:lang w:val="sr-Cyrl-RS"/>
        </w:rPr>
        <w:t>84</w:t>
      </w:r>
      <w:r w:rsidR="00956106" w:rsidRPr="00CF77C1">
        <w:rPr>
          <w:lang w:val="sr-Cyrl-RS"/>
        </w:rPr>
        <w:fldChar w:fldCharType="end"/>
      </w:r>
      <w:r w:rsidRPr="00CF77C1">
        <w:rPr>
          <w:lang w:val="sr-Cyrl-RS"/>
        </w:rPr>
        <w:t>.</w:t>
      </w:r>
    </w:p>
    <w:p w14:paraId="2FCF2A69" w14:textId="77777777" w:rsidR="00956106" w:rsidRPr="00CF77C1" w:rsidRDefault="00956106" w:rsidP="00956106">
      <w:pPr>
        <w:rPr>
          <w:lang w:val="sr-Cyrl-RS"/>
        </w:rPr>
      </w:pPr>
    </w:p>
    <w:p w14:paraId="399ABE22" w14:textId="77777777" w:rsidR="00956106" w:rsidRPr="00CF77C1" w:rsidRDefault="00956106" w:rsidP="00956106">
      <w:pPr>
        <w:rPr>
          <w:lang w:val="sr-Cyrl-RS"/>
        </w:rPr>
        <w:sectPr w:rsidR="00956106" w:rsidRPr="00CF77C1" w:rsidSect="00C41967">
          <w:headerReference w:type="default" r:id="rId97"/>
          <w:footerReference w:type="default" r:id="rId98"/>
          <w:pgSz w:w="11907" w:h="16839" w:code="9"/>
          <w:pgMar w:top="1134" w:right="1287" w:bottom="1134" w:left="1418" w:header="720" w:footer="720" w:gutter="0"/>
          <w:cols w:space="720"/>
          <w:docGrid w:linePitch="360"/>
        </w:sectPr>
      </w:pPr>
    </w:p>
    <w:p w14:paraId="776F71B3" w14:textId="15D61127" w:rsidR="00956106" w:rsidRPr="00CF77C1" w:rsidRDefault="00956106" w:rsidP="00C41967">
      <w:pPr>
        <w:pStyle w:val="Caption"/>
        <w:ind w:firstLine="720"/>
        <w:rPr>
          <w:b w:val="0"/>
          <w:lang w:val="sr-Cyrl-RS"/>
        </w:rPr>
      </w:pPr>
      <w:bookmarkStart w:id="160" w:name="_Ref484247968"/>
      <w:r w:rsidRPr="00CF77C1">
        <w:rPr>
          <w:b w:val="0"/>
          <w:lang w:val="sr-Cyrl-RS"/>
        </w:rPr>
        <w:t xml:space="preserve">таб. </w:t>
      </w:r>
      <w:r w:rsidRPr="00CF77C1">
        <w:rPr>
          <w:b w:val="0"/>
          <w:lang w:val="sr-Cyrl-RS"/>
        </w:rPr>
        <w:fldChar w:fldCharType="begin"/>
      </w:r>
      <w:r w:rsidRPr="00CF77C1">
        <w:rPr>
          <w:b w:val="0"/>
          <w:lang w:val="sr-Cyrl-RS"/>
        </w:rPr>
        <w:instrText xml:space="preserve"> SEQ таб. \* ARABIC </w:instrText>
      </w:r>
      <w:r w:rsidRPr="00CF77C1">
        <w:rPr>
          <w:b w:val="0"/>
          <w:lang w:val="sr-Cyrl-RS"/>
        </w:rPr>
        <w:fldChar w:fldCharType="separate"/>
      </w:r>
      <w:r w:rsidR="002D5918">
        <w:rPr>
          <w:b w:val="0"/>
          <w:noProof/>
          <w:lang w:val="sr-Cyrl-RS"/>
        </w:rPr>
        <w:t>84</w:t>
      </w:r>
      <w:r w:rsidRPr="00CF77C1">
        <w:rPr>
          <w:b w:val="0"/>
          <w:lang w:val="sr-Cyrl-RS"/>
        </w:rPr>
        <w:fldChar w:fldCharType="end"/>
      </w:r>
      <w:bookmarkEnd w:id="160"/>
      <w:r w:rsidR="006B56E6">
        <w:rPr>
          <w:b w:val="0"/>
          <w:lang w:val="sr-Cyrl-RS"/>
        </w:rPr>
        <w:t>: Мере за унапређење</w:t>
      </w:r>
      <w:r w:rsidRPr="00CF77C1">
        <w:rPr>
          <w:b w:val="0"/>
          <w:lang w:val="sr-Cyrl-RS"/>
        </w:rPr>
        <w:t xml:space="preserve"> заштитe животне средине и смањење утицаја на климатске промене у производњи, транспорту и дистрибуцији природног гаса</w:t>
      </w:r>
    </w:p>
    <w:tbl>
      <w:tblPr>
        <w:tblStyle w:val="TableGrid"/>
        <w:tblW w:w="14768" w:type="dxa"/>
        <w:tblLayout w:type="fixed"/>
        <w:tblLook w:val="04A0" w:firstRow="1" w:lastRow="0" w:firstColumn="1" w:lastColumn="0" w:noHBand="0" w:noVBand="1"/>
      </w:tblPr>
      <w:tblGrid>
        <w:gridCol w:w="3510"/>
        <w:gridCol w:w="3828"/>
        <w:gridCol w:w="1842"/>
        <w:gridCol w:w="2127"/>
        <w:gridCol w:w="3461"/>
      </w:tblGrid>
      <w:tr w:rsidR="00956106" w:rsidRPr="00CF77C1" w14:paraId="54288C6C" w14:textId="77777777" w:rsidTr="00956106">
        <w:trPr>
          <w:cantSplit/>
          <w:tblHeader/>
        </w:trPr>
        <w:tc>
          <w:tcPr>
            <w:tcW w:w="3510" w:type="dxa"/>
            <w:vAlign w:val="center"/>
          </w:tcPr>
          <w:p w14:paraId="1159ED46" w14:textId="77777777" w:rsidR="00956106" w:rsidRPr="00CF77C1" w:rsidRDefault="00956106" w:rsidP="00956106">
            <w:pPr>
              <w:framePr w:hSpace="181" w:wrap="notBeside" w:vAnchor="text" w:hAnchor="text" w:x="-175" w:y="1"/>
              <w:jc w:val="center"/>
              <w:rPr>
                <w:lang w:val="sr-Cyrl-RS"/>
              </w:rPr>
            </w:pPr>
            <w:r w:rsidRPr="00CF77C1">
              <w:rPr>
                <w:lang w:val="sr-Cyrl-RS"/>
              </w:rPr>
              <w:t>Мера</w:t>
            </w:r>
          </w:p>
        </w:tc>
        <w:tc>
          <w:tcPr>
            <w:tcW w:w="3828" w:type="dxa"/>
            <w:vAlign w:val="center"/>
          </w:tcPr>
          <w:p w14:paraId="41F05EE3" w14:textId="77777777" w:rsidR="00956106" w:rsidRPr="00CF77C1" w:rsidRDefault="00956106" w:rsidP="00956106">
            <w:pPr>
              <w:framePr w:hSpace="181" w:wrap="notBeside" w:vAnchor="text" w:hAnchor="text" w:x="-175" w:y="1"/>
              <w:jc w:val="center"/>
              <w:rPr>
                <w:lang w:val="sr-Cyrl-RS"/>
              </w:rPr>
            </w:pPr>
            <w:r w:rsidRPr="00CF77C1">
              <w:rPr>
                <w:rFonts w:eastAsia="Myriad Pro"/>
                <w:spacing w:val="-3"/>
                <w:lang w:val="sr-Cyrl-RS"/>
              </w:rPr>
              <w:t>Активност</w:t>
            </w:r>
          </w:p>
        </w:tc>
        <w:tc>
          <w:tcPr>
            <w:tcW w:w="1842" w:type="dxa"/>
            <w:vAlign w:val="center"/>
          </w:tcPr>
          <w:p w14:paraId="3D74F6BE" w14:textId="77777777" w:rsidR="00956106" w:rsidRPr="00CF77C1" w:rsidRDefault="00956106" w:rsidP="00956106">
            <w:pPr>
              <w:keepLines/>
              <w:framePr w:hSpace="181" w:wrap="notBeside" w:vAnchor="text" w:hAnchor="text" w:x="-175" w:y="1"/>
              <w:jc w:val="center"/>
              <w:rPr>
                <w:lang w:val="sr-Cyrl-RS"/>
              </w:rPr>
            </w:pPr>
            <w:r w:rsidRPr="00CF77C1">
              <w:rPr>
                <w:lang w:val="sr-Cyrl-RS"/>
              </w:rPr>
              <w:t>Рок за извршење</w:t>
            </w:r>
          </w:p>
        </w:tc>
        <w:tc>
          <w:tcPr>
            <w:tcW w:w="2127" w:type="dxa"/>
            <w:vAlign w:val="center"/>
          </w:tcPr>
          <w:p w14:paraId="4B2AAD6A" w14:textId="77777777" w:rsidR="00956106" w:rsidRPr="00CF77C1" w:rsidRDefault="00956106" w:rsidP="00956106">
            <w:pPr>
              <w:keepLines/>
              <w:framePr w:hSpace="181" w:wrap="notBeside" w:vAnchor="text" w:hAnchor="text" w:x="-175" w:y="1"/>
              <w:jc w:val="center"/>
              <w:rPr>
                <w:lang w:val="sr-Cyrl-RS"/>
              </w:rPr>
            </w:pPr>
            <w:r w:rsidRPr="00CF77C1">
              <w:rPr>
                <w:lang w:val="sr-Cyrl-RS"/>
              </w:rPr>
              <w:t>Одговорни субјекат</w:t>
            </w:r>
          </w:p>
        </w:tc>
        <w:tc>
          <w:tcPr>
            <w:tcW w:w="3461" w:type="dxa"/>
          </w:tcPr>
          <w:p w14:paraId="3F4BA5E8" w14:textId="77777777" w:rsidR="00956106" w:rsidRPr="00CF77C1" w:rsidRDefault="00956106" w:rsidP="00956106">
            <w:pPr>
              <w:keepLines/>
              <w:framePr w:hSpace="181" w:wrap="notBeside" w:vAnchor="text" w:hAnchor="text" w:x="-175" w:y="1"/>
              <w:jc w:val="center"/>
              <w:rPr>
                <w:lang w:val="sr-Cyrl-RS"/>
              </w:rPr>
            </w:pPr>
            <w:r w:rsidRPr="00CF77C1">
              <w:rPr>
                <w:lang w:val="sr-Cyrl-RS"/>
              </w:rPr>
              <w:t xml:space="preserve">Индикатор за праћење </w:t>
            </w:r>
            <w:r w:rsidRPr="00CF77C1">
              <w:rPr>
                <w:lang w:val="sr-Cyrl-RS"/>
              </w:rPr>
              <w:br/>
              <w:t>утицаја на животну средину и климатске промене</w:t>
            </w:r>
          </w:p>
        </w:tc>
      </w:tr>
      <w:tr w:rsidR="00956106" w:rsidRPr="00CF77C1" w14:paraId="18422CB7" w14:textId="77777777" w:rsidTr="00956106">
        <w:trPr>
          <w:cantSplit/>
        </w:trPr>
        <w:tc>
          <w:tcPr>
            <w:tcW w:w="3510" w:type="dxa"/>
            <w:vAlign w:val="center"/>
          </w:tcPr>
          <w:p w14:paraId="329FEE97" w14:textId="77777777" w:rsidR="00956106" w:rsidRPr="00CF77C1" w:rsidRDefault="00956106" w:rsidP="00956106">
            <w:pPr>
              <w:framePr w:hSpace="181" w:wrap="notBeside" w:vAnchor="text" w:hAnchor="text" w:x="-175" w:y="1"/>
              <w:jc w:val="left"/>
              <w:rPr>
                <w:lang w:val="sr-Cyrl-RS"/>
              </w:rPr>
            </w:pPr>
            <w:r w:rsidRPr="00CF77C1">
              <w:rPr>
                <w:lang w:val="sr-Cyrl-RS"/>
              </w:rPr>
              <w:t>Унапређење процеса производње нафте и природног гаса</w:t>
            </w:r>
          </w:p>
        </w:tc>
        <w:tc>
          <w:tcPr>
            <w:tcW w:w="3828" w:type="dxa"/>
            <w:vAlign w:val="center"/>
          </w:tcPr>
          <w:p w14:paraId="3C90EB26" w14:textId="77777777" w:rsidR="00956106" w:rsidRPr="00CF77C1" w:rsidRDefault="00956106" w:rsidP="00956106">
            <w:pPr>
              <w:framePr w:hSpace="181" w:wrap="notBeside" w:vAnchor="text" w:hAnchor="text" w:x="-175" w:y="1"/>
              <w:jc w:val="left"/>
              <w:rPr>
                <w:lang w:val="sr-Cyrl-RS"/>
              </w:rPr>
            </w:pPr>
            <w:r w:rsidRPr="00CF77C1">
              <w:rPr>
                <w:lang w:val="sr-Cyrl-RS"/>
              </w:rPr>
              <w:t xml:space="preserve">Увођење ефикаснијих технологија и оптимизација производње нафте и природног гаса </w:t>
            </w:r>
          </w:p>
        </w:tc>
        <w:tc>
          <w:tcPr>
            <w:tcW w:w="1842" w:type="dxa"/>
            <w:vAlign w:val="center"/>
          </w:tcPr>
          <w:p w14:paraId="1E99F7E9" w14:textId="77777777" w:rsidR="00956106" w:rsidRPr="00CF77C1" w:rsidRDefault="00956106" w:rsidP="00956106">
            <w:pPr>
              <w:keepLines/>
              <w:framePr w:hSpace="181" w:wrap="notBeside" w:vAnchor="text" w:hAnchor="text" w:x="-175" w:y="1"/>
              <w:jc w:val="center"/>
              <w:rPr>
                <w:lang w:val="sr-Cyrl-RS"/>
              </w:rPr>
            </w:pPr>
            <w:r w:rsidRPr="00CF77C1">
              <w:rPr>
                <w:lang w:val="sr-Cyrl-RS"/>
              </w:rPr>
              <w:t>2017-2023. година</w:t>
            </w:r>
          </w:p>
        </w:tc>
        <w:tc>
          <w:tcPr>
            <w:tcW w:w="2127" w:type="dxa"/>
            <w:vAlign w:val="center"/>
          </w:tcPr>
          <w:p w14:paraId="13C856BA" w14:textId="77777777" w:rsidR="00956106" w:rsidRPr="00CF77C1" w:rsidRDefault="00956106" w:rsidP="00956106">
            <w:pPr>
              <w:keepLines/>
              <w:framePr w:hSpace="181" w:wrap="notBeside" w:vAnchor="text" w:hAnchor="text" w:x="-175" w:y="1"/>
              <w:jc w:val="left"/>
              <w:rPr>
                <w:lang w:val="sr-Cyrl-RS"/>
              </w:rPr>
            </w:pPr>
            <w:r w:rsidRPr="00CF77C1">
              <w:rPr>
                <w:lang w:val="sr-Cyrl-RS"/>
              </w:rPr>
              <w:t>НИС а.д.</w:t>
            </w:r>
          </w:p>
        </w:tc>
        <w:tc>
          <w:tcPr>
            <w:tcW w:w="3461" w:type="dxa"/>
            <w:vAlign w:val="center"/>
          </w:tcPr>
          <w:p w14:paraId="07B3D013" w14:textId="77777777" w:rsidR="00956106" w:rsidRPr="00CF77C1" w:rsidRDefault="00956106" w:rsidP="00956106">
            <w:pPr>
              <w:keepLines/>
              <w:framePr w:hSpace="181" w:wrap="notBeside" w:vAnchor="text" w:hAnchor="text" w:x="-175" w:y="1"/>
              <w:jc w:val="left"/>
              <w:rPr>
                <w:lang w:val="sr-Cyrl-RS"/>
              </w:rPr>
            </w:pPr>
            <w:r w:rsidRPr="00CF77C1">
              <w:rPr>
                <w:lang w:val="sr-Cyrl-RS"/>
              </w:rPr>
              <w:t>Специфична количина природног гаса спаљеног на бакљи при производњи нафте и природног гаса [m</w:t>
            </w:r>
            <w:r w:rsidRPr="00CF77C1">
              <w:rPr>
                <w:vertAlign w:val="superscript"/>
                <w:lang w:val="sr-Cyrl-RS"/>
              </w:rPr>
              <w:t>3</w:t>
            </w:r>
            <w:r w:rsidRPr="00CF77C1">
              <w:rPr>
                <w:lang w:val="sr-Cyrl-RS"/>
              </w:rPr>
              <w:t xml:space="preserve">/тен] </w:t>
            </w:r>
          </w:p>
        </w:tc>
      </w:tr>
      <w:tr w:rsidR="00956106" w:rsidRPr="00CF77C1" w14:paraId="62F7BD36" w14:textId="77777777" w:rsidTr="00956106">
        <w:trPr>
          <w:cantSplit/>
        </w:trPr>
        <w:tc>
          <w:tcPr>
            <w:tcW w:w="3510" w:type="dxa"/>
            <w:vAlign w:val="center"/>
          </w:tcPr>
          <w:p w14:paraId="3DBA2AB8" w14:textId="77777777" w:rsidR="00956106" w:rsidRPr="00CF77C1" w:rsidRDefault="00956106" w:rsidP="00956106">
            <w:pPr>
              <w:framePr w:hSpace="181" w:wrap="notBeside" w:vAnchor="text" w:hAnchor="text" w:x="-175" w:y="1"/>
              <w:jc w:val="left"/>
              <w:rPr>
                <w:lang w:val="sr-Cyrl-RS"/>
              </w:rPr>
            </w:pPr>
            <w:r w:rsidRPr="00CF77C1">
              <w:rPr>
                <w:lang w:val="sr-Cyrl-RS"/>
              </w:rPr>
              <w:t>Одржавање и рехабилитација транспортног система,</w:t>
            </w:r>
            <w:r w:rsidRPr="00CF77C1">
              <w:rPr>
                <w:lang w:val="sr-Cyrl-RS"/>
              </w:rPr>
              <w:br/>
              <w:t>укључујући и ревитализацију компресорске станице</w:t>
            </w:r>
            <w:r w:rsidRPr="00CF77C1" w:rsidDel="004B5002">
              <w:rPr>
                <w:lang w:val="sr-Cyrl-RS"/>
              </w:rPr>
              <w:t xml:space="preserve"> </w:t>
            </w:r>
          </w:p>
        </w:tc>
        <w:tc>
          <w:tcPr>
            <w:tcW w:w="3828" w:type="dxa"/>
            <w:vAlign w:val="center"/>
          </w:tcPr>
          <w:p w14:paraId="2A059E33" w14:textId="77777777" w:rsidR="00956106" w:rsidRPr="00CF77C1" w:rsidRDefault="00956106" w:rsidP="00956106">
            <w:pPr>
              <w:keepLines/>
              <w:framePr w:hSpace="181" w:wrap="notBeside" w:vAnchor="text" w:hAnchor="text" w:x="-175" w:y="1"/>
              <w:jc w:val="left"/>
              <w:rPr>
                <w:lang w:val="sr-Cyrl-RS"/>
              </w:rPr>
            </w:pPr>
            <w:r w:rsidRPr="00CF77C1">
              <w:rPr>
                <w:lang w:val="sr-Cyrl-RS"/>
              </w:rPr>
              <w:t>Дијагностика стања постојеће транспортне инфраструктуре, замена критичних деоница и инвестиционо одржавање опреме и инсталација</w:t>
            </w:r>
          </w:p>
        </w:tc>
        <w:tc>
          <w:tcPr>
            <w:tcW w:w="1842" w:type="dxa"/>
            <w:vAlign w:val="center"/>
          </w:tcPr>
          <w:p w14:paraId="3492DDB3" w14:textId="77777777" w:rsidR="00956106" w:rsidRPr="00CF77C1" w:rsidRDefault="00956106" w:rsidP="00956106">
            <w:pPr>
              <w:keepLines/>
              <w:framePr w:hSpace="181" w:wrap="notBeside" w:vAnchor="text" w:hAnchor="text" w:x="-175" w:y="1"/>
              <w:jc w:val="center"/>
              <w:rPr>
                <w:lang w:val="sr-Cyrl-RS"/>
              </w:rPr>
            </w:pPr>
            <w:r w:rsidRPr="00CF77C1">
              <w:rPr>
                <w:lang w:val="sr-Cyrl-RS"/>
              </w:rPr>
              <w:t>2017-2023. година</w:t>
            </w:r>
          </w:p>
        </w:tc>
        <w:tc>
          <w:tcPr>
            <w:tcW w:w="2127" w:type="dxa"/>
            <w:vAlign w:val="center"/>
          </w:tcPr>
          <w:p w14:paraId="014FE756" w14:textId="77777777" w:rsidR="00956106" w:rsidRPr="00CF77C1" w:rsidRDefault="00956106" w:rsidP="00956106">
            <w:pPr>
              <w:keepLines/>
              <w:framePr w:hSpace="181" w:wrap="notBeside" w:vAnchor="text" w:hAnchor="text" w:x="-175" w:y="1"/>
              <w:jc w:val="left"/>
              <w:rPr>
                <w:lang w:val="sr-Cyrl-RS"/>
              </w:rPr>
            </w:pPr>
            <w:r w:rsidRPr="00CF77C1">
              <w:rPr>
                <w:lang w:val="sr-Cyrl-RS"/>
              </w:rPr>
              <w:t xml:space="preserve">Оператори транспортног система </w:t>
            </w:r>
          </w:p>
        </w:tc>
        <w:tc>
          <w:tcPr>
            <w:tcW w:w="3461" w:type="dxa"/>
            <w:vAlign w:val="center"/>
          </w:tcPr>
          <w:p w14:paraId="716A7068" w14:textId="77777777" w:rsidR="00956106" w:rsidRPr="00CF77C1" w:rsidRDefault="00956106" w:rsidP="00956106">
            <w:pPr>
              <w:keepLines/>
              <w:framePr w:hSpace="181" w:wrap="notBeside" w:vAnchor="text" w:hAnchor="text" w:x="-175" w:y="1"/>
              <w:jc w:val="left"/>
              <w:rPr>
                <w:lang w:val="sr-Cyrl-RS"/>
              </w:rPr>
            </w:pPr>
            <w:r w:rsidRPr="00CF77C1">
              <w:rPr>
                <w:lang w:val="sr-Cyrl-RS"/>
              </w:rPr>
              <w:t xml:space="preserve">Емитована количина </w:t>
            </w:r>
            <w:r w:rsidRPr="00CF77C1">
              <w:rPr>
                <w:lang w:val="sr-Cyrl-RS"/>
              </w:rPr>
              <w:br/>
              <w:t>природног гаса:</w:t>
            </w:r>
          </w:p>
          <w:p w14:paraId="1B673F65" w14:textId="157982E4" w:rsidR="00956106" w:rsidRPr="00CF77C1" w:rsidRDefault="00956106" w:rsidP="00956106">
            <w:pPr>
              <w:keepLines/>
              <w:framePr w:hSpace="181" w:wrap="notBeside" w:vAnchor="text" w:hAnchor="text" w:x="-175" w:y="1"/>
              <w:jc w:val="left"/>
              <w:rPr>
                <w:lang w:val="sr-Cyrl-RS"/>
              </w:rPr>
            </w:pPr>
            <w:r w:rsidRPr="00CF77C1">
              <w:rPr>
                <w:lang w:val="sr-Cyrl-RS"/>
              </w:rPr>
              <w:t>2015. године: 8 милиона m</w:t>
            </w:r>
            <w:r w:rsidRPr="00CF77C1">
              <w:rPr>
                <w:vertAlign w:val="superscript"/>
                <w:lang w:val="sr-Cyrl-RS"/>
              </w:rPr>
              <w:t>3</w:t>
            </w:r>
            <w:r w:rsidRPr="00CF77C1">
              <w:rPr>
                <w:lang w:val="sr-Cyrl-RS"/>
              </w:rPr>
              <w:t xml:space="preserve"> (АЕРС, Извештај за 2015.)</w:t>
            </w:r>
          </w:p>
        </w:tc>
      </w:tr>
      <w:tr w:rsidR="00956106" w:rsidRPr="00CF77C1" w14:paraId="38351CDB" w14:textId="77777777" w:rsidTr="00956106">
        <w:trPr>
          <w:cantSplit/>
          <w:trHeight w:val="702"/>
        </w:trPr>
        <w:tc>
          <w:tcPr>
            <w:tcW w:w="3510" w:type="dxa"/>
            <w:vAlign w:val="center"/>
          </w:tcPr>
          <w:p w14:paraId="5522B14F" w14:textId="77777777" w:rsidR="00956106" w:rsidRPr="00CF77C1" w:rsidRDefault="00956106" w:rsidP="00956106">
            <w:pPr>
              <w:framePr w:hSpace="181" w:wrap="notBeside" w:vAnchor="text" w:hAnchor="text" w:x="-175" w:y="1"/>
              <w:jc w:val="left"/>
              <w:rPr>
                <w:lang w:val="sr-Cyrl-RS"/>
              </w:rPr>
            </w:pPr>
            <w:r w:rsidRPr="00CF77C1">
              <w:rPr>
                <w:lang w:val="sr-Cyrl-RS"/>
              </w:rPr>
              <w:t>Одржавање и рехабилитација дистрибутивног система</w:t>
            </w:r>
          </w:p>
        </w:tc>
        <w:tc>
          <w:tcPr>
            <w:tcW w:w="3828" w:type="dxa"/>
            <w:vAlign w:val="center"/>
          </w:tcPr>
          <w:p w14:paraId="2EF904BC" w14:textId="77777777" w:rsidR="00956106" w:rsidRPr="00CF77C1" w:rsidRDefault="00956106" w:rsidP="00956106">
            <w:pPr>
              <w:framePr w:hSpace="181" w:wrap="notBeside" w:vAnchor="text" w:hAnchor="text" w:x="-175" w:y="1"/>
              <w:jc w:val="left"/>
              <w:rPr>
                <w:lang w:val="sr-Cyrl-RS"/>
              </w:rPr>
            </w:pPr>
            <w:r w:rsidRPr="00CF77C1">
              <w:rPr>
                <w:lang w:val="sr-Cyrl-RS"/>
              </w:rPr>
              <w:t>Дијагностика стања постојеће дистрибутивне инфраструктуре, замена критичних деоница и инвестиционо одржавање опреме и инсталација</w:t>
            </w:r>
          </w:p>
        </w:tc>
        <w:tc>
          <w:tcPr>
            <w:tcW w:w="1842" w:type="dxa"/>
            <w:vAlign w:val="center"/>
          </w:tcPr>
          <w:p w14:paraId="22375C64" w14:textId="77777777" w:rsidR="00956106" w:rsidRPr="00CF77C1" w:rsidRDefault="00956106" w:rsidP="00956106">
            <w:pPr>
              <w:keepLines/>
              <w:framePr w:hSpace="181" w:wrap="notBeside" w:vAnchor="text" w:hAnchor="text" w:x="-175" w:y="1"/>
              <w:jc w:val="center"/>
              <w:rPr>
                <w:lang w:val="sr-Cyrl-RS"/>
              </w:rPr>
            </w:pPr>
            <w:r w:rsidRPr="00CF77C1">
              <w:rPr>
                <w:lang w:val="sr-Cyrl-RS"/>
              </w:rPr>
              <w:t>2017-2023. година</w:t>
            </w:r>
          </w:p>
        </w:tc>
        <w:tc>
          <w:tcPr>
            <w:tcW w:w="2127" w:type="dxa"/>
            <w:vAlign w:val="center"/>
          </w:tcPr>
          <w:p w14:paraId="40E035BB" w14:textId="77777777" w:rsidR="00956106" w:rsidRPr="00CF77C1" w:rsidRDefault="00956106" w:rsidP="00956106">
            <w:pPr>
              <w:keepLines/>
              <w:framePr w:hSpace="181" w:wrap="notBeside" w:vAnchor="text" w:hAnchor="text" w:x="-175" w:y="1"/>
              <w:jc w:val="left"/>
              <w:rPr>
                <w:lang w:val="sr-Cyrl-RS"/>
              </w:rPr>
            </w:pPr>
            <w:r w:rsidRPr="00CF77C1">
              <w:rPr>
                <w:lang w:val="sr-Cyrl-RS"/>
              </w:rPr>
              <w:t>Оператори дистрибутивног система</w:t>
            </w:r>
          </w:p>
        </w:tc>
        <w:tc>
          <w:tcPr>
            <w:tcW w:w="3461" w:type="dxa"/>
            <w:vAlign w:val="center"/>
          </w:tcPr>
          <w:p w14:paraId="747A12C2" w14:textId="77777777" w:rsidR="00956106" w:rsidRPr="00CF77C1" w:rsidRDefault="00956106" w:rsidP="00956106">
            <w:pPr>
              <w:keepLines/>
              <w:framePr w:hSpace="181" w:wrap="notBeside" w:vAnchor="text" w:hAnchor="text" w:x="-175" w:y="1"/>
              <w:jc w:val="left"/>
              <w:rPr>
                <w:lang w:val="sr-Cyrl-RS"/>
              </w:rPr>
            </w:pPr>
            <w:r w:rsidRPr="00CF77C1">
              <w:rPr>
                <w:lang w:val="sr-Cyrl-RS"/>
              </w:rPr>
              <w:t xml:space="preserve">Емитована количина </w:t>
            </w:r>
            <w:r w:rsidRPr="00CF77C1">
              <w:rPr>
                <w:lang w:val="sr-Cyrl-RS"/>
              </w:rPr>
              <w:br/>
              <w:t>природног гаса:</w:t>
            </w:r>
          </w:p>
          <w:p w14:paraId="0A2E95CA" w14:textId="77777777" w:rsidR="00956106" w:rsidRPr="00CF77C1" w:rsidRDefault="00956106" w:rsidP="00956106">
            <w:pPr>
              <w:keepLines/>
              <w:framePr w:hSpace="181" w:wrap="notBeside" w:vAnchor="text" w:hAnchor="text" w:x="-175" w:y="1"/>
              <w:jc w:val="left"/>
              <w:rPr>
                <w:lang w:val="sr-Cyrl-RS"/>
              </w:rPr>
            </w:pPr>
            <w:r w:rsidRPr="00CF77C1">
              <w:rPr>
                <w:lang w:val="sr-Cyrl-RS"/>
              </w:rPr>
              <w:t>2015. године: 8 милиона m</w:t>
            </w:r>
            <w:r w:rsidRPr="00CF77C1">
              <w:rPr>
                <w:vertAlign w:val="superscript"/>
                <w:lang w:val="sr-Cyrl-RS"/>
              </w:rPr>
              <w:t>3</w:t>
            </w:r>
            <w:r w:rsidRPr="00CF77C1">
              <w:rPr>
                <w:lang w:val="sr-Cyrl-RS"/>
              </w:rPr>
              <w:t xml:space="preserve"> (АЕРС, Извештај за 2015.)</w:t>
            </w:r>
          </w:p>
        </w:tc>
      </w:tr>
    </w:tbl>
    <w:p w14:paraId="6DF2A968" w14:textId="77777777" w:rsidR="00956106" w:rsidRPr="00CF77C1" w:rsidRDefault="00956106" w:rsidP="00956106">
      <w:pPr>
        <w:rPr>
          <w:lang w:val="sr-Cyrl-RS"/>
        </w:rPr>
      </w:pPr>
    </w:p>
    <w:p w14:paraId="3DA052CA" w14:textId="77777777" w:rsidR="00956106" w:rsidRPr="00CF77C1" w:rsidRDefault="00956106" w:rsidP="00956106">
      <w:pPr>
        <w:rPr>
          <w:lang w:val="sr-Cyrl-RS"/>
        </w:rPr>
        <w:sectPr w:rsidR="00956106" w:rsidRPr="00CF77C1" w:rsidSect="00233EA6">
          <w:headerReference w:type="default" r:id="rId99"/>
          <w:footerReference w:type="even" r:id="rId100"/>
          <w:footerReference w:type="default" r:id="rId101"/>
          <w:pgSz w:w="16839" w:h="11907" w:orient="landscape" w:code="9"/>
          <w:pgMar w:top="1418" w:right="1539" w:bottom="1134" w:left="1134" w:header="1004" w:footer="720" w:gutter="0"/>
          <w:cols w:space="720"/>
          <w:docGrid w:linePitch="360"/>
        </w:sectPr>
      </w:pPr>
    </w:p>
    <w:p w14:paraId="013DF61A" w14:textId="2340C925" w:rsidR="00882250" w:rsidRPr="00CF77C1" w:rsidRDefault="008C6DCA" w:rsidP="008C6DCA">
      <w:pPr>
        <w:pStyle w:val="Heading2"/>
        <w:numPr>
          <w:ilvl w:val="0"/>
          <w:numId w:val="0"/>
        </w:numPr>
        <w:ind w:left="720"/>
        <w:rPr>
          <w:rFonts w:ascii="Times New Roman" w:hAnsi="Times New Roman"/>
          <w:b w:val="0"/>
          <w:lang w:val="sr-Cyrl-RS"/>
        </w:rPr>
      </w:pPr>
      <w:bookmarkStart w:id="161" w:name="_Toc484260310"/>
      <w:r w:rsidRPr="00CF77C1">
        <w:rPr>
          <w:rFonts w:ascii="Times New Roman" w:hAnsi="Times New Roman"/>
          <w:b w:val="0"/>
          <w:lang w:val="sr-Cyrl-RS"/>
        </w:rPr>
        <w:t xml:space="preserve">3.6. </w:t>
      </w:r>
      <w:r w:rsidR="00882250" w:rsidRPr="00CF77C1">
        <w:rPr>
          <w:rFonts w:ascii="Times New Roman" w:hAnsi="Times New Roman"/>
          <w:b w:val="0"/>
          <w:lang w:val="sr-Cyrl-RS"/>
        </w:rPr>
        <w:t>Област угља</w:t>
      </w:r>
      <w:bookmarkEnd w:id="159"/>
      <w:bookmarkEnd w:id="161"/>
    </w:p>
    <w:p w14:paraId="411705C2" w14:textId="77777777" w:rsidR="00316872" w:rsidRPr="00CF77C1" w:rsidRDefault="00316872" w:rsidP="00233EA6">
      <w:pPr>
        <w:ind w:firstLine="720"/>
        <w:rPr>
          <w:lang w:val="sr-Cyrl-RS"/>
        </w:rPr>
      </w:pPr>
      <w:r w:rsidRPr="00CF77C1">
        <w:rPr>
          <w:lang w:val="sr-Cyrl-RS"/>
        </w:rPr>
        <w:t>Стратегијом енергетике у области угља дефинисани су следећи стратешки циљеви:</w:t>
      </w:r>
    </w:p>
    <w:p w14:paraId="2B44B3CD" w14:textId="77777777" w:rsidR="00316872" w:rsidRPr="00CF77C1" w:rsidRDefault="00316872" w:rsidP="00233EA6">
      <w:pPr>
        <w:pStyle w:val="ListParagraph"/>
        <w:numPr>
          <w:ilvl w:val="0"/>
          <w:numId w:val="15"/>
        </w:numPr>
        <w:spacing w:before="60" w:after="60"/>
        <w:ind w:left="0" w:firstLine="720"/>
        <w:contextualSpacing w:val="0"/>
        <w:rPr>
          <w:lang w:val="sr-Cyrl-RS"/>
        </w:rPr>
      </w:pPr>
      <w:r w:rsidRPr="00CF77C1">
        <w:rPr>
          <w:lang w:val="sr-Cyrl-RS"/>
        </w:rPr>
        <w:t>Сигурно и поуздано снабдевање електроенергетских термо капацитета</w:t>
      </w:r>
      <w:r w:rsidR="00922B31" w:rsidRPr="00CF77C1">
        <w:rPr>
          <w:lang w:val="sr-Cyrl-RS"/>
        </w:rPr>
        <w:t xml:space="preserve"> и</w:t>
      </w:r>
    </w:p>
    <w:p w14:paraId="05B299FD" w14:textId="625E9627" w:rsidR="00316872" w:rsidRPr="00CF77C1" w:rsidRDefault="00316872" w:rsidP="00233EA6">
      <w:pPr>
        <w:pStyle w:val="ListParagraph"/>
        <w:numPr>
          <w:ilvl w:val="0"/>
          <w:numId w:val="15"/>
        </w:numPr>
        <w:spacing w:before="60" w:after="60"/>
        <w:ind w:left="0" w:firstLine="720"/>
        <w:contextualSpacing w:val="0"/>
        <w:rPr>
          <w:lang w:val="sr-Cyrl-RS"/>
        </w:rPr>
      </w:pPr>
      <w:r w:rsidRPr="00CF77C1">
        <w:rPr>
          <w:lang w:val="sr-Cyrl-RS"/>
        </w:rPr>
        <w:t>О</w:t>
      </w:r>
      <w:r w:rsidR="00EA6189" w:rsidRPr="00CF77C1">
        <w:rPr>
          <w:lang w:val="sr-Cyrl-RS"/>
        </w:rPr>
        <w:t>безбеђивање</w:t>
      </w:r>
      <w:r w:rsidRPr="00CF77C1">
        <w:rPr>
          <w:lang w:val="sr-Cyrl-RS"/>
        </w:rPr>
        <w:t xml:space="preserve"> потребних количина угља за финалну потрошњу и </w:t>
      </w:r>
      <w:r w:rsidR="00290043" w:rsidRPr="00CF77C1">
        <w:rPr>
          <w:lang w:val="sr-Cyrl-RS"/>
        </w:rPr>
        <w:t>за производњу топлотне енергије.</w:t>
      </w:r>
    </w:p>
    <w:p w14:paraId="2FCA4292" w14:textId="707FDABC" w:rsidR="00A71236" w:rsidRPr="00CF77C1" w:rsidRDefault="00D61BC9" w:rsidP="00233EA6">
      <w:pPr>
        <w:pStyle w:val="Caption"/>
        <w:ind w:firstLine="720"/>
        <w:rPr>
          <w:b w:val="0"/>
          <w:lang w:val="sr-Cyrl-RS"/>
        </w:rPr>
      </w:pPr>
      <w:r w:rsidRPr="00CF77C1">
        <w:rPr>
          <w:b w:val="0"/>
          <w:lang w:val="sr-Cyrl-RS"/>
        </w:rPr>
        <w:t>таб.</w:t>
      </w:r>
      <w:r w:rsidR="00A71236"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85</w:t>
      </w:r>
      <w:r w:rsidR="0092145E" w:rsidRPr="00CF77C1">
        <w:rPr>
          <w:b w:val="0"/>
          <w:lang w:val="sr-Cyrl-RS"/>
        </w:rPr>
        <w:fldChar w:fldCharType="end"/>
      </w:r>
      <w:r w:rsidR="00A71236" w:rsidRPr="00CF77C1">
        <w:rPr>
          <w:b w:val="0"/>
          <w:lang w:val="sr-Cyrl-RS"/>
        </w:rPr>
        <w:t>: Биланс производње електричне енергије у термоелектранама и угља за производњу у референтном сценарију и сценарију са применом мера енергетске ефикасности</w:t>
      </w:r>
    </w:p>
    <w:tbl>
      <w:tblPr>
        <w:tblW w:w="0" w:type="auto"/>
        <w:tblInd w:w="108" w:type="dxa"/>
        <w:tblLook w:val="04A0" w:firstRow="1" w:lastRow="0" w:firstColumn="1" w:lastColumn="0" w:noHBand="0" w:noVBand="1"/>
      </w:tblPr>
      <w:tblGrid>
        <w:gridCol w:w="833"/>
        <w:gridCol w:w="3615"/>
        <w:gridCol w:w="1193"/>
        <w:gridCol w:w="1193"/>
        <w:gridCol w:w="1193"/>
        <w:gridCol w:w="1193"/>
      </w:tblGrid>
      <w:tr w:rsidR="00316872" w:rsidRPr="00CF77C1" w14:paraId="5C45DE18" w14:textId="77777777" w:rsidTr="00316872">
        <w:tc>
          <w:tcPr>
            <w:tcW w:w="839" w:type="dxa"/>
            <w:tcBorders>
              <w:top w:val="single" w:sz="4" w:space="0" w:color="auto"/>
            </w:tcBorders>
          </w:tcPr>
          <w:p w14:paraId="7D68B5B3" w14:textId="77777777" w:rsidR="00316872" w:rsidRPr="00CF77C1" w:rsidRDefault="00316872" w:rsidP="0080044B">
            <w:pPr>
              <w:tabs>
                <w:tab w:val="left" w:pos="720"/>
              </w:tabs>
              <w:jc w:val="center"/>
              <w:rPr>
                <w:sz w:val="20"/>
                <w:lang w:val="sr-Cyrl-RS"/>
              </w:rPr>
            </w:pPr>
            <w:r w:rsidRPr="00CF77C1">
              <w:rPr>
                <w:sz w:val="20"/>
                <w:lang w:val="sr-Cyrl-RS"/>
              </w:rPr>
              <w:t>Редни</w:t>
            </w:r>
          </w:p>
        </w:tc>
        <w:tc>
          <w:tcPr>
            <w:tcW w:w="3737" w:type="dxa"/>
            <w:vMerge w:val="restart"/>
            <w:tcBorders>
              <w:top w:val="single" w:sz="4" w:space="0" w:color="auto"/>
            </w:tcBorders>
          </w:tcPr>
          <w:p w14:paraId="350F8BFD" w14:textId="77777777" w:rsidR="00316872" w:rsidRPr="00CF77C1" w:rsidRDefault="00316872" w:rsidP="0080044B">
            <w:pPr>
              <w:tabs>
                <w:tab w:val="left" w:pos="720"/>
              </w:tabs>
              <w:spacing w:before="100"/>
              <w:jc w:val="center"/>
              <w:rPr>
                <w:sz w:val="20"/>
                <w:lang w:val="sr-Cyrl-RS"/>
              </w:rPr>
            </w:pPr>
            <w:r w:rsidRPr="00CF77C1">
              <w:rPr>
                <w:sz w:val="20"/>
                <w:lang w:val="sr-Cyrl-RS"/>
              </w:rPr>
              <w:t>Позиција</w:t>
            </w:r>
          </w:p>
        </w:tc>
        <w:tc>
          <w:tcPr>
            <w:tcW w:w="4887" w:type="dxa"/>
            <w:gridSpan w:val="4"/>
            <w:tcBorders>
              <w:top w:val="single" w:sz="4" w:space="0" w:color="auto"/>
              <w:bottom w:val="single" w:sz="4" w:space="0" w:color="auto"/>
            </w:tcBorders>
          </w:tcPr>
          <w:p w14:paraId="307A3B68" w14:textId="77777777" w:rsidR="00316872" w:rsidRPr="00CF77C1" w:rsidRDefault="00316872" w:rsidP="0080044B">
            <w:pPr>
              <w:tabs>
                <w:tab w:val="left" w:pos="720"/>
              </w:tabs>
              <w:jc w:val="center"/>
              <w:rPr>
                <w:sz w:val="20"/>
                <w:lang w:val="sr-Cyrl-RS"/>
              </w:rPr>
            </w:pPr>
            <w:r w:rsidRPr="00CF77C1">
              <w:rPr>
                <w:sz w:val="20"/>
                <w:lang w:val="sr-Cyrl-RS"/>
              </w:rPr>
              <w:t>Година</w:t>
            </w:r>
          </w:p>
        </w:tc>
      </w:tr>
      <w:tr w:rsidR="00316872" w:rsidRPr="00CF77C1" w14:paraId="41B55599" w14:textId="77777777" w:rsidTr="00316872">
        <w:tc>
          <w:tcPr>
            <w:tcW w:w="839" w:type="dxa"/>
            <w:tcBorders>
              <w:bottom w:val="single" w:sz="4" w:space="0" w:color="auto"/>
            </w:tcBorders>
          </w:tcPr>
          <w:p w14:paraId="7F662C56" w14:textId="77777777" w:rsidR="00316872" w:rsidRPr="00CF77C1" w:rsidRDefault="00316872" w:rsidP="0080044B">
            <w:pPr>
              <w:tabs>
                <w:tab w:val="left" w:pos="720"/>
              </w:tabs>
              <w:jc w:val="center"/>
              <w:rPr>
                <w:sz w:val="20"/>
                <w:lang w:val="sr-Cyrl-RS"/>
              </w:rPr>
            </w:pPr>
            <w:r w:rsidRPr="00CF77C1">
              <w:rPr>
                <w:sz w:val="20"/>
                <w:lang w:val="sr-Cyrl-RS"/>
              </w:rPr>
              <w:t>број</w:t>
            </w:r>
          </w:p>
        </w:tc>
        <w:tc>
          <w:tcPr>
            <w:tcW w:w="3737" w:type="dxa"/>
            <w:vMerge/>
            <w:tcBorders>
              <w:bottom w:val="single" w:sz="4" w:space="0" w:color="auto"/>
            </w:tcBorders>
          </w:tcPr>
          <w:p w14:paraId="0DBFD57C" w14:textId="77777777" w:rsidR="00316872" w:rsidRPr="00CF77C1" w:rsidRDefault="00316872" w:rsidP="0080044B">
            <w:pPr>
              <w:tabs>
                <w:tab w:val="left" w:pos="720"/>
              </w:tabs>
              <w:rPr>
                <w:sz w:val="20"/>
                <w:lang w:val="sr-Cyrl-RS"/>
              </w:rPr>
            </w:pPr>
          </w:p>
        </w:tc>
        <w:tc>
          <w:tcPr>
            <w:tcW w:w="1222" w:type="dxa"/>
            <w:tcBorders>
              <w:top w:val="single" w:sz="4" w:space="0" w:color="auto"/>
              <w:bottom w:val="single" w:sz="4" w:space="0" w:color="auto"/>
            </w:tcBorders>
          </w:tcPr>
          <w:p w14:paraId="136D9B70" w14:textId="62538D13" w:rsidR="00316872" w:rsidRPr="00CF77C1" w:rsidRDefault="00316872" w:rsidP="0080044B">
            <w:pPr>
              <w:tabs>
                <w:tab w:val="left" w:pos="720"/>
              </w:tabs>
              <w:jc w:val="center"/>
              <w:rPr>
                <w:sz w:val="20"/>
                <w:lang w:val="sr-Cyrl-RS"/>
              </w:rPr>
            </w:pPr>
            <w:r w:rsidRPr="00CF77C1">
              <w:rPr>
                <w:sz w:val="20"/>
                <w:lang w:val="sr-Cyrl-RS"/>
              </w:rPr>
              <w:t>2015</w:t>
            </w:r>
            <w:r w:rsidR="0070663C">
              <w:rPr>
                <w:sz w:val="20"/>
                <w:lang w:val="sr-Cyrl-RS"/>
              </w:rPr>
              <w:t>.</w:t>
            </w:r>
          </w:p>
        </w:tc>
        <w:tc>
          <w:tcPr>
            <w:tcW w:w="1221" w:type="dxa"/>
            <w:tcBorders>
              <w:top w:val="single" w:sz="4" w:space="0" w:color="auto"/>
              <w:bottom w:val="single" w:sz="4" w:space="0" w:color="auto"/>
            </w:tcBorders>
          </w:tcPr>
          <w:p w14:paraId="6EF0E3AA" w14:textId="3A580837" w:rsidR="00316872" w:rsidRPr="00CF77C1" w:rsidRDefault="00316872" w:rsidP="0080044B">
            <w:pPr>
              <w:tabs>
                <w:tab w:val="left" w:pos="720"/>
              </w:tabs>
              <w:jc w:val="center"/>
              <w:rPr>
                <w:sz w:val="20"/>
                <w:lang w:val="sr-Cyrl-RS"/>
              </w:rPr>
            </w:pPr>
            <w:r w:rsidRPr="00CF77C1">
              <w:rPr>
                <w:sz w:val="20"/>
                <w:lang w:val="sr-Cyrl-RS"/>
              </w:rPr>
              <w:t>2020</w:t>
            </w:r>
            <w:r w:rsidR="0070663C">
              <w:rPr>
                <w:sz w:val="20"/>
                <w:lang w:val="sr-Cyrl-RS"/>
              </w:rPr>
              <w:t>.</w:t>
            </w:r>
          </w:p>
        </w:tc>
        <w:tc>
          <w:tcPr>
            <w:tcW w:w="1222" w:type="dxa"/>
            <w:tcBorders>
              <w:top w:val="single" w:sz="4" w:space="0" w:color="auto"/>
              <w:bottom w:val="single" w:sz="4" w:space="0" w:color="auto"/>
            </w:tcBorders>
          </w:tcPr>
          <w:p w14:paraId="2A5AD1A4" w14:textId="5E3FF88D" w:rsidR="00316872" w:rsidRPr="00CF77C1" w:rsidRDefault="00316872" w:rsidP="0080044B">
            <w:pPr>
              <w:tabs>
                <w:tab w:val="left" w:pos="720"/>
              </w:tabs>
              <w:jc w:val="center"/>
              <w:rPr>
                <w:sz w:val="20"/>
                <w:lang w:val="sr-Cyrl-RS"/>
              </w:rPr>
            </w:pPr>
            <w:r w:rsidRPr="00CF77C1">
              <w:rPr>
                <w:sz w:val="20"/>
                <w:lang w:val="sr-Cyrl-RS"/>
              </w:rPr>
              <w:t>2025</w:t>
            </w:r>
            <w:r w:rsidR="0070663C">
              <w:rPr>
                <w:sz w:val="20"/>
                <w:lang w:val="sr-Cyrl-RS"/>
              </w:rPr>
              <w:t>.</w:t>
            </w:r>
          </w:p>
        </w:tc>
        <w:tc>
          <w:tcPr>
            <w:tcW w:w="1222" w:type="dxa"/>
            <w:tcBorders>
              <w:top w:val="single" w:sz="4" w:space="0" w:color="auto"/>
              <w:bottom w:val="single" w:sz="4" w:space="0" w:color="auto"/>
            </w:tcBorders>
          </w:tcPr>
          <w:p w14:paraId="7929552B" w14:textId="572F1981" w:rsidR="00316872" w:rsidRPr="00CF77C1" w:rsidRDefault="00316872" w:rsidP="0080044B">
            <w:pPr>
              <w:tabs>
                <w:tab w:val="left" w:pos="720"/>
              </w:tabs>
              <w:jc w:val="center"/>
              <w:rPr>
                <w:sz w:val="20"/>
                <w:lang w:val="sr-Cyrl-RS"/>
              </w:rPr>
            </w:pPr>
            <w:r w:rsidRPr="00CF77C1">
              <w:rPr>
                <w:sz w:val="20"/>
                <w:lang w:val="sr-Cyrl-RS"/>
              </w:rPr>
              <w:t>2030</w:t>
            </w:r>
            <w:r w:rsidR="0070663C">
              <w:rPr>
                <w:sz w:val="20"/>
                <w:lang w:val="sr-Cyrl-RS"/>
              </w:rPr>
              <w:t>.</w:t>
            </w:r>
          </w:p>
        </w:tc>
      </w:tr>
      <w:tr w:rsidR="00316872" w:rsidRPr="00CF77C1" w14:paraId="402313DF" w14:textId="77777777" w:rsidTr="00316872">
        <w:tc>
          <w:tcPr>
            <w:tcW w:w="839" w:type="dxa"/>
            <w:tcBorders>
              <w:top w:val="single" w:sz="4" w:space="0" w:color="auto"/>
              <w:bottom w:val="single" w:sz="4" w:space="0" w:color="auto"/>
            </w:tcBorders>
          </w:tcPr>
          <w:p w14:paraId="64A1958A" w14:textId="77777777" w:rsidR="00316872" w:rsidRPr="00CF77C1" w:rsidRDefault="00316872" w:rsidP="0080044B">
            <w:pPr>
              <w:tabs>
                <w:tab w:val="left" w:pos="720"/>
              </w:tabs>
              <w:jc w:val="center"/>
              <w:rPr>
                <w:sz w:val="20"/>
                <w:lang w:val="sr-Cyrl-RS"/>
              </w:rPr>
            </w:pPr>
            <w:r w:rsidRPr="00CF77C1">
              <w:rPr>
                <w:sz w:val="20"/>
                <w:lang w:val="sr-Cyrl-RS"/>
              </w:rPr>
              <w:t>(1)</w:t>
            </w:r>
          </w:p>
        </w:tc>
        <w:tc>
          <w:tcPr>
            <w:tcW w:w="3737" w:type="dxa"/>
            <w:tcBorders>
              <w:top w:val="single" w:sz="4" w:space="0" w:color="auto"/>
              <w:bottom w:val="single" w:sz="4" w:space="0" w:color="auto"/>
            </w:tcBorders>
          </w:tcPr>
          <w:p w14:paraId="25F2A980" w14:textId="77777777" w:rsidR="00316872" w:rsidRPr="00CF77C1" w:rsidRDefault="00316872" w:rsidP="0080044B">
            <w:pPr>
              <w:tabs>
                <w:tab w:val="left" w:pos="720"/>
              </w:tabs>
              <w:jc w:val="center"/>
              <w:rPr>
                <w:sz w:val="20"/>
                <w:lang w:val="sr-Cyrl-RS"/>
              </w:rPr>
            </w:pPr>
            <w:r w:rsidRPr="00CF77C1">
              <w:rPr>
                <w:sz w:val="20"/>
                <w:lang w:val="sr-Cyrl-RS"/>
              </w:rPr>
              <w:t>(2)</w:t>
            </w:r>
          </w:p>
        </w:tc>
        <w:tc>
          <w:tcPr>
            <w:tcW w:w="1222" w:type="dxa"/>
            <w:tcBorders>
              <w:top w:val="single" w:sz="4" w:space="0" w:color="auto"/>
              <w:bottom w:val="single" w:sz="4" w:space="0" w:color="auto"/>
            </w:tcBorders>
          </w:tcPr>
          <w:p w14:paraId="695D4939" w14:textId="77777777" w:rsidR="00316872" w:rsidRPr="00CF77C1" w:rsidRDefault="00316872" w:rsidP="0080044B">
            <w:pPr>
              <w:tabs>
                <w:tab w:val="left" w:pos="720"/>
              </w:tabs>
              <w:jc w:val="center"/>
              <w:rPr>
                <w:sz w:val="20"/>
                <w:lang w:val="sr-Cyrl-RS"/>
              </w:rPr>
            </w:pPr>
            <w:r w:rsidRPr="00CF77C1">
              <w:rPr>
                <w:sz w:val="20"/>
                <w:lang w:val="sr-Cyrl-RS"/>
              </w:rPr>
              <w:t>(3)</w:t>
            </w:r>
          </w:p>
        </w:tc>
        <w:tc>
          <w:tcPr>
            <w:tcW w:w="1221" w:type="dxa"/>
            <w:tcBorders>
              <w:top w:val="single" w:sz="4" w:space="0" w:color="auto"/>
              <w:bottom w:val="single" w:sz="4" w:space="0" w:color="auto"/>
            </w:tcBorders>
          </w:tcPr>
          <w:p w14:paraId="3ACEF29D" w14:textId="77777777" w:rsidR="00316872" w:rsidRPr="00CF77C1" w:rsidRDefault="00316872" w:rsidP="0080044B">
            <w:pPr>
              <w:tabs>
                <w:tab w:val="left" w:pos="720"/>
              </w:tabs>
              <w:jc w:val="center"/>
              <w:rPr>
                <w:sz w:val="20"/>
                <w:lang w:val="sr-Cyrl-RS"/>
              </w:rPr>
            </w:pPr>
            <w:r w:rsidRPr="00CF77C1">
              <w:rPr>
                <w:sz w:val="20"/>
                <w:lang w:val="sr-Cyrl-RS"/>
              </w:rPr>
              <w:t>(4)</w:t>
            </w:r>
          </w:p>
        </w:tc>
        <w:tc>
          <w:tcPr>
            <w:tcW w:w="1222" w:type="dxa"/>
            <w:tcBorders>
              <w:top w:val="single" w:sz="4" w:space="0" w:color="auto"/>
              <w:bottom w:val="single" w:sz="4" w:space="0" w:color="auto"/>
            </w:tcBorders>
          </w:tcPr>
          <w:p w14:paraId="303E41E2" w14:textId="77777777" w:rsidR="00316872" w:rsidRPr="00CF77C1" w:rsidRDefault="00316872" w:rsidP="0080044B">
            <w:pPr>
              <w:tabs>
                <w:tab w:val="left" w:pos="720"/>
              </w:tabs>
              <w:jc w:val="center"/>
              <w:rPr>
                <w:sz w:val="20"/>
                <w:lang w:val="sr-Cyrl-RS"/>
              </w:rPr>
            </w:pPr>
            <w:r w:rsidRPr="00CF77C1">
              <w:rPr>
                <w:sz w:val="20"/>
                <w:lang w:val="sr-Cyrl-RS"/>
              </w:rPr>
              <w:t>(5)</w:t>
            </w:r>
          </w:p>
        </w:tc>
        <w:tc>
          <w:tcPr>
            <w:tcW w:w="1222" w:type="dxa"/>
            <w:tcBorders>
              <w:top w:val="single" w:sz="4" w:space="0" w:color="auto"/>
              <w:bottom w:val="single" w:sz="4" w:space="0" w:color="auto"/>
            </w:tcBorders>
          </w:tcPr>
          <w:p w14:paraId="5F725490" w14:textId="77777777" w:rsidR="00316872" w:rsidRPr="00CF77C1" w:rsidRDefault="00316872" w:rsidP="0080044B">
            <w:pPr>
              <w:tabs>
                <w:tab w:val="left" w:pos="720"/>
              </w:tabs>
              <w:jc w:val="center"/>
              <w:rPr>
                <w:sz w:val="20"/>
                <w:lang w:val="sr-Cyrl-RS"/>
              </w:rPr>
            </w:pPr>
            <w:r w:rsidRPr="00CF77C1">
              <w:rPr>
                <w:sz w:val="20"/>
                <w:lang w:val="sr-Cyrl-RS"/>
              </w:rPr>
              <w:t>(6)</w:t>
            </w:r>
          </w:p>
        </w:tc>
      </w:tr>
      <w:tr w:rsidR="00316872" w:rsidRPr="00CF77C1" w14:paraId="29960B01" w14:textId="77777777" w:rsidTr="00316872">
        <w:tc>
          <w:tcPr>
            <w:tcW w:w="839" w:type="dxa"/>
            <w:tcBorders>
              <w:top w:val="single" w:sz="4" w:space="0" w:color="auto"/>
            </w:tcBorders>
          </w:tcPr>
          <w:p w14:paraId="1CBE19A5" w14:textId="77777777" w:rsidR="00316872" w:rsidRPr="00CF77C1" w:rsidRDefault="00316872" w:rsidP="0080044B">
            <w:pPr>
              <w:tabs>
                <w:tab w:val="left" w:pos="720"/>
              </w:tabs>
              <w:jc w:val="center"/>
              <w:rPr>
                <w:sz w:val="20"/>
                <w:lang w:val="sr-Cyrl-RS"/>
              </w:rPr>
            </w:pPr>
            <w:r w:rsidRPr="00CF77C1">
              <w:rPr>
                <w:sz w:val="20"/>
                <w:lang w:val="sr-Cyrl-RS"/>
              </w:rPr>
              <w:t>1.</w:t>
            </w:r>
          </w:p>
        </w:tc>
        <w:tc>
          <w:tcPr>
            <w:tcW w:w="3737" w:type="dxa"/>
            <w:tcBorders>
              <w:top w:val="single" w:sz="4" w:space="0" w:color="auto"/>
            </w:tcBorders>
          </w:tcPr>
          <w:p w14:paraId="43EA9B4B" w14:textId="77777777" w:rsidR="00316872" w:rsidRPr="00CF77C1" w:rsidRDefault="00316872" w:rsidP="0080044B">
            <w:pPr>
              <w:tabs>
                <w:tab w:val="left" w:pos="720"/>
              </w:tabs>
              <w:rPr>
                <w:sz w:val="20"/>
                <w:lang w:val="sr-Cyrl-RS"/>
              </w:rPr>
            </w:pPr>
            <w:r w:rsidRPr="00CF77C1">
              <w:rPr>
                <w:sz w:val="20"/>
                <w:lang w:val="sr-Cyrl-RS"/>
              </w:rPr>
              <w:t>Референтни сценарио</w:t>
            </w:r>
          </w:p>
        </w:tc>
        <w:tc>
          <w:tcPr>
            <w:tcW w:w="1222" w:type="dxa"/>
            <w:tcBorders>
              <w:top w:val="single" w:sz="4" w:space="0" w:color="auto"/>
            </w:tcBorders>
          </w:tcPr>
          <w:p w14:paraId="1A54699C" w14:textId="77777777" w:rsidR="00316872" w:rsidRPr="00CF77C1" w:rsidRDefault="00316872" w:rsidP="0080044B">
            <w:pPr>
              <w:tabs>
                <w:tab w:val="left" w:pos="720"/>
              </w:tabs>
              <w:rPr>
                <w:sz w:val="20"/>
                <w:lang w:val="sr-Cyrl-RS"/>
              </w:rPr>
            </w:pPr>
          </w:p>
        </w:tc>
        <w:tc>
          <w:tcPr>
            <w:tcW w:w="1221" w:type="dxa"/>
            <w:tcBorders>
              <w:top w:val="single" w:sz="4" w:space="0" w:color="auto"/>
            </w:tcBorders>
          </w:tcPr>
          <w:p w14:paraId="33644596" w14:textId="77777777" w:rsidR="00316872" w:rsidRPr="00CF77C1" w:rsidRDefault="00316872" w:rsidP="0080044B">
            <w:pPr>
              <w:tabs>
                <w:tab w:val="left" w:pos="720"/>
              </w:tabs>
              <w:rPr>
                <w:sz w:val="20"/>
                <w:lang w:val="sr-Cyrl-RS"/>
              </w:rPr>
            </w:pPr>
          </w:p>
        </w:tc>
        <w:tc>
          <w:tcPr>
            <w:tcW w:w="1222" w:type="dxa"/>
            <w:tcBorders>
              <w:top w:val="single" w:sz="4" w:space="0" w:color="auto"/>
            </w:tcBorders>
          </w:tcPr>
          <w:p w14:paraId="28CE6303" w14:textId="77777777" w:rsidR="00316872" w:rsidRPr="00CF77C1" w:rsidRDefault="00316872" w:rsidP="0080044B">
            <w:pPr>
              <w:tabs>
                <w:tab w:val="left" w:pos="720"/>
              </w:tabs>
              <w:rPr>
                <w:sz w:val="20"/>
                <w:lang w:val="sr-Cyrl-RS"/>
              </w:rPr>
            </w:pPr>
          </w:p>
        </w:tc>
        <w:tc>
          <w:tcPr>
            <w:tcW w:w="1222" w:type="dxa"/>
            <w:tcBorders>
              <w:top w:val="single" w:sz="4" w:space="0" w:color="auto"/>
            </w:tcBorders>
          </w:tcPr>
          <w:p w14:paraId="10B92390" w14:textId="77777777" w:rsidR="00316872" w:rsidRPr="00CF77C1" w:rsidRDefault="00316872" w:rsidP="0080044B">
            <w:pPr>
              <w:tabs>
                <w:tab w:val="left" w:pos="720"/>
              </w:tabs>
              <w:rPr>
                <w:sz w:val="20"/>
                <w:lang w:val="sr-Cyrl-RS"/>
              </w:rPr>
            </w:pPr>
          </w:p>
        </w:tc>
      </w:tr>
      <w:tr w:rsidR="00316872" w:rsidRPr="00CF77C1" w14:paraId="54BC382F" w14:textId="77777777" w:rsidTr="00316872">
        <w:tc>
          <w:tcPr>
            <w:tcW w:w="839" w:type="dxa"/>
          </w:tcPr>
          <w:p w14:paraId="7C30E7F9" w14:textId="77777777" w:rsidR="00316872" w:rsidRPr="00CF77C1" w:rsidRDefault="00316872" w:rsidP="0080044B">
            <w:pPr>
              <w:tabs>
                <w:tab w:val="left" w:pos="720"/>
              </w:tabs>
              <w:jc w:val="center"/>
              <w:rPr>
                <w:sz w:val="20"/>
                <w:lang w:val="sr-Cyrl-RS"/>
              </w:rPr>
            </w:pPr>
            <w:r w:rsidRPr="00CF77C1">
              <w:rPr>
                <w:sz w:val="20"/>
                <w:lang w:val="sr-Cyrl-RS"/>
              </w:rPr>
              <w:t>1.1.</w:t>
            </w:r>
          </w:p>
        </w:tc>
        <w:tc>
          <w:tcPr>
            <w:tcW w:w="3737" w:type="dxa"/>
          </w:tcPr>
          <w:p w14:paraId="7B4027A6" w14:textId="77777777" w:rsidR="00316872" w:rsidRPr="00CF77C1" w:rsidRDefault="00316872" w:rsidP="0080044B">
            <w:pPr>
              <w:tabs>
                <w:tab w:val="left" w:pos="720"/>
              </w:tabs>
              <w:rPr>
                <w:sz w:val="20"/>
                <w:lang w:val="sr-Cyrl-RS"/>
              </w:rPr>
            </w:pPr>
            <w:r w:rsidRPr="00CF77C1">
              <w:rPr>
                <w:sz w:val="20"/>
                <w:lang w:val="sr-Cyrl-RS"/>
              </w:rPr>
              <w:t>Производња електричне енергије у термоелектранама (у GWh)</w:t>
            </w:r>
          </w:p>
        </w:tc>
        <w:tc>
          <w:tcPr>
            <w:tcW w:w="1222" w:type="dxa"/>
          </w:tcPr>
          <w:p w14:paraId="673E1698" w14:textId="77777777" w:rsidR="00316872" w:rsidRPr="00CF77C1" w:rsidRDefault="00316872" w:rsidP="0080044B">
            <w:pPr>
              <w:tabs>
                <w:tab w:val="left" w:pos="720"/>
              </w:tabs>
              <w:jc w:val="right"/>
              <w:rPr>
                <w:sz w:val="20"/>
                <w:lang w:val="sr-Cyrl-RS"/>
              </w:rPr>
            </w:pPr>
          </w:p>
          <w:p w14:paraId="53F5B8D5" w14:textId="77777777" w:rsidR="00316872" w:rsidRPr="00CF77C1" w:rsidRDefault="00316872" w:rsidP="0080044B">
            <w:pPr>
              <w:tabs>
                <w:tab w:val="left" w:pos="720"/>
              </w:tabs>
              <w:jc w:val="right"/>
              <w:rPr>
                <w:sz w:val="20"/>
                <w:lang w:val="sr-Cyrl-RS"/>
              </w:rPr>
            </w:pPr>
            <w:r w:rsidRPr="00CF77C1">
              <w:rPr>
                <w:sz w:val="20"/>
                <w:lang w:val="sr-Cyrl-RS"/>
              </w:rPr>
              <w:t>26.679</w:t>
            </w:r>
          </w:p>
        </w:tc>
        <w:tc>
          <w:tcPr>
            <w:tcW w:w="1221" w:type="dxa"/>
          </w:tcPr>
          <w:p w14:paraId="14C0A7A3" w14:textId="77777777" w:rsidR="00316872" w:rsidRPr="00CF77C1" w:rsidRDefault="00316872" w:rsidP="0080044B">
            <w:pPr>
              <w:tabs>
                <w:tab w:val="left" w:pos="720"/>
              </w:tabs>
              <w:jc w:val="right"/>
              <w:rPr>
                <w:sz w:val="20"/>
                <w:lang w:val="sr-Cyrl-RS"/>
              </w:rPr>
            </w:pPr>
          </w:p>
          <w:p w14:paraId="3DEBCD0A" w14:textId="77777777" w:rsidR="00316872" w:rsidRPr="00CF77C1" w:rsidRDefault="00316872" w:rsidP="0080044B">
            <w:pPr>
              <w:tabs>
                <w:tab w:val="left" w:pos="720"/>
              </w:tabs>
              <w:jc w:val="right"/>
              <w:rPr>
                <w:sz w:val="20"/>
                <w:lang w:val="sr-Cyrl-RS"/>
              </w:rPr>
            </w:pPr>
            <w:r w:rsidRPr="00CF77C1">
              <w:rPr>
                <w:sz w:val="20"/>
                <w:lang w:val="sr-Cyrl-RS"/>
              </w:rPr>
              <w:t>23.865</w:t>
            </w:r>
          </w:p>
        </w:tc>
        <w:tc>
          <w:tcPr>
            <w:tcW w:w="1222" w:type="dxa"/>
          </w:tcPr>
          <w:p w14:paraId="1A25D4A6" w14:textId="77777777" w:rsidR="00316872" w:rsidRPr="00CF77C1" w:rsidRDefault="00316872" w:rsidP="0080044B">
            <w:pPr>
              <w:tabs>
                <w:tab w:val="left" w:pos="720"/>
              </w:tabs>
              <w:jc w:val="right"/>
              <w:rPr>
                <w:sz w:val="20"/>
                <w:lang w:val="sr-Cyrl-RS"/>
              </w:rPr>
            </w:pPr>
          </w:p>
          <w:p w14:paraId="385B99E1" w14:textId="77777777" w:rsidR="00316872" w:rsidRPr="00CF77C1" w:rsidRDefault="00316872" w:rsidP="0080044B">
            <w:pPr>
              <w:tabs>
                <w:tab w:val="left" w:pos="720"/>
              </w:tabs>
              <w:jc w:val="right"/>
              <w:rPr>
                <w:sz w:val="20"/>
                <w:lang w:val="sr-Cyrl-RS"/>
              </w:rPr>
            </w:pPr>
            <w:r w:rsidRPr="00CF77C1">
              <w:rPr>
                <w:sz w:val="20"/>
                <w:lang w:val="sr-Cyrl-RS"/>
              </w:rPr>
              <w:t>25.563</w:t>
            </w:r>
          </w:p>
        </w:tc>
        <w:tc>
          <w:tcPr>
            <w:tcW w:w="1222" w:type="dxa"/>
          </w:tcPr>
          <w:p w14:paraId="2D2B21B5" w14:textId="77777777" w:rsidR="00316872" w:rsidRPr="00CF77C1" w:rsidRDefault="00316872" w:rsidP="0080044B">
            <w:pPr>
              <w:tabs>
                <w:tab w:val="left" w:pos="720"/>
              </w:tabs>
              <w:jc w:val="right"/>
              <w:rPr>
                <w:sz w:val="20"/>
                <w:lang w:val="sr-Cyrl-RS"/>
              </w:rPr>
            </w:pPr>
          </w:p>
          <w:p w14:paraId="6AB8F5D7" w14:textId="77777777" w:rsidR="00316872" w:rsidRPr="00CF77C1" w:rsidRDefault="00316872" w:rsidP="0080044B">
            <w:pPr>
              <w:tabs>
                <w:tab w:val="left" w:pos="720"/>
              </w:tabs>
              <w:jc w:val="right"/>
              <w:rPr>
                <w:sz w:val="20"/>
                <w:lang w:val="sr-Cyrl-RS"/>
              </w:rPr>
            </w:pPr>
            <w:r w:rsidRPr="00CF77C1">
              <w:rPr>
                <w:sz w:val="20"/>
                <w:lang w:val="sr-Cyrl-RS"/>
              </w:rPr>
              <w:t>27.284</w:t>
            </w:r>
          </w:p>
        </w:tc>
      </w:tr>
      <w:tr w:rsidR="00316872" w:rsidRPr="00CF77C1" w14:paraId="554D8502" w14:textId="77777777" w:rsidTr="00316872">
        <w:tc>
          <w:tcPr>
            <w:tcW w:w="839" w:type="dxa"/>
          </w:tcPr>
          <w:p w14:paraId="53C43F4F" w14:textId="77777777" w:rsidR="00316872" w:rsidRPr="00CF77C1" w:rsidRDefault="00316872" w:rsidP="0080044B">
            <w:pPr>
              <w:tabs>
                <w:tab w:val="left" w:pos="720"/>
              </w:tabs>
              <w:jc w:val="center"/>
              <w:rPr>
                <w:sz w:val="20"/>
                <w:lang w:val="sr-Cyrl-RS"/>
              </w:rPr>
            </w:pPr>
            <w:r w:rsidRPr="00CF77C1">
              <w:rPr>
                <w:sz w:val="20"/>
                <w:lang w:val="sr-Cyrl-RS"/>
              </w:rPr>
              <w:t>1.2.</w:t>
            </w:r>
          </w:p>
        </w:tc>
        <w:tc>
          <w:tcPr>
            <w:tcW w:w="3737" w:type="dxa"/>
          </w:tcPr>
          <w:p w14:paraId="2ABDAA8B" w14:textId="77777777" w:rsidR="00316872" w:rsidRPr="00CF77C1" w:rsidRDefault="00316872" w:rsidP="0080044B">
            <w:pPr>
              <w:tabs>
                <w:tab w:val="left" w:pos="720"/>
              </w:tabs>
              <w:rPr>
                <w:sz w:val="20"/>
                <w:lang w:val="sr-Cyrl-RS"/>
              </w:rPr>
            </w:pPr>
            <w:r w:rsidRPr="00CF77C1">
              <w:rPr>
                <w:sz w:val="20"/>
                <w:lang w:val="sr-Cyrl-RS"/>
              </w:rPr>
              <w:t xml:space="preserve">Угаљ за производњу електричне енергије (у </w:t>
            </w:r>
            <w:r w:rsidR="00A84557" w:rsidRPr="00CF77C1">
              <w:rPr>
                <w:sz w:val="20"/>
                <w:lang w:val="sr-Cyrl-RS"/>
              </w:rPr>
              <w:t>1</w:t>
            </w:r>
            <w:r w:rsidRPr="00CF77C1">
              <w:rPr>
                <w:sz w:val="20"/>
                <w:lang w:val="sr-Cyrl-RS"/>
              </w:rPr>
              <w:t xml:space="preserve">000 </w:t>
            </w:r>
            <w:r w:rsidR="00537E82" w:rsidRPr="00CF77C1">
              <w:rPr>
                <w:szCs w:val="24"/>
                <w:lang w:val="sr-Cyrl-RS"/>
              </w:rPr>
              <w:t>t</w:t>
            </w:r>
            <w:r w:rsidRPr="00CF77C1">
              <w:rPr>
                <w:sz w:val="20"/>
                <w:lang w:val="sr-Cyrl-RS"/>
              </w:rPr>
              <w:t>)</w:t>
            </w:r>
          </w:p>
        </w:tc>
        <w:tc>
          <w:tcPr>
            <w:tcW w:w="1222" w:type="dxa"/>
          </w:tcPr>
          <w:p w14:paraId="49445F1A" w14:textId="77777777" w:rsidR="00316872" w:rsidRPr="00CF77C1" w:rsidRDefault="00316872" w:rsidP="0080044B">
            <w:pPr>
              <w:tabs>
                <w:tab w:val="left" w:pos="720"/>
              </w:tabs>
              <w:jc w:val="right"/>
              <w:rPr>
                <w:sz w:val="20"/>
                <w:lang w:val="sr-Cyrl-RS"/>
              </w:rPr>
            </w:pPr>
          </w:p>
          <w:p w14:paraId="5F0142A8" w14:textId="77777777" w:rsidR="00316872" w:rsidRPr="00CF77C1" w:rsidRDefault="00316872" w:rsidP="0080044B">
            <w:pPr>
              <w:tabs>
                <w:tab w:val="left" w:pos="720"/>
              </w:tabs>
              <w:jc w:val="right"/>
              <w:rPr>
                <w:sz w:val="20"/>
                <w:lang w:val="sr-Cyrl-RS"/>
              </w:rPr>
            </w:pPr>
            <w:r w:rsidRPr="00CF77C1">
              <w:rPr>
                <w:sz w:val="20"/>
                <w:lang w:val="sr-Cyrl-RS"/>
              </w:rPr>
              <w:t>38.772</w:t>
            </w:r>
          </w:p>
        </w:tc>
        <w:tc>
          <w:tcPr>
            <w:tcW w:w="1221" w:type="dxa"/>
          </w:tcPr>
          <w:p w14:paraId="4E671B8B" w14:textId="77777777" w:rsidR="00316872" w:rsidRPr="00CF77C1" w:rsidRDefault="00316872" w:rsidP="0080044B">
            <w:pPr>
              <w:tabs>
                <w:tab w:val="left" w:pos="720"/>
              </w:tabs>
              <w:jc w:val="right"/>
              <w:rPr>
                <w:sz w:val="20"/>
                <w:lang w:val="sr-Cyrl-RS"/>
              </w:rPr>
            </w:pPr>
          </w:p>
          <w:p w14:paraId="64988EA4" w14:textId="77777777" w:rsidR="00316872" w:rsidRPr="00CF77C1" w:rsidRDefault="00316872" w:rsidP="0080044B">
            <w:pPr>
              <w:tabs>
                <w:tab w:val="left" w:pos="720"/>
              </w:tabs>
              <w:jc w:val="right"/>
              <w:rPr>
                <w:sz w:val="20"/>
                <w:lang w:val="sr-Cyrl-RS"/>
              </w:rPr>
            </w:pPr>
            <w:r w:rsidRPr="00CF77C1">
              <w:rPr>
                <w:sz w:val="20"/>
                <w:lang w:val="sr-Cyrl-RS"/>
              </w:rPr>
              <w:t>34.203</w:t>
            </w:r>
          </w:p>
        </w:tc>
        <w:tc>
          <w:tcPr>
            <w:tcW w:w="1222" w:type="dxa"/>
          </w:tcPr>
          <w:p w14:paraId="4BA5200A" w14:textId="77777777" w:rsidR="00316872" w:rsidRPr="00CF77C1" w:rsidRDefault="00316872" w:rsidP="0080044B">
            <w:pPr>
              <w:tabs>
                <w:tab w:val="left" w:pos="720"/>
              </w:tabs>
              <w:jc w:val="right"/>
              <w:rPr>
                <w:sz w:val="20"/>
                <w:lang w:val="sr-Cyrl-RS"/>
              </w:rPr>
            </w:pPr>
          </w:p>
          <w:p w14:paraId="18CB0025" w14:textId="77777777" w:rsidR="00316872" w:rsidRPr="00CF77C1" w:rsidRDefault="00316872" w:rsidP="0080044B">
            <w:pPr>
              <w:tabs>
                <w:tab w:val="left" w:pos="720"/>
              </w:tabs>
              <w:jc w:val="right"/>
              <w:rPr>
                <w:sz w:val="20"/>
                <w:lang w:val="sr-Cyrl-RS"/>
              </w:rPr>
            </w:pPr>
            <w:r w:rsidRPr="00CF77C1">
              <w:rPr>
                <w:sz w:val="20"/>
                <w:lang w:val="sr-Cyrl-RS"/>
              </w:rPr>
              <w:t>34.946</w:t>
            </w:r>
          </w:p>
        </w:tc>
        <w:tc>
          <w:tcPr>
            <w:tcW w:w="1222" w:type="dxa"/>
          </w:tcPr>
          <w:p w14:paraId="3ED13D1F" w14:textId="77777777" w:rsidR="00316872" w:rsidRPr="00CF77C1" w:rsidRDefault="00316872" w:rsidP="0080044B">
            <w:pPr>
              <w:tabs>
                <w:tab w:val="left" w:pos="720"/>
              </w:tabs>
              <w:jc w:val="right"/>
              <w:rPr>
                <w:sz w:val="20"/>
                <w:lang w:val="sr-Cyrl-RS"/>
              </w:rPr>
            </w:pPr>
          </w:p>
          <w:p w14:paraId="7C229225" w14:textId="77777777" w:rsidR="00316872" w:rsidRPr="00CF77C1" w:rsidRDefault="00316872" w:rsidP="0080044B">
            <w:pPr>
              <w:tabs>
                <w:tab w:val="left" w:pos="720"/>
              </w:tabs>
              <w:jc w:val="right"/>
              <w:rPr>
                <w:sz w:val="20"/>
                <w:lang w:val="sr-Cyrl-RS"/>
              </w:rPr>
            </w:pPr>
            <w:r w:rsidRPr="00CF77C1">
              <w:rPr>
                <w:sz w:val="20"/>
                <w:lang w:val="sr-Cyrl-RS"/>
              </w:rPr>
              <w:t>37.711</w:t>
            </w:r>
          </w:p>
        </w:tc>
      </w:tr>
      <w:tr w:rsidR="00316872" w:rsidRPr="00CF77C1" w14:paraId="6D782A2A" w14:textId="77777777" w:rsidTr="00316872">
        <w:tc>
          <w:tcPr>
            <w:tcW w:w="839" w:type="dxa"/>
          </w:tcPr>
          <w:p w14:paraId="19F48967" w14:textId="77777777" w:rsidR="00316872" w:rsidRPr="00CF77C1" w:rsidRDefault="00316872" w:rsidP="0080044B">
            <w:pPr>
              <w:tabs>
                <w:tab w:val="left" w:pos="720"/>
              </w:tabs>
              <w:jc w:val="center"/>
              <w:rPr>
                <w:sz w:val="20"/>
                <w:lang w:val="sr-Cyrl-RS"/>
              </w:rPr>
            </w:pPr>
            <w:r w:rsidRPr="00CF77C1">
              <w:rPr>
                <w:sz w:val="20"/>
                <w:lang w:val="sr-Cyrl-RS"/>
              </w:rPr>
              <w:t>2.</w:t>
            </w:r>
          </w:p>
        </w:tc>
        <w:tc>
          <w:tcPr>
            <w:tcW w:w="3737" w:type="dxa"/>
          </w:tcPr>
          <w:p w14:paraId="5547E891" w14:textId="77777777" w:rsidR="00316872" w:rsidRPr="00CF77C1" w:rsidRDefault="00316872" w:rsidP="0080044B">
            <w:pPr>
              <w:tabs>
                <w:tab w:val="left" w:pos="720"/>
              </w:tabs>
              <w:rPr>
                <w:sz w:val="20"/>
                <w:lang w:val="sr-Cyrl-RS"/>
              </w:rPr>
            </w:pPr>
            <w:r w:rsidRPr="00CF77C1">
              <w:rPr>
                <w:sz w:val="20"/>
                <w:lang w:val="sr-Cyrl-RS"/>
              </w:rPr>
              <w:t>Сценарио са применом мера енергетске ефикасности</w:t>
            </w:r>
          </w:p>
        </w:tc>
        <w:tc>
          <w:tcPr>
            <w:tcW w:w="1222" w:type="dxa"/>
          </w:tcPr>
          <w:p w14:paraId="42B1ECB3" w14:textId="77777777" w:rsidR="00316872" w:rsidRPr="00CF77C1" w:rsidRDefault="00316872" w:rsidP="0080044B">
            <w:pPr>
              <w:tabs>
                <w:tab w:val="left" w:pos="720"/>
              </w:tabs>
              <w:jc w:val="right"/>
              <w:rPr>
                <w:sz w:val="20"/>
                <w:lang w:val="sr-Cyrl-RS"/>
              </w:rPr>
            </w:pPr>
          </w:p>
        </w:tc>
        <w:tc>
          <w:tcPr>
            <w:tcW w:w="1221" w:type="dxa"/>
          </w:tcPr>
          <w:p w14:paraId="3ED269B1" w14:textId="77777777" w:rsidR="00316872" w:rsidRPr="00CF77C1" w:rsidRDefault="00316872" w:rsidP="0080044B">
            <w:pPr>
              <w:tabs>
                <w:tab w:val="left" w:pos="720"/>
              </w:tabs>
              <w:jc w:val="right"/>
              <w:rPr>
                <w:sz w:val="20"/>
                <w:lang w:val="sr-Cyrl-RS"/>
              </w:rPr>
            </w:pPr>
          </w:p>
        </w:tc>
        <w:tc>
          <w:tcPr>
            <w:tcW w:w="1222" w:type="dxa"/>
          </w:tcPr>
          <w:p w14:paraId="292D7CE6" w14:textId="77777777" w:rsidR="00316872" w:rsidRPr="00CF77C1" w:rsidRDefault="00316872" w:rsidP="0080044B">
            <w:pPr>
              <w:tabs>
                <w:tab w:val="left" w:pos="720"/>
              </w:tabs>
              <w:jc w:val="right"/>
              <w:rPr>
                <w:sz w:val="20"/>
                <w:lang w:val="sr-Cyrl-RS"/>
              </w:rPr>
            </w:pPr>
          </w:p>
        </w:tc>
        <w:tc>
          <w:tcPr>
            <w:tcW w:w="1222" w:type="dxa"/>
          </w:tcPr>
          <w:p w14:paraId="511D55FA" w14:textId="77777777" w:rsidR="00316872" w:rsidRPr="00CF77C1" w:rsidRDefault="00316872" w:rsidP="0080044B">
            <w:pPr>
              <w:tabs>
                <w:tab w:val="left" w:pos="720"/>
              </w:tabs>
              <w:jc w:val="right"/>
              <w:rPr>
                <w:sz w:val="20"/>
                <w:lang w:val="sr-Cyrl-RS"/>
              </w:rPr>
            </w:pPr>
          </w:p>
        </w:tc>
      </w:tr>
      <w:tr w:rsidR="00316872" w:rsidRPr="00CF77C1" w14:paraId="7BF1E1BB" w14:textId="77777777" w:rsidTr="00316872">
        <w:tc>
          <w:tcPr>
            <w:tcW w:w="839" w:type="dxa"/>
          </w:tcPr>
          <w:p w14:paraId="35F67F00" w14:textId="77777777" w:rsidR="00316872" w:rsidRPr="00CF77C1" w:rsidRDefault="00316872" w:rsidP="0080044B">
            <w:pPr>
              <w:tabs>
                <w:tab w:val="left" w:pos="720"/>
              </w:tabs>
              <w:jc w:val="center"/>
              <w:rPr>
                <w:sz w:val="20"/>
                <w:lang w:val="sr-Cyrl-RS"/>
              </w:rPr>
            </w:pPr>
            <w:r w:rsidRPr="00CF77C1">
              <w:rPr>
                <w:sz w:val="20"/>
                <w:lang w:val="sr-Cyrl-RS"/>
              </w:rPr>
              <w:t>2.1.</w:t>
            </w:r>
          </w:p>
        </w:tc>
        <w:tc>
          <w:tcPr>
            <w:tcW w:w="3737" w:type="dxa"/>
          </w:tcPr>
          <w:p w14:paraId="4C72F2A6" w14:textId="77777777" w:rsidR="00316872" w:rsidRPr="00CF77C1" w:rsidRDefault="00316872" w:rsidP="0080044B">
            <w:pPr>
              <w:tabs>
                <w:tab w:val="left" w:pos="720"/>
              </w:tabs>
              <w:rPr>
                <w:sz w:val="20"/>
                <w:lang w:val="sr-Cyrl-RS"/>
              </w:rPr>
            </w:pPr>
            <w:r w:rsidRPr="00CF77C1">
              <w:rPr>
                <w:sz w:val="20"/>
                <w:lang w:val="sr-Cyrl-RS"/>
              </w:rPr>
              <w:t>Производња електричне енергије у термоелектранама (у GWh)</w:t>
            </w:r>
          </w:p>
        </w:tc>
        <w:tc>
          <w:tcPr>
            <w:tcW w:w="1222" w:type="dxa"/>
          </w:tcPr>
          <w:p w14:paraId="70D3A75D" w14:textId="77777777" w:rsidR="00316872" w:rsidRPr="00CF77C1" w:rsidRDefault="00316872" w:rsidP="0080044B">
            <w:pPr>
              <w:tabs>
                <w:tab w:val="left" w:pos="720"/>
              </w:tabs>
              <w:jc w:val="right"/>
              <w:rPr>
                <w:sz w:val="20"/>
                <w:lang w:val="sr-Cyrl-RS"/>
              </w:rPr>
            </w:pPr>
          </w:p>
          <w:p w14:paraId="02C88B8E" w14:textId="77777777" w:rsidR="00316872" w:rsidRPr="00CF77C1" w:rsidRDefault="00316872" w:rsidP="0080044B">
            <w:pPr>
              <w:tabs>
                <w:tab w:val="left" w:pos="720"/>
              </w:tabs>
              <w:jc w:val="right"/>
              <w:rPr>
                <w:sz w:val="20"/>
                <w:lang w:val="sr-Cyrl-RS"/>
              </w:rPr>
            </w:pPr>
            <w:r w:rsidRPr="00CF77C1">
              <w:rPr>
                <w:sz w:val="20"/>
                <w:lang w:val="sr-Cyrl-RS"/>
              </w:rPr>
              <w:t>26.621</w:t>
            </w:r>
          </w:p>
        </w:tc>
        <w:tc>
          <w:tcPr>
            <w:tcW w:w="1221" w:type="dxa"/>
          </w:tcPr>
          <w:p w14:paraId="629E884C" w14:textId="77777777" w:rsidR="00316872" w:rsidRPr="00CF77C1" w:rsidRDefault="00316872" w:rsidP="0080044B">
            <w:pPr>
              <w:tabs>
                <w:tab w:val="left" w:pos="720"/>
              </w:tabs>
              <w:jc w:val="right"/>
              <w:rPr>
                <w:sz w:val="20"/>
                <w:lang w:val="sr-Cyrl-RS"/>
              </w:rPr>
            </w:pPr>
          </w:p>
          <w:p w14:paraId="76DFB0E9" w14:textId="77777777" w:rsidR="00316872" w:rsidRPr="00CF77C1" w:rsidRDefault="00316872" w:rsidP="0080044B">
            <w:pPr>
              <w:tabs>
                <w:tab w:val="left" w:pos="720"/>
              </w:tabs>
              <w:jc w:val="right"/>
              <w:rPr>
                <w:sz w:val="20"/>
                <w:lang w:val="sr-Cyrl-RS"/>
              </w:rPr>
            </w:pPr>
            <w:r w:rsidRPr="00CF77C1">
              <w:rPr>
                <w:sz w:val="20"/>
                <w:lang w:val="sr-Cyrl-RS"/>
              </w:rPr>
              <w:t>24.283</w:t>
            </w:r>
          </w:p>
        </w:tc>
        <w:tc>
          <w:tcPr>
            <w:tcW w:w="1222" w:type="dxa"/>
          </w:tcPr>
          <w:p w14:paraId="7E92E1A9" w14:textId="77777777" w:rsidR="00316872" w:rsidRPr="00CF77C1" w:rsidRDefault="00316872" w:rsidP="0080044B">
            <w:pPr>
              <w:tabs>
                <w:tab w:val="left" w:pos="720"/>
              </w:tabs>
              <w:jc w:val="right"/>
              <w:rPr>
                <w:sz w:val="20"/>
                <w:lang w:val="sr-Cyrl-RS"/>
              </w:rPr>
            </w:pPr>
          </w:p>
          <w:p w14:paraId="63E81CE2" w14:textId="77777777" w:rsidR="00316872" w:rsidRPr="00CF77C1" w:rsidRDefault="00316872" w:rsidP="0080044B">
            <w:pPr>
              <w:tabs>
                <w:tab w:val="left" w:pos="720"/>
              </w:tabs>
              <w:jc w:val="right"/>
              <w:rPr>
                <w:sz w:val="20"/>
                <w:lang w:val="sr-Cyrl-RS"/>
              </w:rPr>
            </w:pPr>
            <w:r w:rsidRPr="00CF77C1">
              <w:rPr>
                <w:sz w:val="20"/>
                <w:lang w:val="sr-Cyrl-RS"/>
              </w:rPr>
              <w:t>25.481</w:t>
            </w:r>
          </w:p>
        </w:tc>
        <w:tc>
          <w:tcPr>
            <w:tcW w:w="1222" w:type="dxa"/>
          </w:tcPr>
          <w:p w14:paraId="5AA8FA1E" w14:textId="77777777" w:rsidR="00316872" w:rsidRPr="00CF77C1" w:rsidRDefault="00316872" w:rsidP="0080044B">
            <w:pPr>
              <w:tabs>
                <w:tab w:val="left" w:pos="720"/>
              </w:tabs>
              <w:jc w:val="right"/>
              <w:rPr>
                <w:sz w:val="20"/>
                <w:lang w:val="sr-Cyrl-RS"/>
              </w:rPr>
            </w:pPr>
          </w:p>
          <w:p w14:paraId="1F903FF2" w14:textId="77777777" w:rsidR="00316872" w:rsidRPr="00CF77C1" w:rsidRDefault="00316872" w:rsidP="0080044B">
            <w:pPr>
              <w:tabs>
                <w:tab w:val="left" w:pos="720"/>
              </w:tabs>
              <w:jc w:val="right"/>
              <w:rPr>
                <w:sz w:val="20"/>
                <w:lang w:val="sr-Cyrl-RS"/>
              </w:rPr>
            </w:pPr>
            <w:r w:rsidRPr="00CF77C1">
              <w:rPr>
                <w:sz w:val="20"/>
                <w:lang w:val="sr-Cyrl-RS"/>
              </w:rPr>
              <w:t>27.284</w:t>
            </w:r>
          </w:p>
        </w:tc>
      </w:tr>
      <w:tr w:rsidR="00316872" w:rsidRPr="00CF77C1" w14:paraId="7D5830F8" w14:textId="77777777" w:rsidTr="00316872">
        <w:tc>
          <w:tcPr>
            <w:tcW w:w="839" w:type="dxa"/>
            <w:tcBorders>
              <w:bottom w:val="single" w:sz="4" w:space="0" w:color="auto"/>
            </w:tcBorders>
          </w:tcPr>
          <w:p w14:paraId="096DB354" w14:textId="77777777" w:rsidR="00316872" w:rsidRPr="00CF77C1" w:rsidRDefault="00316872" w:rsidP="0080044B">
            <w:pPr>
              <w:tabs>
                <w:tab w:val="left" w:pos="720"/>
              </w:tabs>
              <w:jc w:val="center"/>
              <w:rPr>
                <w:sz w:val="20"/>
                <w:lang w:val="sr-Cyrl-RS"/>
              </w:rPr>
            </w:pPr>
            <w:r w:rsidRPr="00CF77C1">
              <w:rPr>
                <w:sz w:val="20"/>
                <w:lang w:val="sr-Cyrl-RS"/>
              </w:rPr>
              <w:t>2.2.</w:t>
            </w:r>
          </w:p>
        </w:tc>
        <w:tc>
          <w:tcPr>
            <w:tcW w:w="3737" w:type="dxa"/>
            <w:tcBorders>
              <w:bottom w:val="single" w:sz="4" w:space="0" w:color="auto"/>
            </w:tcBorders>
          </w:tcPr>
          <w:p w14:paraId="508562AC" w14:textId="40D9EF71" w:rsidR="00316872" w:rsidRPr="00CF77C1" w:rsidRDefault="00316872" w:rsidP="0080044B">
            <w:pPr>
              <w:tabs>
                <w:tab w:val="left" w:pos="720"/>
              </w:tabs>
              <w:rPr>
                <w:sz w:val="20"/>
                <w:lang w:val="sr-Cyrl-RS"/>
              </w:rPr>
            </w:pPr>
            <w:r w:rsidRPr="00CF77C1">
              <w:rPr>
                <w:sz w:val="20"/>
                <w:lang w:val="sr-Cyrl-RS"/>
              </w:rPr>
              <w:t>Угаљ за п</w:t>
            </w:r>
            <w:r w:rsidR="0079434E" w:rsidRPr="00CF77C1">
              <w:rPr>
                <w:sz w:val="20"/>
                <w:lang w:val="sr-Cyrl-RS"/>
              </w:rPr>
              <w:t>роизводњу електричне енергије (</w:t>
            </w:r>
            <w:r w:rsidRPr="00CF77C1">
              <w:rPr>
                <w:sz w:val="20"/>
                <w:lang w:val="sr-Cyrl-RS"/>
              </w:rPr>
              <w:t xml:space="preserve">у </w:t>
            </w:r>
            <w:r w:rsidR="00A84557" w:rsidRPr="00CF77C1">
              <w:rPr>
                <w:sz w:val="20"/>
                <w:lang w:val="sr-Cyrl-RS"/>
              </w:rPr>
              <w:t>1</w:t>
            </w:r>
            <w:r w:rsidRPr="00CF77C1">
              <w:rPr>
                <w:sz w:val="20"/>
                <w:lang w:val="sr-Cyrl-RS"/>
              </w:rPr>
              <w:t xml:space="preserve">000 </w:t>
            </w:r>
            <w:r w:rsidR="00537E82" w:rsidRPr="00CF77C1">
              <w:rPr>
                <w:szCs w:val="24"/>
                <w:lang w:val="sr-Cyrl-RS"/>
              </w:rPr>
              <w:t>t</w:t>
            </w:r>
            <w:r w:rsidRPr="00CF77C1">
              <w:rPr>
                <w:sz w:val="20"/>
                <w:lang w:val="sr-Cyrl-RS"/>
              </w:rPr>
              <w:t>)</w:t>
            </w:r>
          </w:p>
        </w:tc>
        <w:tc>
          <w:tcPr>
            <w:tcW w:w="1222" w:type="dxa"/>
            <w:tcBorders>
              <w:bottom w:val="single" w:sz="4" w:space="0" w:color="auto"/>
            </w:tcBorders>
          </w:tcPr>
          <w:p w14:paraId="2827536D" w14:textId="77777777" w:rsidR="00316872" w:rsidRPr="00CF77C1" w:rsidRDefault="00316872" w:rsidP="0080044B">
            <w:pPr>
              <w:tabs>
                <w:tab w:val="left" w:pos="720"/>
              </w:tabs>
              <w:jc w:val="right"/>
              <w:rPr>
                <w:sz w:val="20"/>
                <w:lang w:val="sr-Cyrl-RS"/>
              </w:rPr>
            </w:pPr>
          </w:p>
          <w:p w14:paraId="07B84881" w14:textId="77777777" w:rsidR="00316872" w:rsidRPr="00CF77C1" w:rsidRDefault="00316872" w:rsidP="0080044B">
            <w:pPr>
              <w:tabs>
                <w:tab w:val="left" w:pos="720"/>
              </w:tabs>
              <w:jc w:val="right"/>
              <w:rPr>
                <w:sz w:val="20"/>
                <w:lang w:val="sr-Cyrl-RS"/>
              </w:rPr>
            </w:pPr>
            <w:r w:rsidRPr="00CF77C1">
              <w:rPr>
                <w:sz w:val="20"/>
                <w:lang w:val="sr-Cyrl-RS"/>
              </w:rPr>
              <w:t>38.772</w:t>
            </w:r>
          </w:p>
        </w:tc>
        <w:tc>
          <w:tcPr>
            <w:tcW w:w="1221" w:type="dxa"/>
            <w:tcBorders>
              <w:bottom w:val="single" w:sz="4" w:space="0" w:color="auto"/>
            </w:tcBorders>
          </w:tcPr>
          <w:p w14:paraId="43C2306A" w14:textId="77777777" w:rsidR="00316872" w:rsidRPr="00CF77C1" w:rsidRDefault="00316872" w:rsidP="0080044B">
            <w:pPr>
              <w:tabs>
                <w:tab w:val="left" w:pos="720"/>
              </w:tabs>
              <w:jc w:val="right"/>
              <w:rPr>
                <w:sz w:val="20"/>
                <w:lang w:val="sr-Cyrl-RS"/>
              </w:rPr>
            </w:pPr>
          </w:p>
          <w:p w14:paraId="0BC82B27" w14:textId="77777777" w:rsidR="00316872" w:rsidRPr="00CF77C1" w:rsidRDefault="00316872" w:rsidP="0080044B">
            <w:pPr>
              <w:tabs>
                <w:tab w:val="left" w:pos="720"/>
              </w:tabs>
              <w:jc w:val="right"/>
              <w:rPr>
                <w:sz w:val="20"/>
                <w:lang w:val="sr-Cyrl-RS"/>
              </w:rPr>
            </w:pPr>
            <w:r w:rsidRPr="00CF77C1">
              <w:rPr>
                <w:sz w:val="20"/>
                <w:lang w:val="sr-Cyrl-RS"/>
              </w:rPr>
              <w:t>34.203</w:t>
            </w:r>
          </w:p>
        </w:tc>
        <w:tc>
          <w:tcPr>
            <w:tcW w:w="1222" w:type="dxa"/>
            <w:tcBorders>
              <w:bottom w:val="single" w:sz="4" w:space="0" w:color="auto"/>
            </w:tcBorders>
          </w:tcPr>
          <w:p w14:paraId="192C2613" w14:textId="77777777" w:rsidR="00316872" w:rsidRPr="00CF77C1" w:rsidRDefault="00316872" w:rsidP="0080044B">
            <w:pPr>
              <w:tabs>
                <w:tab w:val="left" w:pos="720"/>
              </w:tabs>
              <w:jc w:val="right"/>
              <w:rPr>
                <w:sz w:val="20"/>
                <w:lang w:val="sr-Cyrl-RS"/>
              </w:rPr>
            </w:pPr>
          </w:p>
          <w:p w14:paraId="4DBD7580" w14:textId="77777777" w:rsidR="00316872" w:rsidRPr="00CF77C1" w:rsidRDefault="00316872" w:rsidP="0080044B">
            <w:pPr>
              <w:tabs>
                <w:tab w:val="left" w:pos="720"/>
              </w:tabs>
              <w:jc w:val="right"/>
              <w:rPr>
                <w:sz w:val="20"/>
                <w:lang w:val="sr-Cyrl-RS"/>
              </w:rPr>
            </w:pPr>
            <w:r w:rsidRPr="00CF77C1">
              <w:rPr>
                <w:sz w:val="20"/>
                <w:lang w:val="sr-Cyrl-RS"/>
              </w:rPr>
              <w:t>34.946</w:t>
            </w:r>
          </w:p>
        </w:tc>
        <w:tc>
          <w:tcPr>
            <w:tcW w:w="1222" w:type="dxa"/>
            <w:tcBorders>
              <w:bottom w:val="single" w:sz="4" w:space="0" w:color="auto"/>
            </w:tcBorders>
          </w:tcPr>
          <w:p w14:paraId="78519E17" w14:textId="77777777" w:rsidR="00316872" w:rsidRPr="00CF77C1" w:rsidRDefault="00316872" w:rsidP="0080044B">
            <w:pPr>
              <w:tabs>
                <w:tab w:val="left" w:pos="720"/>
              </w:tabs>
              <w:jc w:val="right"/>
              <w:rPr>
                <w:sz w:val="20"/>
                <w:lang w:val="sr-Cyrl-RS"/>
              </w:rPr>
            </w:pPr>
          </w:p>
          <w:p w14:paraId="6E2ADC74" w14:textId="77777777" w:rsidR="00316872" w:rsidRPr="00CF77C1" w:rsidRDefault="00316872" w:rsidP="0080044B">
            <w:pPr>
              <w:tabs>
                <w:tab w:val="left" w:pos="720"/>
              </w:tabs>
              <w:jc w:val="right"/>
              <w:rPr>
                <w:sz w:val="20"/>
                <w:lang w:val="sr-Cyrl-RS"/>
              </w:rPr>
            </w:pPr>
            <w:r w:rsidRPr="00CF77C1">
              <w:rPr>
                <w:sz w:val="20"/>
                <w:lang w:val="sr-Cyrl-RS"/>
              </w:rPr>
              <w:t>37.706</w:t>
            </w:r>
          </w:p>
        </w:tc>
      </w:tr>
    </w:tbl>
    <w:p w14:paraId="3B5B8A69" w14:textId="77777777" w:rsidR="00C45A22" w:rsidRPr="00CF77C1" w:rsidRDefault="00C45A22" w:rsidP="00233EA6">
      <w:pPr>
        <w:ind w:firstLine="720"/>
        <w:rPr>
          <w:lang w:val="sr-Cyrl-RS"/>
        </w:rPr>
      </w:pPr>
      <w:bookmarkStart w:id="162" w:name="_Toc463001129"/>
      <w:r w:rsidRPr="00CF77C1">
        <w:rPr>
          <w:lang w:val="sr-Cyrl-RS"/>
        </w:rPr>
        <w:t>У оквиру овог поглавља дефинисани су параметри преко којих се прати реализација појединих циљева.</w:t>
      </w:r>
    </w:p>
    <w:p w14:paraId="41D9C2C6" w14:textId="77777777" w:rsidR="00C45A22" w:rsidRPr="00CF77C1" w:rsidRDefault="00C45A22" w:rsidP="00233EA6">
      <w:pPr>
        <w:keepNext/>
        <w:spacing w:before="120"/>
        <w:ind w:firstLine="720"/>
        <w:rPr>
          <w:u w:val="single"/>
          <w:lang w:val="sr-Cyrl-RS"/>
        </w:rPr>
      </w:pPr>
      <w:r w:rsidRPr="00CF77C1">
        <w:rPr>
          <w:u w:val="single"/>
          <w:lang w:val="sr-Cyrl-RS"/>
        </w:rPr>
        <w:t>Индикатор бр. 1</w:t>
      </w:r>
    </w:p>
    <w:p w14:paraId="5A11FD98" w14:textId="77777777" w:rsidR="00E46C90" w:rsidRPr="00CF77C1" w:rsidRDefault="00C45A22" w:rsidP="00233EA6">
      <w:pPr>
        <w:ind w:firstLine="720"/>
        <w:rPr>
          <w:szCs w:val="24"/>
          <w:lang w:val="sr-Cyrl-RS"/>
        </w:rPr>
      </w:pPr>
      <w:r w:rsidRPr="00CF77C1">
        <w:rPr>
          <w:szCs w:val="24"/>
          <w:lang w:val="sr-Cyrl-RS"/>
        </w:rPr>
        <w:t>Циљ: Обезбеђење потребних количина угља за финалну потрошњу и за производњу топлотне енергије</w:t>
      </w:r>
    </w:p>
    <w:p w14:paraId="7F3A9DFC" w14:textId="65100DB8" w:rsidR="00C45A22" w:rsidRPr="00CF77C1" w:rsidRDefault="00C45A22" w:rsidP="00233EA6">
      <w:pPr>
        <w:ind w:firstLine="720"/>
        <w:rPr>
          <w:rFonts w:eastAsia="Calibri"/>
          <w:szCs w:val="24"/>
          <w:lang w:val="sr-Cyrl-RS"/>
        </w:rPr>
      </w:pPr>
      <w:r w:rsidRPr="00CF77C1">
        <w:rPr>
          <w:rFonts w:eastAsia="Calibri"/>
          <w:szCs w:val="24"/>
          <w:lang w:val="sr-Cyrl-RS"/>
        </w:rPr>
        <w:t xml:space="preserve">Индикатор: </w:t>
      </w:r>
      <w:r w:rsidR="00087F14" w:rsidRPr="00CF77C1">
        <w:rPr>
          <w:rFonts w:eastAsia="Calibri"/>
          <w:szCs w:val="24"/>
          <w:lang w:val="sr-Cyrl-RS"/>
        </w:rPr>
        <w:t>Однос домаће производње угља и угља потребног за финалну потрошњу и трнсформацију у топланама; Индикатор указује на могућност задовољења потреба за угљем у овим областима из домаће производње. Индикатором се не узима у обзир чињеница да се у земљи произ</w:t>
      </w:r>
      <w:r w:rsidR="00B45BCD">
        <w:rPr>
          <w:rFonts w:eastAsia="Calibri"/>
          <w:szCs w:val="24"/>
          <w:lang w:val="sr-Cyrl-RS"/>
        </w:rPr>
        <w:t>воде висококвалитетни угљеви у в</w:t>
      </w:r>
      <w:r w:rsidR="00087F14" w:rsidRPr="00CF77C1">
        <w:rPr>
          <w:rFonts w:eastAsia="Calibri"/>
          <w:szCs w:val="24"/>
          <w:lang w:val="sr-Cyrl-RS"/>
        </w:rPr>
        <w:t>еома малим количинама (антрацит, камени угаљ и сл</w:t>
      </w:r>
      <w:r w:rsidR="005E7F26">
        <w:rPr>
          <w:rFonts w:eastAsia="Calibri"/>
          <w:szCs w:val="24"/>
          <w:lang w:val="sr-Cyrl-RS"/>
        </w:rPr>
        <w:t>.</w:t>
      </w:r>
      <w:r w:rsidR="00087F14" w:rsidRPr="00CF77C1">
        <w:rPr>
          <w:rFonts w:eastAsia="Calibri"/>
          <w:szCs w:val="24"/>
          <w:lang w:val="sr-Cyrl-RS"/>
        </w:rPr>
        <w:t>). Рачуна се као однос енергетске вредности произведеног угља и збира финалне енергије и енергије потребне за трансформацију топланама и енерганама.</w:t>
      </w:r>
    </w:p>
    <w:p w14:paraId="06CBD0B9" w14:textId="77777777" w:rsidR="00E46C90" w:rsidRPr="005E7F26" w:rsidRDefault="00C45A22" w:rsidP="00233EA6">
      <w:pPr>
        <w:keepNext/>
        <w:ind w:firstLine="720"/>
        <w:rPr>
          <w:rFonts w:eastAsia="Calibri"/>
          <w:szCs w:val="24"/>
          <w:lang w:val="sr-Cyrl-RS"/>
        </w:rPr>
      </w:pPr>
      <w:r w:rsidRPr="005E7F26">
        <w:rPr>
          <w:rFonts w:eastAsia="Calibri"/>
          <w:szCs w:val="24"/>
          <w:lang w:val="sr-Cyrl-RS"/>
        </w:rPr>
        <w:t>2015. година:</w:t>
      </w:r>
    </w:p>
    <w:p w14:paraId="54130C91" w14:textId="77777777" w:rsidR="00C45A22" w:rsidRPr="005E7F26" w:rsidRDefault="00C45A22" w:rsidP="00233EA6">
      <w:pPr>
        <w:keepNext/>
        <w:ind w:firstLine="720"/>
        <w:rPr>
          <w:rFonts w:eastAsia="Calibri"/>
          <w:szCs w:val="24"/>
          <w:lang w:val="sr-Cyrl-RS"/>
        </w:rPr>
      </w:pPr>
      <w:r w:rsidRPr="005E7F26">
        <w:rPr>
          <w:rFonts w:eastAsia="Calibri"/>
          <w:szCs w:val="24"/>
          <w:lang w:val="sr-Cyrl-RS"/>
        </w:rPr>
        <w:t>Домаћа производња угља:</w:t>
      </w:r>
    </w:p>
    <w:p w14:paraId="79D5FBD3"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рудници ПЕУ</w:t>
      </w:r>
      <w:r w:rsidRPr="005E7F26">
        <w:rPr>
          <w:rFonts w:eastAsia="Calibri"/>
          <w:szCs w:val="24"/>
          <w:lang w:val="sr-Cyrl-RS"/>
        </w:rPr>
        <w:tab/>
        <w:t>595.284 t,</w:t>
      </w:r>
      <w:r w:rsidRPr="005E7F26">
        <w:rPr>
          <w:rFonts w:eastAsia="Calibri"/>
          <w:szCs w:val="24"/>
          <w:lang w:val="sr-Cyrl-RS"/>
        </w:rPr>
        <w:tab/>
        <w:t>17.000 kJ/kg</w:t>
      </w:r>
    </w:p>
    <w:p w14:paraId="212AD619"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рудник подводни</w:t>
      </w:r>
      <w:r w:rsidRPr="005E7F26">
        <w:rPr>
          <w:rFonts w:eastAsia="Calibri"/>
          <w:szCs w:val="24"/>
          <w:lang w:val="sr-Cyrl-RS"/>
        </w:rPr>
        <w:tab/>
        <w:t>225.000 t,</w:t>
      </w:r>
      <w:r w:rsidRPr="005E7F26">
        <w:rPr>
          <w:rFonts w:eastAsia="Calibri"/>
          <w:szCs w:val="24"/>
          <w:lang w:val="sr-Cyrl-RS"/>
        </w:rPr>
        <w:tab/>
        <w:t>9.000 kJ/kg</w:t>
      </w:r>
    </w:p>
    <w:p w14:paraId="03644E15"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ЕПС</w:t>
      </w:r>
      <w:r w:rsidRPr="005E7F26">
        <w:rPr>
          <w:rFonts w:eastAsia="Calibri"/>
          <w:szCs w:val="24"/>
          <w:lang w:val="sr-Cyrl-RS"/>
        </w:rPr>
        <w:tab/>
      </w:r>
      <w:r w:rsidRPr="005E7F26">
        <w:rPr>
          <w:rFonts w:eastAsia="Calibri"/>
          <w:szCs w:val="24"/>
          <w:lang w:val="sr-Cyrl-RS"/>
        </w:rPr>
        <w:tab/>
        <w:t>(7.500 kJ/kg)</w:t>
      </w:r>
    </w:p>
    <w:p w14:paraId="3A143CAB"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сушење</w:t>
      </w:r>
      <w:r w:rsidRPr="005E7F26">
        <w:rPr>
          <w:rFonts w:eastAsia="Calibri"/>
          <w:szCs w:val="24"/>
          <w:lang w:val="sr-Cyrl-RS"/>
        </w:rPr>
        <w:tab/>
        <w:t>548.752 t</w:t>
      </w:r>
    </w:p>
    <w:p w14:paraId="35683913"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индустрија</w:t>
      </w:r>
      <w:r w:rsidRPr="005E7F26">
        <w:rPr>
          <w:rFonts w:eastAsia="Calibri"/>
          <w:szCs w:val="24"/>
          <w:lang w:val="sr-Cyrl-RS"/>
        </w:rPr>
        <w:tab/>
        <w:t>231.921 t</w:t>
      </w:r>
    </w:p>
    <w:p w14:paraId="7A625648"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топлане</w:t>
      </w:r>
      <w:r w:rsidRPr="005E7F26">
        <w:rPr>
          <w:rFonts w:eastAsia="Calibri"/>
          <w:szCs w:val="24"/>
          <w:lang w:val="sr-Cyrl-RS"/>
        </w:rPr>
        <w:tab/>
        <w:t>211.197 t</w:t>
      </w:r>
    </w:p>
    <w:p w14:paraId="2994F3D4"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Финална потрошња:</w:t>
      </w:r>
      <w:r w:rsidRPr="005E7F26">
        <w:rPr>
          <w:rFonts w:eastAsia="Calibri"/>
          <w:szCs w:val="24"/>
          <w:lang w:val="sr-Cyrl-RS"/>
        </w:rPr>
        <w:tab/>
        <w:t>27.984 TJ</w:t>
      </w:r>
    </w:p>
    <w:p w14:paraId="525AE69A" w14:textId="77777777" w:rsidR="00C45A22" w:rsidRPr="005E7F26" w:rsidRDefault="00C45A22" w:rsidP="0080044B">
      <w:pPr>
        <w:keepNext/>
        <w:tabs>
          <w:tab w:val="right" w:pos="5670"/>
          <w:tab w:val="right" w:pos="7938"/>
        </w:tabs>
        <w:rPr>
          <w:rFonts w:eastAsia="Calibri"/>
          <w:szCs w:val="24"/>
          <w:lang w:val="sr-Cyrl-RS"/>
        </w:rPr>
      </w:pPr>
      <w:r w:rsidRPr="005E7F26">
        <w:rPr>
          <w:rFonts w:eastAsia="Calibri"/>
          <w:szCs w:val="24"/>
          <w:lang w:val="sr-Cyrl-RS"/>
        </w:rPr>
        <w:t>Топлане:</w:t>
      </w:r>
      <w:r w:rsidRPr="005E7F26">
        <w:rPr>
          <w:rFonts w:eastAsia="Calibri"/>
          <w:szCs w:val="24"/>
          <w:lang w:val="sr-Cyrl-RS"/>
        </w:rPr>
        <w:tab/>
        <w:t>2.732 TJ</w:t>
      </w:r>
    </w:p>
    <w:p w14:paraId="044D92F1" w14:textId="77777777" w:rsidR="00C45A22" w:rsidRPr="005E7F26" w:rsidRDefault="00C45A22" w:rsidP="0080044B">
      <w:pPr>
        <w:keepNext/>
        <w:tabs>
          <w:tab w:val="right" w:pos="5670"/>
          <w:tab w:val="right" w:pos="7938"/>
        </w:tabs>
        <w:rPr>
          <w:rFonts w:eastAsia="Calibri"/>
          <w:szCs w:val="24"/>
          <w:u w:val="single"/>
          <w:lang w:val="sr-Cyrl-RS"/>
        </w:rPr>
      </w:pPr>
      <w:r w:rsidRPr="005E7F26">
        <w:rPr>
          <w:rFonts w:eastAsia="Calibri"/>
          <w:szCs w:val="24"/>
          <w:lang w:val="sr-Cyrl-RS"/>
        </w:rPr>
        <w:t>Енергане (без високопећног гаса):</w:t>
      </w:r>
      <w:r w:rsidRPr="005E7F26">
        <w:rPr>
          <w:rFonts w:eastAsia="Calibri"/>
          <w:szCs w:val="24"/>
          <w:lang w:val="sr-Cyrl-RS"/>
        </w:rPr>
        <w:tab/>
      </w:r>
      <w:r w:rsidRPr="005E7F26">
        <w:rPr>
          <w:rFonts w:eastAsia="Calibri"/>
          <w:szCs w:val="24"/>
          <w:u w:val="single"/>
          <w:lang w:val="sr-Cyrl-RS"/>
        </w:rPr>
        <w:t>2.845 TJ</w:t>
      </w:r>
    </w:p>
    <w:p w14:paraId="2F0AD7BB" w14:textId="77777777" w:rsidR="00C45A22" w:rsidRPr="005E7F26" w:rsidRDefault="00C45A22" w:rsidP="0080044B">
      <w:pPr>
        <w:tabs>
          <w:tab w:val="right" w:pos="5670"/>
          <w:tab w:val="right" w:pos="7938"/>
        </w:tabs>
        <w:rPr>
          <w:rFonts w:eastAsia="Calibri"/>
          <w:szCs w:val="24"/>
          <w:lang w:val="sr-Cyrl-RS"/>
        </w:rPr>
      </w:pPr>
      <w:r w:rsidRPr="005E7F26">
        <w:rPr>
          <w:rFonts w:eastAsia="Calibri"/>
          <w:szCs w:val="24"/>
          <w:lang w:val="sr-Cyrl-RS"/>
        </w:rPr>
        <w:t>Потрошња:</w:t>
      </w:r>
      <w:r w:rsidRPr="005E7F26">
        <w:rPr>
          <w:rFonts w:eastAsia="Calibri"/>
          <w:szCs w:val="24"/>
          <w:lang w:val="sr-Cyrl-RS"/>
        </w:rPr>
        <w:tab/>
        <w:t>33.561 ТЈ</w:t>
      </w:r>
    </w:p>
    <w:p w14:paraId="4E02F2E8" w14:textId="77777777" w:rsidR="00C45A22" w:rsidRPr="005E7F26" w:rsidRDefault="00C45A22" w:rsidP="0080044B">
      <w:pPr>
        <w:tabs>
          <w:tab w:val="right" w:pos="5670"/>
          <w:tab w:val="right" w:pos="7938"/>
        </w:tabs>
        <w:rPr>
          <w:rFonts w:eastAsia="Calibri"/>
          <w:szCs w:val="24"/>
          <w:lang w:val="sr-Cyrl-RS"/>
        </w:rPr>
      </w:pPr>
      <w:r w:rsidRPr="005E7F26">
        <w:rPr>
          <w:rFonts w:eastAsia="Calibri"/>
          <w:szCs w:val="24"/>
          <w:lang w:val="sr-Cyrl-RS"/>
        </w:rPr>
        <w:t>Вредност индикатора:</w:t>
      </w:r>
      <w:r w:rsidRPr="005E7F26">
        <w:rPr>
          <w:rFonts w:eastAsia="Calibri"/>
          <w:szCs w:val="24"/>
          <w:lang w:val="sr-Cyrl-RS"/>
        </w:rPr>
        <w:tab/>
        <w:t>0,58 (58%)</w:t>
      </w:r>
    </w:p>
    <w:p w14:paraId="622D7D2E" w14:textId="77777777" w:rsidR="00087F14" w:rsidRPr="005E7F26" w:rsidRDefault="00087F14" w:rsidP="0080044B">
      <w:pPr>
        <w:tabs>
          <w:tab w:val="right" w:pos="5670"/>
          <w:tab w:val="right" w:pos="7938"/>
        </w:tabs>
        <w:rPr>
          <w:rFonts w:eastAsia="Calibri"/>
          <w:szCs w:val="24"/>
          <w:lang w:val="sr-Cyrl-RS"/>
        </w:rPr>
      </w:pPr>
      <w:r w:rsidRPr="005E7F26">
        <w:rPr>
          <w:rFonts w:eastAsia="Calibri"/>
          <w:szCs w:val="24"/>
          <w:lang w:val="sr-Cyrl-RS"/>
        </w:rPr>
        <w:t>Циљана вредност индикатора 2023: 0,75.</w:t>
      </w:r>
    </w:p>
    <w:p w14:paraId="56319D6F" w14:textId="502D7956" w:rsidR="00C45A22" w:rsidRPr="005E7F26" w:rsidRDefault="009C5ABB" w:rsidP="00233EA6">
      <w:pPr>
        <w:keepNext/>
        <w:spacing w:before="120"/>
        <w:ind w:firstLine="720"/>
        <w:rPr>
          <w:u w:val="single"/>
          <w:lang w:val="sr-Cyrl-RS"/>
        </w:rPr>
      </w:pPr>
      <w:r w:rsidRPr="005E7F26">
        <w:rPr>
          <w:u w:val="single"/>
          <w:lang w:val="sr-Cyrl-RS"/>
        </w:rPr>
        <w:t xml:space="preserve">Индикатор бр. </w:t>
      </w:r>
      <w:r w:rsidR="00981A87" w:rsidRPr="005E7F26">
        <w:rPr>
          <w:u w:val="single"/>
          <w:lang w:val="sr-Cyrl-RS"/>
        </w:rPr>
        <w:t>2</w:t>
      </w:r>
    </w:p>
    <w:p w14:paraId="48719CEA" w14:textId="77777777" w:rsidR="00C45A22" w:rsidRPr="005E7F26" w:rsidRDefault="00C45A22" w:rsidP="00233EA6">
      <w:pPr>
        <w:ind w:firstLine="720"/>
        <w:rPr>
          <w:lang w:val="sr-Cyrl-RS"/>
        </w:rPr>
      </w:pPr>
      <w:r w:rsidRPr="005E7F26">
        <w:rPr>
          <w:lang w:val="sr-Cyrl-RS"/>
        </w:rPr>
        <w:t>Циљ: Сигурно и поуздано снабдевање електроенергетских термокапацитета</w:t>
      </w:r>
    </w:p>
    <w:p w14:paraId="499DA4EF" w14:textId="4A8AA03A" w:rsidR="00C45A22" w:rsidRPr="005E7F26" w:rsidRDefault="00C45A22" w:rsidP="00233EA6">
      <w:pPr>
        <w:ind w:firstLine="720"/>
        <w:rPr>
          <w:rFonts w:eastAsia="Calibri"/>
          <w:szCs w:val="24"/>
          <w:lang w:val="sr-Cyrl-RS"/>
        </w:rPr>
      </w:pPr>
      <w:r w:rsidRPr="005E7F26">
        <w:rPr>
          <w:rFonts w:eastAsia="Calibri"/>
          <w:szCs w:val="24"/>
          <w:lang w:val="sr-Cyrl-RS"/>
        </w:rPr>
        <w:t xml:space="preserve">Индикатор: Однос оствареног ефективног капацитета и теоретског капацитета </w:t>
      </w:r>
      <w:r w:rsidR="00434622" w:rsidRPr="005E7F26">
        <w:rPr>
          <w:rFonts w:eastAsia="Calibri"/>
          <w:szCs w:val="24"/>
          <w:lang w:val="sr-Cyrl-RS"/>
        </w:rPr>
        <w:t>БТО система</w:t>
      </w:r>
      <w:r w:rsidRPr="005E7F26">
        <w:rPr>
          <w:rFonts w:eastAsia="Calibri"/>
          <w:szCs w:val="24"/>
          <w:lang w:val="sr-Cyrl-RS"/>
        </w:rPr>
        <w:t xml:space="preserve">. Овај индикатор указује какво је искоришћење инсталисаног капацитета опреме. Други индикатор се односи на на однос оствареног времена рада БТО система и теоретског времена. Овај индикатор указује какво је искоришћење </w:t>
      </w:r>
      <w:r w:rsidR="00434622" w:rsidRPr="005E7F26">
        <w:rPr>
          <w:rFonts w:eastAsia="Calibri"/>
          <w:szCs w:val="24"/>
          <w:lang w:val="sr-Cyrl-RS"/>
        </w:rPr>
        <w:t>времена рада</w:t>
      </w:r>
      <w:r w:rsidRPr="005E7F26">
        <w:rPr>
          <w:rFonts w:eastAsia="Calibri"/>
          <w:szCs w:val="24"/>
          <w:lang w:val="sr-Cyrl-RS"/>
        </w:rPr>
        <w:t xml:space="preserve"> опреме. </w:t>
      </w:r>
      <w:r w:rsidR="00434622" w:rsidRPr="005E7F26">
        <w:rPr>
          <w:rFonts w:eastAsia="Calibri"/>
          <w:szCs w:val="24"/>
          <w:lang w:val="sr-Cyrl-RS"/>
        </w:rPr>
        <w:t>Индикатори су приказани одвојено за угаљ и јаловину.</w:t>
      </w:r>
    </w:p>
    <w:p w14:paraId="3FCD3C31" w14:textId="0E0FE464" w:rsidR="00C45A22" w:rsidRPr="005E7F26" w:rsidRDefault="00D61BC9" w:rsidP="00233EA6">
      <w:pPr>
        <w:pStyle w:val="Caption"/>
        <w:ind w:firstLine="720"/>
        <w:rPr>
          <w:b w:val="0"/>
          <w:lang w:val="sr-Cyrl-RS"/>
        </w:rPr>
      </w:pPr>
      <w:r w:rsidRPr="005E7F26">
        <w:rPr>
          <w:b w:val="0"/>
          <w:lang w:val="sr-Cyrl-RS"/>
        </w:rPr>
        <w:t>таб.</w:t>
      </w:r>
      <w:r w:rsidR="00C45A22" w:rsidRPr="005E7F26">
        <w:rPr>
          <w:b w:val="0"/>
          <w:lang w:val="sr-Cyrl-RS"/>
        </w:rPr>
        <w:t xml:space="preserve"> </w:t>
      </w:r>
      <w:r w:rsidR="0092145E" w:rsidRPr="005E7F26">
        <w:rPr>
          <w:b w:val="0"/>
          <w:lang w:val="sr-Cyrl-RS"/>
        </w:rPr>
        <w:fldChar w:fldCharType="begin"/>
      </w:r>
      <w:r w:rsidRPr="005E7F26">
        <w:rPr>
          <w:b w:val="0"/>
          <w:lang w:val="sr-Cyrl-RS"/>
        </w:rPr>
        <w:instrText xml:space="preserve"> SEQ таб. \* ARABIC </w:instrText>
      </w:r>
      <w:r w:rsidR="0092145E" w:rsidRPr="005E7F26">
        <w:rPr>
          <w:b w:val="0"/>
          <w:lang w:val="sr-Cyrl-RS"/>
        </w:rPr>
        <w:fldChar w:fldCharType="separate"/>
      </w:r>
      <w:r w:rsidR="002D5918">
        <w:rPr>
          <w:b w:val="0"/>
          <w:noProof/>
          <w:lang w:val="sr-Cyrl-RS"/>
        </w:rPr>
        <w:t>86</w:t>
      </w:r>
      <w:r w:rsidR="0092145E" w:rsidRPr="005E7F26">
        <w:rPr>
          <w:b w:val="0"/>
          <w:lang w:val="sr-Cyrl-RS"/>
        </w:rPr>
        <w:fldChar w:fldCharType="end"/>
      </w:r>
      <w:r w:rsidR="00C45A22" w:rsidRPr="005E7F26">
        <w:rPr>
          <w:b w:val="0"/>
          <w:lang w:val="sr-Cyrl-RS"/>
        </w:rPr>
        <w:t>: Остварени резултати индикатора за угаљ и јаловину у 2015. години</w:t>
      </w:r>
    </w:p>
    <w:tbl>
      <w:tblPr>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65"/>
        <w:gridCol w:w="2632"/>
        <w:gridCol w:w="2835"/>
      </w:tblGrid>
      <w:tr w:rsidR="00C45A22" w:rsidRPr="00CF77C1" w14:paraId="14C1307A" w14:textId="77777777" w:rsidTr="00276B15">
        <w:tc>
          <w:tcPr>
            <w:tcW w:w="1271" w:type="dxa"/>
            <w:shd w:val="clear" w:color="auto" w:fill="auto"/>
            <w:vAlign w:val="center"/>
          </w:tcPr>
          <w:p w14:paraId="3F8AF5B3" w14:textId="77777777" w:rsidR="00C45A22" w:rsidRPr="005E7F26" w:rsidRDefault="00C45A22" w:rsidP="0080044B">
            <w:pPr>
              <w:framePr w:hSpace="181" w:wrap="notBeside" w:vAnchor="text" w:hAnchor="text" w:y="1"/>
              <w:spacing w:before="40" w:after="40"/>
              <w:jc w:val="center"/>
              <w:rPr>
                <w:lang w:val="sr-Cyrl-RS"/>
              </w:rPr>
            </w:pPr>
            <w:r w:rsidRPr="005E7F26">
              <w:rPr>
                <w:lang w:val="sr-Cyrl-RS"/>
              </w:rPr>
              <w:t>Басен</w:t>
            </w:r>
          </w:p>
        </w:tc>
        <w:tc>
          <w:tcPr>
            <w:tcW w:w="2665" w:type="dxa"/>
            <w:shd w:val="clear" w:color="auto" w:fill="auto"/>
            <w:vAlign w:val="center"/>
          </w:tcPr>
          <w:p w14:paraId="51009BF5" w14:textId="77777777" w:rsidR="00C45A22" w:rsidRPr="005E7F26" w:rsidRDefault="00C45A22" w:rsidP="0080044B">
            <w:pPr>
              <w:framePr w:hSpace="181" w:wrap="notBeside" w:vAnchor="text" w:hAnchor="text" w:y="1"/>
              <w:spacing w:before="40" w:after="40"/>
              <w:jc w:val="center"/>
              <w:rPr>
                <w:lang w:val="sr-Cyrl-RS"/>
              </w:rPr>
            </w:pPr>
            <w:r w:rsidRPr="005E7F26">
              <w:rPr>
                <w:lang w:val="sr-Cyrl-RS"/>
              </w:rPr>
              <w:t>Коп</w:t>
            </w:r>
          </w:p>
        </w:tc>
        <w:tc>
          <w:tcPr>
            <w:tcW w:w="2632" w:type="dxa"/>
            <w:shd w:val="clear" w:color="auto" w:fill="auto"/>
            <w:vAlign w:val="center"/>
          </w:tcPr>
          <w:p w14:paraId="1F6BEE3B" w14:textId="77777777" w:rsidR="00C45A22" w:rsidRPr="005E7F26" w:rsidRDefault="00C45A22" w:rsidP="0080044B">
            <w:pPr>
              <w:framePr w:hSpace="181" w:wrap="notBeside" w:vAnchor="text" w:hAnchor="text" w:y="1"/>
              <w:spacing w:before="40" w:after="40"/>
              <w:jc w:val="center"/>
              <w:rPr>
                <w:lang w:val="sr-Cyrl-RS"/>
              </w:rPr>
            </w:pPr>
            <w:r w:rsidRPr="005E7F26">
              <w:rPr>
                <w:lang w:val="sr-Cyrl-RS"/>
              </w:rPr>
              <w:t>Временско искоришћење</w:t>
            </w:r>
          </w:p>
        </w:tc>
        <w:tc>
          <w:tcPr>
            <w:tcW w:w="2835" w:type="dxa"/>
            <w:shd w:val="clear" w:color="auto" w:fill="auto"/>
            <w:vAlign w:val="center"/>
          </w:tcPr>
          <w:p w14:paraId="0A9F1A50" w14:textId="77777777" w:rsidR="00C45A22" w:rsidRPr="00CF77C1" w:rsidRDefault="00C45A22" w:rsidP="0080044B">
            <w:pPr>
              <w:framePr w:hSpace="181" w:wrap="notBeside" w:vAnchor="text" w:hAnchor="text" w:y="1"/>
              <w:spacing w:before="40" w:after="40"/>
              <w:jc w:val="center"/>
              <w:rPr>
                <w:lang w:val="sr-Cyrl-RS"/>
              </w:rPr>
            </w:pPr>
            <w:r w:rsidRPr="005E7F26">
              <w:rPr>
                <w:lang w:val="sr-Cyrl-RS"/>
              </w:rPr>
              <w:t>Капацитетно искоришћење</w:t>
            </w:r>
          </w:p>
        </w:tc>
      </w:tr>
      <w:tr w:rsidR="00C45A22" w:rsidRPr="00CF77C1" w14:paraId="079EE370" w14:textId="77777777" w:rsidTr="00276B15">
        <w:tc>
          <w:tcPr>
            <w:tcW w:w="1271" w:type="dxa"/>
            <w:vMerge w:val="restart"/>
            <w:shd w:val="clear" w:color="auto" w:fill="auto"/>
            <w:vAlign w:val="center"/>
          </w:tcPr>
          <w:p w14:paraId="526D81C0" w14:textId="77777777" w:rsidR="00C45A22" w:rsidRPr="00CF77C1" w:rsidRDefault="00C45A22" w:rsidP="0080044B">
            <w:pPr>
              <w:framePr w:hSpace="181" w:wrap="notBeside" w:vAnchor="text" w:hAnchor="text" w:y="1"/>
              <w:spacing w:before="40" w:after="40"/>
              <w:rPr>
                <w:lang w:val="sr-Cyrl-RS"/>
              </w:rPr>
            </w:pPr>
            <w:r w:rsidRPr="00CF77C1">
              <w:rPr>
                <w:lang w:val="sr-Cyrl-RS"/>
              </w:rPr>
              <w:t xml:space="preserve">Колубара </w:t>
            </w:r>
          </w:p>
        </w:tc>
        <w:tc>
          <w:tcPr>
            <w:tcW w:w="2665" w:type="dxa"/>
            <w:shd w:val="clear" w:color="auto" w:fill="auto"/>
            <w:vAlign w:val="center"/>
          </w:tcPr>
          <w:p w14:paraId="4E177CE3" w14:textId="77777777" w:rsidR="00C45A22" w:rsidRPr="00CF77C1" w:rsidRDefault="00C45A22" w:rsidP="0080044B">
            <w:pPr>
              <w:framePr w:hSpace="181" w:wrap="notBeside" w:vAnchor="text" w:hAnchor="text" w:y="1"/>
              <w:spacing w:before="40" w:after="40"/>
              <w:rPr>
                <w:lang w:val="sr-Cyrl-RS"/>
              </w:rPr>
            </w:pPr>
            <w:r w:rsidRPr="00CF77C1">
              <w:rPr>
                <w:lang w:val="sr-Cyrl-RS"/>
              </w:rPr>
              <w:t>Поље Б</w:t>
            </w:r>
            <w:r w:rsidR="00434622" w:rsidRPr="00CF77C1">
              <w:rPr>
                <w:lang w:val="sr-Cyrl-RS"/>
              </w:rPr>
              <w:t>/Ц</w:t>
            </w:r>
          </w:p>
        </w:tc>
        <w:tc>
          <w:tcPr>
            <w:tcW w:w="2632" w:type="dxa"/>
            <w:shd w:val="clear" w:color="auto" w:fill="auto"/>
            <w:vAlign w:val="center"/>
          </w:tcPr>
          <w:p w14:paraId="761EFE02"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0,24</w:t>
            </w:r>
          </w:p>
        </w:tc>
        <w:tc>
          <w:tcPr>
            <w:tcW w:w="2835" w:type="dxa"/>
            <w:shd w:val="clear" w:color="auto" w:fill="auto"/>
            <w:vAlign w:val="center"/>
          </w:tcPr>
          <w:p w14:paraId="1E0381FF"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0,24</w:t>
            </w:r>
          </w:p>
        </w:tc>
      </w:tr>
      <w:tr w:rsidR="00C45A22" w:rsidRPr="00CF77C1" w14:paraId="0D91AB40" w14:textId="77777777" w:rsidTr="00276B15">
        <w:tc>
          <w:tcPr>
            <w:tcW w:w="1271" w:type="dxa"/>
            <w:vMerge/>
            <w:shd w:val="clear" w:color="auto" w:fill="auto"/>
            <w:vAlign w:val="center"/>
          </w:tcPr>
          <w:p w14:paraId="75880452"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7E1AA650" w14:textId="77777777" w:rsidR="00C45A22" w:rsidRPr="00CF77C1" w:rsidRDefault="00C45A22" w:rsidP="0080044B">
            <w:pPr>
              <w:framePr w:hSpace="181" w:wrap="notBeside" w:vAnchor="text" w:hAnchor="text" w:y="1"/>
              <w:spacing w:before="40" w:after="40"/>
              <w:rPr>
                <w:lang w:val="sr-Cyrl-RS"/>
              </w:rPr>
            </w:pPr>
            <w:r w:rsidRPr="00CF77C1">
              <w:rPr>
                <w:lang w:val="sr-Cyrl-RS"/>
              </w:rPr>
              <w:t>Поље Д</w:t>
            </w:r>
          </w:p>
        </w:tc>
        <w:tc>
          <w:tcPr>
            <w:tcW w:w="2632" w:type="dxa"/>
            <w:shd w:val="clear" w:color="auto" w:fill="auto"/>
            <w:vAlign w:val="center"/>
          </w:tcPr>
          <w:p w14:paraId="5F6B33E3"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0,45</w:t>
            </w:r>
          </w:p>
        </w:tc>
        <w:tc>
          <w:tcPr>
            <w:tcW w:w="2835" w:type="dxa"/>
            <w:shd w:val="clear" w:color="auto" w:fill="auto"/>
            <w:vAlign w:val="center"/>
          </w:tcPr>
          <w:p w14:paraId="2EB269CD"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0,32</w:t>
            </w:r>
          </w:p>
        </w:tc>
      </w:tr>
      <w:tr w:rsidR="00C45A22" w:rsidRPr="00CF77C1" w14:paraId="4FF15621" w14:textId="77777777" w:rsidTr="00276B15">
        <w:tc>
          <w:tcPr>
            <w:tcW w:w="1271" w:type="dxa"/>
            <w:vMerge/>
            <w:shd w:val="clear" w:color="auto" w:fill="auto"/>
            <w:vAlign w:val="center"/>
          </w:tcPr>
          <w:p w14:paraId="28637E8F"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0BFAF24B" w14:textId="77777777" w:rsidR="00C45A22" w:rsidRPr="00CF77C1" w:rsidRDefault="00C45A22" w:rsidP="0080044B">
            <w:pPr>
              <w:framePr w:hSpace="181" w:wrap="notBeside" w:vAnchor="text" w:hAnchor="text" w:y="1"/>
              <w:spacing w:before="40" w:after="40"/>
              <w:rPr>
                <w:lang w:val="sr-Cyrl-RS"/>
              </w:rPr>
            </w:pPr>
            <w:r w:rsidRPr="00CF77C1">
              <w:rPr>
                <w:lang w:val="sr-Cyrl-RS"/>
              </w:rPr>
              <w:t>Велики Црљени</w:t>
            </w:r>
          </w:p>
        </w:tc>
        <w:tc>
          <w:tcPr>
            <w:tcW w:w="2632" w:type="dxa"/>
            <w:shd w:val="clear" w:color="auto" w:fill="auto"/>
            <w:vAlign w:val="center"/>
          </w:tcPr>
          <w:p w14:paraId="352DDF85"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0,46</w:t>
            </w:r>
          </w:p>
        </w:tc>
        <w:tc>
          <w:tcPr>
            <w:tcW w:w="2835" w:type="dxa"/>
            <w:shd w:val="clear" w:color="auto" w:fill="auto"/>
            <w:vAlign w:val="center"/>
          </w:tcPr>
          <w:p w14:paraId="3BE4B49A"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0,36</w:t>
            </w:r>
          </w:p>
        </w:tc>
      </w:tr>
      <w:tr w:rsidR="00C45A22" w:rsidRPr="00CF77C1" w14:paraId="0CE3DA8F" w14:textId="77777777" w:rsidTr="00276B15">
        <w:tc>
          <w:tcPr>
            <w:tcW w:w="1271" w:type="dxa"/>
            <w:vMerge/>
            <w:shd w:val="clear" w:color="auto" w:fill="auto"/>
            <w:vAlign w:val="center"/>
          </w:tcPr>
          <w:p w14:paraId="78821630"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319A265A" w14:textId="77777777" w:rsidR="00C45A22" w:rsidRPr="00CF77C1" w:rsidRDefault="00C45A22" w:rsidP="0080044B">
            <w:pPr>
              <w:framePr w:hSpace="181" w:wrap="notBeside" w:vAnchor="text" w:hAnchor="text" w:y="1"/>
              <w:spacing w:before="40" w:after="40"/>
              <w:rPr>
                <w:lang w:val="sr-Cyrl-RS"/>
              </w:rPr>
            </w:pPr>
            <w:r w:rsidRPr="00CF77C1">
              <w:rPr>
                <w:lang w:val="sr-Cyrl-RS"/>
              </w:rPr>
              <w:t xml:space="preserve">Тамнава </w:t>
            </w:r>
            <w:r w:rsidR="00434622" w:rsidRPr="00CF77C1">
              <w:rPr>
                <w:lang w:val="sr-Cyrl-RS"/>
              </w:rPr>
              <w:t>западно поље</w:t>
            </w:r>
          </w:p>
        </w:tc>
        <w:tc>
          <w:tcPr>
            <w:tcW w:w="2632" w:type="dxa"/>
            <w:shd w:val="clear" w:color="auto" w:fill="auto"/>
            <w:vAlign w:val="center"/>
          </w:tcPr>
          <w:p w14:paraId="01BE085E"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0,22</w:t>
            </w:r>
          </w:p>
        </w:tc>
        <w:tc>
          <w:tcPr>
            <w:tcW w:w="2835" w:type="dxa"/>
            <w:shd w:val="clear" w:color="auto" w:fill="auto"/>
            <w:vAlign w:val="center"/>
          </w:tcPr>
          <w:p w14:paraId="72539E11"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0,38</w:t>
            </w:r>
          </w:p>
        </w:tc>
      </w:tr>
      <w:tr w:rsidR="00C45A22" w:rsidRPr="00CF77C1" w14:paraId="152BD5D8" w14:textId="77777777" w:rsidTr="00276B15">
        <w:tc>
          <w:tcPr>
            <w:tcW w:w="1271" w:type="dxa"/>
            <w:vMerge/>
            <w:shd w:val="clear" w:color="auto" w:fill="auto"/>
            <w:vAlign w:val="center"/>
          </w:tcPr>
          <w:p w14:paraId="1C44450B"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0219671B" w14:textId="77777777" w:rsidR="00C45A22" w:rsidRPr="00CF77C1" w:rsidRDefault="00C45A22" w:rsidP="0080044B">
            <w:pPr>
              <w:framePr w:hSpace="181" w:wrap="notBeside" w:vAnchor="text" w:hAnchor="text" w:y="1"/>
              <w:spacing w:before="40" w:after="40"/>
              <w:rPr>
                <w:lang w:val="sr-Cyrl-RS"/>
              </w:rPr>
            </w:pPr>
            <w:r w:rsidRPr="00CF77C1">
              <w:rPr>
                <w:lang w:val="sr-Cyrl-RS"/>
              </w:rPr>
              <w:t>Укупно</w:t>
            </w:r>
          </w:p>
        </w:tc>
        <w:tc>
          <w:tcPr>
            <w:tcW w:w="2632" w:type="dxa"/>
            <w:shd w:val="clear" w:color="auto" w:fill="auto"/>
            <w:vAlign w:val="center"/>
          </w:tcPr>
          <w:p w14:paraId="23951B73"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0,31</w:t>
            </w:r>
          </w:p>
        </w:tc>
        <w:tc>
          <w:tcPr>
            <w:tcW w:w="2835" w:type="dxa"/>
            <w:shd w:val="clear" w:color="auto" w:fill="auto"/>
            <w:vAlign w:val="center"/>
          </w:tcPr>
          <w:p w14:paraId="2A4ADDCD"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0,34</w:t>
            </w:r>
          </w:p>
        </w:tc>
      </w:tr>
      <w:tr w:rsidR="00C45A22" w:rsidRPr="00CF77C1" w14:paraId="673BA9E5" w14:textId="77777777" w:rsidTr="00276B15">
        <w:tc>
          <w:tcPr>
            <w:tcW w:w="1271" w:type="dxa"/>
            <w:vMerge w:val="restart"/>
            <w:shd w:val="clear" w:color="auto" w:fill="auto"/>
            <w:vAlign w:val="center"/>
          </w:tcPr>
          <w:p w14:paraId="4DB7872D" w14:textId="77777777" w:rsidR="00C45A22" w:rsidRPr="00CF77C1" w:rsidRDefault="00C45A22" w:rsidP="0080044B">
            <w:pPr>
              <w:framePr w:hSpace="181" w:wrap="notBeside" w:vAnchor="text" w:hAnchor="text" w:y="1"/>
              <w:spacing w:before="40" w:after="40"/>
              <w:rPr>
                <w:lang w:val="sr-Cyrl-RS"/>
              </w:rPr>
            </w:pPr>
            <w:r w:rsidRPr="00CF77C1">
              <w:rPr>
                <w:lang w:val="sr-Cyrl-RS"/>
              </w:rPr>
              <w:t xml:space="preserve">Костолац </w:t>
            </w:r>
          </w:p>
        </w:tc>
        <w:tc>
          <w:tcPr>
            <w:tcW w:w="2665" w:type="dxa"/>
            <w:shd w:val="clear" w:color="auto" w:fill="auto"/>
            <w:vAlign w:val="center"/>
          </w:tcPr>
          <w:p w14:paraId="14C99CAC" w14:textId="77777777" w:rsidR="00C45A22" w:rsidRPr="00CF77C1" w:rsidRDefault="00C45A22" w:rsidP="0080044B">
            <w:pPr>
              <w:framePr w:hSpace="181" w:wrap="notBeside" w:vAnchor="text" w:hAnchor="text" w:y="1"/>
              <w:spacing w:before="40" w:after="40"/>
              <w:rPr>
                <w:lang w:val="sr-Cyrl-RS"/>
              </w:rPr>
            </w:pPr>
            <w:r w:rsidRPr="00CF77C1">
              <w:rPr>
                <w:lang w:val="sr-Cyrl-RS"/>
              </w:rPr>
              <w:t>Дрмно</w:t>
            </w:r>
          </w:p>
        </w:tc>
        <w:tc>
          <w:tcPr>
            <w:tcW w:w="2632" w:type="dxa"/>
            <w:shd w:val="clear" w:color="auto" w:fill="auto"/>
            <w:vAlign w:val="center"/>
          </w:tcPr>
          <w:p w14:paraId="158C255D"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0,31</w:t>
            </w:r>
          </w:p>
        </w:tc>
        <w:tc>
          <w:tcPr>
            <w:tcW w:w="2835" w:type="dxa"/>
            <w:shd w:val="clear" w:color="auto" w:fill="auto"/>
            <w:vAlign w:val="center"/>
          </w:tcPr>
          <w:p w14:paraId="3C822113"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0,31</w:t>
            </w:r>
          </w:p>
        </w:tc>
      </w:tr>
      <w:tr w:rsidR="00C45A22" w:rsidRPr="00CF77C1" w14:paraId="54EF3717" w14:textId="77777777" w:rsidTr="00276B15">
        <w:tc>
          <w:tcPr>
            <w:tcW w:w="1271" w:type="dxa"/>
            <w:vMerge/>
            <w:shd w:val="clear" w:color="auto" w:fill="auto"/>
            <w:vAlign w:val="center"/>
          </w:tcPr>
          <w:p w14:paraId="76F1A7C8"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2FBE8B95" w14:textId="77777777" w:rsidR="00C45A22" w:rsidRPr="00CF77C1" w:rsidRDefault="00C45A22" w:rsidP="0080044B">
            <w:pPr>
              <w:framePr w:hSpace="181" w:wrap="notBeside" w:vAnchor="text" w:hAnchor="text" w:y="1"/>
              <w:spacing w:before="40" w:after="40"/>
              <w:rPr>
                <w:lang w:val="sr-Cyrl-RS"/>
              </w:rPr>
            </w:pPr>
            <w:r w:rsidRPr="00CF77C1">
              <w:rPr>
                <w:lang w:val="sr-Cyrl-RS"/>
              </w:rPr>
              <w:t>Укупно</w:t>
            </w:r>
          </w:p>
        </w:tc>
        <w:tc>
          <w:tcPr>
            <w:tcW w:w="2632" w:type="dxa"/>
            <w:shd w:val="clear" w:color="auto" w:fill="auto"/>
            <w:vAlign w:val="center"/>
          </w:tcPr>
          <w:p w14:paraId="3BFDAA92"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0,31</w:t>
            </w:r>
          </w:p>
        </w:tc>
        <w:tc>
          <w:tcPr>
            <w:tcW w:w="2835" w:type="dxa"/>
            <w:shd w:val="clear" w:color="auto" w:fill="auto"/>
            <w:vAlign w:val="center"/>
          </w:tcPr>
          <w:p w14:paraId="0D857BE8"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0,31</w:t>
            </w:r>
          </w:p>
        </w:tc>
      </w:tr>
      <w:tr w:rsidR="00C45A22" w:rsidRPr="00CF77C1" w14:paraId="4E70B21A" w14:textId="77777777" w:rsidTr="00276B15">
        <w:tc>
          <w:tcPr>
            <w:tcW w:w="1271" w:type="dxa"/>
            <w:shd w:val="clear" w:color="auto" w:fill="auto"/>
            <w:vAlign w:val="center"/>
          </w:tcPr>
          <w:p w14:paraId="782155F4" w14:textId="77777777" w:rsidR="00C45A22" w:rsidRPr="00CF77C1" w:rsidRDefault="00C45A22" w:rsidP="0080044B">
            <w:pPr>
              <w:framePr w:hSpace="181" w:wrap="notBeside" w:vAnchor="text" w:hAnchor="text" w:y="1"/>
              <w:spacing w:before="40" w:after="40"/>
              <w:rPr>
                <w:lang w:val="sr-Cyrl-RS"/>
              </w:rPr>
            </w:pPr>
            <w:r w:rsidRPr="00CF77C1">
              <w:rPr>
                <w:lang w:val="sr-Cyrl-RS"/>
              </w:rPr>
              <w:t>ЕПС</w:t>
            </w:r>
          </w:p>
        </w:tc>
        <w:tc>
          <w:tcPr>
            <w:tcW w:w="2665" w:type="dxa"/>
            <w:shd w:val="clear" w:color="auto" w:fill="auto"/>
            <w:vAlign w:val="center"/>
          </w:tcPr>
          <w:p w14:paraId="31EB615C" w14:textId="77777777" w:rsidR="00C45A22" w:rsidRPr="00CF77C1" w:rsidRDefault="00C45A22" w:rsidP="0080044B">
            <w:pPr>
              <w:framePr w:hSpace="181" w:wrap="notBeside" w:vAnchor="text" w:hAnchor="text" w:y="1"/>
              <w:spacing w:before="40" w:after="40"/>
              <w:rPr>
                <w:lang w:val="sr-Cyrl-RS"/>
              </w:rPr>
            </w:pPr>
            <w:r w:rsidRPr="00CF77C1">
              <w:rPr>
                <w:lang w:val="sr-Cyrl-RS"/>
              </w:rPr>
              <w:t>Укупно</w:t>
            </w:r>
          </w:p>
        </w:tc>
        <w:tc>
          <w:tcPr>
            <w:tcW w:w="2632" w:type="dxa"/>
            <w:shd w:val="clear" w:color="auto" w:fill="auto"/>
            <w:vAlign w:val="center"/>
          </w:tcPr>
          <w:p w14:paraId="2E02D9AB"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0,31</w:t>
            </w:r>
          </w:p>
        </w:tc>
        <w:tc>
          <w:tcPr>
            <w:tcW w:w="2835" w:type="dxa"/>
            <w:shd w:val="clear" w:color="auto" w:fill="auto"/>
            <w:vAlign w:val="center"/>
          </w:tcPr>
          <w:p w14:paraId="3E654765"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0,33</w:t>
            </w:r>
          </w:p>
        </w:tc>
      </w:tr>
    </w:tbl>
    <w:p w14:paraId="546D6310" w14:textId="4BC92C2D" w:rsidR="00C45A22" w:rsidRPr="00CF77C1" w:rsidRDefault="00D61BC9" w:rsidP="00233EA6">
      <w:pPr>
        <w:pStyle w:val="Caption"/>
        <w:ind w:firstLine="720"/>
        <w:rPr>
          <w:b w:val="0"/>
          <w:lang w:val="sr-Cyrl-RS"/>
        </w:rPr>
      </w:pPr>
      <w:r w:rsidRPr="00CF77C1">
        <w:rPr>
          <w:b w:val="0"/>
          <w:lang w:val="sr-Cyrl-RS"/>
        </w:rPr>
        <w:t>таб.</w:t>
      </w:r>
      <w:r w:rsidR="00C45A2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87</w:t>
      </w:r>
      <w:r w:rsidR="0092145E" w:rsidRPr="00CF77C1">
        <w:rPr>
          <w:b w:val="0"/>
          <w:lang w:val="sr-Cyrl-RS"/>
        </w:rPr>
        <w:fldChar w:fldCharType="end"/>
      </w:r>
      <w:r w:rsidR="00C45A22" w:rsidRPr="00CF77C1">
        <w:rPr>
          <w:b w:val="0"/>
          <w:lang w:val="sr-Cyrl-RS"/>
        </w:rPr>
        <w:t>: Остварени параметри производње откривке у 2015. години</w:t>
      </w:r>
    </w:p>
    <w:tbl>
      <w:tblPr>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65"/>
        <w:gridCol w:w="2632"/>
        <w:gridCol w:w="2835"/>
      </w:tblGrid>
      <w:tr w:rsidR="00C45A22" w:rsidRPr="00CF77C1" w14:paraId="7F6E5859" w14:textId="77777777" w:rsidTr="00276B15">
        <w:tc>
          <w:tcPr>
            <w:tcW w:w="1271" w:type="dxa"/>
            <w:shd w:val="clear" w:color="auto" w:fill="auto"/>
            <w:vAlign w:val="center"/>
          </w:tcPr>
          <w:p w14:paraId="037E51EE"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Басен</w:t>
            </w:r>
          </w:p>
        </w:tc>
        <w:tc>
          <w:tcPr>
            <w:tcW w:w="2665" w:type="dxa"/>
            <w:shd w:val="clear" w:color="auto" w:fill="auto"/>
            <w:vAlign w:val="center"/>
          </w:tcPr>
          <w:p w14:paraId="2019C744"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Коп</w:t>
            </w:r>
          </w:p>
        </w:tc>
        <w:tc>
          <w:tcPr>
            <w:tcW w:w="2632" w:type="dxa"/>
            <w:shd w:val="clear" w:color="auto" w:fill="auto"/>
            <w:vAlign w:val="center"/>
          </w:tcPr>
          <w:p w14:paraId="17FE5133"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Временско искоришћење</w:t>
            </w:r>
          </w:p>
        </w:tc>
        <w:tc>
          <w:tcPr>
            <w:tcW w:w="2835" w:type="dxa"/>
            <w:shd w:val="clear" w:color="auto" w:fill="auto"/>
            <w:vAlign w:val="center"/>
          </w:tcPr>
          <w:p w14:paraId="127DCEAC"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Капацитетно искоришћење</w:t>
            </w:r>
          </w:p>
        </w:tc>
      </w:tr>
      <w:tr w:rsidR="00C45A22" w:rsidRPr="00CF77C1" w14:paraId="5BBE89AC" w14:textId="77777777" w:rsidTr="00276B15">
        <w:tc>
          <w:tcPr>
            <w:tcW w:w="1271" w:type="dxa"/>
            <w:vMerge w:val="restart"/>
            <w:shd w:val="clear" w:color="auto" w:fill="auto"/>
            <w:vAlign w:val="center"/>
          </w:tcPr>
          <w:p w14:paraId="4740538E" w14:textId="77777777" w:rsidR="00C45A22" w:rsidRPr="00CF77C1" w:rsidRDefault="00C45A22" w:rsidP="0080044B">
            <w:pPr>
              <w:framePr w:hSpace="181" w:wrap="notBeside" w:vAnchor="text" w:hAnchor="text" w:y="1"/>
              <w:spacing w:before="40" w:after="40"/>
              <w:rPr>
                <w:lang w:val="sr-Cyrl-RS"/>
              </w:rPr>
            </w:pPr>
            <w:r w:rsidRPr="00CF77C1">
              <w:rPr>
                <w:lang w:val="sr-Cyrl-RS"/>
              </w:rPr>
              <w:t xml:space="preserve">Колубара </w:t>
            </w:r>
          </w:p>
        </w:tc>
        <w:tc>
          <w:tcPr>
            <w:tcW w:w="2665" w:type="dxa"/>
            <w:shd w:val="clear" w:color="auto" w:fill="auto"/>
            <w:vAlign w:val="center"/>
          </w:tcPr>
          <w:p w14:paraId="09D246EE" w14:textId="77777777" w:rsidR="00C45A22" w:rsidRPr="00CF77C1" w:rsidRDefault="00C45A22" w:rsidP="0080044B">
            <w:pPr>
              <w:framePr w:hSpace="181" w:wrap="notBeside" w:vAnchor="text" w:hAnchor="text" w:y="1"/>
              <w:spacing w:before="40" w:after="40"/>
              <w:rPr>
                <w:lang w:val="sr-Cyrl-RS"/>
              </w:rPr>
            </w:pPr>
            <w:r w:rsidRPr="00CF77C1">
              <w:rPr>
                <w:lang w:val="sr-Cyrl-RS"/>
              </w:rPr>
              <w:t>Поље Б</w:t>
            </w:r>
            <w:r w:rsidR="00434622" w:rsidRPr="00CF77C1">
              <w:rPr>
                <w:lang w:val="sr-Cyrl-RS"/>
              </w:rPr>
              <w:t>/Ц</w:t>
            </w:r>
          </w:p>
        </w:tc>
        <w:tc>
          <w:tcPr>
            <w:tcW w:w="2632" w:type="dxa"/>
            <w:shd w:val="clear" w:color="auto" w:fill="auto"/>
            <w:vAlign w:val="center"/>
          </w:tcPr>
          <w:p w14:paraId="62F7D1DB"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0,43</w:t>
            </w:r>
          </w:p>
        </w:tc>
        <w:tc>
          <w:tcPr>
            <w:tcW w:w="2835" w:type="dxa"/>
            <w:shd w:val="clear" w:color="auto" w:fill="auto"/>
            <w:vAlign w:val="center"/>
          </w:tcPr>
          <w:p w14:paraId="583A9DA4"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0,28</w:t>
            </w:r>
          </w:p>
        </w:tc>
      </w:tr>
      <w:tr w:rsidR="00C45A22" w:rsidRPr="00CF77C1" w14:paraId="02095506" w14:textId="77777777" w:rsidTr="00276B15">
        <w:tc>
          <w:tcPr>
            <w:tcW w:w="1271" w:type="dxa"/>
            <w:vMerge/>
            <w:shd w:val="clear" w:color="auto" w:fill="auto"/>
            <w:vAlign w:val="center"/>
          </w:tcPr>
          <w:p w14:paraId="37B4774F"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2151D3CA" w14:textId="77777777" w:rsidR="00C45A22" w:rsidRPr="00CF77C1" w:rsidRDefault="00C45A22" w:rsidP="0080044B">
            <w:pPr>
              <w:framePr w:hSpace="181" w:wrap="notBeside" w:vAnchor="text" w:hAnchor="text" w:y="1"/>
              <w:spacing w:before="40" w:after="40"/>
              <w:rPr>
                <w:lang w:val="sr-Cyrl-RS"/>
              </w:rPr>
            </w:pPr>
            <w:r w:rsidRPr="00CF77C1">
              <w:rPr>
                <w:lang w:val="sr-Cyrl-RS"/>
              </w:rPr>
              <w:t>Поље Д</w:t>
            </w:r>
          </w:p>
        </w:tc>
        <w:tc>
          <w:tcPr>
            <w:tcW w:w="2632" w:type="dxa"/>
            <w:shd w:val="clear" w:color="auto" w:fill="auto"/>
            <w:vAlign w:val="center"/>
          </w:tcPr>
          <w:p w14:paraId="5B36A7CD"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0,34</w:t>
            </w:r>
          </w:p>
        </w:tc>
        <w:tc>
          <w:tcPr>
            <w:tcW w:w="2835" w:type="dxa"/>
            <w:shd w:val="clear" w:color="auto" w:fill="auto"/>
            <w:vAlign w:val="center"/>
          </w:tcPr>
          <w:p w14:paraId="5AD03EE2"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0,36</w:t>
            </w:r>
          </w:p>
        </w:tc>
      </w:tr>
      <w:tr w:rsidR="00C45A22" w:rsidRPr="00CF77C1" w14:paraId="2DAEC4BD" w14:textId="77777777" w:rsidTr="00276B15">
        <w:tc>
          <w:tcPr>
            <w:tcW w:w="1271" w:type="dxa"/>
            <w:vMerge/>
            <w:shd w:val="clear" w:color="auto" w:fill="auto"/>
            <w:vAlign w:val="center"/>
          </w:tcPr>
          <w:p w14:paraId="3B0F7064"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5A57826C" w14:textId="77777777" w:rsidR="00C45A22" w:rsidRPr="00CF77C1" w:rsidRDefault="00C45A22" w:rsidP="0080044B">
            <w:pPr>
              <w:framePr w:hSpace="181" w:wrap="notBeside" w:vAnchor="text" w:hAnchor="text" w:y="1"/>
              <w:spacing w:before="40" w:after="40"/>
              <w:rPr>
                <w:lang w:val="sr-Cyrl-RS"/>
              </w:rPr>
            </w:pPr>
            <w:r w:rsidRPr="00CF77C1">
              <w:rPr>
                <w:lang w:val="sr-Cyrl-RS"/>
              </w:rPr>
              <w:t>Велики Црљени</w:t>
            </w:r>
          </w:p>
        </w:tc>
        <w:tc>
          <w:tcPr>
            <w:tcW w:w="2632" w:type="dxa"/>
            <w:shd w:val="clear" w:color="auto" w:fill="auto"/>
            <w:vAlign w:val="center"/>
          </w:tcPr>
          <w:p w14:paraId="6A334EC3"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0,62</w:t>
            </w:r>
          </w:p>
        </w:tc>
        <w:tc>
          <w:tcPr>
            <w:tcW w:w="2835" w:type="dxa"/>
            <w:shd w:val="clear" w:color="auto" w:fill="auto"/>
            <w:vAlign w:val="center"/>
          </w:tcPr>
          <w:p w14:paraId="4D616D66"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0,37</w:t>
            </w:r>
          </w:p>
        </w:tc>
      </w:tr>
      <w:tr w:rsidR="00C45A22" w:rsidRPr="00CF77C1" w14:paraId="33E4EAF8" w14:textId="77777777" w:rsidTr="00276B15">
        <w:tc>
          <w:tcPr>
            <w:tcW w:w="1271" w:type="dxa"/>
            <w:vMerge/>
            <w:shd w:val="clear" w:color="auto" w:fill="auto"/>
            <w:vAlign w:val="center"/>
          </w:tcPr>
          <w:p w14:paraId="24BE429B"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320DF3C6" w14:textId="77777777" w:rsidR="00C45A22" w:rsidRPr="00CF77C1" w:rsidRDefault="00C45A22" w:rsidP="0080044B">
            <w:pPr>
              <w:framePr w:hSpace="181" w:wrap="notBeside" w:vAnchor="text" w:hAnchor="text" w:y="1"/>
              <w:spacing w:before="40" w:after="40"/>
              <w:rPr>
                <w:lang w:val="sr-Cyrl-RS"/>
              </w:rPr>
            </w:pPr>
            <w:r w:rsidRPr="00CF77C1">
              <w:rPr>
                <w:lang w:val="sr-Cyrl-RS"/>
              </w:rPr>
              <w:t xml:space="preserve">Тамнава </w:t>
            </w:r>
            <w:r w:rsidR="00434622" w:rsidRPr="00CF77C1">
              <w:rPr>
                <w:lang w:val="sr-Cyrl-RS"/>
              </w:rPr>
              <w:t>западно поље</w:t>
            </w:r>
          </w:p>
        </w:tc>
        <w:tc>
          <w:tcPr>
            <w:tcW w:w="2632" w:type="dxa"/>
            <w:shd w:val="clear" w:color="auto" w:fill="auto"/>
            <w:vAlign w:val="center"/>
          </w:tcPr>
          <w:p w14:paraId="5C4DC6FF"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0,37</w:t>
            </w:r>
          </w:p>
        </w:tc>
        <w:tc>
          <w:tcPr>
            <w:tcW w:w="2835" w:type="dxa"/>
            <w:shd w:val="clear" w:color="auto" w:fill="auto"/>
            <w:vAlign w:val="center"/>
          </w:tcPr>
          <w:p w14:paraId="2ED81D33"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0,43</w:t>
            </w:r>
          </w:p>
        </w:tc>
      </w:tr>
      <w:tr w:rsidR="00C45A22" w:rsidRPr="00CF77C1" w14:paraId="26D89545" w14:textId="77777777" w:rsidTr="00276B15">
        <w:tc>
          <w:tcPr>
            <w:tcW w:w="1271" w:type="dxa"/>
            <w:vMerge/>
            <w:shd w:val="clear" w:color="auto" w:fill="auto"/>
            <w:vAlign w:val="center"/>
          </w:tcPr>
          <w:p w14:paraId="701703D5"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3DFAF71E" w14:textId="77777777" w:rsidR="00C45A22" w:rsidRPr="00CF77C1" w:rsidRDefault="00C45A22" w:rsidP="0080044B">
            <w:pPr>
              <w:framePr w:hSpace="181" w:wrap="notBeside" w:vAnchor="text" w:hAnchor="text" w:y="1"/>
              <w:spacing w:before="40" w:after="40"/>
              <w:rPr>
                <w:lang w:val="sr-Cyrl-RS"/>
              </w:rPr>
            </w:pPr>
            <w:r w:rsidRPr="00CF77C1">
              <w:rPr>
                <w:lang w:val="sr-Cyrl-RS"/>
              </w:rPr>
              <w:t>Укупно</w:t>
            </w:r>
          </w:p>
        </w:tc>
        <w:tc>
          <w:tcPr>
            <w:tcW w:w="2632" w:type="dxa"/>
            <w:shd w:val="clear" w:color="auto" w:fill="auto"/>
            <w:vAlign w:val="center"/>
          </w:tcPr>
          <w:p w14:paraId="5FE713BC"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0,38</w:t>
            </w:r>
          </w:p>
        </w:tc>
        <w:tc>
          <w:tcPr>
            <w:tcW w:w="2835" w:type="dxa"/>
            <w:shd w:val="clear" w:color="auto" w:fill="auto"/>
            <w:vAlign w:val="center"/>
          </w:tcPr>
          <w:p w14:paraId="3EED0B55"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0,36</w:t>
            </w:r>
          </w:p>
        </w:tc>
      </w:tr>
      <w:tr w:rsidR="00C45A22" w:rsidRPr="00CF77C1" w14:paraId="2A81DEA7" w14:textId="77777777" w:rsidTr="00276B15">
        <w:tc>
          <w:tcPr>
            <w:tcW w:w="1271" w:type="dxa"/>
            <w:vMerge w:val="restart"/>
            <w:shd w:val="clear" w:color="auto" w:fill="auto"/>
            <w:vAlign w:val="center"/>
          </w:tcPr>
          <w:p w14:paraId="5DE3464A" w14:textId="77777777" w:rsidR="00C45A22" w:rsidRPr="00CF77C1" w:rsidRDefault="00C45A22" w:rsidP="0080044B">
            <w:pPr>
              <w:framePr w:hSpace="181" w:wrap="notBeside" w:vAnchor="text" w:hAnchor="text" w:y="1"/>
              <w:spacing w:before="40" w:after="40"/>
              <w:rPr>
                <w:lang w:val="sr-Cyrl-RS"/>
              </w:rPr>
            </w:pPr>
            <w:r w:rsidRPr="00CF77C1">
              <w:rPr>
                <w:lang w:val="sr-Cyrl-RS"/>
              </w:rPr>
              <w:t xml:space="preserve">Костолац </w:t>
            </w:r>
          </w:p>
        </w:tc>
        <w:tc>
          <w:tcPr>
            <w:tcW w:w="2665" w:type="dxa"/>
            <w:shd w:val="clear" w:color="auto" w:fill="auto"/>
            <w:vAlign w:val="center"/>
          </w:tcPr>
          <w:p w14:paraId="730C76FF" w14:textId="77777777" w:rsidR="00C45A22" w:rsidRPr="00CF77C1" w:rsidRDefault="00C45A22" w:rsidP="0080044B">
            <w:pPr>
              <w:framePr w:hSpace="181" w:wrap="notBeside" w:vAnchor="text" w:hAnchor="text" w:y="1"/>
              <w:spacing w:before="40" w:after="40"/>
              <w:rPr>
                <w:lang w:val="sr-Cyrl-RS"/>
              </w:rPr>
            </w:pPr>
            <w:r w:rsidRPr="00CF77C1">
              <w:rPr>
                <w:lang w:val="sr-Cyrl-RS"/>
              </w:rPr>
              <w:t>Дрмно</w:t>
            </w:r>
          </w:p>
        </w:tc>
        <w:tc>
          <w:tcPr>
            <w:tcW w:w="2632" w:type="dxa"/>
            <w:shd w:val="clear" w:color="auto" w:fill="auto"/>
            <w:vAlign w:val="center"/>
          </w:tcPr>
          <w:p w14:paraId="403E06FA"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0,44</w:t>
            </w:r>
          </w:p>
        </w:tc>
        <w:tc>
          <w:tcPr>
            <w:tcW w:w="2835" w:type="dxa"/>
            <w:shd w:val="clear" w:color="auto" w:fill="auto"/>
            <w:vAlign w:val="center"/>
          </w:tcPr>
          <w:p w14:paraId="269E85DB"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0,49</w:t>
            </w:r>
          </w:p>
        </w:tc>
      </w:tr>
      <w:tr w:rsidR="00C45A22" w:rsidRPr="00CF77C1" w14:paraId="59CEA572" w14:textId="77777777" w:rsidTr="00276B15">
        <w:tc>
          <w:tcPr>
            <w:tcW w:w="1271" w:type="dxa"/>
            <w:vMerge/>
            <w:shd w:val="clear" w:color="auto" w:fill="auto"/>
            <w:vAlign w:val="center"/>
          </w:tcPr>
          <w:p w14:paraId="53477A11" w14:textId="77777777" w:rsidR="00C45A22" w:rsidRPr="00CF77C1" w:rsidRDefault="00C45A22" w:rsidP="0080044B">
            <w:pPr>
              <w:framePr w:hSpace="181" w:wrap="notBeside" w:vAnchor="text" w:hAnchor="text" w:y="1"/>
              <w:spacing w:before="40" w:after="40"/>
              <w:rPr>
                <w:lang w:val="sr-Cyrl-RS"/>
              </w:rPr>
            </w:pPr>
          </w:p>
        </w:tc>
        <w:tc>
          <w:tcPr>
            <w:tcW w:w="2665" w:type="dxa"/>
            <w:shd w:val="clear" w:color="auto" w:fill="auto"/>
            <w:vAlign w:val="center"/>
          </w:tcPr>
          <w:p w14:paraId="7822D05D" w14:textId="77777777" w:rsidR="00C45A22" w:rsidRPr="00CF77C1" w:rsidRDefault="00C45A22" w:rsidP="0080044B">
            <w:pPr>
              <w:framePr w:hSpace="181" w:wrap="notBeside" w:vAnchor="text" w:hAnchor="text" w:y="1"/>
              <w:spacing w:before="40" w:after="40"/>
              <w:rPr>
                <w:lang w:val="sr-Cyrl-RS"/>
              </w:rPr>
            </w:pPr>
            <w:r w:rsidRPr="00CF77C1">
              <w:rPr>
                <w:lang w:val="sr-Cyrl-RS"/>
              </w:rPr>
              <w:t>Укупно</w:t>
            </w:r>
          </w:p>
        </w:tc>
        <w:tc>
          <w:tcPr>
            <w:tcW w:w="2632" w:type="dxa"/>
            <w:shd w:val="clear" w:color="auto" w:fill="auto"/>
            <w:vAlign w:val="center"/>
          </w:tcPr>
          <w:p w14:paraId="6AA07917"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0,44</w:t>
            </w:r>
          </w:p>
        </w:tc>
        <w:tc>
          <w:tcPr>
            <w:tcW w:w="2835" w:type="dxa"/>
            <w:shd w:val="clear" w:color="auto" w:fill="auto"/>
            <w:vAlign w:val="center"/>
          </w:tcPr>
          <w:p w14:paraId="29526A8E"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0,49</w:t>
            </w:r>
          </w:p>
        </w:tc>
      </w:tr>
      <w:tr w:rsidR="00C45A22" w:rsidRPr="00CF77C1" w14:paraId="258C5B64" w14:textId="77777777" w:rsidTr="00276B15">
        <w:tc>
          <w:tcPr>
            <w:tcW w:w="1271" w:type="dxa"/>
            <w:shd w:val="clear" w:color="auto" w:fill="auto"/>
            <w:vAlign w:val="center"/>
          </w:tcPr>
          <w:p w14:paraId="67ADFAC7" w14:textId="77777777" w:rsidR="00C45A22" w:rsidRPr="00CF77C1" w:rsidRDefault="00C45A22" w:rsidP="0080044B">
            <w:pPr>
              <w:framePr w:hSpace="181" w:wrap="notBeside" w:vAnchor="text" w:hAnchor="text" w:y="1"/>
              <w:spacing w:before="40" w:after="40"/>
              <w:rPr>
                <w:lang w:val="sr-Cyrl-RS"/>
              </w:rPr>
            </w:pPr>
            <w:r w:rsidRPr="00CF77C1">
              <w:rPr>
                <w:lang w:val="sr-Cyrl-RS"/>
              </w:rPr>
              <w:t>ЕПС</w:t>
            </w:r>
          </w:p>
        </w:tc>
        <w:tc>
          <w:tcPr>
            <w:tcW w:w="2665" w:type="dxa"/>
            <w:shd w:val="clear" w:color="auto" w:fill="auto"/>
            <w:vAlign w:val="center"/>
          </w:tcPr>
          <w:p w14:paraId="187A8182" w14:textId="77777777" w:rsidR="00C45A22" w:rsidRPr="00CF77C1" w:rsidRDefault="00C45A22" w:rsidP="0080044B">
            <w:pPr>
              <w:framePr w:hSpace="181" w:wrap="notBeside" w:vAnchor="text" w:hAnchor="text" w:y="1"/>
              <w:spacing w:before="40" w:after="40"/>
              <w:rPr>
                <w:lang w:val="sr-Cyrl-RS"/>
              </w:rPr>
            </w:pPr>
            <w:r w:rsidRPr="00CF77C1">
              <w:rPr>
                <w:lang w:val="sr-Cyrl-RS"/>
              </w:rPr>
              <w:t>Укупно</w:t>
            </w:r>
          </w:p>
        </w:tc>
        <w:tc>
          <w:tcPr>
            <w:tcW w:w="2632" w:type="dxa"/>
            <w:shd w:val="clear" w:color="auto" w:fill="auto"/>
            <w:vAlign w:val="center"/>
          </w:tcPr>
          <w:p w14:paraId="2EC70A35"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0,40</w:t>
            </w:r>
          </w:p>
        </w:tc>
        <w:tc>
          <w:tcPr>
            <w:tcW w:w="2835" w:type="dxa"/>
            <w:shd w:val="clear" w:color="auto" w:fill="auto"/>
            <w:vAlign w:val="center"/>
          </w:tcPr>
          <w:p w14:paraId="24DF4CA7"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0,40</w:t>
            </w:r>
          </w:p>
        </w:tc>
      </w:tr>
    </w:tbl>
    <w:p w14:paraId="149AD210" w14:textId="77777777" w:rsidR="00087F14" w:rsidRPr="00CF77C1" w:rsidRDefault="00087F14" w:rsidP="00233EA6">
      <w:pPr>
        <w:keepNext/>
        <w:spacing w:before="120"/>
        <w:ind w:firstLine="720"/>
        <w:rPr>
          <w:u w:val="single"/>
          <w:lang w:val="sr-Cyrl-RS"/>
        </w:rPr>
      </w:pPr>
      <w:r w:rsidRPr="00CF77C1">
        <w:rPr>
          <w:rFonts w:eastAsia="Calibri"/>
          <w:szCs w:val="24"/>
          <w:lang w:val="sr-Cyrl-RS"/>
        </w:rPr>
        <w:t>Циљана вредност индикатора 2023: За планирану производњу неопходно је повећати вредност индикатора коефицијент капацитетног искоришћења на 0,5, чиме ће се створити предуслови за рационализацију временског искоришћења и рационализацију радне снаге (предуслов да системи не раде викендом).</w:t>
      </w:r>
    </w:p>
    <w:p w14:paraId="12797546" w14:textId="10DA1451" w:rsidR="00C45A22" w:rsidRPr="00CF77C1" w:rsidRDefault="009C5ABB" w:rsidP="00233EA6">
      <w:pPr>
        <w:keepNext/>
        <w:spacing w:before="120"/>
        <w:ind w:firstLine="720"/>
        <w:rPr>
          <w:u w:val="single"/>
          <w:lang w:val="sr-Cyrl-RS"/>
        </w:rPr>
      </w:pPr>
      <w:r w:rsidRPr="00CF77C1">
        <w:rPr>
          <w:u w:val="single"/>
          <w:lang w:val="sr-Cyrl-RS"/>
        </w:rPr>
        <w:t xml:space="preserve">Индикатор бр. </w:t>
      </w:r>
      <w:r w:rsidR="00981A87" w:rsidRPr="00CF77C1">
        <w:rPr>
          <w:u w:val="single"/>
          <w:lang w:val="sr-Cyrl-RS"/>
        </w:rPr>
        <w:t>3</w:t>
      </w:r>
    </w:p>
    <w:p w14:paraId="5894C084" w14:textId="77777777" w:rsidR="00C45A22" w:rsidRPr="00CF77C1" w:rsidRDefault="00C45A22" w:rsidP="00233EA6">
      <w:pPr>
        <w:ind w:firstLine="720"/>
        <w:rPr>
          <w:lang w:val="sr-Cyrl-RS"/>
        </w:rPr>
      </w:pPr>
      <w:r w:rsidRPr="00CF77C1">
        <w:rPr>
          <w:lang w:val="sr-Cyrl-RS"/>
        </w:rPr>
        <w:t xml:space="preserve">Циљ: </w:t>
      </w:r>
      <w:r w:rsidR="00434622" w:rsidRPr="00CF77C1">
        <w:rPr>
          <w:lang w:val="sr-Cyrl-RS"/>
        </w:rPr>
        <w:t>Остваривање потребног капацитета на откопавању угља и јаловине у циљу сигурног снабдевања термоелектрана</w:t>
      </w:r>
    </w:p>
    <w:p w14:paraId="5DAA69BC" w14:textId="77777777" w:rsidR="00C45A22" w:rsidRPr="00CF77C1" w:rsidRDefault="00C45A22" w:rsidP="0080044B">
      <w:pPr>
        <w:rPr>
          <w:rFonts w:eastAsia="Calibri"/>
          <w:szCs w:val="24"/>
          <w:lang w:val="sr-Cyrl-RS"/>
        </w:rPr>
      </w:pPr>
      <w:r w:rsidRPr="00CF77C1">
        <w:rPr>
          <w:rFonts w:eastAsia="Calibri"/>
          <w:szCs w:val="24"/>
          <w:lang w:val="sr-Cyrl-RS"/>
        </w:rPr>
        <w:t xml:space="preserve">Индикатор: Однос остварене и планиране производње </w:t>
      </w:r>
      <w:r w:rsidR="00434622" w:rsidRPr="00CF77C1">
        <w:rPr>
          <w:rFonts w:eastAsia="Calibri"/>
          <w:szCs w:val="24"/>
          <w:lang w:val="sr-Cyrl-RS"/>
        </w:rPr>
        <w:t xml:space="preserve">јаловине и угља </w:t>
      </w:r>
      <w:r w:rsidRPr="00CF77C1">
        <w:rPr>
          <w:rFonts w:eastAsia="Calibri"/>
          <w:szCs w:val="24"/>
          <w:lang w:val="sr-Cyrl-RS"/>
        </w:rPr>
        <w:t xml:space="preserve">на површинским коповима; Овај индикатор указује на </w:t>
      </w:r>
      <w:r w:rsidRPr="00CF77C1">
        <w:rPr>
          <w:szCs w:val="24"/>
          <w:lang w:val="sr-Cyrl-RS"/>
        </w:rPr>
        <w:t>остваривање потребног капацитета на откопавању угља и јаловине у циљу сигурног снабдевања термоелектрана.</w:t>
      </w:r>
    </w:p>
    <w:p w14:paraId="6DA72CB5" w14:textId="18FA0FC4" w:rsidR="00C45A22" w:rsidRPr="00CF77C1" w:rsidRDefault="00D61BC9" w:rsidP="00233EA6">
      <w:pPr>
        <w:pStyle w:val="Caption"/>
        <w:ind w:firstLine="720"/>
        <w:rPr>
          <w:b w:val="0"/>
          <w:lang w:val="sr-Cyrl-RS"/>
        </w:rPr>
      </w:pPr>
      <w:r w:rsidRPr="00CF77C1">
        <w:rPr>
          <w:b w:val="0"/>
          <w:lang w:val="sr-Cyrl-RS"/>
        </w:rPr>
        <w:t>таб.</w:t>
      </w:r>
      <w:r w:rsidR="00C45A2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88</w:t>
      </w:r>
      <w:r w:rsidR="0092145E" w:rsidRPr="00CF77C1">
        <w:rPr>
          <w:b w:val="0"/>
          <w:lang w:val="sr-Cyrl-RS"/>
        </w:rPr>
        <w:fldChar w:fldCharType="end"/>
      </w:r>
      <w:r w:rsidR="00C45A22" w:rsidRPr="00CF77C1">
        <w:rPr>
          <w:b w:val="0"/>
          <w:lang w:val="sr-Cyrl-RS"/>
        </w:rPr>
        <w:t xml:space="preserve">: </w:t>
      </w:r>
      <w:r w:rsidR="00276B15" w:rsidRPr="00CF77C1">
        <w:rPr>
          <w:b w:val="0"/>
          <w:lang w:val="sr-Cyrl-RS"/>
        </w:rPr>
        <w:t>Остварени индикатори производње угља у 2015. години</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2669"/>
        <w:gridCol w:w="1878"/>
        <w:gridCol w:w="1878"/>
        <w:gridCol w:w="1879"/>
      </w:tblGrid>
      <w:tr w:rsidR="00C45A22" w:rsidRPr="00CF77C1" w14:paraId="20B64947" w14:textId="77777777" w:rsidTr="00434622">
        <w:tc>
          <w:tcPr>
            <w:tcW w:w="1267" w:type="dxa"/>
            <w:shd w:val="clear" w:color="auto" w:fill="auto"/>
            <w:vAlign w:val="center"/>
          </w:tcPr>
          <w:p w14:paraId="416B0CAC"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Басен</w:t>
            </w:r>
          </w:p>
        </w:tc>
        <w:tc>
          <w:tcPr>
            <w:tcW w:w="2669" w:type="dxa"/>
            <w:shd w:val="clear" w:color="auto" w:fill="auto"/>
            <w:vAlign w:val="center"/>
          </w:tcPr>
          <w:p w14:paraId="42D1F222"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Коп</w:t>
            </w:r>
          </w:p>
        </w:tc>
        <w:tc>
          <w:tcPr>
            <w:tcW w:w="1878" w:type="dxa"/>
            <w:shd w:val="clear" w:color="auto" w:fill="auto"/>
          </w:tcPr>
          <w:p w14:paraId="0B42DF6B"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План производње, t</w:t>
            </w:r>
          </w:p>
        </w:tc>
        <w:tc>
          <w:tcPr>
            <w:tcW w:w="1878" w:type="dxa"/>
            <w:vAlign w:val="center"/>
          </w:tcPr>
          <w:p w14:paraId="1F81AFEA"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Производња угља, t</w:t>
            </w:r>
          </w:p>
        </w:tc>
        <w:tc>
          <w:tcPr>
            <w:tcW w:w="1879" w:type="dxa"/>
            <w:shd w:val="clear" w:color="auto" w:fill="auto"/>
            <w:vAlign w:val="center"/>
          </w:tcPr>
          <w:p w14:paraId="4D4665A5" w14:textId="77777777" w:rsidR="00C45A22" w:rsidRPr="00CF77C1" w:rsidRDefault="00C45A22" w:rsidP="0080044B">
            <w:pPr>
              <w:framePr w:hSpace="181" w:wrap="notBeside" w:vAnchor="text" w:hAnchor="text" w:y="1"/>
              <w:spacing w:before="40" w:after="40"/>
              <w:jc w:val="center"/>
              <w:rPr>
                <w:lang w:val="sr-Cyrl-RS"/>
              </w:rPr>
            </w:pPr>
            <w:r w:rsidRPr="00CF77C1">
              <w:rPr>
                <w:lang w:val="sr-Cyrl-RS"/>
              </w:rPr>
              <w:t>Индикатор</w:t>
            </w:r>
          </w:p>
        </w:tc>
      </w:tr>
      <w:tr w:rsidR="00434622" w:rsidRPr="00CF77C1" w14:paraId="6A474931" w14:textId="77777777" w:rsidTr="00434622">
        <w:tc>
          <w:tcPr>
            <w:tcW w:w="1267" w:type="dxa"/>
            <w:vMerge w:val="restart"/>
            <w:shd w:val="clear" w:color="auto" w:fill="auto"/>
            <w:vAlign w:val="center"/>
          </w:tcPr>
          <w:p w14:paraId="0C25F692" w14:textId="77777777" w:rsidR="00434622" w:rsidRPr="00CF77C1" w:rsidRDefault="00434622" w:rsidP="0080044B">
            <w:pPr>
              <w:framePr w:hSpace="181" w:wrap="notBeside" w:vAnchor="text" w:hAnchor="text" w:y="1"/>
              <w:spacing w:before="40" w:after="40"/>
              <w:rPr>
                <w:lang w:val="sr-Cyrl-RS"/>
              </w:rPr>
            </w:pPr>
            <w:r w:rsidRPr="00CF77C1">
              <w:rPr>
                <w:lang w:val="sr-Cyrl-RS"/>
              </w:rPr>
              <w:t xml:space="preserve">Колубара </w:t>
            </w:r>
          </w:p>
        </w:tc>
        <w:tc>
          <w:tcPr>
            <w:tcW w:w="2669" w:type="dxa"/>
            <w:shd w:val="clear" w:color="auto" w:fill="auto"/>
            <w:vAlign w:val="center"/>
          </w:tcPr>
          <w:p w14:paraId="27710759" w14:textId="77777777" w:rsidR="00434622" w:rsidRPr="00CF77C1" w:rsidRDefault="00434622" w:rsidP="0080044B">
            <w:pPr>
              <w:framePr w:hSpace="181" w:wrap="notBeside" w:vAnchor="text" w:hAnchor="text" w:y="1"/>
              <w:spacing w:before="40" w:after="40"/>
              <w:rPr>
                <w:lang w:val="sr-Cyrl-RS"/>
              </w:rPr>
            </w:pPr>
            <w:r w:rsidRPr="00CF77C1">
              <w:rPr>
                <w:lang w:val="sr-Cyrl-RS"/>
              </w:rPr>
              <w:t>Поље Б/Ц</w:t>
            </w:r>
          </w:p>
        </w:tc>
        <w:tc>
          <w:tcPr>
            <w:tcW w:w="1878" w:type="dxa"/>
            <w:shd w:val="clear" w:color="auto" w:fill="auto"/>
            <w:vAlign w:val="center"/>
          </w:tcPr>
          <w:p w14:paraId="36339FAC" w14:textId="77777777" w:rsidR="00434622" w:rsidRPr="00CF77C1" w:rsidRDefault="00434622" w:rsidP="0080044B">
            <w:pPr>
              <w:framePr w:hSpace="181" w:wrap="notBeside" w:vAnchor="text" w:hAnchor="text" w:y="1"/>
              <w:spacing w:before="40" w:after="40"/>
              <w:jc w:val="right"/>
              <w:rPr>
                <w:lang w:val="sr-Cyrl-RS" w:eastAsia="en-GB"/>
              </w:rPr>
            </w:pPr>
            <w:r w:rsidRPr="00CF77C1">
              <w:rPr>
                <w:lang w:val="sr-Cyrl-RS"/>
              </w:rPr>
              <w:t>3.300.000</w:t>
            </w:r>
          </w:p>
        </w:tc>
        <w:tc>
          <w:tcPr>
            <w:tcW w:w="1878" w:type="dxa"/>
            <w:vAlign w:val="center"/>
          </w:tcPr>
          <w:p w14:paraId="7581681E"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1.296.938</w:t>
            </w:r>
          </w:p>
        </w:tc>
        <w:tc>
          <w:tcPr>
            <w:tcW w:w="1879" w:type="dxa"/>
            <w:shd w:val="clear" w:color="auto" w:fill="auto"/>
            <w:vAlign w:val="center"/>
          </w:tcPr>
          <w:p w14:paraId="0084308D"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0,39</w:t>
            </w:r>
          </w:p>
        </w:tc>
      </w:tr>
      <w:tr w:rsidR="00434622" w:rsidRPr="00CF77C1" w14:paraId="06DD5858" w14:textId="77777777" w:rsidTr="00434622">
        <w:tc>
          <w:tcPr>
            <w:tcW w:w="1267" w:type="dxa"/>
            <w:vMerge/>
            <w:shd w:val="clear" w:color="auto" w:fill="auto"/>
            <w:vAlign w:val="center"/>
          </w:tcPr>
          <w:p w14:paraId="4BCFD0F1" w14:textId="77777777" w:rsidR="00434622" w:rsidRPr="00CF77C1" w:rsidRDefault="00434622" w:rsidP="0080044B">
            <w:pPr>
              <w:framePr w:hSpace="181" w:wrap="notBeside" w:vAnchor="text" w:hAnchor="text" w:y="1"/>
              <w:spacing w:before="40" w:after="40"/>
              <w:rPr>
                <w:lang w:val="sr-Cyrl-RS"/>
              </w:rPr>
            </w:pPr>
          </w:p>
        </w:tc>
        <w:tc>
          <w:tcPr>
            <w:tcW w:w="2669" w:type="dxa"/>
            <w:shd w:val="clear" w:color="auto" w:fill="auto"/>
            <w:vAlign w:val="center"/>
          </w:tcPr>
          <w:p w14:paraId="7E8F8151" w14:textId="77777777" w:rsidR="00434622" w:rsidRPr="00CF77C1" w:rsidRDefault="00434622" w:rsidP="0080044B">
            <w:pPr>
              <w:framePr w:hSpace="181" w:wrap="notBeside" w:vAnchor="text" w:hAnchor="text" w:y="1"/>
              <w:spacing w:before="40" w:after="40"/>
              <w:rPr>
                <w:lang w:val="sr-Cyrl-RS"/>
              </w:rPr>
            </w:pPr>
            <w:r w:rsidRPr="00CF77C1">
              <w:rPr>
                <w:lang w:val="sr-Cyrl-RS"/>
              </w:rPr>
              <w:t>Поље Д</w:t>
            </w:r>
          </w:p>
        </w:tc>
        <w:tc>
          <w:tcPr>
            <w:tcW w:w="1878" w:type="dxa"/>
            <w:shd w:val="clear" w:color="auto" w:fill="auto"/>
            <w:vAlign w:val="center"/>
          </w:tcPr>
          <w:p w14:paraId="62610379"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11.382.000</w:t>
            </w:r>
          </w:p>
        </w:tc>
        <w:tc>
          <w:tcPr>
            <w:tcW w:w="1878" w:type="dxa"/>
            <w:vAlign w:val="center"/>
          </w:tcPr>
          <w:p w14:paraId="3ECF2D52"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12.298.460</w:t>
            </w:r>
          </w:p>
        </w:tc>
        <w:tc>
          <w:tcPr>
            <w:tcW w:w="1879" w:type="dxa"/>
            <w:shd w:val="clear" w:color="auto" w:fill="auto"/>
            <w:vAlign w:val="center"/>
          </w:tcPr>
          <w:p w14:paraId="2D0A8000"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1,08</w:t>
            </w:r>
          </w:p>
        </w:tc>
      </w:tr>
      <w:tr w:rsidR="00434622" w:rsidRPr="00CF77C1" w14:paraId="16CFCB5C" w14:textId="77777777" w:rsidTr="00434622">
        <w:tc>
          <w:tcPr>
            <w:tcW w:w="1267" w:type="dxa"/>
            <w:vMerge/>
            <w:shd w:val="clear" w:color="auto" w:fill="auto"/>
            <w:vAlign w:val="center"/>
          </w:tcPr>
          <w:p w14:paraId="7492E15C" w14:textId="77777777" w:rsidR="00434622" w:rsidRPr="00CF77C1" w:rsidRDefault="00434622" w:rsidP="0080044B">
            <w:pPr>
              <w:framePr w:hSpace="181" w:wrap="notBeside" w:vAnchor="text" w:hAnchor="text" w:y="1"/>
              <w:spacing w:before="40" w:after="40"/>
              <w:rPr>
                <w:lang w:val="sr-Cyrl-RS"/>
              </w:rPr>
            </w:pPr>
          </w:p>
        </w:tc>
        <w:tc>
          <w:tcPr>
            <w:tcW w:w="2669" w:type="dxa"/>
            <w:shd w:val="clear" w:color="auto" w:fill="auto"/>
            <w:vAlign w:val="center"/>
          </w:tcPr>
          <w:p w14:paraId="41DC8BDF" w14:textId="77777777" w:rsidR="00434622" w:rsidRPr="00CF77C1" w:rsidRDefault="00434622" w:rsidP="0080044B">
            <w:pPr>
              <w:framePr w:hSpace="181" w:wrap="notBeside" w:vAnchor="text" w:hAnchor="text" w:y="1"/>
              <w:spacing w:before="40" w:after="40"/>
              <w:rPr>
                <w:lang w:val="sr-Cyrl-RS"/>
              </w:rPr>
            </w:pPr>
            <w:r w:rsidRPr="00CF77C1">
              <w:rPr>
                <w:lang w:val="sr-Cyrl-RS"/>
              </w:rPr>
              <w:t>Велики Црљени</w:t>
            </w:r>
          </w:p>
        </w:tc>
        <w:tc>
          <w:tcPr>
            <w:tcW w:w="1878" w:type="dxa"/>
            <w:shd w:val="clear" w:color="auto" w:fill="auto"/>
            <w:vAlign w:val="center"/>
          </w:tcPr>
          <w:p w14:paraId="44EEB0D2"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3.500.000</w:t>
            </w:r>
          </w:p>
        </w:tc>
        <w:tc>
          <w:tcPr>
            <w:tcW w:w="1878" w:type="dxa"/>
            <w:vAlign w:val="center"/>
          </w:tcPr>
          <w:p w14:paraId="140234B8"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3.673.013</w:t>
            </w:r>
          </w:p>
        </w:tc>
        <w:tc>
          <w:tcPr>
            <w:tcW w:w="1879" w:type="dxa"/>
            <w:shd w:val="clear" w:color="auto" w:fill="auto"/>
            <w:vAlign w:val="center"/>
          </w:tcPr>
          <w:p w14:paraId="33AD34CF"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1,04</w:t>
            </w:r>
          </w:p>
        </w:tc>
      </w:tr>
      <w:tr w:rsidR="00434622" w:rsidRPr="00CF77C1" w14:paraId="5EC6855E" w14:textId="77777777" w:rsidTr="00434622">
        <w:tc>
          <w:tcPr>
            <w:tcW w:w="1267" w:type="dxa"/>
            <w:vMerge/>
            <w:shd w:val="clear" w:color="auto" w:fill="auto"/>
            <w:vAlign w:val="center"/>
          </w:tcPr>
          <w:p w14:paraId="3CB939F3" w14:textId="77777777" w:rsidR="00434622" w:rsidRPr="00CF77C1" w:rsidRDefault="00434622" w:rsidP="0080044B">
            <w:pPr>
              <w:framePr w:hSpace="181" w:wrap="notBeside" w:vAnchor="text" w:hAnchor="text" w:y="1"/>
              <w:spacing w:before="40" w:after="40"/>
              <w:rPr>
                <w:lang w:val="sr-Cyrl-RS"/>
              </w:rPr>
            </w:pPr>
          </w:p>
        </w:tc>
        <w:tc>
          <w:tcPr>
            <w:tcW w:w="2669" w:type="dxa"/>
            <w:shd w:val="clear" w:color="auto" w:fill="auto"/>
            <w:vAlign w:val="center"/>
          </w:tcPr>
          <w:p w14:paraId="28F0FB97" w14:textId="77777777" w:rsidR="00434622" w:rsidRPr="00CF77C1" w:rsidRDefault="00434622" w:rsidP="0080044B">
            <w:pPr>
              <w:framePr w:hSpace="181" w:wrap="notBeside" w:vAnchor="text" w:hAnchor="text" w:y="1"/>
              <w:spacing w:before="40" w:after="40"/>
              <w:rPr>
                <w:lang w:val="sr-Cyrl-RS"/>
              </w:rPr>
            </w:pPr>
            <w:r w:rsidRPr="00CF77C1">
              <w:rPr>
                <w:lang w:val="sr-Cyrl-RS"/>
              </w:rPr>
              <w:t>Тамнава западно поље</w:t>
            </w:r>
          </w:p>
        </w:tc>
        <w:tc>
          <w:tcPr>
            <w:tcW w:w="1878" w:type="dxa"/>
            <w:shd w:val="clear" w:color="auto" w:fill="auto"/>
            <w:vAlign w:val="center"/>
          </w:tcPr>
          <w:p w14:paraId="3FF0A14E"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10.100.000</w:t>
            </w:r>
          </w:p>
        </w:tc>
        <w:tc>
          <w:tcPr>
            <w:tcW w:w="1878" w:type="dxa"/>
            <w:vAlign w:val="center"/>
          </w:tcPr>
          <w:p w14:paraId="0D68F1D3"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11.419.040</w:t>
            </w:r>
          </w:p>
        </w:tc>
        <w:tc>
          <w:tcPr>
            <w:tcW w:w="1879" w:type="dxa"/>
            <w:shd w:val="clear" w:color="auto" w:fill="auto"/>
            <w:vAlign w:val="center"/>
          </w:tcPr>
          <w:p w14:paraId="0E11DFE1"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1,13</w:t>
            </w:r>
          </w:p>
        </w:tc>
      </w:tr>
      <w:tr w:rsidR="00434622" w:rsidRPr="00CF77C1" w14:paraId="6C97E999" w14:textId="77777777" w:rsidTr="00434622">
        <w:tc>
          <w:tcPr>
            <w:tcW w:w="1267" w:type="dxa"/>
            <w:vMerge/>
            <w:shd w:val="clear" w:color="auto" w:fill="auto"/>
            <w:vAlign w:val="center"/>
          </w:tcPr>
          <w:p w14:paraId="00F73DB2" w14:textId="77777777" w:rsidR="00434622" w:rsidRPr="00CF77C1" w:rsidRDefault="00434622" w:rsidP="0080044B">
            <w:pPr>
              <w:framePr w:hSpace="181" w:wrap="notBeside" w:vAnchor="text" w:hAnchor="text" w:y="1"/>
              <w:spacing w:before="40" w:after="40"/>
              <w:rPr>
                <w:lang w:val="sr-Cyrl-RS"/>
              </w:rPr>
            </w:pPr>
          </w:p>
        </w:tc>
        <w:tc>
          <w:tcPr>
            <w:tcW w:w="2669" w:type="dxa"/>
            <w:shd w:val="clear" w:color="auto" w:fill="auto"/>
            <w:vAlign w:val="center"/>
          </w:tcPr>
          <w:p w14:paraId="28068146" w14:textId="77777777" w:rsidR="00434622" w:rsidRPr="00CF77C1" w:rsidRDefault="00434622" w:rsidP="0080044B">
            <w:pPr>
              <w:framePr w:hSpace="181" w:wrap="notBeside" w:vAnchor="text" w:hAnchor="text" w:y="1"/>
              <w:spacing w:before="40" w:after="40"/>
              <w:rPr>
                <w:lang w:val="sr-Cyrl-RS"/>
              </w:rPr>
            </w:pPr>
            <w:r w:rsidRPr="00CF77C1">
              <w:rPr>
                <w:lang w:val="sr-Cyrl-RS"/>
              </w:rPr>
              <w:t>Укупно</w:t>
            </w:r>
          </w:p>
        </w:tc>
        <w:tc>
          <w:tcPr>
            <w:tcW w:w="1878" w:type="dxa"/>
            <w:shd w:val="clear" w:color="auto" w:fill="auto"/>
            <w:vAlign w:val="center"/>
          </w:tcPr>
          <w:p w14:paraId="1C9A2955"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28.282.000</w:t>
            </w:r>
          </w:p>
        </w:tc>
        <w:tc>
          <w:tcPr>
            <w:tcW w:w="1878" w:type="dxa"/>
            <w:vAlign w:val="center"/>
          </w:tcPr>
          <w:p w14:paraId="61306B1F"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28.687.451</w:t>
            </w:r>
          </w:p>
        </w:tc>
        <w:tc>
          <w:tcPr>
            <w:tcW w:w="1879" w:type="dxa"/>
            <w:shd w:val="clear" w:color="auto" w:fill="auto"/>
            <w:vAlign w:val="center"/>
          </w:tcPr>
          <w:p w14:paraId="198A602A"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1,01</w:t>
            </w:r>
          </w:p>
        </w:tc>
      </w:tr>
      <w:tr w:rsidR="00434622" w:rsidRPr="00CF77C1" w14:paraId="70AE365E" w14:textId="77777777" w:rsidTr="00434622">
        <w:tc>
          <w:tcPr>
            <w:tcW w:w="1267" w:type="dxa"/>
            <w:vMerge w:val="restart"/>
            <w:shd w:val="clear" w:color="auto" w:fill="auto"/>
            <w:vAlign w:val="center"/>
          </w:tcPr>
          <w:p w14:paraId="1AE97138" w14:textId="77777777" w:rsidR="00434622" w:rsidRPr="00CF77C1" w:rsidRDefault="00434622" w:rsidP="0080044B">
            <w:pPr>
              <w:framePr w:hSpace="181" w:wrap="notBeside" w:vAnchor="text" w:hAnchor="text" w:y="1"/>
              <w:spacing w:before="40" w:after="40"/>
              <w:rPr>
                <w:lang w:val="sr-Cyrl-RS"/>
              </w:rPr>
            </w:pPr>
            <w:r w:rsidRPr="00CF77C1">
              <w:rPr>
                <w:lang w:val="sr-Cyrl-RS"/>
              </w:rPr>
              <w:t xml:space="preserve">Костолац </w:t>
            </w:r>
          </w:p>
        </w:tc>
        <w:tc>
          <w:tcPr>
            <w:tcW w:w="2669" w:type="dxa"/>
            <w:shd w:val="clear" w:color="auto" w:fill="auto"/>
            <w:vAlign w:val="center"/>
          </w:tcPr>
          <w:p w14:paraId="08A934B5" w14:textId="77777777" w:rsidR="00434622" w:rsidRPr="00CF77C1" w:rsidRDefault="00434622" w:rsidP="0080044B">
            <w:pPr>
              <w:framePr w:hSpace="181" w:wrap="notBeside" w:vAnchor="text" w:hAnchor="text" w:y="1"/>
              <w:spacing w:before="40" w:after="40"/>
              <w:rPr>
                <w:lang w:val="sr-Cyrl-RS"/>
              </w:rPr>
            </w:pPr>
            <w:r w:rsidRPr="00CF77C1">
              <w:rPr>
                <w:lang w:val="sr-Cyrl-RS"/>
              </w:rPr>
              <w:t>Дрмно</w:t>
            </w:r>
          </w:p>
        </w:tc>
        <w:tc>
          <w:tcPr>
            <w:tcW w:w="1878" w:type="dxa"/>
            <w:shd w:val="clear" w:color="auto" w:fill="auto"/>
            <w:vAlign w:val="center"/>
          </w:tcPr>
          <w:p w14:paraId="5E57C28B"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8.499.000</w:t>
            </w:r>
          </w:p>
        </w:tc>
        <w:tc>
          <w:tcPr>
            <w:tcW w:w="1878" w:type="dxa"/>
            <w:vAlign w:val="center"/>
          </w:tcPr>
          <w:p w14:paraId="67CF3093"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8.341.640</w:t>
            </w:r>
          </w:p>
        </w:tc>
        <w:tc>
          <w:tcPr>
            <w:tcW w:w="1879" w:type="dxa"/>
            <w:shd w:val="clear" w:color="auto" w:fill="auto"/>
            <w:vAlign w:val="center"/>
          </w:tcPr>
          <w:p w14:paraId="12876EB1"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0,98</w:t>
            </w:r>
          </w:p>
        </w:tc>
      </w:tr>
      <w:tr w:rsidR="00434622" w:rsidRPr="00CF77C1" w14:paraId="7670FEE1" w14:textId="77777777" w:rsidTr="00434622">
        <w:tc>
          <w:tcPr>
            <w:tcW w:w="1267" w:type="dxa"/>
            <w:vMerge/>
            <w:shd w:val="clear" w:color="auto" w:fill="auto"/>
            <w:vAlign w:val="center"/>
          </w:tcPr>
          <w:p w14:paraId="6668AB95" w14:textId="77777777" w:rsidR="00434622" w:rsidRPr="00CF77C1" w:rsidRDefault="00434622" w:rsidP="0080044B">
            <w:pPr>
              <w:framePr w:hSpace="181" w:wrap="notBeside" w:vAnchor="text" w:hAnchor="text" w:y="1"/>
              <w:spacing w:before="40" w:after="40"/>
              <w:rPr>
                <w:lang w:val="sr-Cyrl-RS"/>
              </w:rPr>
            </w:pPr>
          </w:p>
        </w:tc>
        <w:tc>
          <w:tcPr>
            <w:tcW w:w="2669" w:type="dxa"/>
            <w:shd w:val="clear" w:color="auto" w:fill="auto"/>
            <w:vAlign w:val="center"/>
          </w:tcPr>
          <w:p w14:paraId="588B61A6" w14:textId="77777777" w:rsidR="00434622" w:rsidRPr="00CF77C1" w:rsidRDefault="00434622" w:rsidP="0080044B">
            <w:pPr>
              <w:framePr w:hSpace="181" w:wrap="notBeside" w:vAnchor="text" w:hAnchor="text" w:y="1"/>
              <w:spacing w:before="40" w:after="40"/>
              <w:rPr>
                <w:lang w:val="sr-Cyrl-RS"/>
              </w:rPr>
            </w:pPr>
            <w:r w:rsidRPr="00CF77C1">
              <w:rPr>
                <w:lang w:val="sr-Cyrl-RS"/>
              </w:rPr>
              <w:t>Укупно</w:t>
            </w:r>
          </w:p>
        </w:tc>
        <w:tc>
          <w:tcPr>
            <w:tcW w:w="1878" w:type="dxa"/>
            <w:shd w:val="clear" w:color="auto" w:fill="auto"/>
            <w:vAlign w:val="center"/>
          </w:tcPr>
          <w:p w14:paraId="762DF412"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8.499.000</w:t>
            </w:r>
          </w:p>
        </w:tc>
        <w:tc>
          <w:tcPr>
            <w:tcW w:w="1878" w:type="dxa"/>
            <w:vAlign w:val="center"/>
          </w:tcPr>
          <w:p w14:paraId="5BF93D6A"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8.341.640</w:t>
            </w:r>
          </w:p>
        </w:tc>
        <w:tc>
          <w:tcPr>
            <w:tcW w:w="1879" w:type="dxa"/>
            <w:shd w:val="clear" w:color="auto" w:fill="auto"/>
            <w:vAlign w:val="center"/>
          </w:tcPr>
          <w:p w14:paraId="03B5F47D"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0,98</w:t>
            </w:r>
          </w:p>
        </w:tc>
      </w:tr>
      <w:tr w:rsidR="00434622" w:rsidRPr="00CF77C1" w14:paraId="7821BE8A" w14:textId="77777777" w:rsidTr="00434622">
        <w:tc>
          <w:tcPr>
            <w:tcW w:w="1267" w:type="dxa"/>
            <w:shd w:val="clear" w:color="auto" w:fill="auto"/>
            <w:vAlign w:val="center"/>
          </w:tcPr>
          <w:p w14:paraId="67EEE2AA" w14:textId="77777777" w:rsidR="00434622" w:rsidRPr="00CF77C1" w:rsidRDefault="00434622" w:rsidP="0080044B">
            <w:pPr>
              <w:framePr w:hSpace="181" w:wrap="notBeside" w:vAnchor="text" w:hAnchor="text" w:y="1"/>
              <w:spacing w:before="40" w:after="40"/>
              <w:rPr>
                <w:lang w:val="sr-Cyrl-RS"/>
              </w:rPr>
            </w:pPr>
            <w:r w:rsidRPr="00CF77C1">
              <w:rPr>
                <w:lang w:val="sr-Cyrl-RS"/>
              </w:rPr>
              <w:t>ЕПС</w:t>
            </w:r>
          </w:p>
        </w:tc>
        <w:tc>
          <w:tcPr>
            <w:tcW w:w="2669" w:type="dxa"/>
            <w:shd w:val="clear" w:color="auto" w:fill="auto"/>
            <w:vAlign w:val="center"/>
          </w:tcPr>
          <w:p w14:paraId="527A875F" w14:textId="77777777" w:rsidR="00434622" w:rsidRPr="00CF77C1" w:rsidRDefault="00434622" w:rsidP="0080044B">
            <w:pPr>
              <w:framePr w:hSpace="181" w:wrap="notBeside" w:vAnchor="text" w:hAnchor="text" w:y="1"/>
              <w:spacing w:before="40" w:after="40"/>
              <w:rPr>
                <w:lang w:val="sr-Cyrl-RS"/>
              </w:rPr>
            </w:pPr>
            <w:r w:rsidRPr="00CF77C1">
              <w:rPr>
                <w:lang w:val="sr-Cyrl-RS"/>
              </w:rPr>
              <w:t>Укупно</w:t>
            </w:r>
          </w:p>
        </w:tc>
        <w:tc>
          <w:tcPr>
            <w:tcW w:w="1878" w:type="dxa"/>
            <w:shd w:val="clear" w:color="auto" w:fill="auto"/>
            <w:vAlign w:val="center"/>
          </w:tcPr>
          <w:p w14:paraId="41A82BC4"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36.781.000</w:t>
            </w:r>
          </w:p>
        </w:tc>
        <w:tc>
          <w:tcPr>
            <w:tcW w:w="1878" w:type="dxa"/>
            <w:vAlign w:val="center"/>
          </w:tcPr>
          <w:p w14:paraId="6BA3D963"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37.029.091</w:t>
            </w:r>
          </w:p>
        </w:tc>
        <w:tc>
          <w:tcPr>
            <w:tcW w:w="1879" w:type="dxa"/>
            <w:shd w:val="clear" w:color="auto" w:fill="auto"/>
            <w:vAlign w:val="center"/>
          </w:tcPr>
          <w:p w14:paraId="07D7AD58"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1,00</w:t>
            </w:r>
          </w:p>
        </w:tc>
      </w:tr>
    </w:tbl>
    <w:p w14:paraId="4197AF77" w14:textId="2CB1A7A2" w:rsidR="00276B15" w:rsidRPr="00CF77C1" w:rsidRDefault="00D61BC9" w:rsidP="00233EA6">
      <w:pPr>
        <w:pStyle w:val="Caption"/>
        <w:ind w:firstLine="720"/>
        <w:rPr>
          <w:b w:val="0"/>
          <w:lang w:val="sr-Cyrl-RS"/>
        </w:rPr>
      </w:pPr>
      <w:r w:rsidRPr="00CF77C1">
        <w:rPr>
          <w:b w:val="0"/>
          <w:lang w:val="sr-Cyrl-RS"/>
        </w:rPr>
        <w:t>таб.</w:t>
      </w:r>
      <w:r w:rsidR="00276B15"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89</w:t>
      </w:r>
      <w:r w:rsidR="0092145E" w:rsidRPr="00CF77C1">
        <w:rPr>
          <w:b w:val="0"/>
          <w:lang w:val="sr-Cyrl-RS"/>
        </w:rPr>
        <w:fldChar w:fldCharType="end"/>
      </w:r>
      <w:r w:rsidR="00276B15" w:rsidRPr="00CF77C1">
        <w:rPr>
          <w:b w:val="0"/>
          <w:lang w:val="sr-Cyrl-RS"/>
        </w:rPr>
        <w:t>: Остварени индикатори производње јаловине у 2015. години</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2669"/>
        <w:gridCol w:w="1878"/>
        <w:gridCol w:w="1878"/>
        <w:gridCol w:w="1879"/>
      </w:tblGrid>
      <w:tr w:rsidR="00276B15" w:rsidRPr="00CF77C1" w14:paraId="65F7E0D2" w14:textId="77777777" w:rsidTr="00434622">
        <w:tc>
          <w:tcPr>
            <w:tcW w:w="1267" w:type="dxa"/>
            <w:shd w:val="clear" w:color="auto" w:fill="auto"/>
            <w:vAlign w:val="center"/>
          </w:tcPr>
          <w:p w14:paraId="73334178" w14:textId="77777777" w:rsidR="00276B15" w:rsidRPr="00CF77C1" w:rsidRDefault="00276B15" w:rsidP="0080044B">
            <w:pPr>
              <w:framePr w:hSpace="181" w:wrap="notBeside" w:vAnchor="text" w:hAnchor="text" w:y="1"/>
              <w:jc w:val="center"/>
              <w:rPr>
                <w:lang w:val="sr-Cyrl-RS"/>
              </w:rPr>
            </w:pPr>
            <w:r w:rsidRPr="00CF77C1">
              <w:rPr>
                <w:lang w:val="sr-Cyrl-RS"/>
              </w:rPr>
              <w:t>Басен</w:t>
            </w:r>
          </w:p>
        </w:tc>
        <w:tc>
          <w:tcPr>
            <w:tcW w:w="2669" w:type="dxa"/>
            <w:shd w:val="clear" w:color="auto" w:fill="auto"/>
            <w:vAlign w:val="center"/>
          </w:tcPr>
          <w:p w14:paraId="10637F40" w14:textId="77777777" w:rsidR="00276B15" w:rsidRPr="00CF77C1" w:rsidRDefault="00276B15" w:rsidP="0080044B">
            <w:pPr>
              <w:framePr w:hSpace="181" w:wrap="notBeside" w:vAnchor="text" w:hAnchor="text" w:y="1"/>
              <w:jc w:val="center"/>
              <w:rPr>
                <w:lang w:val="sr-Cyrl-RS"/>
              </w:rPr>
            </w:pPr>
            <w:r w:rsidRPr="00CF77C1">
              <w:rPr>
                <w:lang w:val="sr-Cyrl-RS"/>
              </w:rPr>
              <w:t>Коп</w:t>
            </w:r>
          </w:p>
        </w:tc>
        <w:tc>
          <w:tcPr>
            <w:tcW w:w="1878" w:type="dxa"/>
            <w:shd w:val="clear" w:color="auto" w:fill="auto"/>
          </w:tcPr>
          <w:p w14:paraId="54156808" w14:textId="77777777" w:rsidR="00276B15" w:rsidRPr="00CF77C1" w:rsidRDefault="00276B15" w:rsidP="0080044B">
            <w:pPr>
              <w:framePr w:hSpace="181" w:wrap="notBeside" w:vAnchor="text" w:hAnchor="text" w:y="1"/>
              <w:spacing w:before="0" w:after="0"/>
              <w:jc w:val="center"/>
              <w:rPr>
                <w:lang w:val="sr-Cyrl-RS"/>
              </w:rPr>
            </w:pPr>
            <w:r w:rsidRPr="00CF77C1">
              <w:rPr>
                <w:lang w:val="sr-Cyrl-RS"/>
              </w:rPr>
              <w:t>План производње, m</w:t>
            </w:r>
            <w:r w:rsidRPr="00CF77C1">
              <w:rPr>
                <w:vertAlign w:val="superscript"/>
                <w:lang w:val="sr-Cyrl-RS"/>
              </w:rPr>
              <w:t>3</w:t>
            </w:r>
          </w:p>
        </w:tc>
        <w:tc>
          <w:tcPr>
            <w:tcW w:w="1878" w:type="dxa"/>
            <w:vAlign w:val="center"/>
          </w:tcPr>
          <w:p w14:paraId="5444D412" w14:textId="77777777" w:rsidR="00276B15" w:rsidRPr="00CF77C1" w:rsidRDefault="00276B15" w:rsidP="0080044B">
            <w:pPr>
              <w:framePr w:hSpace="181" w:wrap="notBeside" w:vAnchor="text" w:hAnchor="text" w:y="1"/>
              <w:spacing w:before="0" w:after="0"/>
              <w:jc w:val="center"/>
              <w:rPr>
                <w:lang w:val="sr-Cyrl-RS"/>
              </w:rPr>
            </w:pPr>
            <w:r w:rsidRPr="00CF77C1">
              <w:rPr>
                <w:lang w:val="sr-Cyrl-RS"/>
              </w:rPr>
              <w:t>Производња откривке, m</w:t>
            </w:r>
            <w:r w:rsidRPr="00CF77C1">
              <w:rPr>
                <w:vertAlign w:val="superscript"/>
                <w:lang w:val="sr-Cyrl-RS"/>
              </w:rPr>
              <w:t>3</w:t>
            </w:r>
          </w:p>
        </w:tc>
        <w:tc>
          <w:tcPr>
            <w:tcW w:w="1879" w:type="dxa"/>
            <w:shd w:val="clear" w:color="auto" w:fill="auto"/>
            <w:vAlign w:val="center"/>
          </w:tcPr>
          <w:p w14:paraId="6F889638" w14:textId="77777777" w:rsidR="00276B15" w:rsidRPr="00CF77C1" w:rsidRDefault="00276B15" w:rsidP="0080044B">
            <w:pPr>
              <w:framePr w:hSpace="181" w:wrap="notBeside" w:vAnchor="text" w:hAnchor="text" w:y="1"/>
              <w:spacing w:before="0" w:after="0"/>
              <w:jc w:val="center"/>
              <w:rPr>
                <w:lang w:val="sr-Cyrl-RS"/>
              </w:rPr>
            </w:pPr>
            <w:r w:rsidRPr="00CF77C1">
              <w:rPr>
                <w:lang w:val="sr-Cyrl-RS"/>
              </w:rPr>
              <w:t>Индикатор</w:t>
            </w:r>
          </w:p>
        </w:tc>
      </w:tr>
      <w:tr w:rsidR="00434622" w:rsidRPr="00CF77C1" w14:paraId="43970483" w14:textId="77777777" w:rsidTr="00434622">
        <w:tc>
          <w:tcPr>
            <w:tcW w:w="1267" w:type="dxa"/>
            <w:vMerge w:val="restart"/>
            <w:shd w:val="clear" w:color="auto" w:fill="auto"/>
            <w:vAlign w:val="center"/>
          </w:tcPr>
          <w:p w14:paraId="7178C981" w14:textId="77777777" w:rsidR="00434622" w:rsidRPr="00CF77C1" w:rsidRDefault="00434622" w:rsidP="0080044B">
            <w:pPr>
              <w:framePr w:hSpace="181" w:wrap="notBeside" w:vAnchor="text" w:hAnchor="text" w:y="1"/>
              <w:rPr>
                <w:lang w:val="sr-Cyrl-RS"/>
              </w:rPr>
            </w:pPr>
            <w:r w:rsidRPr="00CF77C1">
              <w:rPr>
                <w:lang w:val="sr-Cyrl-RS"/>
              </w:rPr>
              <w:t xml:space="preserve">Колубара </w:t>
            </w:r>
          </w:p>
        </w:tc>
        <w:tc>
          <w:tcPr>
            <w:tcW w:w="2669" w:type="dxa"/>
            <w:shd w:val="clear" w:color="auto" w:fill="auto"/>
            <w:vAlign w:val="center"/>
          </w:tcPr>
          <w:p w14:paraId="41D74550" w14:textId="77777777" w:rsidR="00434622" w:rsidRPr="00CF77C1" w:rsidRDefault="00434622" w:rsidP="0080044B">
            <w:pPr>
              <w:framePr w:hSpace="181" w:wrap="notBeside" w:vAnchor="text" w:hAnchor="text" w:y="1"/>
              <w:spacing w:before="40" w:after="40"/>
              <w:rPr>
                <w:lang w:val="sr-Cyrl-RS"/>
              </w:rPr>
            </w:pPr>
            <w:r w:rsidRPr="00CF77C1">
              <w:rPr>
                <w:lang w:val="sr-Cyrl-RS"/>
              </w:rPr>
              <w:t>Поље Б/Ц</w:t>
            </w:r>
          </w:p>
        </w:tc>
        <w:tc>
          <w:tcPr>
            <w:tcW w:w="1878" w:type="dxa"/>
            <w:shd w:val="clear" w:color="auto" w:fill="auto"/>
            <w:vAlign w:val="center"/>
          </w:tcPr>
          <w:p w14:paraId="7A8AD3D1" w14:textId="77777777" w:rsidR="00434622" w:rsidRPr="00CF77C1" w:rsidRDefault="00434622" w:rsidP="0080044B">
            <w:pPr>
              <w:framePr w:hSpace="181" w:wrap="notBeside" w:vAnchor="text" w:hAnchor="text" w:y="1"/>
              <w:spacing w:before="40" w:after="40"/>
              <w:jc w:val="right"/>
              <w:rPr>
                <w:lang w:val="sr-Cyrl-RS" w:eastAsia="en-GB"/>
              </w:rPr>
            </w:pPr>
            <w:r w:rsidRPr="00CF77C1">
              <w:rPr>
                <w:lang w:val="sr-Cyrl-RS"/>
              </w:rPr>
              <w:t>10.000.000</w:t>
            </w:r>
          </w:p>
        </w:tc>
        <w:tc>
          <w:tcPr>
            <w:tcW w:w="1878" w:type="dxa"/>
            <w:vAlign w:val="center"/>
          </w:tcPr>
          <w:p w14:paraId="3AECFD40"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7.713.293</w:t>
            </w:r>
          </w:p>
        </w:tc>
        <w:tc>
          <w:tcPr>
            <w:tcW w:w="1879" w:type="dxa"/>
            <w:shd w:val="clear" w:color="auto" w:fill="auto"/>
            <w:vAlign w:val="center"/>
          </w:tcPr>
          <w:p w14:paraId="30BC51B3"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0,77</w:t>
            </w:r>
          </w:p>
        </w:tc>
      </w:tr>
      <w:tr w:rsidR="00434622" w:rsidRPr="00CF77C1" w14:paraId="5CD502E7" w14:textId="77777777" w:rsidTr="00434622">
        <w:tc>
          <w:tcPr>
            <w:tcW w:w="1267" w:type="dxa"/>
            <w:vMerge/>
            <w:shd w:val="clear" w:color="auto" w:fill="auto"/>
            <w:vAlign w:val="center"/>
          </w:tcPr>
          <w:p w14:paraId="1394F02E" w14:textId="77777777" w:rsidR="00434622" w:rsidRPr="00CF77C1" w:rsidRDefault="00434622" w:rsidP="0080044B">
            <w:pPr>
              <w:framePr w:hSpace="181" w:wrap="notBeside" w:vAnchor="text" w:hAnchor="text" w:y="1"/>
              <w:rPr>
                <w:lang w:val="sr-Cyrl-RS"/>
              </w:rPr>
            </w:pPr>
          </w:p>
        </w:tc>
        <w:tc>
          <w:tcPr>
            <w:tcW w:w="2669" w:type="dxa"/>
            <w:shd w:val="clear" w:color="auto" w:fill="auto"/>
            <w:vAlign w:val="center"/>
          </w:tcPr>
          <w:p w14:paraId="53CEDF57" w14:textId="77777777" w:rsidR="00434622" w:rsidRPr="00CF77C1" w:rsidRDefault="00434622" w:rsidP="0080044B">
            <w:pPr>
              <w:framePr w:hSpace="181" w:wrap="notBeside" w:vAnchor="text" w:hAnchor="text" w:y="1"/>
              <w:spacing w:before="40" w:after="40"/>
              <w:rPr>
                <w:lang w:val="sr-Cyrl-RS"/>
              </w:rPr>
            </w:pPr>
            <w:r w:rsidRPr="00CF77C1">
              <w:rPr>
                <w:lang w:val="sr-Cyrl-RS"/>
              </w:rPr>
              <w:t>Поље Д</w:t>
            </w:r>
          </w:p>
        </w:tc>
        <w:tc>
          <w:tcPr>
            <w:tcW w:w="1878" w:type="dxa"/>
            <w:shd w:val="clear" w:color="auto" w:fill="auto"/>
            <w:vAlign w:val="center"/>
          </w:tcPr>
          <w:p w14:paraId="425AE326"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21.000.000</w:t>
            </w:r>
          </w:p>
        </w:tc>
        <w:tc>
          <w:tcPr>
            <w:tcW w:w="1878" w:type="dxa"/>
            <w:vAlign w:val="center"/>
          </w:tcPr>
          <w:p w14:paraId="33C8FAC7"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16.461.944</w:t>
            </w:r>
          </w:p>
        </w:tc>
        <w:tc>
          <w:tcPr>
            <w:tcW w:w="1879" w:type="dxa"/>
            <w:shd w:val="clear" w:color="auto" w:fill="auto"/>
            <w:vAlign w:val="center"/>
          </w:tcPr>
          <w:p w14:paraId="40497331"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0,78</w:t>
            </w:r>
          </w:p>
        </w:tc>
      </w:tr>
      <w:tr w:rsidR="00434622" w:rsidRPr="00CF77C1" w14:paraId="0891C5A6" w14:textId="77777777" w:rsidTr="00434622">
        <w:tc>
          <w:tcPr>
            <w:tcW w:w="1267" w:type="dxa"/>
            <w:vMerge/>
            <w:shd w:val="clear" w:color="auto" w:fill="auto"/>
            <w:vAlign w:val="center"/>
          </w:tcPr>
          <w:p w14:paraId="72DD4B88" w14:textId="77777777" w:rsidR="00434622" w:rsidRPr="00CF77C1" w:rsidRDefault="00434622" w:rsidP="0080044B">
            <w:pPr>
              <w:framePr w:hSpace="181" w:wrap="notBeside" w:vAnchor="text" w:hAnchor="text" w:y="1"/>
              <w:rPr>
                <w:lang w:val="sr-Cyrl-RS"/>
              </w:rPr>
            </w:pPr>
          </w:p>
        </w:tc>
        <w:tc>
          <w:tcPr>
            <w:tcW w:w="2669" w:type="dxa"/>
            <w:shd w:val="clear" w:color="auto" w:fill="auto"/>
            <w:vAlign w:val="center"/>
          </w:tcPr>
          <w:p w14:paraId="2EA784A9" w14:textId="77777777" w:rsidR="00434622" w:rsidRPr="00CF77C1" w:rsidRDefault="00434622" w:rsidP="0080044B">
            <w:pPr>
              <w:framePr w:hSpace="181" w:wrap="notBeside" w:vAnchor="text" w:hAnchor="text" w:y="1"/>
              <w:spacing w:before="40" w:after="40"/>
              <w:rPr>
                <w:lang w:val="sr-Cyrl-RS"/>
              </w:rPr>
            </w:pPr>
            <w:r w:rsidRPr="00CF77C1">
              <w:rPr>
                <w:lang w:val="sr-Cyrl-RS"/>
              </w:rPr>
              <w:t>Велики Црљени</w:t>
            </w:r>
          </w:p>
        </w:tc>
        <w:tc>
          <w:tcPr>
            <w:tcW w:w="1878" w:type="dxa"/>
            <w:shd w:val="clear" w:color="auto" w:fill="auto"/>
            <w:vAlign w:val="center"/>
          </w:tcPr>
          <w:p w14:paraId="6B9922BB"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1.550.000</w:t>
            </w:r>
          </w:p>
        </w:tc>
        <w:tc>
          <w:tcPr>
            <w:tcW w:w="1878" w:type="dxa"/>
            <w:vAlign w:val="center"/>
          </w:tcPr>
          <w:p w14:paraId="6CD649E1"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1.643.653</w:t>
            </w:r>
          </w:p>
        </w:tc>
        <w:tc>
          <w:tcPr>
            <w:tcW w:w="1879" w:type="dxa"/>
            <w:shd w:val="clear" w:color="auto" w:fill="auto"/>
            <w:vAlign w:val="center"/>
          </w:tcPr>
          <w:p w14:paraId="73DD36F2"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1,06</w:t>
            </w:r>
          </w:p>
        </w:tc>
      </w:tr>
      <w:tr w:rsidR="00434622" w:rsidRPr="00CF77C1" w14:paraId="00F98564" w14:textId="77777777" w:rsidTr="00434622">
        <w:tc>
          <w:tcPr>
            <w:tcW w:w="1267" w:type="dxa"/>
            <w:vMerge/>
            <w:shd w:val="clear" w:color="auto" w:fill="auto"/>
            <w:vAlign w:val="center"/>
          </w:tcPr>
          <w:p w14:paraId="5B581BCA" w14:textId="77777777" w:rsidR="00434622" w:rsidRPr="00CF77C1" w:rsidRDefault="00434622" w:rsidP="0080044B">
            <w:pPr>
              <w:framePr w:hSpace="181" w:wrap="notBeside" w:vAnchor="text" w:hAnchor="text" w:y="1"/>
              <w:rPr>
                <w:lang w:val="sr-Cyrl-RS"/>
              </w:rPr>
            </w:pPr>
          </w:p>
        </w:tc>
        <w:tc>
          <w:tcPr>
            <w:tcW w:w="2669" w:type="dxa"/>
            <w:shd w:val="clear" w:color="auto" w:fill="auto"/>
            <w:vAlign w:val="center"/>
          </w:tcPr>
          <w:p w14:paraId="5E2EEDD8" w14:textId="77777777" w:rsidR="00434622" w:rsidRPr="00CF77C1" w:rsidRDefault="00434622" w:rsidP="0080044B">
            <w:pPr>
              <w:framePr w:hSpace="181" w:wrap="notBeside" w:vAnchor="text" w:hAnchor="text" w:y="1"/>
              <w:spacing w:before="40" w:after="40"/>
              <w:rPr>
                <w:lang w:val="sr-Cyrl-RS"/>
              </w:rPr>
            </w:pPr>
            <w:r w:rsidRPr="00CF77C1">
              <w:rPr>
                <w:lang w:val="sr-Cyrl-RS"/>
              </w:rPr>
              <w:t>Тамнава западно поље</w:t>
            </w:r>
          </w:p>
        </w:tc>
        <w:tc>
          <w:tcPr>
            <w:tcW w:w="1878" w:type="dxa"/>
            <w:shd w:val="clear" w:color="auto" w:fill="auto"/>
            <w:vAlign w:val="center"/>
          </w:tcPr>
          <w:p w14:paraId="49677306"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23.000.000</w:t>
            </w:r>
          </w:p>
        </w:tc>
        <w:tc>
          <w:tcPr>
            <w:tcW w:w="1878" w:type="dxa"/>
            <w:vAlign w:val="center"/>
          </w:tcPr>
          <w:p w14:paraId="20B49B2D"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21.479.029</w:t>
            </w:r>
          </w:p>
        </w:tc>
        <w:tc>
          <w:tcPr>
            <w:tcW w:w="1879" w:type="dxa"/>
            <w:shd w:val="clear" w:color="auto" w:fill="auto"/>
            <w:vAlign w:val="center"/>
          </w:tcPr>
          <w:p w14:paraId="4BB1D9B3"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0,93</w:t>
            </w:r>
          </w:p>
        </w:tc>
      </w:tr>
      <w:tr w:rsidR="00434622" w:rsidRPr="00CF77C1" w14:paraId="72C29D69" w14:textId="77777777" w:rsidTr="00434622">
        <w:tc>
          <w:tcPr>
            <w:tcW w:w="1267" w:type="dxa"/>
            <w:vMerge/>
            <w:shd w:val="clear" w:color="auto" w:fill="auto"/>
            <w:vAlign w:val="center"/>
          </w:tcPr>
          <w:p w14:paraId="7F7F0D3D" w14:textId="77777777" w:rsidR="00434622" w:rsidRPr="00CF77C1" w:rsidRDefault="00434622" w:rsidP="0080044B">
            <w:pPr>
              <w:framePr w:hSpace="181" w:wrap="notBeside" w:vAnchor="text" w:hAnchor="text" w:y="1"/>
              <w:rPr>
                <w:lang w:val="sr-Cyrl-RS"/>
              </w:rPr>
            </w:pPr>
          </w:p>
        </w:tc>
        <w:tc>
          <w:tcPr>
            <w:tcW w:w="2669" w:type="dxa"/>
            <w:shd w:val="clear" w:color="auto" w:fill="auto"/>
            <w:vAlign w:val="center"/>
          </w:tcPr>
          <w:p w14:paraId="482BDB0A" w14:textId="77777777" w:rsidR="00434622" w:rsidRPr="00CF77C1" w:rsidRDefault="00434622" w:rsidP="0080044B">
            <w:pPr>
              <w:framePr w:hSpace="181" w:wrap="notBeside" w:vAnchor="text" w:hAnchor="text" w:y="1"/>
              <w:spacing w:before="40" w:after="40"/>
              <w:rPr>
                <w:lang w:val="sr-Cyrl-RS"/>
              </w:rPr>
            </w:pPr>
            <w:r w:rsidRPr="00CF77C1">
              <w:rPr>
                <w:lang w:val="sr-Cyrl-RS"/>
              </w:rPr>
              <w:t>Укупно</w:t>
            </w:r>
          </w:p>
        </w:tc>
        <w:tc>
          <w:tcPr>
            <w:tcW w:w="1878" w:type="dxa"/>
            <w:shd w:val="clear" w:color="auto" w:fill="auto"/>
            <w:vAlign w:val="center"/>
          </w:tcPr>
          <w:p w14:paraId="557EFA01"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55.550.000</w:t>
            </w:r>
          </w:p>
        </w:tc>
        <w:tc>
          <w:tcPr>
            <w:tcW w:w="1878" w:type="dxa"/>
            <w:vAlign w:val="center"/>
          </w:tcPr>
          <w:p w14:paraId="0349DD5F"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47.297.919</w:t>
            </w:r>
          </w:p>
        </w:tc>
        <w:tc>
          <w:tcPr>
            <w:tcW w:w="1879" w:type="dxa"/>
            <w:shd w:val="clear" w:color="auto" w:fill="auto"/>
            <w:vAlign w:val="center"/>
          </w:tcPr>
          <w:p w14:paraId="43BE334B"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0,85</w:t>
            </w:r>
          </w:p>
        </w:tc>
      </w:tr>
      <w:tr w:rsidR="00434622" w:rsidRPr="00CF77C1" w14:paraId="299BD348" w14:textId="77777777" w:rsidTr="00434622">
        <w:tc>
          <w:tcPr>
            <w:tcW w:w="1267" w:type="dxa"/>
            <w:vMerge w:val="restart"/>
            <w:shd w:val="clear" w:color="auto" w:fill="auto"/>
            <w:vAlign w:val="center"/>
          </w:tcPr>
          <w:p w14:paraId="2F1DBBD5" w14:textId="77777777" w:rsidR="00434622" w:rsidRPr="00CF77C1" w:rsidRDefault="00434622" w:rsidP="0080044B">
            <w:pPr>
              <w:framePr w:hSpace="181" w:wrap="notBeside" w:vAnchor="text" w:hAnchor="text" w:y="1"/>
              <w:rPr>
                <w:lang w:val="sr-Cyrl-RS"/>
              </w:rPr>
            </w:pPr>
            <w:r w:rsidRPr="00CF77C1">
              <w:rPr>
                <w:lang w:val="sr-Cyrl-RS"/>
              </w:rPr>
              <w:t xml:space="preserve">Костолац </w:t>
            </w:r>
          </w:p>
        </w:tc>
        <w:tc>
          <w:tcPr>
            <w:tcW w:w="2669" w:type="dxa"/>
            <w:shd w:val="clear" w:color="auto" w:fill="auto"/>
            <w:vAlign w:val="center"/>
          </w:tcPr>
          <w:p w14:paraId="22BBA96E" w14:textId="77777777" w:rsidR="00434622" w:rsidRPr="00CF77C1" w:rsidRDefault="00434622" w:rsidP="0080044B">
            <w:pPr>
              <w:framePr w:hSpace="181" w:wrap="notBeside" w:vAnchor="text" w:hAnchor="text" w:y="1"/>
              <w:spacing w:before="40" w:after="40"/>
              <w:rPr>
                <w:lang w:val="sr-Cyrl-RS"/>
              </w:rPr>
            </w:pPr>
            <w:r w:rsidRPr="00CF77C1">
              <w:rPr>
                <w:lang w:val="sr-Cyrl-RS"/>
              </w:rPr>
              <w:t>Дрмно</w:t>
            </w:r>
          </w:p>
        </w:tc>
        <w:tc>
          <w:tcPr>
            <w:tcW w:w="1878" w:type="dxa"/>
            <w:shd w:val="clear" w:color="auto" w:fill="auto"/>
            <w:vAlign w:val="center"/>
          </w:tcPr>
          <w:p w14:paraId="145FACA4"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42.000.000</w:t>
            </w:r>
          </w:p>
        </w:tc>
        <w:tc>
          <w:tcPr>
            <w:tcW w:w="1878" w:type="dxa"/>
            <w:vAlign w:val="center"/>
          </w:tcPr>
          <w:p w14:paraId="356ED497" w14:textId="77777777" w:rsidR="00434622" w:rsidRPr="00CF77C1" w:rsidRDefault="00434622" w:rsidP="0080044B">
            <w:pPr>
              <w:framePr w:hSpace="181" w:wrap="notBeside" w:vAnchor="text" w:hAnchor="text" w:y="1"/>
              <w:spacing w:before="40" w:after="40"/>
              <w:jc w:val="right"/>
              <w:rPr>
                <w:lang w:val="sr-Cyrl-RS"/>
              </w:rPr>
            </w:pPr>
            <w:r w:rsidRPr="00CF77C1">
              <w:rPr>
                <w:lang w:val="sr-Cyrl-RS"/>
              </w:rPr>
              <w:t>36.897.434</w:t>
            </w:r>
          </w:p>
        </w:tc>
        <w:tc>
          <w:tcPr>
            <w:tcW w:w="1879" w:type="dxa"/>
            <w:shd w:val="clear" w:color="auto" w:fill="auto"/>
            <w:vAlign w:val="center"/>
          </w:tcPr>
          <w:p w14:paraId="77DE637E"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0,87</w:t>
            </w:r>
          </w:p>
        </w:tc>
      </w:tr>
      <w:tr w:rsidR="00434622" w:rsidRPr="00CF77C1" w14:paraId="0C758FD5" w14:textId="77777777" w:rsidTr="00434622">
        <w:tc>
          <w:tcPr>
            <w:tcW w:w="1267" w:type="dxa"/>
            <w:vMerge/>
            <w:shd w:val="clear" w:color="auto" w:fill="auto"/>
            <w:vAlign w:val="center"/>
          </w:tcPr>
          <w:p w14:paraId="5A054A65" w14:textId="77777777" w:rsidR="00434622" w:rsidRPr="00CF77C1" w:rsidRDefault="00434622" w:rsidP="0080044B">
            <w:pPr>
              <w:framePr w:hSpace="181" w:wrap="notBeside" w:vAnchor="text" w:hAnchor="text" w:y="1"/>
              <w:rPr>
                <w:lang w:val="sr-Cyrl-RS"/>
              </w:rPr>
            </w:pPr>
          </w:p>
        </w:tc>
        <w:tc>
          <w:tcPr>
            <w:tcW w:w="2669" w:type="dxa"/>
            <w:shd w:val="clear" w:color="auto" w:fill="auto"/>
            <w:vAlign w:val="center"/>
          </w:tcPr>
          <w:p w14:paraId="1803EB59" w14:textId="77777777" w:rsidR="00434622" w:rsidRPr="00CF77C1" w:rsidRDefault="00434622" w:rsidP="0080044B">
            <w:pPr>
              <w:framePr w:hSpace="181" w:wrap="notBeside" w:vAnchor="text" w:hAnchor="text" w:y="1"/>
              <w:spacing w:before="40" w:after="40"/>
              <w:rPr>
                <w:lang w:val="sr-Cyrl-RS"/>
              </w:rPr>
            </w:pPr>
            <w:r w:rsidRPr="00CF77C1">
              <w:rPr>
                <w:lang w:val="sr-Cyrl-RS"/>
              </w:rPr>
              <w:t>Укупно</w:t>
            </w:r>
          </w:p>
        </w:tc>
        <w:tc>
          <w:tcPr>
            <w:tcW w:w="1878" w:type="dxa"/>
            <w:shd w:val="clear" w:color="auto" w:fill="auto"/>
            <w:vAlign w:val="center"/>
          </w:tcPr>
          <w:p w14:paraId="696862F6"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42.000.000</w:t>
            </w:r>
          </w:p>
        </w:tc>
        <w:tc>
          <w:tcPr>
            <w:tcW w:w="1878" w:type="dxa"/>
            <w:vAlign w:val="center"/>
          </w:tcPr>
          <w:p w14:paraId="64A968F5"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36.897.434</w:t>
            </w:r>
          </w:p>
        </w:tc>
        <w:tc>
          <w:tcPr>
            <w:tcW w:w="1879" w:type="dxa"/>
            <w:shd w:val="clear" w:color="auto" w:fill="auto"/>
            <w:vAlign w:val="center"/>
          </w:tcPr>
          <w:p w14:paraId="522C66EE"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0,87</w:t>
            </w:r>
          </w:p>
        </w:tc>
      </w:tr>
      <w:tr w:rsidR="00434622" w:rsidRPr="00CF77C1" w14:paraId="6A811CAA" w14:textId="77777777" w:rsidTr="00434622">
        <w:tc>
          <w:tcPr>
            <w:tcW w:w="1267" w:type="dxa"/>
            <w:shd w:val="clear" w:color="auto" w:fill="auto"/>
            <w:vAlign w:val="center"/>
          </w:tcPr>
          <w:p w14:paraId="151B89EA" w14:textId="77777777" w:rsidR="00434622" w:rsidRPr="00CF77C1" w:rsidRDefault="00434622" w:rsidP="0080044B">
            <w:pPr>
              <w:framePr w:hSpace="181" w:wrap="notBeside" w:vAnchor="text" w:hAnchor="text" w:y="1"/>
              <w:rPr>
                <w:lang w:val="sr-Cyrl-RS"/>
              </w:rPr>
            </w:pPr>
            <w:r w:rsidRPr="00CF77C1">
              <w:rPr>
                <w:lang w:val="sr-Cyrl-RS"/>
              </w:rPr>
              <w:t>ЕПС</w:t>
            </w:r>
          </w:p>
        </w:tc>
        <w:tc>
          <w:tcPr>
            <w:tcW w:w="2669" w:type="dxa"/>
            <w:shd w:val="clear" w:color="auto" w:fill="auto"/>
            <w:vAlign w:val="center"/>
          </w:tcPr>
          <w:p w14:paraId="5C869DF0" w14:textId="77777777" w:rsidR="00434622" w:rsidRPr="00CF77C1" w:rsidRDefault="00434622" w:rsidP="0080044B">
            <w:pPr>
              <w:framePr w:hSpace="181" w:wrap="notBeside" w:vAnchor="text" w:hAnchor="text" w:y="1"/>
              <w:spacing w:before="40" w:after="40"/>
              <w:rPr>
                <w:lang w:val="sr-Cyrl-RS"/>
              </w:rPr>
            </w:pPr>
            <w:r w:rsidRPr="00CF77C1">
              <w:rPr>
                <w:lang w:val="sr-Cyrl-RS"/>
              </w:rPr>
              <w:t>Укупно</w:t>
            </w:r>
          </w:p>
        </w:tc>
        <w:tc>
          <w:tcPr>
            <w:tcW w:w="1878" w:type="dxa"/>
            <w:shd w:val="clear" w:color="auto" w:fill="auto"/>
            <w:vAlign w:val="center"/>
          </w:tcPr>
          <w:p w14:paraId="3365E86A"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97.550.000</w:t>
            </w:r>
          </w:p>
        </w:tc>
        <w:tc>
          <w:tcPr>
            <w:tcW w:w="1878" w:type="dxa"/>
            <w:vAlign w:val="center"/>
          </w:tcPr>
          <w:p w14:paraId="6791F762" w14:textId="77777777" w:rsidR="00434622" w:rsidRPr="00CF77C1" w:rsidRDefault="00434622" w:rsidP="0080044B">
            <w:pPr>
              <w:framePr w:hSpace="181" w:wrap="notBeside" w:vAnchor="text" w:hAnchor="text" w:y="1"/>
              <w:spacing w:before="40" w:after="40"/>
              <w:jc w:val="right"/>
              <w:rPr>
                <w:bCs/>
                <w:lang w:val="sr-Cyrl-RS"/>
              </w:rPr>
            </w:pPr>
            <w:r w:rsidRPr="00CF77C1">
              <w:rPr>
                <w:bCs/>
                <w:lang w:val="sr-Cyrl-RS"/>
              </w:rPr>
              <w:t>84.195.353</w:t>
            </w:r>
          </w:p>
        </w:tc>
        <w:tc>
          <w:tcPr>
            <w:tcW w:w="1879" w:type="dxa"/>
            <w:shd w:val="clear" w:color="auto" w:fill="auto"/>
            <w:vAlign w:val="center"/>
          </w:tcPr>
          <w:p w14:paraId="65CC5260" w14:textId="77777777" w:rsidR="00434622" w:rsidRPr="00CF77C1" w:rsidRDefault="00434622" w:rsidP="0080044B">
            <w:pPr>
              <w:framePr w:hSpace="181" w:wrap="notBeside" w:vAnchor="text" w:hAnchor="text" w:y="1"/>
              <w:spacing w:before="40" w:after="40"/>
              <w:jc w:val="center"/>
              <w:rPr>
                <w:lang w:val="sr-Cyrl-RS"/>
              </w:rPr>
            </w:pPr>
            <w:r w:rsidRPr="00CF77C1">
              <w:rPr>
                <w:lang w:val="sr-Cyrl-RS"/>
              </w:rPr>
              <w:t>0,86</w:t>
            </w:r>
          </w:p>
        </w:tc>
      </w:tr>
    </w:tbl>
    <w:p w14:paraId="7635A642" w14:textId="45C4D56F" w:rsidR="00C45A22" w:rsidRPr="00CF77C1" w:rsidRDefault="00276B15" w:rsidP="00233EA6">
      <w:pPr>
        <w:ind w:firstLine="720"/>
        <w:rPr>
          <w:lang w:val="sr-Cyrl-RS"/>
        </w:rPr>
      </w:pPr>
      <w:r w:rsidRPr="00CF77C1">
        <w:rPr>
          <w:lang w:val="sr-Cyrl-RS"/>
        </w:rPr>
        <w:t xml:space="preserve">Индикатори указују на заостатак у откопавању јаловине од око 15% што за последицу дугорочно може имати за </w:t>
      </w:r>
      <w:r w:rsidR="00A84557" w:rsidRPr="00CF77C1">
        <w:rPr>
          <w:lang w:val="sr-Cyrl-RS"/>
        </w:rPr>
        <w:t>резултат неостваривање потребне</w:t>
      </w:r>
      <w:r w:rsidRPr="00CF77C1">
        <w:rPr>
          <w:lang w:val="sr-Cyrl-RS"/>
        </w:rPr>
        <w:t xml:space="preserve"> </w:t>
      </w:r>
      <w:r w:rsidR="00A84557" w:rsidRPr="00CF77C1">
        <w:rPr>
          <w:lang w:val="sr-Cyrl-RS"/>
        </w:rPr>
        <w:t>про</w:t>
      </w:r>
      <w:r w:rsidR="00165345" w:rsidRPr="00CF77C1">
        <w:rPr>
          <w:lang w:val="sr-Cyrl-RS"/>
        </w:rPr>
        <w:t>и</w:t>
      </w:r>
      <w:r w:rsidR="00A84557" w:rsidRPr="00CF77C1">
        <w:rPr>
          <w:lang w:val="sr-Cyrl-RS"/>
        </w:rPr>
        <w:t>зводње угља</w:t>
      </w:r>
      <w:r w:rsidRPr="00CF77C1">
        <w:rPr>
          <w:lang w:val="sr-Cyrl-RS"/>
        </w:rPr>
        <w:t>.</w:t>
      </w:r>
      <w:r w:rsidR="00434622" w:rsidRPr="00CF77C1">
        <w:rPr>
          <w:lang w:val="sr-Cyrl-RS"/>
        </w:rPr>
        <w:t xml:space="preserve"> Количине откривке морају бити усаглашене са коефицијентом откривке. Однос остварене производње јаловине 84.195.353 m</w:t>
      </w:r>
      <w:r w:rsidR="00434622" w:rsidRPr="00CF77C1">
        <w:rPr>
          <w:vertAlign w:val="superscript"/>
          <w:lang w:val="sr-Cyrl-RS"/>
        </w:rPr>
        <w:t>3</w:t>
      </w:r>
      <w:r w:rsidR="00434622" w:rsidRPr="00CF77C1">
        <w:rPr>
          <w:lang w:val="sr-Cyrl-RS"/>
        </w:rPr>
        <w:t xml:space="preserve"> и угља 37.029.091 </w:t>
      </w:r>
      <w:r w:rsidR="006D49B3" w:rsidRPr="00CF77C1">
        <w:rPr>
          <w:lang w:val="sr-Cyrl-RS"/>
        </w:rPr>
        <w:t>t</w:t>
      </w:r>
      <w:r w:rsidR="00434622" w:rsidRPr="00CF77C1">
        <w:rPr>
          <w:lang w:val="sr-Cyrl-RS"/>
        </w:rPr>
        <w:t xml:space="preserve"> (2,27) не одговара текућем коефицијенту откривке.</w:t>
      </w:r>
    </w:p>
    <w:p w14:paraId="03381F87" w14:textId="77777777" w:rsidR="00087F14" w:rsidRPr="00CF77C1" w:rsidRDefault="00087F14" w:rsidP="00233EA6">
      <w:pPr>
        <w:ind w:firstLine="720"/>
        <w:rPr>
          <w:lang w:val="sr-Cyrl-RS"/>
        </w:rPr>
      </w:pPr>
      <w:r w:rsidRPr="00CF77C1">
        <w:rPr>
          <w:lang w:val="sr-Cyrl-RS"/>
        </w:rPr>
        <w:t>Циљана</w:t>
      </w:r>
      <w:r w:rsidRPr="00CF77C1">
        <w:rPr>
          <w:rFonts w:eastAsia="Calibri"/>
          <w:szCs w:val="24"/>
          <w:lang w:val="sr-Cyrl-RS"/>
        </w:rPr>
        <w:t xml:space="preserve"> вредност индикатора 2023: за јаловину индикатор треба да буде 1,0 уз план који је усаглашен са производњом угља и коефицијентом откривке за текућу годину.</w:t>
      </w:r>
    </w:p>
    <w:p w14:paraId="3BAD4661" w14:textId="49B4F013" w:rsidR="00276B15" w:rsidRPr="00CF77C1" w:rsidRDefault="00276B15" w:rsidP="00233EA6">
      <w:pPr>
        <w:keepNext/>
        <w:spacing w:before="120"/>
        <w:ind w:firstLine="720"/>
        <w:rPr>
          <w:u w:val="single"/>
          <w:lang w:val="sr-Cyrl-RS"/>
        </w:rPr>
      </w:pPr>
      <w:r w:rsidRPr="00CF77C1">
        <w:rPr>
          <w:u w:val="single"/>
          <w:lang w:val="sr-Cyrl-RS"/>
        </w:rPr>
        <w:t xml:space="preserve">Индикатор бр. </w:t>
      </w:r>
      <w:r w:rsidR="00981A87" w:rsidRPr="00CF77C1">
        <w:rPr>
          <w:u w:val="single"/>
          <w:lang w:val="sr-Cyrl-RS"/>
        </w:rPr>
        <w:t>4</w:t>
      </w:r>
    </w:p>
    <w:p w14:paraId="0171D547" w14:textId="0EF5CD34" w:rsidR="00276B15" w:rsidRPr="00CF77C1" w:rsidRDefault="00276B15" w:rsidP="00233EA6">
      <w:pPr>
        <w:ind w:firstLine="720"/>
        <w:rPr>
          <w:lang w:val="sr-Cyrl-RS"/>
        </w:rPr>
      </w:pPr>
      <w:r w:rsidRPr="00CF77C1">
        <w:rPr>
          <w:lang w:val="sr-Cyrl-RS"/>
        </w:rPr>
        <w:t xml:space="preserve">Циљ: </w:t>
      </w:r>
      <w:r w:rsidRPr="00CF77C1">
        <w:rPr>
          <w:szCs w:val="24"/>
          <w:lang w:val="sr-Cyrl-RS"/>
        </w:rPr>
        <w:t>Оптимизација и концентрација производње</w:t>
      </w:r>
      <w:r w:rsidR="00A01B84" w:rsidRPr="00CF77C1">
        <w:rPr>
          <w:szCs w:val="24"/>
          <w:lang w:val="sr-Cyrl-RS"/>
        </w:rPr>
        <w:t xml:space="preserve"> угља из подземне експлоатације</w:t>
      </w:r>
    </w:p>
    <w:p w14:paraId="070FB6B3" w14:textId="0F70F765" w:rsidR="00276B15" w:rsidRPr="00CF77C1" w:rsidRDefault="00276B15" w:rsidP="00233EA6">
      <w:pPr>
        <w:ind w:firstLine="720"/>
        <w:rPr>
          <w:rFonts w:eastAsia="Calibri"/>
          <w:szCs w:val="24"/>
          <w:lang w:val="sr-Cyrl-RS"/>
        </w:rPr>
      </w:pPr>
      <w:r w:rsidRPr="00CF77C1">
        <w:rPr>
          <w:rFonts w:eastAsia="Calibri"/>
          <w:szCs w:val="24"/>
          <w:lang w:val="sr-Cyrl-RS"/>
        </w:rPr>
        <w:t>Индикатор: Однос утрошених и планираних инвестиционих средстава показује степен реализације предвиђених пројекта Оптимизација и концентрација производње угља из по</w:t>
      </w:r>
      <w:r w:rsidR="00A84557" w:rsidRPr="00CF77C1">
        <w:rPr>
          <w:rFonts w:eastAsia="Calibri"/>
          <w:szCs w:val="24"/>
          <w:lang w:val="sr-Cyrl-RS"/>
        </w:rPr>
        <w:t>д</w:t>
      </w:r>
      <w:r w:rsidRPr="00CF77C1">
        <w:rPr>
          <w:rFonts w:eastAsia="Calibri"/>
          <w:szCs w:val="24"/>
          <w:lang w:val="sr-Cyrl-RS"/>
        </w:rPr>
        <w:t>земне експлоатације и указује на потенцијалне опасности недоста</w:t>
      </w:r>
      <w:r w:rsidR="00A84557" w:rsidRPr="00CF77C1">
        <w:rPr>
          <w:rFonts w:eastAsia="Calibri"/>
          <w:szCs w:val="24"/>
          <w:lang w:val="sr-Cyrl-RS"/>
        </w:rPr>
        <w:t>т</w:t>
      </w:r>
      <w:r w:rsidRPr="00CF77C1">
        <w:rPr>
          <w:rFonts w:eastAsia="Calibri"/>
          <w:szCs w:val="24"/>
          <w:lang w:val="sr-Cyrl-RS"/>
        </w:rPr>
        <w:t>ка производње због смањеног обима инвестиција.</w:t>
      </w:r>
    </w:p>
    <w:p w14:paraId="00E0A376" w14:textId="77777777" w:rsidR="00276B15" w:rsidRPr="00CF77C1" w:rsidRDefault="00276B15" w:rsidP="00233EA6">
      <w:pPr>
        <w:ind w:firstLine="720"/>
        <w:rPr>
          <w:szCs w:val="24"/>
          <w:lang w:val="sr-Cyrl-RS"/>
        </w:rPr>
      </w:pPr>
      <w:r w:rsidRPr="00CF77C1">
        <w:rPr>
          <w:szCs w:val="24"/>
          <w:lang w:val="sr-Cyrl-RS"/>
        </w:rPr>
        <w:t>2015 година</w:t>
      </w:r>
    </w:p>
    <w:p w14:paraId="44EB87D9" w14:textId="56F206AD" w:rsidR="00276B15" w:rsidRPr="00CF77C1" w:rsidRDefault="00276B15" w:rsidP="00233EA6">
      <w:pPr>
        <w:tabs>
          <w:tab w:val="right" w:pos="5670"/>
        </w:tabs>
        <w:ind w:firstLine="720"/>
        <w:rPr>
          <w:szCs w:val="24"/>
          <w:lang w:val="sr-Cyrl-RS"/>
        </w:rPr>
      </w:pPr>
      <w:r w:rsidRPr="00CF77C1">
        <w:rPr>
          <w:szCs w:val="24"/>
          <w:lang w:val="sr-Cyrl-RS"/>
        </w:rPr>
        <w:t>Планирана средства:</w:t>
      </w:r>
      <w:r w:rsidRPr="00CF77C1">
        <w:rPr>
          <w:szCs w:val="24"/>
          <w:lang w:val="sr-Cyrl-RS"/>
        </w:rPr>
        <w:tab/>
      </w:r>
      <w:r w:rsidR="00434622" w:rsidRPr="00CF77C1">
        <w:rPr>
          <w:szCs w:val="24"/>
          <w:lang w:val="sr-Cyrl-RS"/>
        </w:rPr>
        <w:t xml:space="preserve">998.213.000 </w:t>
      </w:r>
      <w:r w:rsidR="0013305E" w:rsidRPr="00CF77C1">
        <w:rPr>
          <w:lang w:val="sr-Cyrl-RS"/>
        </w:rPr>
        <w:t>РСД</w:t>
      </w:r>
    </w:p>
    <w:p w14:paraId="1AC764D8" w14:textId="77777777" w:rsidR="00276B15" w:rsidRPr="00CF77C1" w:rsidRDefault="00276B15" w:rsidP="00233EA6">
      <w:pPr>
        <w:tabs>
          <w:tab w:val="right" w:pos="5670"/>
        </w:tabs>
        <w:ind w:firstLine="720"/>
        <w:rPr>
          <w:szCs w:val="24"/>
          <w:lang w:val="sr-Cyrl-RS"/>
        </w:rPr>
      </w:pPr>
      <w:r w:rsidRPr="00CF77C1">
        <w:rPr>
          <w:szCs w:val="24"/>
          <w:lang w:val="sr-Cyrl-RS"/>
        </w:rPr>
        <w:t>Реализована средства:</w:t>
      </w:r>
      <w:r w:rsidRPr="00CF77C1">
        <w:rPr>
          <w:szCs w:val="24"/>
          <w:lang w:val="sr-Cyrl-RS"/>
        </w:rPr>
        <w:tab/>
      </w:r>
      <w:r w:rsidR="00434622" w:rsidRPr="00CF77C1">
        <w:rPr>
          <w:szCs w:val="24"/>
          <w:lang w:val="sr-Cyrl-RS"/>
        </w:rPr>
        <w:t xml:space="preserve">324.063.770 </w:t>
      </w:r>
      <w:r w:rsidR="0013305E" w:rsidRPr="00CF77C1">
        <w:rPr>
          <w:lang w:val="sr-Cyrl-RS"/>
        </w:rPr>
        <w:t>РСД</w:t>
      </w:r>
    </w:p>
    <w:p w14:paraId="6E7460FF" w14:textId="77777777" w:rsidR="00276B15" w:rsidRPr="00CF77C1" w:rsidRDefault="00276B15" w:rsidP="00233EA6">
      <w:pPr>
        <w:tabs>
          <w:tab w:val="right" w:pos="5670"/>
        </w:tabs>
        <w:ind w:firstLine="720"/>
        <w:rPr>
          <w:rFonts w:eastAsia="Calibri"/>
          <w:szCs w:val="24"/>
          <w:lang w:val="sr-Cyrl-RS"/>
        </w:rPr>
      </w:pPr>
      <w:r w:rsidRPr="00CF77C1">
        <w:rPr>
          <w:rFonts w:eastAsia="Calibri"/>
          <w:szCs w:val="24"/>
          <w:lang w:val="sr-Cyrl-RS"/>
        </w:rPr>
        <w:t>Вредност индикатора:</w:t>
      </w:r>
      <w:r w:rsidRPr="00CF77C1">
        <w:rPr>
          <w:rFonts w:eastAsia="Calibri"/>
          <w:szCs w:val="24"/>
          <w:lang w:val="sr-Cyrl-RS"/>
        </w:rPr>
        <w:tab/>
        <w:t>0,</w:t>
      </w:r>
      <w:r w:rsidR="00434622" w:rsidRPr="00CF77C1">
        <w:rPr>
          <w:rFonts w:eastAsia="Calibri"/>
          <w:szCs w:val="24"/>
          <w:lang w:val="sr-Cyrl-RS"/>
        </w:rPr>
        <w:t>32</w:t>
      </w:r>
      <w:r w:rsidRPr="00CF77C1">
        <w:rPr>
          <w:rFonts w:eastAsia="Calibri"/>
          <w:szCs w:val="24"/>
          <w:lang w:val="sr-Cyrl-RS"/>
        </w:rPr>
        <w:t xml:space="preserve"> (</w:t>
      </w:r>
      <w:r w:rsidR="00434622" w:rsidRPr="00CF77C1">
        <w:rPr>
          <w:rFonts w:eastAsia="Calibri"/>
          <w:szCs w:val="24"/>
          <w:lang w:val="sr-Cyrl-RS"/>
        </w:rPr>
        <w:t>32</w:t>
      </w:r>
      <w:r w:rsidRPr="00CF77C1">
        <w:rPr>
          <w:rFonts w:eastAsia="Calibri"/>
          <w:szCs w:val="24"/>
          <w:lang w:val="sr-Cyrl-RS"/>
        </w:rPr>
        <w:t>%)</w:t>
      </w:r>
    </w:p>
    <w:p w14:paraId="01BA0F20" w14:textId="77777777" w:rsidR="00087F14" w:rsidRPr="00CF77C1" w:rsidRDefault="00087F14" w:rsidP="00233EA6">
      <w:pPr>
        <w:ind w:firstLine="720"/>
        <w:rPr>
          <w:lang w:val="sr-Cyrl-RS"/>
        </w:rPr>
      </w:pPr>
      <w:r w:rsidRPr="00CF77C1">
        <w:rPr>
          <w:rFonts w:eastAsia="Calibri"/>
          <w:szCs w:val="24"/>
          <w:lang w:val="sr-Cyrl-RS"/>
        </w:rPr>
        <w:t>Циљана вредност индикатора 2023: 0,90</w:t>
      </w:r>
    </w:p>
    <w:p w14:paraId="34704DC8" w14:textId="0EDA4782" w:rsidR="00276B15" w:rsidRPr="00CF77C1" w:rsidRDefault="00276B15" w:rsidP="00233EA6">
      <w:pPr>
        <w:keepNext/>
        <w:spacing w:before="120"/>
        <w:ind w:firstLine="720"/>
        <w:rPr>
          <w:u w:val="single"/>
          <w:lang w:val="sr-Cyrl-RS"/>
        </w:rPr>
      </w:pPr>
      <w:r w:rsidRPr="00CF77C1">
        <w:rPr>
          <w:u w:val="single"/>
          <w:lang w:val="sr-Cyrl-RS"/>
        </w:rPr>
        <w:t xml:space="preserve">Индикатор бр. </w:t>
      </w:r>
      <w:r w:rsidR="00981A87" w:rsidRPr="00CF77C1">
        <w:rPr>
          <w:u w:val="single"/>
          <w:lang w:val="sr-Cyrl-RS"/>
        </w:rPr>
        <w:t>5</w:t>
      </w:r>
    </w:p>
    <w:p w14:paraId="5364C1AE" w14:textId="77777777" w:rsidR="00276B15" w:rsidRPr="00CF77C1" w:rsidRDefault="00276B15" w:rsidP="00233EA6">
      <w:pPr>
        <w:keepNext/>
        <w:ind w:firstLine="720"/>
        <w:rPr>
          <w:lang w:val="sr-Cyrl-RS"/>
        </w:rPr>
      </w:pPr>
      <w:r w:rsidRPr="00CF77C1">
        <w:rPr>
          <w:lang w:val="sr-Cyrl-RS"/>
        </w:rPr>
        <w:t>Циљ: Интензивирање истраживања лежишта угља на целој територији Републике Србије</w:t>
      </w:r>
    </w:p>
    <w:p w14:paraId="5B6709C0" w14:textId="1CEBCF03" w:rsidR="00276B15" w:rsidRPr="00CF77C1" w:rsidRDefault="00276B15" w:rsidP="00233EA6">
      <w:pPr>
        <w:ind w:firstLine="720"/>
        <w:rPr>
          <w:rFonts w:eastAsia="Calibri"/>
          <w:szCs w:val="24"/>
          <w:lang w:val="sr-Cyrl-RS"/>
        </w:rPr>
      </w:pPr>
      <w:r w:rsidRPr="00CF77C1">
        <w:rPr>
          <w:rFonts w:eastAsia="Calibri"/>
          <w:szCs w:val="24"/>
          <w:lang w:val="sr-Cyrl-RS"/>
        </w:rPr>
        <w:t xml:space="preserve">Индикатор: Однос </w:t>
      </w:r>
      <w:r w:rsidR="00434622" w:rsidRPr="00CF77C1">
        <w:rPr>
          <w:rFonts w:eastAsia="Calibri"/>
          <w:szCs w:val="24"/>
          <w:lang w:val="sr-Cyrl-RS"/>
        </w:rPr>
        <w:t>извршених</w:t>
      </w:r>
      <w:r w:rsidRPr="00CF77C1">
        <w:rPr>
          <w:rFonts w:eastAsia="Calibri"/>
          <w:szCs w:val="24"/>
          <w:lang w:val="sr-Cyrl-RS"/>
        </w:rPr>
        <w:t xml:space="preserve"> и планираних </w:t>
      </w:r>
      <w:r w:rsidR="00434622" w:rsidRPr="00CF77C1">
        <w:rPr>
          <w:rFonts w:eastAsia="Calibri"/>
          <w:szCs w:val="24"/>
          <w:lang w:val="sr-Cyrl-RS"/>
        </w:rPr>
        <w:t xml:space="preserve">истраживања </w:t>
      </w:r>
      <w:r w:rsidRPr="00CF77C1">
        <w:rPr>
          <w:rFonts w:eastAsia="Calibri"/>
          <w:szCs w:val="24"/>
          <w:lang w:val="sr-Cyrl-RS"/>
        </w:rPr>
        <w:t>лежишта показује степен реализације предвиђених пројекта „Интезивирање истраживања лежишта угља на целој територији Републике Србије</w:t>
      </w:r>
      <w:r w:rsidR="00AD5740" w:rsidRPr="00CF77C1">
        <w:rPr>
          <w:rFonts w:eastAsia="Calibri"/>
          <w:szCs w:val="24"/>
          <w:lang w:val="sr-Cyrl-RS"/>
        </w:rPr>
        <w:t>”</w:t>
      </w:r>
      <w:r w:rsidRPr="00CF77C1">
        <w:rPr>
          <w:rFonts w:eastAsia="Calibri"/>
          <w:szCs w:val="24"/>
          <w:lang w:val="sr-Cyrl-RS"/>
        </w:rPr>
        <w:t xml:space="preserve"> и указује на потенцијалне опасности недоста</w:t>
      </w:r>
      <w:r w:rsidR="00E8543E">
        <w:rPr>
          <w:rFonts w:eastAsia="Calibri"/>
          <w:szCs w:val="24"/>
          <w:lang w:val="sr-Cyrl-RS"/>
        </w:rPr>
        <w:t>т</w:t>
      </w:r>
      <w:r w:rsidRPr="00CF77C1">
        <w:rPr>
          <w:rFonts w:eastAsia="Calibri"/>
          <w:szCs w:val="24"/>
          <w:lang w:val="sr-Cyrl-RS"/>
        </w:rPr>
        <w:t>ка квалитетних података због смањеног обима инвестиција.</w:t>
      </w:r>
    </w:p>
    <w:p w14:paraId="1AEDE6EA" w14:textId="77777777" w:rsidR="00434622" w:rsidRPr="00CF77C1" w:rsidRDefault="00434622" w:rsidP="00233EA6">
      <w:pPr>
        <w:ind w:firstLine="720"/>
        <w:rPr>
          <w:szCs w:val="24"/>
          <w:lang w:val="sr-Cyrl-RS"/>
        </w:rPr>
      </w:pPr>
      <w:r w:rsidRPr="00CF77C1">
        <w:rPr>
          <w:szCs w:val="24"/>
          <w:lang w:val="sr-Cyrl-RS"/>
        </w:rPr>
        <w:t>Пример за ЈП за ПЕУ, за остале објекте (ЕПС) важи иста методологија:</w:t>
      </w:r>
    </w:p>
    <w:p w14:paraId="33C06285" w14:textId="77777777" w:rsidR="00276B15" w:rsidRPr="00CF77C1" w:rsidRDefault="00434622" w:rsidP="00233EA6">
      <w:pPr>
        <w:ind w:firstLine="720"/>
        <w:rPr>
          <w:szCs w:val="24"/>
          <w:lang w:val="sr-Cyrl-RS"/>
        </w:rPr>
      </w:pPr>
      <w:r w:rsidRPr="00CF77C1">
        <w:rPr>
          <w:szCs w:val="24"/>
          <w:lang w:val="sr-Cyrl-RS"/>
        </w:rPr>
        <w:t>2016.</w:t>
      </w:r>
      <w:r w:rsidR="00276B15" w:rsidRPr="00CF77C1">
        <w:rPr>
          <w:szCs w:val="24"/>
          <w:lang w:val="sr-Cyrl-RS"/>
        </w:rPr>
        <w:t xml:space="preserve"> година</w:t>
      </w:r>
    </w:p>
    <w:p w14:paraId="7690550A" w14:textId="77777777" w:rsidR="00276B15" w:rsidRPr="00CF77C1" w:rsidRDefault="00276B15" w:rsidP="00233EA6">
      <w:pPr>
        <w:tabs>
          <w:tab w:val="right" w:pos="5670"/>
        </w:tabs>
        <w:ind w:firstLine="720"/>
        <w:rPr>
          <w:szCs w:val="24"/>
          <w:lang w:val="sr-Cyrl-RS"/>
        </w:rPr>
      </w:pPr>
      <w:r w:rsidRPr="00CF77C1">
        <w:rPr>
          <w:szCs w:val="24"/>
          <w:lang w:val="sr-Cyrl-RS"/>
        </w:rPr>
        <w:t xml:space="preserve">Планирана </w:t>
      </w:r>
      <w:r w:rsidR="00434622" w:rsidRPr="00CF77C1">
        <w:rPr>
          <w:szCs w:val="24"/>
          <w:lang w:val="sr-Cyrl-RS"/>
        </w:rPr>
        <w:t>истраживања</w:t>
      </w:r>
      <w:r w:rsidRPr="00CF77C1">
        <w:rPr>
          <w:szCs w:val="24"/>
          <w:lang w:val="sr-Cyrl-RS"/>
        </w:rPr>
        <w:t>:</w:t>
      </w:r>
      <w:r w:rsidRPr="00CF77C1">
        <w:rPr>
          <w:szCs w:val="24"/>
          <w:lang w:val="sr-Cyrl-RS"/>
        </w:rPr>
        <w:tab/>
      </w:r>
      <w:r w:rsidR="00434622" w:rsidRPr="00CF77C1">
        <w:rPr>
          <w:szCs w:val="24"/>
          <w:lang w:val="sr-Cyrl-RS"/>
        </w:rPr>
        <w:t>5.190,0 m</w:t>
      </w:r>
    </w:p>
    <w:p w14:paraId="1A1B60D6" w14:textId="77777777" w:rsidR="00276B15" w:rsidRPr="00CF77C1" w:rsidRDefault="00276B15" w:rsidP="00233EA6">
      <w:pPr>
        <w:tabs>
          <w:tab w:val="right" w:pos="5670"/>
        </w:tabs>
        <w:ind w:firstLine="720"/>
        <w:rPr>
          <w:szCs w:val="24"/>
          <w:lang w:val="sr-Cyrl-RS"/>
        </w:rPr>
      </w:pPr>
      <w:r w:rsidRPr="00CF77C1">
        <w:rPr>
          <w:szCs w:val="24"/>
          <w:lang w:val="sr-Cyrl-RS"/>
        </w:rPr>
        <w:t xml:space="preserve">Реализована </w:t>
      </w:r>
      <w:r w:rsidR="00434622" w:rsidRPr="00CF77C1">
        <w:rPr>
          <w:szCs w:val="24"/>
          <w:lang w:val="sr-Cyrl-RS"/>
        </w:rPr>
        <w:t>истраживања</w:t>
      </w:r>
      <w:r w:rsidRPr="00CF77C1">
        <w:rPr>
          <w:szCs w:val="24"/>
          <w:lang w:val="sr-Cyrl-RS"/>
        </w:rPr>
        <w:t>:</w:t>
      </w:r>
      <w:r w:rsidRPr="00CF77C1">
        <w:rPr>
          <w:szCs w:val="24"/>
          <w:lang w:val="sr-Cyrl-RS"/>
        </w:rPr>
        <w:tab/>
      </w:r>
      <w:r w:rsidR="00434622" w:rsidRPr="00CF77C1">
        <w:rPr>
          <w:szCs w:val="24"/>
          <w:lang w:val="sr-Cyrl-RS"/>
        </w:rPr>
        <w:t>650,8 m</w:t>
      </w:r>
    </w:p>
    <w:p w14:paraId="275EC37E" w14:textId="77777777" w:rsidR="00276B15" w:rsidRPr="00CF77C1" w:rsidRDefault="00276B15" w:rsidP="00233EA6">
      <w:pPr>
        <w:tabs>
          <w:tab w:val="right" w:pos="5670"/>
        </w:tabs>
        <w:ind w:firstLine="720"/>
        <w:rPr>
          <w:rFonts w:eastAsia="Calibri"/>
          <w:szCs w:val="24"/>
          <w:lang w:val="sr-Cyrl-RS"/>
        </w:rPr>
      </w:pPr>
      <w:r w:rsidRPr="00CF77C1">
        <w:rPr>
          <w:rFonts w:eastAsia="Calibri"/>
          <w:szCs w:val="24"/>
          <w:lang w:val="sr-Cyrl-RS"/>
        </w:rPr>
        <w:t>Вредност индикатора:</w:t>
      </w:r>
      <w:r w:rsidRPr="00CF77C1">
        <w:rPr>
          <w:rFonts w:eastAsia="Calibri"/>
          <w:szCs w:val="24"/>
          <w:lang w:val="sr-Cyrl-RS"/>
        </w:rPr>
        <w:tab/>
        <w:t>0,</w:t>
      </w:r>
      <w:r w:rsidR="00434622" w:rsidRPr="00CF77C1">
        <w:rPr>
          <w:rFonts w:eastAsia="Calibri"/>
          <w:szCs w:val="24"/>
          <w:lang w:val="sr-Cyrl-RS"/>
        </w:rPr>
        <w:t>12</w:t>
      </w:r>
      <w:r w:rsidRPr="00CF77C1">
        <w:rPr>
          <w:rFonts w:eastAsia="Calibri"/>
          <w:szCs w:val="24"/>
          <w:lang w:val="sr-Cyrl-RS"/>
        </w:rPr>
        <w:t xml:space="preserve"> (</w:t>
      </w:r>
      <w:r w:rsidR="00434622" w:rsidRPr="00CF77C1">
        <w:rPr>
          <w:rFonts w:eastAsia="Calibri"/>
          <w:szCs w:val="24"/>
          <w:lang w:val="sr-Cyrl-RS"/>
        </w:rPr>
        <w:t>12</w:t>
      </w:r>
      <w:r w:rsidRPr="00CF77C1">
        <w:rPr>
          <w:rFonts w:eastAsia="Calibri"/>
          <w:szCs w:val="24"/>
          <w:lang w:val="sr-Cyrl-RS"/>
        </w:rPr>
        <w:t>%)</w:t>
      </w:r>
    </w:p>
    <w:p w14:paraId="797E72C4" w14:textId="77777777" w:rsidR="00087F14" w:rsidRPr="00CF77C1" w:rsidRDefault="00087F14" w:rsidP="00233EA6">
      <w:pPr>
        <w:ind w:firstLine="720"/>
        <w:rPr>
          <w:lang w:val="sr-Cyrl-RS"/>
        </w:rPr>
      </w:pPr>
      <w:r w:rsidRPr="00CF77C1">
        <w:rPr>
          <w:rFonts w:eastAsia="Calibri"/>
          <w:szCs w:val="24"/>
          <w:lang w:val="sr-Cyrl-RS"/>
        </w:rPr>
        <w:t>Циљана вредност индикатора 2023: 0,90</w:t>
      </w:r>
    </w:p>
    <w:p w14:paraId="0305B9AD" w14:textId="0705EE38" w:rsidR="00276B15" w:rsidRPr="00CF77C1" w:rsidRDefault="00276B15" w:rsidP="00233EA6">
      <w:pPr>
        <w:keepNext/>
        <w:spacing w:before="120"/>
        <w:ind w:firstLine="720"/>
        <w:rPr>
          <w:u w:val="single"/>
          <w:lang w:val="sr-Cyrl-RS"/>
        </w:rPr>
      </w:pPr>
      <w:r w:rsidRPr="00CF77C1">
        <w:rPr>
          <w:u w:val="single"/>
          <w:lang w:val="sr-Cyrl-RS"/>
        </w:rPr>
        <w:t xml:space="preserve">Индикатор бр. </w:t>
      </w:r>
      <w:r w:rsidR="00981A87" w:rsidRPr="00CF77C1">
        <w:rPr>
          <w:u w:val="single"/>
          <w:lang w:val="sr-Cyrl-RS"/>
        </w:rPr>
        <w:t>6</w:t>
      </w:r>
    </w:p>
    <w:p w14:paraId="0DB0C7B1" w14:textId="77777777" w:rsidR="00276B15" w:rsidRPr="00CF77C1" w:rsidRDefault="00276B15" w:rsidP="00233EA6">
      <w:pPr>
        <w:keepNext/>
        <w:ind w:firstLine="720"/>
        <w:rPr>
          <w:lang w:val="sr-Cyrl-RS"/>
        </w:rPr>
      </w:pPr>
      <w:r w:rsidRPr="00CF77C1">
        <w:rPr>
          <w:lang w:val="sr-Cyrl-RS"/>
        </w:rPr>
        <w:t>Циљ: Интензивирање истраживања лежишта угља на целој територији Републике Србије</w:t>
      </w:r>
    </w:p>
    <w:p w14:paraId="51E97A5D" w14:textId="77777777" w:rsidR="00276B15" w:rsidRPr="00CF77C1" w:rsidRDefault="00276B15" w:rsidP="00233EA6">
      <w:pPr>
        <w:ind w:firstLine="720"/>
        <w:rPr>
          <w:rFonts w:eastAsia="Calibri"/>
          <w:szCs w:val="24"/>
          <w:lang w:val="sr-Cyrl-RS"/>
        </w:rPr>
      </w:pPr>
      <w:r w:rsidRPr="00CF77C1">
        <w:rPr>
          <w:rFonts w:eastAsia="Calibri"/>
          <w:szCs w:val="24"/>
          <w:lang w:val="sr-Cyrl-RS"/>
        </w:rPr>
        <w:t>Индикатор: Однос резерви категорије А+Б са укупним резервама (А+Б+Ц</w:t>
      </w:r>
      <w:r w:rsidRPr="00CF77C1">
        <w:rPr>
          <w:rFonts w:eastAsia="Calibri"/>
          <w:szCs w:val="24"/>
          <w:vertAlign w:val="subscript"/>
          <w:lang w:val="sr-Cyrl-RS"/>
        </w:rPr>
        <w:t>1</w:t>
      </w:r>
      <w:r w:rsidRPr="00CF77C1">
        <w:rPr>
          <w:rFonts w:eastAsia="Calibri"/>
          <w:szCs w:val="24"/>
          <w:lang w:val="sr-Cyrl-RS"/>
        </w:rPr>
        <w:t>). Индикатор показује степен истражености лежишта са аспекта поузданости кв</w:t>
      </w:r>
      <w:r w:rsidR="00087F14" w:rsidRPr="00CF77C1">
        <w:rPr>
          <w:rFonts w:eastAsia="Calibri"/>
          <w:szCs w:val="24"/>
          <w:lang w:val="sr-Cyrl-RS"/>
        </w:rPr>
        <w:t>алитетне прогнозе резерви угља.</w:t>
      </w:r>
    </w:p>
    <w:p w14:paraId="050820F3" w14:textId="77777777" w:rsidR="00276B15" w:rsidRPr="00CF77C1" w:rsidRDefault="00276B15" w:rsidP="00233EA6">
      <w:pPr>
        <w:spacing w:before="120"/>
        <w:ind w:firstLine="720"/>
        <w:rPr>
          <w:rFonts w:eastAsia="Calibri"/>
          <w:szCs w:val="22"/>
          <w:lang w:val="sr-Cyrl-RS"/>
        </w:rPr>
      </w:pPr>
      <w:r w:rsidRPr="00CF77C1">
        <w:rPr>
          <w:rFonts w:eastAsia="Calibri"/>
          <w:szCs w:val="22"/>
          <w:lang w:val="sr-Cyrl-RS"/>
        </w:rPr>
        <w:t>Колубарски басен:</w:t>
      </w:r>
    </w:p>
    <w:p w14:paraId="23E4B19E"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Резерве А категорије:</w:t>
      </w:r>
      <w:r w:rsidRPr="00CF77C1">
        <w:rPr>
          <w:rFonts w:eastAsia="Calibri"/>
          <w:szCs w:val="22"/>
          <w:lang w:val="sr-Cyrl-RS"/>
        </w:rPr>
        <w:tab/>
        <w:t>64.882.090 t</w:t>
      </w:r>
    </w:p>
    <w:p w14:paraId="177EBBBD"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Резерве Б категорије</w:t>
      </w:r>
      <w:r w:rsidRPr="00CF77C1">
        <w:rPr>
          <w:rFonts w:eastAsia="Calibri"/>
          <w:szCs w:val="22"/>
          <w:lang w:val="sr-Cyrl-RS"/>
        </w:rPr>
        <w:tab/>
        <w:t>1.127.278.570 t</w:t>
      </w:r>
    </w:p>
    <w:p w14:paraId="73F5041E"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Резерве Ц</w:t>
      </w:r>
      <w:r w:rsidRPr="00CF77C1">
        <w:rPr>
          <w:rFonts w:eastAsia="Calibri"/>
          <w:szCs w:val="22"/>
          <w:vertAlign w:val="subscript"/>
          <w:lang w:val="sr-Cyrl-RS"/>
        </w:rPr>
        <w:t>1</w:t>
      </w:r>
      <w:r w:rsidRPr="00CF77C1">
        <w:rPr>
          <w:rFonts w:eastAsia="Calibri"/>
          <w:szCs w:val="22"/>
          <w:lang w:val="sr-Cyrl-RS"/>
        </w:rPr>
        <w:t xml:space="preserve"> категорије:</w:t>
      </w:r>
      <w:r w:rsidRPr="00CF77C1">
        <w:rPr>
          <w:rFonts w:eastAsia="Calibri"/>
          <w:szCs w:val="22"/>
          <w:lang w:val="sr-Cyrl-RS"/>
        </w:rPr>
        <w:tab/>
        <w:t>913.064.140 t</w:t>
      </w:r>
    </w:p>
    <w:p w14:paraId="19ABF786"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Индикатор:</w:t>
      </w:r>
      <w:r w:rsidRPr="00CF77C1">
        <w:rPr>
          <w:rFonts w:eastAsia="Calibri"/>
          <w:szCs w:val="22"/>
          <w:lang w:val="sr-Cyrl-RS"/>
        </w:rPr>
        <w:tab/>
        <w:t>Резерве (А+Б)/(А+Б+Ц</w:t>
      </w:r>
      <w:r w:rsidRPr="00CF77C1">
        <w:rPr>
          <w:rFonts w:eastAsia="Calibri"/>
          <w:szCs w:val="22"/>
          <w:vertAlign w:val="subscript"/>
          <w:lang w:val="sr-Cyrl-RS"/>
        </w:rPr>
        <w:t>1</w:t>
      </w:r>
      <w:r w:rsidR="00537E82" w:rsidRPr="00CF77C1">
        <w:rPr>
          <w:rFonts w:eastAsia="Calibri"/>
          <w:szCs w:val="22"/>
          <w:lang w:val="sr-Cyrl-RS"/>
        </w:rPr>
        <w:t>) = 0,</w:t>
      </w:r>
      <w:r w:rsidRPr="00CF77C1">
        <w:rPr>
          <w:rFonts w:eastAsia="Calibri"/>
          <w:szCs w:val="22"/>
          <w:lang w:val="sr-Cyrl-RS"/>
        </w:rPr>
        <w:t>566</w:t>
      </w:r>
    </w:p>
    <w:p w14:paraId="754396A2" w14:textId="77777777" w:rsidR="00276B15" w:rsidRPr="00CF77C1" w:rsidRDefault="00276B15" w:rsidP="00233EA6">
      <w:pPr>
        <w:spacing w:before="120"/>
        <w:ind w:firstLine="720"/>
        <w:rPr>
          <w:rFonts w:eastAsia="Calibri"/>
          <w:szCs w:val="22"/>
          <w:lang w:val="sr-Cyrl-RS"/>
        </w:rPr>
      </w:pPr>
      <w:r w:rsidRPr="00CF77C1">
        <w:rPr>
          <w:rFonts w:eastAsia="Calibri"/>
          <w:szCs w:val="22"/>
          <w:lang w:val="sr-Cyrl-RS"/>
        </w:rPr>
        <w:t>ПК Дрмно:</w:t>
      </w:r>
    </w:p>
    <w:p w14:paraId="3CF6C594"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Резерве А категорије:</w:t>
      </w:r>
      <w:r w:rsidRPr="00CF77C1">
        <w:rPr>
          <w:rFonts w:eastAsia="Calibri"/>
          <w:szCs w:val="22"/>
          <w:lang w:val="sr-Cyrl-RS"/>
        </w:rPr>
        <w:tab/>
        <w:t>0 t</w:t>
      </w:r>
    </w:p>
    <w:p w14:paraId="62069B00"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Резерве Б категорије</w:t>
      </w:r>
      <w:r w:rsidRPr="00CF77C1">
        <w:rPr>
          <w:rFonts w:eastAsia="Calibri"/>
          <w:szCs w:val="22"/>
          <w:lang w:val="sr-Cyrl-RS"/>
        </w:rPr>
        <w:tab/>
        <w:t>238.675.082 t</w:t>
      </w:r>
    </w:p>
    <w:p w14:paraId="32753FD8"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Резерве Ц</w:t>
      </w:r>
      <w:r w:rsidRPr="00CF77C1">
        <w:rPr>
          <w:rFonts w:eastAsia="Calibri"/>
          <w:szCs w:val="22"/>
          <w:vertAlign w:val="subscript"/>
          <w:lang w:val="sr-Cyrl-RS"/>
        </w:rPr>
        <w:t>1</w:t>
      </w:r>
      <w:r w:rsidRPr="00CF77C1">
        <w:rPr>
          <w:rFonts w:eastAsia="Calibri"/>
          <w:szCs w:val="22"/>
          <w:lang w:val="sr-Cyrl-RS"/>
        </w:rPr>
        <w:t xml:space="preserve"> категорије:</w:t>
      </w:r>
      <w:r w:rsidRPr="00CF77C1">
        <w:rPr>
          <w:rFonts w:eastAsia="Calibri"/>
          <w:szCs w:val="22"/>
          <w:lang w:val="sr-Cyrl-RS"/>
        </w:rPr>
        <w:tab/>
        <w:t>159.310.462 t</w:t>
      </w:r>
    </w:p>
    <w:p w14:paraId="571F0A13"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Индикатор:</w:t>
      </w:r>
      <w:r w:rsidRPr="00CF77C1">
        <w:rPr>
          <w:rFonts w:eastAsia="Calibri"/>
          <w:szCs w:val="22"/>
          <w:lang w:val="sr-Cyrl-RS"/>
        </w:rPr>
        <w:tab/>
        <w:t>Резерве (А+Б)/(А+Б+Ц</w:t>
      </w:r>
      <w:r w:rsidRPr="00CF77C1">
        <w:rPr>
          <w:rFonts w:eastAsia="Calibri"/>
          <w:szCs w:val="22"/>
          <w:vertAlign w:val="subscript"/>
          <w:lang w:val="sr-Cyrl-RS"/>
        </w:rPr>
        <w:t>1</w:t>
      </w:r>
      <w:r w:rsidR="00537E82" w:rsidRPr="00CF77C1">
        <w:rPr>
          <w:rFonts w:eastAsia="Calibri"/>
          <w:szCs w:val="22"/>
          <w:lang w:val="sr-Cyrl-RS"/>
        </w:rPr>
        <w:t>) = 0,</w:t>
      </w:r>
      <w:r w:rsidRPr="00CF77C1">
        <w:rPr>
          <w:rFonts w:eastAsia="Calibri"/>
          <w:szCs w:val="22"/>
          <w:lang w:val="sr-Cyrl-RS"/>
        </w:rPr>
        <w:t>599</w:t>
      </w:r>
    </w:p>
    <w:p w14:paraId="5CD2551D" w14:textId="77777777" w:rsidR="00276B15" w:rsidRPr="00CF77C1" w:rsidRDefault="00276B15" w:rsidP="00233EA6">
      <w:pPr>
        <w:keepNext/>
        <w:keepLines/>
        <w:spacing w:before="120"/>
        <w:ind w:firstLine="720"/>
        <w:rPr>
          <w:rFonts w:eastAsia="Calibri"/>
          <w:szCs w:val="22"/>
          <w:lang w:val="sr-Cyrl-RS"/>
        </w:rPr>
      </w:pPr>
      <w:r w:rsidRPr="00CF77C1">
        <w:rPr>
          <w:rFonts w:eastAsia="Calibri"/>
          <w:szCs w:val="22"/>
          <w:lang w:val="sr-Cyrl-RS"/>
        </w:rPr>
        <w:t>ЈП за подземну експлоатацију угља:</w:t>
      </w:r>
    </w:p>
    <w:p w14:paraId="0C182E0D" w14:textId="77777777" w:rsidR="00276B15" w:rsidRPr="00CF77C1" w:rsidRDefault="00276B15" w:rsidP="00233EA6">
      <w:pPr>
        <w:keepNext/>
        <w:keepLines/>
        <w:tabs>
          <w:tab w:val="right" w:pos="5670"/>
        </w:tabs>
        <w:ind w:firstLine="720"/>
        <w:rPr>
          <w:rFonts w:eastAsia="Calibri"/>
          <w:szCs w:val="22"/>
          <w:lang w:val="sr-Cyrl-RS"/>
        </w:rPr>
      </w:pPr>
      <w:r w:rsidRPr="00CF77C1">
        <w:rPr>
          <w:rFonts w:eastAsia="Calibri"/>
          <w:szCs w:val="22"/>
          <w:lang w:val="sr-Cyrl-RS"/>
        </w:rPr>
        <w:t>Резерве А категорије:</w:t>
      </w:r>
      <w:r w:rsidRPr="00CF77C1">
        <w:rPr>
          <w:rFonts w:eastAsia="Calibri"/>
          <w:szCs w:val="22"/>
          <w:lang w:val="sr-Cyrl-RS"/>
        </w:rPr>
        <w:tab/>
        <w:t>3.888.810 t</w:t>
      </w:r>
    </w:p>
    <w:p w14:paraId="16AB6D82" w14:textId="77777777" w:rsidR="00276B15" w:rsidRPr="00CF77C1" w:rsidRDefault="00276B15" w:rsidP="00233EA6">
      <w:pPr>
        <w:keepNext/>
        <w:keepLines/>
        <w:tabs>
          <w:tab w:val="right" w:pos="5670"/>
        </w:tabs>
        <w:ind w:firstLine="720"/>
        <w:rPr>
          <w:rFonts w:eastAsia="Calibri"/>
          <w:szCs w:val="22"/>
          <w:lang w:val="sr-Cyrl-RS"/>
        </w:rPr>
      </w:pPr>
      <w:r w:rsidRPr="00CF77C1">
        <w:rPr>
          <w:rFonts w:eastAsia="Calibri"/>
          <w:szCs w:val="22"/>
          <w:lang w:val="sr-Cyrl-RS"/>
        </w:rPr>
        <w:t>Резерве Б категорије</w:t>
      </w:r>
      <w:r w:rsidRPr="00CF77C1">
        <w:rPr>
          <w:rFonts w:eastAsia="Calibri"/>
          <w:szCs w:val="22"/>
          <w:lang w:val="sr-Cyrl-RS"/>
        </w:rPr>
        <w:tab/>
        <w:t>436.106.730 t</w:t>
      </w:r>
    </w:p>
    <w:p w14:paraId="4994E453" w14:textId="77777777" w:rsidR="00276B15" w:rsidRPr="00CF77C1" w:rsidRDefault="00276B15" w:rsidP="00233EA6">
      <w:pPr>
        <w:keepNext/>
        <w:keepLines/>
        <w:tabs>
          <w:tab w:val="right" w:pos="5670"/>
        </w:tabs>
        <w:ind w:firstLine="720"/>
        <w:rPr>
          <w:rFonts w:eastAsia="Calibri"/>
          <w:szCs w:val="22"/>
          <w:lang w:val="sr-Cyrl-RS"/>
        </w:rPr>
      </w:pPr>
      <w:r w:rsidRPr="00CF77C1">
        <w:rPr>
          <w:rFonts w:eastAsia="Calibri"/>
          <w:szCs w:val="22"/>
          <w:lang w:val="sr-Cyrl-RS"/>
        </w:rPr>
        <w:t>Резерве Ц</w:t>
      </w:r>
      <w:r w:rsidRPr="00CF77C1">
        <w:rPr>
          <w:rFonts w:eastAsia="Calibri"/>
          <w:szCs w:val="22"/>
          <w:vertAlign w:val="subscript"/>
          <w:lang w:val="sr-Cyrl-RS"/>
        </w:rPr>
        <w:t>1</w:t>
      </w:r>
      <w:r w:rsidRPr="00CF77C1">
        <w:rPr>
          <w:rFonts w:eastAsia="Calibri"/>
          <w:szCs w:val="22"/>
          <w:lang w:val="sr-Cyrl-RS"/>
        </w:rPr>
        <w:t xml:space="preserve"> категорије:</w:t>
      </w:r>
      <w:r w:rsidRPr="00CF77C1">
        <w:rPr>
          <w:rFonts w:eastAsia="Calibri"/>
          <w:szCs w:val="22"/>
          <w:lang w:val="sr-Cyrl-RS"/>
        </w:rPr>
        <w:tab/>
        <w:t>595.356.870 t</w:t>
      </w:r>
    </w:p>
    <w:p w14:paraId="700824A8" w14:textId="77777777" w:rsidR="00276B15" w:rsidRPr="00CF77C1" w:rsidRDefault="00276B15" w:rsidP="00233EA6">
      <w:pPr>
        <w:tabs>
          <w:tab w:val="right" w:pos="5670"/>
        </w:tabs>
        <w:ind w:firstLine="720"/>
        <w:rPr>
          <w:rFonts w:eastAsia="Calibri"/>
          <w:szCs w:val="22"/>
          <w:lang w:val="sr-Cyrl-RS"/>
        </w:rPr>
      </w:pPr>
      <w:r w:rsidRPr="00CF77C1">
        <w:rPr>
          <w:rFonts w:eastAsia="Calibri"/>
          <w:szCs w:val="22"/>
          <w:lang w:val="sr-Cyrl-RS"/>
        </w:rPr>
        <w:t>Индикатор:</w:t>
      </w:r>
      <w:r w:rsidRPr="00CF77C1">
        <w:rPr>
          <w:rFonts w:eastAsia="Calibri"/>
          <w:szCs w:val="22"/>
          <w:lang w:val="sr-Cyrl-RS"/>
        </w:rPr>
        <w:tab/>
        <w:t>Резерве (А+Б)/(А+Б+Ц</w:t>
      </w:r>
      <w:r w:rsidRPr="00CF77C1">
        <w:rPr>
          <w:rFonts w:eastAsia="Calibri"/>
          <w:szCs w:val="22"/>
          <w:vertAlign w:val="subscript"/>
          <w:lang w:val="sr-Cyrl-RS"/>
        </w:rPr>
        <w:t>1</w:t>
      </w:r>
      <w:r w:rsidR="00537E82" w:rsidRPr="00CF77C1">
        <w:rPr>
          <w:rFonts w:eastAsia="Calibri"/>
          <w:szCs w:val="22"/>
          <w:lang w:val="sr-Cyrl-RS"/>
        </w:rPr>
        <w:t>) = 0,</w:t>
      </w:r>
      <w:r w:rsidRPr="00CF77C1">
        <w:rPr>
          <w:rFonts w:eastAsia="Calibri"/>
          <w:szCs w:val="22"/>
          <w:lang w:val="sr-Cyrl-RS"/>
        </w:rPr>
        <w:t>739</w:t>
      </w:r>
    </w:p>
    <w:p w14:paraId="03733F70" w14:textId="77777777" w:rsidR="00087F14" w:rsidRPr="00CF77C1" w:rsidRDefault="00087F14" w:rsidP="00233EA6">
      <w:pPr>
        <w:ind w:firstLine="720"/>
        <w:rPr>
          <w:lang w:val="sr-Cyrl-RS"/>
        </w:rPr>
      </w:pPr>
      <w:r w:rsidRPr="00CF77C1">
        <w:rPr>
          <w:rFonts w:eastAsia="Calibri"/>
          <w:szCs w:val="24"/>
          <w:lang w:val="sr-Cyrl-RS"/>
        </w:rPr>
        <w:t>Циљана вредност индикатора 2023: 0,60</w:t>
      </w:r>
    </w:p>
    <w:p w14:paraId="14A009D3" w14:textId="45EC61BC" w:rsidR="00276B15" w:rsidRPr="00CF77C1" w:rsidRDefault="00276B15" w:rsidP="00233EA6">
      <w:pPr>
        <w:keepNext/>
        <w:spacing w:before="120"/>
        <w:ind w:firstLine="720"/>
        <w:rPr>
          <w:u w:val="single"/>
          <w:lang w:val="sr-Cyrl-RS"/>
        </w:rPr>
      </w:pPr>
      <w:r w:rsidRPr="00CF77C1">
        <w:rPr>
          <w:u w:val="single"/>
          <w:lang w:val="sr-Cyrl-RS"/>
        </w:rPr>
        <w:t xml:space="preserve">Индикатор бр. </w:t>
      </w:r>
      <w:r w:rsidR="00981A87" w:rsidRPr="00CF77C1">
        <w:rPr>
          <w:u w:val="single"/>
          <w:lang w:val="sr-Cyrl-RS"/>
        </w:rPr>
        <w:t>7</w:t>
      </w:r>
    </w:p>
    <w:p w14:paraId="5AA58E5C" w14:textId="77777777" w:rsidR="00276B15" w:rsidRPr="00CF77C1" w:rsidRDefault="00276B15" w:rsidP="00233EA6">
      <w:pPr>
        <w:keepNext/>
        <w:ind w:firstLine="720"/>
        <w:rPr>
          <w:lang w:val="sr-Cyrl-RS"/>
        </w:rPr>
      </w:pPr>
      <w:r w:rsidRPr="00CF77C1">
        <w:rPr>
          <w:lang w:val="sr-Cyrl-RS"/>
        </w:rPr>
        <w:t>Циљ: Увођење система за управљање квалитетом угља</w:t>
      </w:r>
    </w:p>
    <w:p w14:paraId="1C534DCB" w14:textId="77777777" w:rsidR="00276B15" w:rsidRPr="00CF77C1" w:rsidRDefault="00276B15" w:rsidP="00233EA6">
      <w:pPr>
        <w:keepNext/>
        <w:ind w:firstLine="720"/>
        <w:rPr>
          <w:rFonts w:eastAsia="Calibri"/>
          <w:szCs w:val="24"/>
          <w:lang w:val="sr-Cyrl-RS"/>
        </w:rPr>
      </w:pPr>
      <w:r w:rsidRPr="00CF77C1">
        <w:rPr>
          <w:rFonts w:eastAsia="Calibri"/>
          <w:szCs w:val="24"/>
          <w:lang w:val="sr-Cyrl-RS"/>
        </w:rPr>
        <w:t xml:space="preserve">Индикатор: Број композиција угља </w:t>
      </w:r>
      <w:r w:rsidR="00591BD9" w:rsidRPr="00CF77C1">
        <w:rPr>
          <w:rFonts w:eastAsia="Calibri"/>
          <w:szCs w:val="24"/>
          <w:lang w:val="sr-Cyrl-RS"/>
        </w:rPr>
        <w:t xml:space="preserve">неадекватног квалитета - </w:t>
      </w:r>
      <w:r w:rsidRPr="00CF77C1">
        <w:rPr>
          <w:rFonts w:eastAsia="Calibri"/>
          <w:szCs w:val="24"/>
          <w:lang w:val="sr-Cyrl-RS"/>
        </w:rPr>
        <w:t>испорученог испод потребне вредности (испод 6500 kJ/kg)</w:t>
      </w:r>
      <w:r w:rsidR="00591BD9" w:rsidRPr="00CF77C1">
        <w:rPr>
          <w:rFonts w:eastAsia="Calibri"/>
          <w:szCs w:val="24"/>
          <w:lang w:val="sr-Cyrl-RS"/>
        </w:rPr>
        <w:t>, преко потребне вредности (преко 7500 kJ/kg)</w:t>
      </w:r>
      <w:r w:rsidR="00EC7E28" w:rsidRPr="00CF77C1">
        <w:rPr>
          <w:rFonts w:eastAsia="Calibri"/>
          <w:szCs w:val="24"/>
          <w:lang w:val="sr-Cyrl-RS"/>
        </w:rPr>
        <w:t xml:space="preserve"> </w:t>
      </w:r>
      <w:r w:rsidRPr="00CF77C1">
        <w:rPr>
          <w:rFonts w:eastAsia="Calibri"/>
          <w:szCs w:val="24"/>
          <w:lang w:val="sr-Cyrl-RS"/>
        </w:rPr>
        <w:t>и укупног броја возова.</w:t>
      </w:r>
    </w:p>
    <w:p w14:paraId="42DC2D94" w14:textId="77777777" w:rsidR="00591BD9" w:rsidRPr="00CF77C1" w:rsidRDefault="00591BD9" w:rsidP="00233EA6">
      <w:pPr>
        <w:keepNext/>
        <w:ind w:firstLine="720"/>
        <w:rPr>
          <w:szCs w:val="24"/>
          <w:lang w:val="sr-Cyrl-RS"/>
        </w:rPr>
      </w:pPr>
      <w:r w:rsidRPr="00CF77C1">
        <w:rPr>
          <w:szCs w:val="24"/>
          <w:lang w:val="sr-Cyrl-RS"/>
        </w:rPr>
        <w:t>Пример за ПК Тамнава западно поље:</w:t>
      </w:r>
    </w:p>
    <w:p w14:paraId="13CD4F86" w14:textId="77777777" w:rsidR="00276B15" w:rsidRPr="00CF77C1" w:rsidRDefault="00276B15" w:rsidP="00233EA6">
      <w:pPr>
        <w:keepNext/>
        <w:ind w:firstLine="720"/>
        <w:rPr>
          <w:szCs w:val="24"/>
          <w:lang w:val="sr-Cyrl-RS"/>
        </w:rPr>
      </w:pPr>
      <w:r w:rsidRPr="00CF77C1">
        <w:rPr>
          <w:szCs w:val="24"/>
          <w:lang w:val="sr-Cyrl-RS"/>
        </w:rPr>
        <w:t>2015</w:t>
      </w:r>
      <w:r w:rsidR="00591BD9" w:rsidRPr="00CF77C1">
        <w:rPr>
          <w:szCs w:val="24"/>
          <w:lang w:val="sr-Cyrl-RS"/>
        </w:rPr>
        <w:t>.</w:t>
      </w:r>
      <w:r w:rsidRPr="00CF77C1">
        <w:rPr>
          <w:szCs w:val="24"/>
          <w:lang w:val="sr-Cyrl-RS"/>
        </w:rPr>
        <w:t xml:space="preserve"> година</w:t>
      </w:r>
    </w:p>
    <w:p w14:paraId="46708977" w14:textId="33EB2D67" w:rsidR="00276B15" w:rsidRPr="00CF77C1" w:rsidRDefault="00276B15" w:rsidP="00233EA6">
      <w:pPr>
        <w:keepNext/>
        <w:tabs>
          <w:tab w:val="right" w:pos="6237"/>
        </w:tabs>
        <w:ind w:firstLine="720"/>
        <w:rPr>
          <w:szCs w:val="24"/>
          <w:lang w:val="sr-Cyrl-RS"/>
        </w:rPr>
      </w:pPr>
      <w:r w:rsidRPr="00CF77C1">
        <w:rPr>
          <w:szCs w:val="24"/>
          <w:lang w:val="sr-Cyrl-RS"/>
        </w:rPr>
        <w:t>Број испоруч</w:t>
      </w:r>
      <w:r w:rsidR="00B45BCD">
        <w:rPr>
          <w:szCs w:val="24"/>
          <w:lang w:val="sr-Cyrl-RS"/>
        </w:rPr>
        <w:t>е</w:t>
      </w:r>
      <w:r w:rsidRPr="00CF77C1">
        <w:rPr>
          <w:szCs w:val="24"/>
          <w:lang w:val="sr-Cyrl-RS"/>
        </w:rPr>
        <w:t>них возова:</w:t>
      </w:r>
      <w:r w:rsidR="00591BD9" w:rsidRPr="00CF77C1">
        <w:rPr>
          <w:szCs w:val="24"/>
          <w:lang w:val="sr-Cyrl-RS"/>
        </w:rPr>
        <w:tab/>
        <w:t>9891</w:t>
      </w:r>
    </w:p>
    <w:p w14:paraId="66568680" w14:textId="77777777" w:rsidR="00276B15" w:rsidRPr="005965A6" w:rsidRDefault="00276B15" w:rsidP="00233EA6">
      <w:pPr>
        <w:keepNext/>
        <w:tabs>
          <w:tab w:val="right" w:pos="6237"/>
        </w:tabs>
        <w:ind w:firstLine="720"/>
        <w:rPr>
          <w:szCs w:val="24"/>
          <w:lang w:val="sr-Cyrl-RS"/>
        </w:rPr>
      </w:pPr>
      <w:r w:rsidRPr="005965A6">
        <w:rPr>
          <w:szCs w:val="24"/>
          <w:lang w:val="sr-Cyrl-RS"/>
        </w:rPr>
        <w:t>Број возова са неадекватним квалитетом:</w:t>
      </w:r>
    </w:p>
    <w:p w14:paraId="2072C866" w14:textId="63DFC37F" w:rsidR="00591BD9" w:rsidRPr="005965A6" w:rsidRDefault="005965A6" w:rsidP="005965A6">
      <w:pPr>
        <w:keepNext/>
        <w:tabs>
          <w:tab w:val="right" w:pos="6237"/>
        </w:tabs>
        <w:rPr>
          <w:szCs w:val="24"/>
          <w:lang w:val="sr-Cyrl-RS"/>
        </w:rPr>
      </w:pPr>
      <w:r w:rsidRPr="005965A6">
        <w:rPr>
          <w:szCs w:val="24"/>
          <w:lang w:val="sr-Cyrl-RS"/>
        </w:rPr>
        <w:t xml:space="preserve">            - </w:t>
      </w:r>
      <w:r w:rsidR="00591BD9" w:rsidRPr="005965A6">
        <w:rPr>
          <w:szCs w:val="24"/>
          <w:lang w:val="sr-Cyrl-RS"/>
        </w:rPr>
        <w:t>број возова са кв</w:t>
      </w:r>
      <w:r w:rsidR="005275CA" w:rsidRPr="005965A6">
        <w:rPr>
          <w:szCs w:val="24"/>
          <w:lang w:val="sr-Cyrl-RS"/>
        </w:rPr>
        <w:t>а</w:t>
      </w:r>
      <w:r w:rsidR="00591BD9" w:rsidRPr="005965A6">
        <w:rPr>
          <w:szCs w:val="24"/>
          <w:lang w:val="sr-Cyrl-RS"/>
        </w:rPr>
        <w:t>литетом мањим од 6500 kJ/kg</w:t>
      </w:r>
      <w:r w:rsidR="00591BD9" w:rsidRPr="005965A6">
        <w:rPr>
          <w:szCs w:val="24"/>
          <w:lang w:val="sr-Cyrl-RS"/>
        </w:rPr>
        <w:tab/>
        <w:t>1106</w:t>
      </w:r>
    </w:p>
    <w:p w14:paraId="6E7EBA1B" w14:textId="7D0651FA" w:rsidR="00591BD9" w:rsidRPr="005965A6" w:rsidRDefault="005965A6" w:rsidP="005965A6">
      <w:pPr>
        <w:pStyle w:val="ListParagraph"/>
        <w:keepNext/>
        <w:tabs>
          <w:tab w:val="right" w:pos="6237"/>
        </w:tabs>
        <w:spacing w:before="60" w:after="60"/>
        <w:ind w:left="357"/>
        <w:contextualSpacing w:val="0"/>
        <w:rPr>
          <w:szCs w:val="24"/>
          <w:lang w:val="sr-Cyrl-RS"/>
        </w:rPr>
      </w:pPr>
      <w:r w:rsidRPr="005965A6">
        <w:rPr>
          <w:szCs w:val="24"/>
          <w:lang w:val="sr-Cyrl-RS"/>
        </w:rPr>
        <w:t xml:space="preserve">      - </w:t>
      </w:r>
      <w:r w:rsidR="00591BD9" w:rsidRPr="005965A6">
        <w:rPr>
          <w:szCs w:val="24"/>
          <w:lang w:val="sr-Cyrl-RS"/>
        </w:rPr>
        <w:t>број возова са кв</w:t>
      </w:r>
      <w:r w:rsidR="005275CA" w:rsidRPr="005965A6">
        <w:rPr>
          <w:szCs w:val="24"/>
          <w:lang w:val="sr-Cyrl-RS"/>
        </w:rPr>
        <w:t>а</w:t>
      </w:r>
      <w:r w:rsidR="00591BD9" w:rsidRPr="005965A6">
        <w:rPr>
          <w:szCs w:val="24"/>
          <w:lang w:val="sr-Cyrl-RS"/>
        </w:rPr>
        <w:t>литетом већим од 7500 kJ/kg</w:t>
      </w:r>
      <w:r w:rsidR="00591BD9" w:rsidRPr="005965A6">
        <w:rPr>
          <w:szCs w:val="24"/>
          <w:lang w:val="sr-Cyrl-RS"/>
        </w:rPr>
        <w:tab/>
        <w:t>2606</w:t>
      </w:r>
    </w:p>
    <w:p w14:paraId="0EB6A1D6" w14:textId="77777777" w:rsidR="00276B15" w:rsidRPr="00CF77C1" w:rsidRDefault="00276B15" w:rsidP="00233EA6">
      <w:pPr>
        <w:keepNext/>
        <w:tabs>
          <w:tab w:val="right" w:pos="6237"/>
        </w:tabs>
        <w:ind w:firstLine="720"/>
        <w:rPr>
          <w:rFonts w:eastAsia="Calibri"/>
          <w:szCs w:val="24"/>
          <w:lang w:val="sr-Cyrl-RS"/>
        </w:rPr>
      </w:pPr>
      <w:r w:rsidRPr="00CF77C1">
        <w:rPr>
          <w:rFonts w:eastAsia="Calibri"/>
          <w:szCs w:val="24"/>
          <w:lang w:val="sr-Cyrl-RS"/>
        </w:rPr>
        <w:t>Вредност индикатора:</w:t>
      </w:r>
      <w:r w:rsidR="00591BD9" w:rsidRPr="00CF77C1">
        <w:rPr>
          <w:rFonts w:eastAsia="Calibri"/>
          <w:szCs w:val="24"/>
          <w:lang w:val="sr-Cyrl-RS"/>
        </w:rPr>
        <w:tab/>
        <w:t>0,375</w:t>
      </w:r>
    </w:p>
    <w:p w14:paraId="0F6B4452" w14:textId="77777777" w:rsidR="00591BD9" w:rsidRPr="00CF77C1" w:rsidRDefault="00591BD9" w:rsidP="00233EA6">
      <w:pPr>
        <w:keepNext/>
        <w:tabs>
          <w:tab w:val="right" w:pos="6237"/>
        </w:tabs>
        <w:ind w:firstLine="720"/>
        <w:rPr>
          <w:lang w:val="sr-Cyrl-RS"/>
        </w:rPr>
      </w:pPr>
      <w:r w:rsidRPr="00CF77C1">
        <w:rPr>
          <w:lang w:val="sr-Cyrl-RS"/>
        </w:rPr>
        <w:t>Индикатор указује на велики број возова са неадекватним квалитетом пре свега са високим квалитетом.</w:t>
      </w:r>
    </w:p>
    <w:p w14:paraId="2128AC66" w14:textId="77777777" w:rsidR="00087F14" w:rsidRPr="00CF77C1" w:rsidRDefault="00087F14" w:rsidP="00233EA6">
      <w:pPr>
        <w:ind w:firstLine="720"/>
        <w:rPr>
          <w:lang w:val="sr-Cyrl-RS"/>
        </w:rPr>
      </w:pPr>
      <w:r w:rsidRPr="00CF77C1">
        <w:rPr>
          <w:rFonts w:eastAsia="Calibri"/>
          <w:szCs w:val="24"/>
          <w:lang w:val="sr-Cyrl-RS"/>
        </w:rPr>
        <w:t>Циљана вредност индикатора 2023: 0,20</w:t>
      </w:r>
    </w:p>
    <w:p w14:paraId="306A77C8" w14:textId="0EBA4615" w:rsidR="00882250" w:rsidRPr="00CF77C1" w:rsidRDefault="008C6DCA" w:rsidP="008C6DCA">
      <w:pPr>
        <w:pStyle w:val="Heading3"/>
        <w:numPr>
          <w:ilvl w:val="0"/>
          <w:numId w:val="0"/>
        </w:numPr>
        <w:ind w:left="720"/>
        <w:rPr>
          <w:b w:val="0"/>
          <w:lang w:val="sr-Cyrl-RS"/>
        </w:rPr>
      </w:pPr>
      <w:bookmarkStart w:id="163" w:name="_Toc484260311"/>
      <w:r w:rsidRPr="00CF77C1">
        <w:rPr>
          <w:b w:val="0"/>
          <w:lang w:val="sr-Cyrl-RS"/>
        </w:rPr>
        <w:t xml:space="preserve">3.6.1. </w:t>
      </w:r>
      <w:r w:rsidR="0028406A" w:rsidRPr="00CF77C1">
        <w:rPr>
          <w:b w:val="0"/>
          <w:lang w:val="sr-Cyrl-RS"/>
        </w:rPr>
        <w:t>Листа</w:t>
      </w:r>
      <w:r w:rsidR="00882250" w:rsidRPr="00CF77C1">
        <w:rPr>
          <w:b w:val="0"/>
          <w:lang w:val="sr-Cyrl-RS"/>
        </w:rPr>
        <w:t xml:space="preserve"> мера у области угља</w:t>
      </w:r>
      <w:bookmarkEnd w:id="162"/>
      <w:bookmarkEnd w:id="163"/>
    </w:p>
    <w:p w14:paraId="7F820C5E" w14:textId="77777777" w:rsidR="00316872" w:rsidRPr="00CF77C1" w:rsidRDefault="00316872" w:rsidP="00233EA6">
      <w:pPr>
        <w:ind w:firstLine="720"/>
        <w:rPr>
          <w:lang w:val="sr-Cyrl-RS"/>
        </w:rPr>
      </w:pPr>
      <w:r w:rsidRPr="00CF77C1">
        <w:rPr>
          <w:lang w:val="sr-Cyrl-RS"/>
        </w:rPr>
        <w:t>Стратешки</w:t>
      </w:r>
      <w:r w:rsidR="00A84557" w:rsidRPr="00CF77C1">
        <w:rPr>
          <w:lang w:val="sr-Cyrl-RS"/>
        </w:rPr>
        <w:t xml:space="preserve"> правци деловања зацртани у Стра</w:t>
      </w:r>
      <w:r w:rsidRPr="00CF77C1">
        <w:rPr>
          <w:lang w:val="sr-Cyrl-RS"/>
        </w:rPr>
        <w:t>тегији су:</w:t>
      </w:r>
    </w:p>
    <w:p w14:paraId="3B2174C0" w14:textId="58391527" w:rsidR="00316872" w:rsidRPr="00CF77C1" w:rsidRDefault="006D5E47" w:rsidP="00233EA6">
      <w:pPr>
        <w:pStyle w:val="ListParagraph"/>
        <w:numPr>
          <w:ilvl w:val="0"/>
          <w:numId w:val="20"/>
        </w:numPr>
        <w:spacing w:before="60" w:after="60"/>
        <w:ind w:left="357" w:firstLine="363"/>
        <w:contextualSpacing w:val="0"/>
        <w:rPr>
          <w:lang w:val="sr-Cyrl-RS"/>
        </w:rPr>
      </w:pPr>
      <w:r w:rsidRPr="00CF77C1">
        <w:rPr>
          <w:lang w:val="sr-Cyrl-RS"/>
        </w:rPr>
        <w:t>и</w:t>
      </w:r>
      <w:r w:rsidR="00316872" w:rsidRPr="00CF77C1">
        <w:rPr>
          <w:lang w:val="sr-Cyrl-RS"/>
        </w:rPr>
        <w:t>нте</w:t>
      </w:r>
      <w:r w:rsidR="00A84557" w:rsidRPr="00CF77C1">
        <w:rPr>
          <w:lang w:val="sr-Cyrl-RS"/>
        </w:rPr>
        <w:t>н</w:t>
      </w:r>
      <w:r w:rsidR="00316872" w:rsidRPr="00CF77C1">
        <w:rPr>
          <w:lang w:val="sr-Cyrl-RS"/>
        </w:rPr>
        <w:t>зивирање истраживања лежишта угља на целој територији Републике Србије;</w:t>
      </w:r>
    </w:p>
    <w:p w14:paraId="0D88B44F" w14:textId="48AA4084" w:rsidR="00316872" w:rsidRPr="00CF77C1" w:rsidRDefault="006D5E47" w:rsidP="00233EA6">
      <w:pPr>
        <w:pStyle w:val="ListParagraph"/>
        <w:numPr>
          <w:ilvl w:val="0"/>
          <w:numId w:val="20"/>
        </w:numPr>
        <w:spacing w:before="60" w:after="60"/>
        <w:ind w:left="357" w:firstLine="363"/>
        <w:contextualSpacing w:val="0"/>
        <w:rPr>
          <w:lang w:val="sr-Cyrl-RS"/>
        </w:rPr>
      </w:pPr>
      <w:r w:rsidRPr="00CF77C1">
        <w:rPr>
          <w:lang w:val="sr-Cyrl-RS"/>
        </w:rPr>
        <w:t>о</w:t>
      </w:r>
      <w:r w:rsidR="00316872" w:rsidRPr="00CF77C1">
        <w:rPr>
          <w:lang w:val="sr-Cyrl-RS"/>
        </w:rPr>
        <w:t>тварање заменских капацитета за постојеће површинске копове који престају са радом и отварање копова који ће бити намењени за нове термоенергетске капацитете;</w:t>
      </w:r>
    </w:p>
    <w:p w14:paraId="5079E3E9" w14:textId="723EDFF7" w:rsidR="00316872" w:rsidRPr="00CF77C1" w:rsidRDefault="006D5E47" w:rsidP="00233EA6">
      <w:pPr>
        <w:pStyle w:val="ListParagraph"/>
        <w:numPr>
          <w:ilvl w:val="0"/>
          <w:numId w:val="20"/>
        </w:numPr>
        <w:spacing w:before="60" w:after="60"/>
        <w:ind w:left="357" w:firstLine="363"/>
        <w:contextualSpacing w:val="0"/>
        <w:rPr>
          <w:lang w:val="sr-Cyrl-RS"/>
        </w:rPr>
      </w:pPr>
      <w:r w:rsidRPr="00CF77C1">
        <w:rPr>
          <w:lang w:val="sr-Cyrl-RS"/>
        </w:rPr>
        <w:t>о</w:t>
      </w:r>
      <w:r w:rsidR="00316872" w:rsidRPr="00CF77C1">
        <w:rPr>
          <w:lang w:val="sr-Cyrl-RS"/>
        </w:rPr>
        <w:t>птимизација и концентрација производње угља из по</w:t>
      </w:r>
      <w:r w:rsidR="0028406A" w:rsidRPr="00CF77C1">
        <w:rPr>
          <w:lang w:val="sr-Cyrl-RS"/>
        </w:rPr>
        <w:t>дз</w:t>
      </w:r>
      <w:r w:rsidR="00316872" w:rsidRPr="00CF77C1">
        <w:rPr>
          <w:lang w:val="sr-Cyrl-RS"/>
        </w:rPr>
        <w:t>емне експлоатације;</w:t>
      </w:r>
    </w:p>
    <w:p w14:paraId="6F2937BC" w14:textId="0C762C67" w:rsidR="00882250" w:rsidRPr="00CF77C1" w:rsidRDefault="006D5E47" w:rsidP="00233EA6">
      <w:pPr>
        <w:pStyle w:val="ListParagraph"/>
        <w:numPr>
          <w:ilvl w:val="0"/>
          <w:numId w:val="20"/>
        </w:numPr>
        <w:spacing w:before="60" w:after="60"/>
        <w:ind w:left="357" w:firstLine="363"/>
        <w:contextualSpacing w:val="0"/>
        <w:rPr>
          <w:lang w:val="sr-Cyrl-RS"/>
        </w:rPr>
      </w:pPr>
      <w:r w:rsidRPr="00CF77C1">
        <w:rPr>
          <w:lang w:val="sr-Cyrl-RS"/>
        </w:rPr>
        <w:t>у</w:t>
      </w:r>
      <w:r w:rsidR="00316872" w:rsidRPr="00CF77C1">
        <w:rPr>
          <w:lang w:val="sr-Cyrl-RS"/>
        </w:rPr>
        <w:t>вођење систе</w:t>
      </w:r>
      <w:r w:rsidR="00A84557" w:rsidRPr="00CF77C1">
        <w:rPr>
          <w:lang w:val="sr-Cyrl-RS"/>
        </w:rPr>
        <w:t>ма за управљање квалитетом угља.</w:t>
      </w:r>
    </w:p>
    <w:p w14:paraId="1B4C1C30" w14:textId="2D2C9C0C" w:rsidR="00A71326" w:rsidRPr="00CF77C1" w:rsidRDefault="00A71326" w:rsidP="00233EA6">
      <w:pPr>
        <w:ind w:firstLine="720"/>
        <w:rPr>
          <w:lang w:val="sr-Cyrl-RS"/>
        </w:rPr>
      </w:pPr>
      <w:r w:rsidRPr="00CF77C1">
        <w:rPr>
          <w:lang w:val="sr-Cyrl-RS"/>
        </w:rPr>
        <w:t>Поред наведених стратешких праваца деловања који одређују који ће се пројекти реализовати, у таб</w:t>
      </w:r>
      <w:r w:rsidR="002F113E">
        <w:rPr>
          <w:lang w:val="sr-Cyrl-RS"/>
        </w:rPr>
        <w:t xml:space="preserve">. 90 </w:t>
      </w:r>
      <w:r w:rsidRPr="00CF77C1">
        <w:rPr>
          <w:lang w:val="sr-Cyrl-RS"/>
        </w:rPr>
        <w:t>су дате активности ради усклађивања националног законодавног оквира са правним тековинама ЕУ и прописима Енергетске заједнице у области угља.</w:t>
      </w:r>
    </w:p>
    <w:p w14:paraId="51E21EB3" w14:textId="77777777" w:rsidR="00A71326" w:rsidRPr="00CF77C1" w:rsidRDefault="00A71326" w:rsidP="0080044B">
      <w:pPr>
        <w:rPr>
          <w:lang w:val="sr-Cyrl-RS"/>
        </w:rPr>
        <w:sectPr w:rsidR="00A71326" w:rsidRPr="00CF77C1" w:rsidSect="00233EA6">
          <w:headerReference w:type="default" r:id="rId102"/>
          <w:footerReference w:type="default" r:id="rId103"/>
          <w:pgSz w:w="11907" w:h="16839" w:code="9"/>
          <w:pgMar w:top="1134" w:right="1377" w:bottom="1134" w:left="1418" w:header="720" w:footer="720" w:gutter="0"/>
          <w:cols w:space="720"/>
          <w:docGrid w:linePitch="360"/>
        </w:sectPr>
      </w:pPr>
    </w:p>
    <w:p w14:paraId="6AC09AE2" w14:textId="6BA036AE" w:rsidR="00A71326" w:rsidRPr="00CF77C1" w:rsidRDefault="00A968A2" w:rsidP="00A968A2">
      <w:pPr>
        <w:pStyle w:val="Caption"/>
        <w:ind w:firstLine="720"/>
        <w:rPr>
          <w:b w:val="0"/>
          <w:lang w:val="sr-Cyrl-RS"/>
        </w:rPr>
      </w:pPr>
      <w:r w:rsidRPr="00CF77C1">
        <w:rPr>
          <w:b w:val="0"/>
          <w:lang w:val="sr-Cyrl-RS"/>
        </w:rPr>
        <w:t>т</w:t>
      </w:r>
      <w:r w:rsidR="00A71326" w:rsidRPr="00CF77C1">
        <w:rPr>
          <w:b w:val="0"/>
          <w:lang w:val="sr-Cyrl-RS"/>
        </w:rPr>
        <w:t xml:space="preserve">аб. </w:t>
      </w:r>
      <w:r w:rsidR="0092145E" w:rsidRPr="00CF77C1">
        <w:rPr>
          <w:b w:val="0"/>
          <w:lang w:val="sr-Cyrl-RS"/>
        </w:rPr>
        <w:fldChar w:fldCharType="begin"/>
      </w:r>
      <w:r w:rsidR="00A71326"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90</w:t>
      </w:r>
      <w:r w:rsidR="0092145E" w:rsidRPr="00CF77C1">
        <w:rPr>
          <w:b w:val="0"/>
          <w:lang w:val="sr-Cyrl-RS"/>
        </w:rPr>
        <w:fldChar w:fldCharType="end"/>
      </w:r>
      <w:r w:rsidR="00A71326" w:rsidRPr="00CF77C1">
        <w:rPr>
          <w:b w:val="0"/>
          <w:lang w:val="sr-Cyrl-RS"/>
        </w:rPr>
        <w:t>: Активности за усклађивање националног законодавног оквира са правним тековинама ЕУ и прописима Енергетске заједнице у области угља</w:t>
      </w:r>
    </w:p>
    <w:tbl>
      <w:tblPr>
        <w:tblW w:w="14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4"/>
        <w:gridCol w:w="3000"/>
        <w:gridCol w:w="2587"/>
        <w:gridCol w:w="2954"/>
      </w:tblGrid>
      <w:tr w:rsidR="00A71326" w:rsidRPr="00CF77C1" w14:paraId="1120EB85" w14:textId="77777777" w:rsidTr="006D7DD0">
        <w:trPr>
          <w:cantSplit/>
          <w:tblHeader/>
        </w:trPr>
        <w:tc>
          <w:tcPr>
            <w:tcW w:w="6204" w:type="dxa"/>
            <w:shd w:val="clear" w:color="auto" w:fill="auto"/>
            <w:vAlign w:val="center"/>
          </w:tcPr>
          <w:p w14:paraId="7A02B27B" w14:textId="77777777" w:rsidR="00A71326" w:rsidRPr="00CF77C1" w:rsidRDefault="00A71326" w:rsidP="0080044B">
            <w:pPr>
              <w:jc w:val="center"/>
              <w:rPr>
                <w:szCs w:val="24"/>
                <w:lang w:val="sr-Cyrl-RS"/>
              </w:rPr>
            </w:pPr>
            <w:r w:rsidRPr="00CF77C1">
              <w:rPr>
                <w:szCs w:val="24"/>
                <w:lang w:val="sr-Cyrl-RS"/>
              </w:rPr>
              <w:t>Обавеза</w:t>
            </w:r>
          </w:p>
        </w:tc>
        <w:tc>
          <w:tcPr>
            <w:tcW w:w="3000" w:type="dxa"/>
            <w:shd w:val="clear" w:color="auto" w:fill="auto"/>
            <w:vAlign w:val="center"/>
          </w:tcPr>
          <w:p w14:paraId="5486057B" w14:textId="77777777" w:rsidR="00A71326" w:rsidRPr="00CF77C1" w:rsidRDefault="00A71326" w:rsidP="0080044B">
            <w:pPr>
              <w:jc w:val="center"/>
              <w:rPr>
                <w:szCs w:val="24"/>
                <w:lang w:val="sr-Cyrl-RS"/>
              </w:rPr>
            </w:pPr>
            <w:r w:rsidRPr="00CF77C1">
              <w:rPr>
                <w:szCs w:val="24"/>
                <w:lang w:val="sr-Cyrl-RS"/>
              </w:rPr>
              <w:t>Назив ЕУ прописа према којем се врши усклађивање</w:t>
            </w:r>
          </w:p>
        </w:tc>
        <w:tc>
          <w:tcPr>
            <w:tcW w:w="2587" w:type="dxa"/>
            <w:shd w:val="clear" w:color="auto" w:fill="auto"/>
            <w:vAlign w:val="center"/>
          </w:tcPr>
          <w:p w14:paraId="348D0FA2" w14:textId="77777777" w:rsidR="00A71326" w:rsidRPr="00CF77C1" w:rsidRDefault="00A71326" w:rsidP="0080044B">
            <w:pPr>
              <w:jc w:val="center"/>
              <w:rPr>
                <w:szCs w:val="24"/>
                <w:lang w:val="sr-Cyrl-RS"/>
              </w:rPr>
            </w:pPr>
            <w:r w:rsidRPr="00CF77C1">
              <w:rPr>
                <w:szCs w:val="24"/>
                <w:lang w:val="sr-Cyrl-RS"/>
              </w:rPr>
              <w:t>Рок доношења</w:t>
            </w:r>
          </w:p>
        </w:tc>
        <w:tc>
          <w:tcPr>
            <w:tcW w:w="2954" w:type="dxa"/>
            <w:shd w:val="clear" w:color="auto" w:fill="auto"/>
            <w:vAlign w:val="center"/>
          </w:tcPr>
          <w:p w14:paraId="229D8C6D" w14:textId="77777777" w:rsidR="00A71326" w:rsidRPr="00CF77C1" w:rsidRDefault="00A71326" w:rsidP="0080044B">
            <w:pPr>
              <w:jc w:val="center"/>
              <w:rPr>
                <w:szCs w:val="24"/>
                <w:lang w:val="sr-Cyrl-RS"/>
              </w:rPr>
            </w:pPr>
            <w:r w:rsidRPr="00CF77C1">
              <w:rPr>
                <w:szCs w:val="24"/>
                <w:lang w:val="sr-Cyrl-RS"/>
              </w:rPr>
              <w:t>Одговорне институције</w:t>
            </w:r>
          </w:p>
        </w:tc>
      </w:tr>
      <w:tr w:rsidR="00087F14" w:rsidRPr="00CF77C1" w14:paraId="195F02A4" w14:textId="77777777" w:rsidTr="006D7DD0">
        <w:trPr>
          <w:cantSplit/>
        </w:trPr>
        <w:tc>
          <w:tcPr>
            <w:tcW w:w="6204" w:type="dxa"/>
            <w:shd w:val="clear" w:color="auto" w:fill="auto"/>
          </w:tcPr>
          <w:p w14:paraId="36F81074" w14:textId="77777777" w:rsidR="00E46C90" w:rsidRPr="00CF77C1" w:rsidRDefault="00087F14" w:rsidP="003E39B4">
            <w:pPr>
              <w:pStyle w:val="ListParagraph"/>
              <w:numPr>
                <w:ilvl w:val="0"/>
                <w:numId w:val="62"/>
              </w:numPr>
              <w:spacing w:before="60" w:after="60"/>
              <w:ind w:left="357" w:hanging="357"/>
              <w:contextualSpacing w:val="0"/>
              <w:rPr>
                <w:sz w:val="20"/>
                <w:lang w:val="sr-Cyrl-RS"/>
              </w:rPr>
            </w:pPr>
            <w:r w:rsidRPr="00CF77C1">
              <w:rPr>
                <w:sz w:val="20"/>
                <w:lang w:val="sr-Cyrl-RS"/>
              </w:rPr>
              <w:t>Утврђују се правила за давање државне помоћи индустрији угља, са циљем доприноса реструктурирању индустрије уља. Правила ће узети у обзир социјалне и регионалне аспекте реструктурирања сектора и потребе за одржавањем као предострожне мере, минимум количине домаће производње угља за гаранцију приступа резервама.</w:t>
            </w:r>
          </w:p>
          <w:p w14:paraId="659C0263" w14:textId="77777777" w:rsidR="00087F14" w:rsidRPr="00CF77C1" w:rsidRDefault="00087F14" w:rsidP="003E39B4">
            <w:pPr>
              <w:pStyle w:val="ListParagraph"/>
              <w:numPr>
                <w:ilvl w:val="0"/>
                <w:numId w:val="62"/>
              </w:numPr>
              <w:spacing w:before="60" w:after="60"/>
              <w:ind w:left="357" w:hanging="357"/>
              <w:contextualSpacing w:val="0"/>
              <w:rPr>
                <w:sz w:val="20"/>
                <w:lang w:val="sr-Cyrl-RS"/>
              </w:rPr>
            </w:pPr>
            <w:r w:rsidRPr="00CF77C1">
              <w:rPr>
                <w:sz w:val="20"/>
                <w:lang w:val="sr-Cyrl-RS"/>
              </w:rPr>
              <w:t>Утврђује се значење и ограничавају прилике за државну помоћ индустрији угља, као и циљеви за приступ резервама угља, смањивање помоћи и циљеви за смањивање изузетних трошкова.</w:t>
            </w:r>
          </w:p>
          <w:p w14:paraId="2D147E69" w14:textId="77777777" w:rsidR="00E46C90" w:rsidRPr="00CF77C1" w:rsidRDefault="00087F14" w:rsidP="003E39B4">
            <w:pPr>
              <w:pStyle w:val="ListParagraph"/>
              <w:numPr>
                <w:ilvl w:val="0"/>
                <w:numId w:val="62"/>
              </w:numPr>
              <w:spacing w:before="60" w:after="60"/>
              <w:ind w:left="357" w:hanging="357"/>
              <w:contextualSpacing w:val="0"/>
              <w:rPr>
                <w:sz w:val="20"/>
                <w:lang w:val="sr-Cyrl-RS"/>
              </w:rPr>
            </w:pPr>
            <w:r w:rsidRPr="00CF77C1">
              <w:rPr>
                <w:sz w:val="20"/>
                <w:lang w:val="sr-Cyrl-RS"/>
              </w:rPr>
              <w:t>Прописују се случајеви, ограничења и услови када се та помоћ може сматрати прихватљивом са становишта функционисања јединственог тржишта.</w:t>
            </w:r>
          </w:p>
          <w:p w14:paraId="064251F2" w14:textId="77777777" w:rsidR="00087F14" w:rsidRPr="00CF77C1" w:rsidRDefault="00087F14" w:rsidP="003E39B4">
            <w:pPr>
              <w:pStyle w:val="ListParagraph"/>
              <w:numPr>
                <w:ilvl w:val="0"/>
                <w:numId w:val="62"/>
              </w:numPr>
              <w:spacing w:before="60" w:after="60"/>
              <w:ind w:left="357" w:hanging="357"/>
              <w:contextualSpacing w:val="0"/>
              <w:rPr>
                <w:sz w:val="20"/>
                <w:lang w:val="sr-Cyrl-RS"/>
              </w:rPr>
            </w:pPr>
            <w:r w:rsidRPr="00CF77C1">
              <w:rPr>
                <w:sz w:val="20"/>
                <w:lang w:val="sr-Cyrl-RS"/>
              </w:rPr>
              <w:t>Прописује се релативни обим помоћи и постављају услови јавности и транспарентности које морају задовољити привредни субјекти - примаоци помоћи као и процедуре за доделу и контролу употребе додељене помоћи те улогу Европске комисије у тим процесима.</w:t>
            </w:r>
          </w:p>
          <w:p w14:paraId="394E758D" w14:textId="77777777" w:rsidR="00087F14" w:rsidRPr="00CF77C1" w:rsidRDefault="00087F14" w:rsidP="003E39B4">
            <w:pPr>
              <w:pStyle w:val="ListParagraph"/>
              <w:numPr>
                <w:ilvl w:val="0"/>
                <w:numId w:val="62"/>
              </w:numPr>
              <w:spacing w:before="60" w:after="60"/>
              <w:ind w:left="357" w:hanging="357"/>
              <w:contextualSpacing w:val="0"/>
              <w:rPr>
                <w:sz w:val="20"/>
                <w:lang w:val="sr-Cyrl-RS"/>
              </w:rPr>
            </w:pPr>
            <w:r w:rsidRPr="00CF77C1">
              <w:rPr>
                <w:sz w:val="20"/>
                <w:lang w:val="sr-Cyrl-RS"/>
              </w:rPr>
              <w:t>Уводе се елементи добре управе у коришћење природних ресурса угља.</w:t>
            </w:r>
          </w:p>
          <w:p w14:paraId="12006463" w14:textId="77777777" w:rsidR="00087F14" w:rsidRPr="00CF77C1" w:rsidRDefault="00087F14" w:rsidP="003E39B4">
            <w:pPr>
              <w:pStyle w:val="ListParagraph"/>
              <w:numPr>
                <w:ilvl w:val="0"/>
                <w:numId w:val="62"/>
              </w:numPr>
              <w:spacing w:before="60" w:after="60"/>
              <w:ind w:left="357" w:hanging="357"/>
              <w:contextualSpacing w:val="0"/>
              <w:rPr>
                <w:sz w:val="20"/>
                <w:lang w:val="sr-Cyrl-RS"/>
              </w:rPr>
            </w:pPr>
            <w:r w:rsidRPr="00CF77C1">
              <w:rPr>
                <w:sz w:val="20"/>
                <w:lang w:val="sr-Cyrl-RS"/>
              </w:rPr>
              <w:t>Извештавање Комисије, која даље извештава Европски парламент.</w:t>
            </w:r>
          </w:p>
          <w:p w14:paraId="3417EC5A" w14:textId="77777777" w:rsidR="00087F14" w:rsidRPr="00CF77C1" w:rsidRDefault="00087F14" w:rsidP="0080044B">
            <w:pPr>
              <w:rPr>
                <w:iCs/>
                <w:sz w:val="20"/>
                <w:lang w:val="sr-Cyrl-RS"/>
              </w:rPr>
            </w:pPr>
            <w:r w:rsidRPr="00CF77C1">
              <w:rPr>
                <w:iCs/>
                <w:sz w:val="20"/>
                <w:szCs w:val="22"/>
                <w:lang w:val="sr-Cyrl-RS"/>
              </w:rPr>
              <w:t>Активности су значајне са аспекта унапређења конкурентности јединственог тржишта и животне средине, као и ефикасности производње ресурса.</w:t>
            </w:r>
          </w:p>
        </w:tc>
        <w:tc>
          <w:tcPr>
            <w:tcW w:w="3000" w:type="dxa"/>
            <w:shd w:val="clear" w:color="auto" w:fill="auto"/>
            <w:vAlign w:val="center"/>
          </w:tcPr>
          <w:p w14:paraId="001927D8" w14:textId="6E61F061" w:rsidR="00087F14" w:rsidRPr="00CE1109" w:rsidRDefault="00D379CD" w:rsidP="00CE1109">
            <w:r>
              <w:rPr>
                <w:sz w:val="20"/>
                <w:lang w:val="sr-Cyrl-RS"/>
              </w:rPr>
              <w:t>2010/787/ЕУ</w:t>
            </w:r>
            <w:r w:rsidR="00087F14" w:rsidRPr="00CF77C1">
              <w:rPr>
                <w:sz w:val="20"/>
                <w:lang w:val="sr-Cyrl-RS"/>
              </w:rPr>
              <w:t>: Одлука Савета од 10. децембра 2010. о државној помоћи за олакшавање затварања неконкурентних рудника угља</w:t>
            </w:r>
          </w:p>
        </w:tc>
        <w:tc>
          <w:tcPr>
            <w:tcW w:w="2587" w:type="dxa"/>
            <w:shd w:val="clear" w:color="auto" w:fill="auto"/>
            <w:vAlign w:val="center"/>
          </w:tcPr>
          <w:p w14:paraId="601A2F28" w14:textId="15ABBDD5" w:rsidR="00087F14" w:rsidRPr="00CF77C1" w:rsidRDefault="00087F14" w:rsidP="0080044B">
            <w:pPr>
              <w:keepLines/>
              <w:rPr>
                <w:szCs w:val="24"/>
                <w:lang w:val="sr-Cyrl-RS"/>
              </w:rPr>
            </w:pPr>
            <w:r w:rsidRPr="00CF77C1">
              <w:rPr>
                <w:sz w:val="20"/>
                <w:lang w:val="sr-Cyrl-RS"/>
              </w:rPr>
              <w:t>У другој ревизији Националног програма за усвајање правних тековина европске уније за пе</w:t>
            </w:r>
            <w:r w:rsidR="00FB6D63">
              <w:rPr>
                <w:sz w:val="20"/>
                <w:lang w:val="sr-Cyrl-RS"/>
              </w:rPr>
              <w:t>риод 2016-2018, који је Влада</w:t>
            </w:r>
            <w:r w:rsidRPr="00CF77C1">
              <w:rPr>
                <w:sz w:val="20"/>
                <w:lang w:val="sr-Cyrl-RS"/>
              </w:rPr>
              <w:t>, 17. новембра 2016. године, усвојила и</w:t>
            </w:r>
            <w:r w:rsidR="007938E0" w:rsidRPr="00CF77C1">
              <w:rPr>
                <w:sz w:val="20"/>
                <w:lang w:val="sr-Cyrl-RS"/>
              </w:rPr>
              <w:t xml:space="preserve"> </w:t>
            </w:r>
            <w:r w:rsidR="00D379CD">
              <w:rPr>
                <w:sz w:val="20"/>
                <w:lang w:val="sr-Cyrl-RS"/>
              </w:rPr>
              <w:t>донела Закључак 0</w:t>
            </w:r>
            <w:r w:rsidRPr="00CF77C1">
              <w:rPr>
                <w:sz w:val="20"/>
                <w:lang w:val="sr-Cyrl-RS"/>
              </w:rPr>
              <w:t xml:space="preserve">5 </w:t>
            </w:r>
            <w:r w:rsidR="00D379CD" w:rsidRPr="00CF77C1">
              <w:rPr>
                <w:sz w:val="20"/>
                <w:lang w:val="sr-Cyrl-RS"/>
              </w:rPr>
              <w:t>Број</w:t>
            </w:r>
            <w:r w:rsidRPr="00CF77C1">
              <w:rPr>
                <w:sz w:val="20"/>
                <w:lang w:val="sr-Cyrl-RS"/>
              </w:rPr>
              <w:t xml:space="preserve">: 337-10957/2016-2 којим се усваја други ревидирани Национални програм за усвајање правних тековина ЕУ (НПАА) у оквиру Поглавља 3.8.2. Државна помоћ и планираних мера за овај период. У погледу усклађивања законодавства у области државне помоћи </w:t>
            </w:r>
            <w:r w:rsidR="005C650D" w:rsidRPr="00CF77C1">
              <w:rPr>
                <w:sz w:val="20"/>
                <w:lang w:val="sr-Cyrl-RS"/>
              </w:rPr>
              <w:t>министарство надлежно за послове</w:t>
            </w:r>
            <w:r w:rsidRPr="00CF77C1">
              <w:rPr>
                <w:sz w:val="20"/>
                <w:lang w:val="sr-Cyrl-RS"/>
              </w:rPr>
              <w:t xml:space="preserve"> финансија</w:t>
            </w:r>
            <w:r w:rsidR="007938E0" w:rsidRPr="00CF77C1">
              <w:rPr>
                <w:sz w:val="20"/>
                <w:lang w:val="sr-Cyrl-RS"/>
              </w:rPr>
              <w:t xml:space="preserve"> </w:t>
            </w:r>
            <w:r w:rsidRPr="00CF77C1">
              <w:rPr>
                <w:sz w:val="20"/>
                <w:lang w:val="sr-Cyrl-RS"/>
              </w:rPr>
              <w:t xml:space="preserve">као оквирни план за усклађивање ове </w:t>
            </w:r>
            <w:r w:rsidR="0080662C" w:rsidRPr="00CF77C1">
              <w:rPr>
                <w:sz w:val="20"/>
                <w:lang w:val="sr-Cyrl-RS"/>
              </w:rPr>
              <w:t xml:space="preserve">одлуке </w:t>
            </w:r>
            <w:r w:rsidRPr="00CF77C1">
              <w:rPr>
                <w:sz w:val="20"/>
                <w:lang w:val="sr-Cyrl-RS"/>
              </w:rPr>
              <w:t>са Уредбом о правилима за доделу државне помоћи</w:t>
            </w:r>
            <w:r w:rsidR="0080662C">
              <w:rPr>
                <w:sz w:val="20"/>
                <w:lang w:val="sr-Cyrl-RS"/>
              </w:rPr>
              <w:t xml:space="preserve"> („Службени гласник РС”, бр. 13/10, 100/11, 91/12, 37/13, 97/13 и 119/14)</w:t>
            </w:r>
            <w:r w:rsidRPr="00CF77C1">
              <w:rPr>
                <w:sz w:val="20"/>
                <w:lang w:val="sr-Cyrl-RS"/>
              </w:rPr>
              <w:t>, дало је рок: децембар 2017. године.</w:t>
            </w:r>
          </w:p>
        </w:tc>
        <w:tc>
          <w:tcPr>
            <w:tcW w:w="2954" w:type="dxa"/>
            <w:shd w:val="clear" w:color="auto" w:fill="auto"/>
            <w:vAlign w:val="center"/>
          </w:tcPr>
          <w:p w14:paraId="678FF962" w14:textId="5286121E" w:rsidR="00087F14" w:rsidRPr="00CF77C1" w:rsidRDefault="00AC627E" w:rsidP="0080044B">
            <w:pPr>
              <w:keepLines/>
              <w:jc w:val="left"/>
              <w:rPr>
                <w:sz w:val="20"/>
                <w:lang w:val="sr-Cyrl-RS"/>
              </w:rPr>
            </w:pPr>
            <w:r w:rsidRPr="00CF77C1">
              <w:rPr>
                <w:sz w:val="20"/>
                <w:lang w:val="sr-Cyrl-RS"/>
              </w:rPr>
              <w:t>м</w:t>
            </w:r>
            <w:r w:rsidR="005C650D" w:rsidRPr="00CF77C1">
              <w:rPr>
                <w:sz w:val="20"/>
                <w:lang w:val="sr-Cyrl-RS"/>
              </w:rPr>
              <w:t>инистарство надлежно за послове</w:t>
            </w:r>
            <w:r w:rsidR="00087F14" w:rsidRPr="00CF77C1">
              <w:rPr>
                <w:sz w:val="20"/>
                <w:lang w:val="sr-Cyrl-RS"/>
              </w:rPr>
              <w:t xml:space="preserve"> </w:t>
            </w:r>
            <w:r w:rsidR="00165345" w:rsidRPr="00CF77C1">
              <w:rPr>
                <w:sz w:val="20"/>
                <w:lang w:val="sr-Cyrl-RS"/>
              </w:rPr>
              <w:t>финансија</w:t>
            </w:r>
            <w:r w:rsidR="00087F14" w:rsidRPr="00CF77C1">
              <w:rPr>
                <w:sz w:val="20"/>
                <w:lang w:val="sr-Cyrl-RS"/>
              </w:rPr>
              <w:t xml:space="preserve"> </w:t>
            </w:r>
          </w:p>
        </w:tc>
      </w:tr>
    </w:tbl>
    <w:p w14:paraId="0DF9EA7A" w14:textId="77777777" w:rsidR="00A71326" w:rsidRPr="00CF77C1" w:rsidRDefault="00A71326" w:rsidP="0080044B">
      <w:pPr>
        <w:rPr>
          <w:lang w:val="sr-Cyrl-RS"/>
        </w:rPr>
      </w:pPr>
    </w:p>
    <w:p w14:paraId="47A5073D" w14:textId="77777777" w:rsidR="00A71326" w:rsidRPr="00CF77C1" w:rsidRDefault="00A71326" w:rsidP="0080044B">
      <w:pPr>
        <w:ind w:left="360"/>
        <w:rPr>
          <w:lang w:val="sr-Cyrl-RS"/>
        </w:rPr>
        <w:sectPr w:rsidR="00A71326" w:rsidRPr="00CF77C1" w:rsidSect="00017454">
          <w:headerReference w:type="default" r:id="rId104"/>
          <w:footerReference w:type="even" r:id="rId105"/>
          <w:footerReference w:type="default" r:id="rId106"/>
          <w:pgSz w:w="16839" w:h="11907" w:orient="landscape" w:code="9"/>
          <w:pgMar w:top="1418" w:right="1134" w:bottom="1134" w:left="1134" w:header="1004" w:footer="720" w:gutter="0"/>
          <w:cols w:space="720"/>
          <w:docGrid w:linePitch="360"/>
        </w:sectPr>
      </w:pPr>
    </w:p>
    <w:p w14:paraId="21137C7D" w14:textId="570D5B59" w:rsidR="00882250" w:rsidRPr="00CF77C1" w:rsidRDefault="008C6DCA" w:rsidP="008C6DCA">
      <w:pPr>
        <w:pStyle w:val="Heading3"/>
        <w:numPr>
          <w:ilvl w:val="0"/>
          <w:numId w:val="0"/>
        </w:numPr>
        <w:ind w:left="720"/>
        <w:rPr>
          <w:b w:val="0"/>
          <w:lang w:val="sr-Cyrl-RS"/>
        </w:rPr>
      </w:pPr>
      <w:bookmarkStart w:id="164" w:name="_Toc463001130"/>
      <w:bookmarkStart w:id="165" w:name="_Toc484260312"/>
      <w:r w:rsidRPr="00CF77C1">
        <w:rPr>
          <w:b w:val="0"/>
          <w:lang w:val="sr-Cyrl-RS"/>
        </w:rPr>
        <w:t xml:space="preserve">3.6.2. </w:t>
      </w:r>
      <w:r w:rsidR="00882250" w:rsidRPr="00CF77C1">
        <w:rPr>
          <w:b w:val="0"/>
          <w:lang w:val="sr-Cyrl-RS"/>
        </w:rPr>
        <w:t>Листа пројеката у области угља</w:t>
      </w:r>
      <w:bookmarkEnd w:id="164"/>
      <w:bookmarkEnd w:id="165"/>
    </w:p>
    <w:p w14:paraId="039B8C46" w14:textId="6C9EBE66" w:rsidR="00316872" w:rsidRPr="00CF77C1" w:rsidRDefault="008C6DCA" w:rsidP="008C6DCA">
      <w:pPr>
        <w:pStyle w:val="ListParagraph"/>
        <w:keepNext/>
        <w:ind w:left="0" w:firstLine="720"/>
        <w:contextualSpacing w:val="0"/>
        <w:rPr>
          <w:lang w:val="sr-Cyrl-RS"/>
        </w:rPr>
      </w:pPr>
      <w:bookmarkStart w:id="166" w:name="_Ref476806092"/>
      <w:r w:rsidRPr="00CF77C1">
        <w:rPr>
          <w:lang w:val="sr-Cyrl-RS"/>
        </w:rPr>
        <w:t xml:space="preserve">П.26. </w:t>
      </w:r>
      <w:r w:rsidR="00316872" w:rsidRPr="00CF77C1">
        <w:rPr>
          <w:lang w:val="sr-Cyrl-RS"/>
        </w:rPr>
        <w:t>Инте</w:t>
      </w:r>
      <w:r w:rsidR="00176354" w:rsidRPr="00CF77C1">
        <w:rPr>
          <w:lang w:val="sr-Cyrl-RS"/>
        </w:rPr>
        <w:t>н</w:t>
      </w:r>
      <w:r w:rsidR="00316872" w:rsidRPr="00CF77C1">
        <w:rPr>
          <w:lang w:val="sr-Cyrl-RS"/>
        </w:rPr>
        <w:t>зивирање истраживања лежишта угља на целој територији Републике Србије</w:t>
      </w:r>
      <w:bookmarkEnd w:id="166"/>
    </w:p>
    <w:p w14:paraId="01610A23" w14:textId="77777777" w:rsidR="00316872" w:rsidRPr="00CF77C1" w:rsidRDefault="00316872" w:rsidP="00A968A2">
      <w:pPr>
        <w:ind w:firstLine="720"/>
        <w:rPr>
          <w:u w:val="single"/>
          <w:lang w:val="sr-Cyrl-RS"/>
        </w:rPr>
      </w:pPr>
      <w:r w:rsidRPr="00CF77C1">
        <w:rPr>
          <w:u w:val="single"/>
          <w:lang w:val="sr-Cyrl-RS"/>
        </w:rPr>
        <w:t>Колубарски басен</w:t>
      </w:r>
    </w:p>
    <w:p w14:paraId="02CE96BE" w14:textId="77777777" w:rsidR="00316872" w:rsidRPr="00CF77C1" w:rsidRDefault="00316872" w:rsidP="00A968A2">
      <w:pPr>
        <w:ind w:firstLine="720"/>
        <w:rPr>
          <w:lang w:val="sr-Cyrl-RS"/>
        </w:rPr>
      </w:pPr>
      <w:r w:rsidRPr="00CF77C1">
        <w:rPr>
          <w:u w:val="single"/>
          <w:lang w:val="sr-Cyrl-RS"/>
        </w:rPr>
        <w:t>Јединствени простор источног дела Колубарског угљоносног басена</w:t>
      </w:r>
    </w:p>
    <w:p w14:paraId="4A79A914" w14:textId="02174CBE" w:rsidR="00316872" w:rsidRPr="00CF77C1" w:rsidRDefault="005259F9" w:rsidP="00A968A2">
      <w:pPr>
        <w:ind w:firstLine="720"/>
        <w:rPr>
          <w:lang w:val="sr-Cyrl-RS"/>
        </w:rPr>
      </w:pPr>
      <w:r w:rsidRPr="003D174E">
        <w:rPr>
          <w:lang w:val="sr-Cyrl-RS"/>
        </w:rPr>
        <w:t>Подаци о истраживањима лежишта угља потичу из</w:t>
      </w:r>
      <w:r w:rsidR="003D174E" w:rsidRPr="003D174E">
        <w:rPr>
          <w:lang w:val="sr-Cyrl-RS"/>
        </w:rPr>
        <w:t xml:space="preserve"> дугорочног програма експлоатације угља у угљоносним басенима ЕПС, за период до 2025. године са пројекцијом развоја до 2050. године</w:t>
      </w:r>
      <w:r w:rsidRPr="003D174E">
        <w:rPr>
          <w:lang w:val="sr-Cyrl-RS"/>
        </w:rPr>
        <w:t xml:space="preserve">. </w:t>
      </w:r>
      <w:r w:rsidR="00A71236" w:rsidRPr="003D174E">
        <w:rPr>
          <w:lang w:val="sr-Cyrl-RS"/>
        </w:rPr>
        <w:t xml:space="preserve">С обзиром на то </w:t>
      </w:r>
      <w:r w:rsidR="00316872" w:rsidRPr="003D174E">
        <w:rPr>
          <w:lang w:val="sr-Cyrl-RS"/>
        </w:rPr>
        <w:t>да се на површинским коповима Поље Д и Поље Ц експлоат</w:t>
      </w:r>
      <w:r w:rsidR="00537E82" w:rsidRPr="003D174E">
        <w:rPr>
          <w:lang w:val="sr-Cyrl-RS"/>
        </w:rPr>
        <w:t xml:space="preserve">ација завршава </w:t>
      </w:r>
      <w:r w:rsidR="00537E82" w:rsidRPr="00CF77C1">
        <w:rPr>
          <w:lang w:val="sr-Cyrl-RS"/>
        </w:rPr>
        <w:t>2020</w:t>
      </w:r>
      <w:r w:rsidR="00316872" w:rsidRPr="00CF77C1">
        <w:rPr>
          <w:lang w:val="sr-Cyrl-RS"/>
        </w:rPr>
        <w:t xml:space="preserve">, односно 2025. године, предвиђена су вишенаменска геолошка истраживања мањег обима, а на површинском копу Поље Ц и геолошка истраживања у функцији санације унутрашњег одлагалишта. Због недовољне истражености лежишта, а у складу са динамиком отварања површинског копа Поље Е, пројектом су планирана геолошка истраживања, која треба да се реализују у периоду од </w:t>
      </w:r>
      <w:r w:rsidR="00A22C5D">
        <w:rPr>
          <w:lang w:val="sr-Cyrl-RS"/>
        </w:rPr>
        <w:t>четири</w:t>
      </w:r>
      <w:r w:rsidR="00316872" w:rsidRPr="00CF77C1">
        <w:rPr>
          <w:lang w:val="sr-Cyrl-RS"/>
        </w:rPr>
        <w:t xml:space="preserve"> године са почетком 2016. године. Спецификације геолошких радова и динамика истраживања по површинским коповима приказане су табеларно.</w:t>
      </w:r>
    </w:p>
    <w:p w14:paraId="38583021" w14:textId="02F006C2" w:rsidR="00882250" w:rsidRPr="00CF77C1" w:rsidRDefault="00D61BC9" w:rsidP="00A968A2">
      <w:pPr>
        <w:pStyle w:val="Caption"/>
        <w:ind w:firstLine="720"/>
        <w:rPr>
          <w:b w:val="0"/>
          <w:lang w:val="sr-Cyrl-RS"/>
        </w:rPr>
      </w:pPr>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91</w:t>
      </w:r>
      <w:r w:rsidR="0092145E" w:rsidRPr="00CF77C1">
        <w:rPr>
          <w:b w:val="0"/>
          <w:lang w:val="sr-Cyrl-RS"/>
        </w:rPr>
        <w:fldChar w:fldCharType="end"/>
      </w:r>
      <w:r w:rsidR="00316872" w:rsidRPr="00CF77C1">
        <w:rPr>
          <w:b w:val="0"/>
          <w:lang w:val="sr-Cyrl-RS"/>
        </w:rPr>
        <w:t>: Динамика геолошких истраживања на ПК Поље Ц у функцији</w:t>
      </w:r>
      <w:r w:rsidR="00EA6189" w:rsidRPr="00CF77C1">
        <w:rPr>
          <w:b w:val="0"/>
          <w:lang w:val="sr-Cyrl-RS"/>
        </w:rPr>
        <w:t xml:space="preserve"> </w:t>
      </w:r>
      <w:r w:rsidR="00316872" w:rsidRPr="00CF77C1">
        <w:rPr>
          <w:b w:val="0"/>
          <w:lang w:val="sr-Cyrl-RS"/>
        </w:rPr>
        <w:t>санације унутрашњег одлагалишта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4474"/>
        <w:gridCol w:w="2520"/>
      </w:tblGrid>
      <w:tr w:rsidR="00316872" w:rsidRPr="00CF77C1" w14:paraId="7330F346" w14:textId="77777777" w:rsidTr="00276B15">
        <w:tc>
          <w:tcPr>
            <w:tcW w:w="566" w:type="dxa"/>
          </w:tcPr>
          <w:p w14:paraId="2A3B34A3" w14:textId="77777777" w:rsidR="00316872" w:rsidRPr="00CF77C1" w:rsidRDefault="00316872" w:rsidP="0080044B">
            <w:pPr>
              <w:keepNext/>
              <w:keepLines/>
              <w:framePr w:hSpace="181" w:wrap="notBeside" w:vAnchor="text" w:hAnchor="text" w:x="109" w:y="1"/>
              <w:autoSpaceDE w:val="0"/>
              <w:autoSpaceDN w:val="0"/>
              <w:adjustRightInd w:val="0"/>
              <w:rPr>
                <w:bCs/>
                <w:szCs w:val="24"/>
                <w:lang w:val="sr-Cyrl-RS"/>
              </w:rPr>
            </w:pPr>
            <w:r w:rsidRPr="00CF77C1">
              <w:rPr>
                <w:bCs/>
                <w:szCs w:val="24"/>
                <w:lang w:val="sr-Cyrl-RS"/>
              </w:rPr>
              <w:t>Бр.</w:t>
            </w:r>
          </w:p>
        </w:tc>
        <w:tc>
          <w:tcPr>
            <w:tcW w:w="4474" w:type="dxa"/>
          </w:tcPr>
          <w:p w14:paraId="3C5F121A" w14:textId="77777777" w:rsidR="00316872" w:rsidRPr="00CF77C1" w:rsidRDefault="00316872" w:rsidP="0080044B">
            <w:pPr>
              <w:keepNext/>
              <w:keepLines/>
              <w:framePr w:hSpace="181" w:wrap="notBeside" w:vAnchor="text" w:hAnchor="text" w:x="109" w:y="1"/>
              <w:autoSpaceDE w:val="0"/>
              <w:autoSpaceDN w:val="0"/>
              <w:adjustRightInd w:val="0"/>
              <w:rPr>
                <w:bCs/>
                <w:szCs w:val="24"/>
                <w:lang w:val="sr-Cyrl-RS"/>
              </w:rPr>
            </w:pPr>
            <w:r w:rsidRPr="00CF77C1">
              <w:rPr>
                <w:bCs/>
                <w:szCs w:val="24"/>
                <w:lang w:val="sr-Cyrl-RS"/>
              </w:rPr>
              <w:t>Назив</w:t>
            </w:r>
          </w:p>
        </w:tc>
        <w:tc>
          <w:tcPr>
            <w:tcW w:w="2520" w:type="dxa"/>
          </w:tcPr>
          <w:p w14:paraId="264654D3" w14:textId="77777777" w:rsidR="00316872" w:rsidRPr="00CF77C1" w:rsidRDefault="00316872" w:rsidP="0080044B">
            <w:pPr>
              <w:keepNext/>
              <w:keepLines/>
              <w:framePr w:hSpace="181" w:wrap="notBeside" w:vAnchor="text" w:hAnchor="text" w:x="109" w:y="1"/>
              <w:autoSpaceDE w:val="0"/>
              <w:autoSpaceDN w:val="0"/>
              <w:adjustRightInd w:val="0"/>
              <w:ind w:left="-37" w:firstLine="37"/>
              <w:jc w:val="center"/>
              <w:rPr>
                <w:bCs/>
                <w:szCs w:val="24"/>
                <w:lang w:val="sr-Cyrl-RS"/>
              </w:rPr>
            </w:pPr>
            <w:r w:rsidRPr="00CF77C1">
              <w:rPr>
                <w:bCs/>
                <w:szCs w:val="24"/>
                <w:lang w:val="sr-Cyrl-RS"/>
              </w:rPr>
              <w:t>Динамика</w:t>
            </w:r>
          </w:p>
        </w:tc>
      </w:tr>
      <w:tr w:rsidR="00316872" w:rsidRPr="00CF77C1" w14:paraId="3EA81312" w14:textId="77777777" w:rsidTr="00276B15">
        <w:trPr>
          <w:trHeight w:val="20"/>
        </w:trPr>
        <w:tc>
          <w:tcPr>
            <w:tcW w:w="566" w:type="dxa"/>
          </w:tcPr>
          <w:p w14:paraId="37F1AF5A" w14:textId="0B7A1823"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1</w:t>
            </w:r>
            <w:r w:rsidR="00D20077">
              <w:rPr>
                <w:bCs/>
                <w:szCs w:val="24"/>
                <w:lang w:val="sr-Cyrl-RS"/>
              </w:rPr>
              <w:t>.</w:t>
            </w:r>
          </w:p>
        </w:tc>
        <w:tc>
          <w:tcPr>
            <w:tcW w:w="4474" w:type="dxa"/>
          </w:tcPr>
          <w:p w14:paraId="4DE0F154"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Теренски радови</w:t>
            </w:r>
          </w:p>
        </w:tc>
        <w:tc>
          <w:tcPr>
            <w:tcW w:w="2520" w:type="dxa"/>
          </w:tcPr>
          <w:p w14:paraId="4996F0FE" w14:textId="77777777" w:rsidR="00316872" w:rsidRPr="00CF77C1" w:rsidRDefault="00316872" w:rsidP="0080044B">
            <w:pPr>
              <w:framePr w:hSpace="181" w:wrap="notBeside" w:vAnchor="text" w:hAnchor="text" w:x="109" w:y="1"/>
              <w:jc w:val="center"/>
              <w:rPr>
                <w:szCs w:val="24"/>
                <w:lang w:val="sr-Cyrl-RS"/>
              </w:rPr>
            </w:pPr>
            <w:r w:rsidRPr="00CF77C1">
              <w:rPr>
                <w:rFonts w:eastAsia="TimesNewRomanPSMT"/>
                <w:szCs w:val="24"/>
                <w:lang w:val="sr-Cyrl-RS"/>
              </w:rPr>
              <w:t>2016.</w:t>
            </w:r>
          </w:p>
        </w:tc>
      </w:tr>
      <w:tr w:rsidR="00316872" w:rsidRPr="00CF77C1" w14:paraId="052436B1" w14:textId="77777777" w:rsidTr="00276B15">
        <w:trPr>
          <w:trHeight w:val="20"/>
        </w:trPr>
        <w:tc>
          <w:tcPr>
            <w:tcW w:w="566" w:type="dxa"/>
          </w:tcPr>
          <w:p w14:paraId="50F0685D" w14:textId="65FCB222"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2</w:t>
            </w:r>
            <w:r w:rsidR="00D20077">
              <w:rPr>
                <w:bCs/>
                <w:szCs w:val="24"/>
                <w:lang w:val="sr-Cyrl-RS"/>
              </w:rPr>
              <w:t>.</w:t>
            </w:r>
          </w:p>
        </w:tc>
        <w:tc>
          <w:tcPr>
            <w:tcW w:w="4474" w:type="dxa"/>
          </w:tcPr>
          <w:p w14:paraId="31E094EC"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Лабораторијска истраживања</w:t>
            </w:r>
          </w:p>
        </w:tc>
        <w:tc>
          <w:tcPr>
            <w:tcW w:w="2520" w:type="dxa"/>
          </w:tcPr>
          <w:p w14:paraId="0FBDF31C" w14:textId="77777777" w:rsidR="00316872" w:rsidRPr="00CF77C1" w:rsidRDefault="00316872" w:rsidP="0080044B">
            <w:pPr>
              <w:framePr w:hSpace="181" w:wrap="notBeside" w:vAnchor="text" w:hAnchor="text" w:x="109" w:y="1"/>
              <w:jc w:val="center"/>
              <w:rPr>
                <w:szCs w:val="24"/>
                <w:lang w:val="sr-Cyrl-RS"/>
              </w:rPr>
            </w:pPr>
            <w:r w:rsidRPr="00CF77C1">
              <w:rPr>
                <w:rFonts w:eastAsia="TimesNewRomanPSMT"/>
                <w:szCs w:val="24"/>
                <w:lang w:val="sr-Cyrl-RS"/>
              </w:rPr>
              <w:t>2016.</w:t>
            </w:r>
          </w:p>
        </w:tc>
      </w:tr>
    </w:tbl>
    <w:p w14:paraId="5952DCA5" w14:textId="06AB029E" w:rsidR="00316872" w:rsidRPr="00CF77C1" w:rsidRDefault="00D61BC9" w:rsidP="00A968A2">
      <w:pPr>
        <w:pStyle w:val="Caption"/>
        <w:ind w:firstLine="720"/>
        <w:rPr>
          <w:b w:val="0"/>
          <w:lang w:val="sr-Cyrl-RS"/>
        </w:rPr>
      </w:pPr>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92</w:t>
      </w:r>
      <w:r w:rsidR="0092145E" w:rsidRPr="00CF77C1">
        <w:rPr>
          <w:b w:val="0"/>
          <w:lang w:val="sr-Cyrl-RS"/>
        </w:rPr>
        <w:fldChar w:fldCharType="end"/>
      </w:r>
      <w:r w:rsidR="00316872" w:rsidRPr="00CF77C1">
        <w:rPr>
          <w:b w:val="0"/>
          <w:lang w:val="sr-Cyrl-RS"/>
        </w:rPr>
        <w:t>: Динамика геолошких истраживања на ПК Поље 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4547"/>
        <w:gridCol w:w="2490"/>
      </w:tblGrid>
      <w:tr w:rsidR="00316872" w:rsidRPr="00CF77C1" w14:paraId="14FE3827" w14:textId="77777777" w:rsidTr="00276B15">
        <w:trPr>
          <w:trHeight w:val="20"/>
        </w:trPr>
        <w:tc>
          <w:tcPr>
            <w:tcW w:w="539" w:type="dxa"/>
          </w:tcPr>
          <w:p w14:paraId="5AE7968F"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Бр.</w:t>
            </w:r>
          </w:p>
        </w:tc>
        <w:tc>
          <w:tcPr>
            <w:tcW w:w="4547" w:type="dxa"/>
          </w:tcPr>
          <w:p w14:paraId="0187C604"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Назив</w:t>
            </w:r>
          </w:p>
        </w:tc>
        <w:tc>
          <w:tcPr>
            <w:tcW w:w="2490" w:type="dxa"/>
          </w:tcPr>
          <w:p w14:paraId="50C447AA" w14:textId="77777777" w:rsidR="00316872" w:rsidRPr="00CF77C1" w:rsidRDefault="00316872" w:rsidP="0080044B">
            <w:pPr>
              <w:framePr w:hSpace="181" w:wrap="notBeside" w:vAnchor="text" w:hAnchor="text" w:x="109" w:y="1"/>
              <w:autoSpaceDE w:val="0"/>
              <w:autoSpaceDN w:val="0"/>
              <w:adjustRightInd w:val="0"/>
              <w:ind w:left="-37" w:firstLine="37"/>
              <w:jc w:val="center"/>
              <w:rPr>
                <w:bCs/>
                <w:szCs w:val="24"/>
                <w:lang w:val="sr-Cyrl-RS"/>
              </w:rPr>
            </w:pPr>
            <w:r w:rsidRPr="00CF77C1">
              <w:rPr>
                <w:bCs/>
                <w:szCs w:val="24"/>
                <w:lang w:val="sr-Cyrl-RS"/>
              </w:rPr>
              <w:t>Динамика</w:t>
            </w:r>
          </w:p>
        </w:tc>
      </w:tr>
      <w:tr w:rsidR="00316872" w:rsidRPr="00CF77C1" w14:paraId="46988854" w14:textId="77777777" w:rsidTr="00276B15">
        <w:trPr>
          <w:trHeight w:val="20"/>
        </w:trPr>
        <w:tc>
          <w:tcPr>
            <w:tcW w:w="539" w:type="dxa"/>
          </w:tcPr>
          <w:p w14:paraId="77BCE49D" w14:textId="2A4AA944"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1</w:t>
            </w:r>
            <w:r w:rsidR="00D20077">
              <w:rPr>
                <w:bCs/>
                <w:szCs w:val="24"/>
                <w:lang w:val="sr-Cyrl-RS"/>
              </w:rPr>
              <w:t>.</w:t>
            </w:r>
          </w:p>
        </w:tc>
        <w:tc>
          <w:tcPr>
            <w:tcW w:w="4547" w:type="dxa"/>
          </w:tcPr>
          <w:p w14:paraId="249B60EF"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Истражно бушење</w:t>
            </w:r>
          </w:p>
        </w:tc>
        <w:tc>
          <w:tcPr>
            <w:tcW w:w="2490" w:type="dxa"/>
          </w:tcPr>
          <w:p w14:paraId="77E27B13" w14:textId="77777777" w:rsidR="00316872" w:rsidRPr="00CF77C1" w:rsidRDefault="00316872" w:rsidP="0080044B">
            <w:pPr>
              <w:framePr w:hSpace="181" w:wrap="notBeside" w:vAnchor="text" w:hAnchor="text" w:x="109" w:y="1"/>
              <w:autoSpaceDE w:val="0"/>
              <w:autoSpaceDN w:val="0"/>
              <w:adjustRightInd w:val="0"/>
              <w:ind w:left="-37" w:firstLine="37"/>
              <w:jc w:val="center"/>
              <w:rPr>
                <w:bCs/>
                <w:szCs w:val="24"/>
                <w:lang w:val="sr-Cyrl-RS"/>
              </w:rPr>
            </w:pPr>
            <w:r w:rsidRPr="00CF77C1">
              <w:rPr>
                <w:bCs/>
                <w:szCs w:val="24"/>
                <w:lang w:val="sr-Cyrl-RS"/>
              </w:rPr>
              <w:t>2016.</w:t>
            </w:r>
          </w:p>
        </w:tc>
      </w:tr>
      <w:tr w:rsidR="00316872" w:rsidRPr="00CF77C1" w14:paraId="54F97041" w14:textId="77777777" w:rsidTr="00276B15">
        <w:trPr>
          <w:trHeight w:val="20"/>
        </w:trPr>
        <w:tc>
          <w:tcPr>
            <w:tcW w:w="539" w:type="dxa"/>
          </w:tcPr>
          <w:p w14:paraId="64B2E53E" w14:textId="0D4C6EDF"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2</w:t>
            </w:r>
            <w:r w:rsidR="00D20077">
              <w:rPr>
                <w:bCs/>
                <w:szCs w:val="24"/>
                <w:lang w:val="sr-Cyrl-RS"/>
              </w:rPr>
              <w:t>.</w:t>
            </w:r>
          </w:p>
        </w:tc>
        <w:tc>
          <w:tcPr>
            <w:tcW w:w="4547" w:type="dxa"/>
          </w:tcPr>
          <w:p w14:paraId="3E11567D"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 xml:space="preserve">Геолошки радови </w:t>
            </w:r>
          </w:p>
        </w:tc>
        <w:tc>
          <w:tcPr>
            <w:tcW w:w="2490" w:type="dxa"/>
          </w:tcPr>
          <w:p w14:paraId="3A2FC085" w14:textId="77777777" w:rsidR="00316872" w:rsidRPr="00CF77C1" w:rsidRDefault="00316872" w:rsidP="0080044B">
            <w:pPr>
              <w:framePr w:hSpace="181" w:wrap="notBeside" w:vAnchor="text" w:hAnchor="text" w:x="109" w:y="1"/>
              <w:autoSpaceDE w:val="0"/>
              <w:autoSpaceDN w:val="0"/>
              <w:adjustRightInd w:val="0"/>
              <w:ind w:left="-37" w:firstLine="37"/>
              <w:jc w:val="center"/>
              <w:rPr>
                <w:rFonts w:eastAsia="TimesNewRomanPSMT"/>
                <w:szCs w:val="24"/>
                <w:lang w:val="sr-Cyrl-RS"/>
              </w:rPr>
            </w:pPr>
            <w:r w:rsidRPr="00CF77C1">
              <w:rPr>
                <w:rFonts w:eastAsia="TimesNewRomanPSMT"/>
                <w:szCs w:val="24"/>
                <w:lang w:val="sr-Cyrl-RS"/>
              </w:rPr>
              <w:t>2017.</w:t>
            </w:r>
          </w:p>
        </w:tc>
      </w:tr>
      <w:tr w:rsidR="00316872" w:rsidRPr="00CF77C1" w14:paraId="7C683F07" w14:textId="77777777" w:rsidTr="00276B15">
        <w:trPr>
          <w:trHeight w:val="20"/>
        </w:trPr>
        <w:tc>
          <w:tcPr>
            <w:tcW w:w="539" w:type="dxa"/>
          </w:tcPr>
          <w:p w14:paraId="00544176" w14:textId="48461A55"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3</w:t>
            </w:r>
            <w:r w:rsidR="00D20077">
              <w:rPr>
                <w:bCs/>
                <w:szCs w:val="24"/>
                <w:lang w:val="sr-Cyrl-RS"/>
              </w:rPr>
              <w:t>.</w:t>
            </w:r>
          </w:p>
        </w:tc>
        <w:tc>
          <w:tcPr>
            <w:tcW w:w="4547" w:type="dxa"/>
          </w:tcPr>
          <w:p w14:paraId="3B600929"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Хидрогеолошки радови</w:t>
            </w:r>
          </w:p>
        </w:tc>
        <w:tc>
          <w:tcPr>
            <w:tcW w:w="2490" w:type="dxa"/>
          </w:tcPr>
          <w:p w14:paraId="6E4C33B3" w14:textId="77777777" w:rsidR="00316872" w:rsidRPr="00CF77C1" w:rsidRDefault="00316872" w:rsidP="0080044B">
            <w:pPr>
              <w:framePr w:hSpace="181" w:wrap="notBeside" w:vAnchor="text" w:hAnchor="text" w:x="109" w:y="1"/>
              <w:autoSpaceDE w:val="0"/>
              <w:autoSpaceDN w:val="0"/>
              <w:adjustRightInd w:val="0"/>
              <w:ind w:left="-37" w:firstLine="37"/>
              <w:jc w:val="center"/>
              <w:rPr>
                <w:rFonts w:eastAsia="TimesNewRomanPSMT"/>
                <w:szCs w:val="24"/>
                <w:lang w:val="sr-Cyrl-RS"/>
              </w:rPr>
            </w:pPr>
            <w:r w:rsidRPr="00CF77C1">
              <w:rPr>
                <w:rFonts w:eastAsia="TimesNewRomanPSMT"/>
                <w:szCs w:val="24"/>
                <w:lang w:val="sr-Cyrl-RS"/>
              </w:rPr>
              <w:t>2017.</w:t>
            </w:r>
          </w:p>
        </w:tc>
      </w:tr>
      <w:tr w:rsidR="00316872" w:rsidRPr="00CF77C1" w14:paraId="22E8BCD0" w14:textId="77777777" w:rsidTr="00276B15">
        <w:trPr>
          <w:trHeight w:val="20"/>
        </w:trPr>
        <w:tc>
          <w:tcPr>
            <w:tcW w:w="539" w:type="dxa"/>
          </w:tcPr>
          <w:p w14:paraId="4646EA0D" w14:textId="446D06FF"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4</w:t>
            </w:r>
            <w:r w:rsidR="00D20077">
              <w:rPr>
                <w:bCs/>
                <w:szCs w:val="24"/>
                <w:lang w:val="sr-Cyrl-RS"/>
              </w:rPr>
              <w:t>.</w:t>
            </w:r>
          </w:p>
        </w:tc>
        <w:tc>
          <w:tcPr>
            <w:tcW w:w="4547" w:type="dxa"/>
          </w:tcPr>
          <w:p w14:paraId="298DCDF7"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Лабораторијска истраживања</w:t>
            </w:r>
          </w:p>
        </w:tc>
        <w:tc>
          <w:tcPr>
            <w:tcW w:w="2490" w:type="dxa"/>
          </w:tcPr>
          <w:p w14:paraId="40233D05" w14:textId="77777777" w:rsidR="00316872" w:rsidRPr="00CF77C1" w:rsidRDefault="00316872" w:rsidP="0080044B">
            <w:pPr>
              <w:framePr w:hSpace="181" w:wrap="notBeside" w:vAnchor="text" w:hAnchor="text" w:x="109" w:y="1"/>
              <w:autoSpaceDE w:val="0"/>
              <w:autoSpaceDN w:val="0"/>
              <w:adjustRightInd w:val="0"/>
              <w:ind w:left="-37" w:firstLine="37"/>
              <w:jc w:val="center"/>
              <w:rPr>
                <w:rFonts w:eastAsia="TimesNewRomanPSMT"/>
                <w:szCs w:val="24"/>
                <w:lang w:val="sr-Cyrl-RS"/>
              </w:rPr>
            </w:pPr>
            <w:r w:rsidRPr="00CF77C1">
              <w:rPr>
                <w:rFonts w:eastAsia="TimesNewRomanPSMT"/>
                <w:szCs w:val="24"/>
                <w:lang w:val="sr-Cyrl-RS"/>
              </w:rPr>
              <w:t>2017.</w:t>
            </w:r>
          </w:p>
        </w:tc>
      </w:tr>
    </w:tbl>
    <w:p w14:paraId="55A042CA" w14:textId="2268328C" w:rsidR="00316872" w:rsidRPr="00CF77C1" w:rsidRDefault="00D61BC9" w:rsidP="00A968A2">
      <w:pPr>
        <w:pStyle w:val="Caption"/>
        <w:ind w:firstLine="720"/>
        <w:rPr>
          <w:b w:val="0"/>
          <w:lang w:val="sr-Cyrl-RS"/>
        </w:rPr>
      </w:pPr>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93</w:t>
      </w:r>
      <w:r w:rsidR="0092145E" w:rsidRPr="00CF77C1">
        <w:rPr>
          <w:b w:val="0"/>
          <w:lang w:val="sr-Cyrl-RS"/>
        </w:rPr>
        <w:fldChar w:fldCharType="end"/>
      </w:r>
      <w:r w:rsidR="00316872" w:rsidRPr="00CF77C1">
        <w:rPr>
          <w:b w:val="0"/>
          <w:lang w:val="sr-Cyrl-RS"/>
        </w:rPr>
        <w:t>: Динамика геолошких истраживања на ПК Поље Д</w:t>
      </w:r>
    </w:p>
    <w:tbl>
      <w:tblPr>
        <w:tblW w:w="7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4567"/>
        <w:gridCol w:w="2454"/>
      </w:tblGrid>
      <w:tr w:rsidR="00316872" w:rsidRPr="00CF77C1" w14:paraId="04D33639" w14:textId="77777777" w:rsidTr="00276B15">
        <w:trPr>
          <w:trHeight w:val="20"/>
        </w:trPr>
        <w:tc>
          <w:tcPr>
            <w:tcW w:w="539" w:type="dxa"/>
          </w:tcPr>
          <w:p w14:paraId="002F2750"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Бр.</w:t>
            </w:r>
          </w:p>
        </w:tc>
        <w:tc>
          <w:tcPr>
            <w:tcW w:w="4567" w:type="dxa"/>
          </w:tcPr>
          <w:p w14:paraId="2C03D911"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Назив</w:t>
            </w:r>
          </w:p>
        </w:tc>
        <w:tc>
          <w:tcPr>
            <w:tcW w:w="2454" w:type="dxa"/>
          </w:tcPr>
          <w:p w14:paraId="2AAB3313" w14:textId="77777777" w:rsidR="00316872" w:rsidRPr="00CF77C1" w:rsidRDefault="00316872" w:rsidP="0080044B">
            <w:pPr>
              <w:framePr w:hSpace="181" w:wrap="notBeside" w:vAnchor="text" w:hAnchor="text" w:x="109" w:y="1"/>
              <w:autoSpaceDE w:val="0"/>
              <w:autoSpaceDN w:val="0"/>
              <w:adjustRightInd w:val="0"/>
              <w:ind w:left="-37" w:firstLine="37"/>
              <w:jc w:val="center"/>
              <w:rPr>
                <w:bCs/>
                <w:szCs w:val="24"/>
                <w:lang w:val="sr-Cyrl-RS"/>
              </w:rPr>
            </w:pPr>
            <w:r w:rsidRPr="00CF77C1">
              <w:rPr>
                <w:bCs/>
                <w:szCs w:val="24"/>
                <w:lang w:val="sr-Cyrl-RS"/>
              </w:rPr>
              <w:t>Динамика</w:t>
            </w:r>
          </w:p>
        </w:tc>
      </w:tr>
      <w:tr w:rsidR="00316872" w:rsidRPr="00CF77C1" w14:paraId="3C3A5A79" w14:textId="77777777" w:rsidTr="00276B15">
        <w:trPr>
          <w:trHeight w:val="20"/>
        </w:trPr>
        <w:tc>
          <w:tcPr>
            <w:tcW w:w="539" w:type="dxa"/>
          </w:tcPr>
          <w:p w14:paraId="35D3E5C6" w14:textId="25B22F7E"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1</w:t>
            </w:r>
            <w:r w:rsidR="00D20077">
              <w:rPr>
                <w:bCs/>
                <w:szCs w:val="24"/>
                <w:lang w:val="sr-Cyrl-RS"/>
              </w:rPr>
              <w:t>.</w:t>
            </w:r>
          </w:p>
        </w:tc>
        <w:tc>
          <w:tcPr>
            <w:tcW w:w="4567" w:type="dxa"/>
          </w:tcPr>
          <w:p w14:paraId="1D22B832"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Истражно бушење</w:t>
            </w:r>
          </w:p>
        </w:tc>
        <w:tc>
          <w:tcPr>
            <w:tcW w:w="2454" w:type="dxa"/>
          </w:tcPr>
          <w:p w14:paraId="580112C8" w14:textId="77777777" w:rsidR="00316872" w:rsidRPr="00CF77C1" w:rsidRDefault="00316872" w:rsidP="0080044B">
            <w:pPr>
              <w:framePr w:hSpace="181" w:wrap="notBeside" w:vAnchor="text" w:hAnchor="text" w:x="109" w:y="1"/>
              <w:autoSpaceDE w:val="0"/>
              <w:autoSpaceDN w:val="0"/>
              <w:adjustRightInd w:val="0"/>
              <w:ind w:left="-37" w:firstLine="37"/>
              <w:jc w:val="center"/>
              <w:rPr>
                <w:bCs/>
                <w:szCs w:val="24"/>
                <w:lang w:val="sr-Cyrl-RS"/>
              </w:rPr>
            </w:pPr>
            <w:r w:rsidRPr="00CF77C1">
              <w:rPr>
                <w:bCs/>
                <w:szCs w:val="24"/>
                <w:lang w:val="sr-Cyrl-RS"/>
              </w:rPr>
              <w:t>2016.</w:t>
            </w:r>
          </w:p>
        </w:tc>
      </w:tr>
      <w:tr w:rsidR="00316872" w:rsidRPr="00CF77C1" w14:paraId="4B9A346B" w14:textId="77777777" w:rsidTr="00276B15">
        <w:trPr>
          <w:trHeight w:val="20"/>
        </w:trPr>
        <w:tc>
          <w:tcPr>
            <w:tcW w:w="539" w:type="dxa"/>
          </w:tcPr>
          <w:p w14:paraId="25ADA94D" w14:textId="3FD4B9DC"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2</w:t>
            </w:r>
            <w:r w:rsidR="00D20077">
              <w:rPr>
                <w:bCs/>
                <w:szCs w:val="24"/>
                <w:lang w:val="sr-Cyrl-RS"/>
              </w:rPr>
              <w:t>.</w:t>
            </w:r>
          </w:p>
        </w:tc>
        <w:tc>
          <w:tcPr>
            <w:tcW w:w="4567" w:type="dxa"/>
          </w:tcPr>
          <w:p w14:paraId="1244C48B"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 xml:space="preserve">Геолошки радови </w:t>
            </w:r>
          </w:p>
        </w:tc>
        <w:tc>
          <w:tcPr>
            <w:tcW w:w="2454" w:type="dxa"/>
          </w:tcPr>
          <w:p w14:paraId="7334CC9A" w14:textId="77777777" w:rsidR="00316872" w:rsidRPr="00CF77C1" w:rsidRDefault="00316872" w:rsidP="0080044B">
            <w:pPr>
              <w:framePr w:hSpace="181" w:wrap="notBeside" w:vAnchor="text" w:hAnchor="text" w:x="109" w:y="1"/>
              <w:autoSpaceDE w:val="0"/>
              <w:autoSpaceDN w:val="0"/>
              <w:adjustRightInd w:val="0"/>
              <w:ind w:left="-37" w:firstLine="37"/>
              <w:jc w:val="center"/>
              <w:rPr>
                <w:rFonts w:eastAsia="TimesNewRomanPSMT"/>
                <w:szCs w:val="24"/>
                <w:lang w:val="sr-Cyrl-RS"/>
              </w:rPr>
            </w:pPr>
            <w:r w:rsidRPr="00CF77C1">
              <w:rPr>
                <w:rFonts w:eastAsia="TimesNewRomanPSMT"/>
                <w:szCs w:val="24"/>
                <w:lang w:val="sr-Cyrl-RS"/>
              </w:rPr>
              <w:t>2017.</w:t>
            </w:r>
          </w:p>
        </w:tc>
      </w:tr>
      <w:tr w:rsidR="00316872" w:rsidRPr="00CF77C1" w14:paraId="042A9B80" w14:textId="77777777" w:rsidTr="00276B15">
        <w:trPr>
          <w:trHeight w:val="20"/>
        </w:trPr>
        <w:tc>
          <w:tcPr>
            <w:tcW w:w="539" w:type="dxa"/>
          </w:tcPr>
          <w:p w14:paraId="75D9CC1A" w14:textId="5EEAF287"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3</w:t>
            </w:r>
            <w:r w:rsidR="00D20077">
              <w:rPr>
                <w:bCs/>
                <w:szCs w:val="24"/>
                <w:lang w:val="sr-Cyrl-RS"/>
              </w:rPr>
              <w:t>.</w:t>
            </w:r>
          </w:p>
        </w:tc>
        <w:tc>
          <w:tcPr>
            <w:tcW w:w="4567" w:type="dxa"/>
          </w:tcPr>
          <w:p w14:paraId="3F77FC7A"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Лабораторијска истраживања</w:t>
            </w:r>
          </w:p>
        </w:tc>
        <w:tc>
          <w:tcPr>
            <w:tcW w:w="2454" w:type="dxa"/>
          </w:tcPr>
          <w:p w14:paraId="791DB80C" w14:textId="77777777" w:rsidR="00316872" w:rsidRPr="00CF77C1" w:rsidRDefault="00316872" w:rsidP="0080044B">
            <w:pPr>
              <w:framePr w:hSpace="181" w:wrap="notBeside" w:vAnchor="text" w:hAnchor="text" w:x="109" w:y="1"/>
              <w:autoSpaceDE w:val="0"/>
              <w:autoSpaceDN w:val="0"/>
              <w:adjustRightInd w:val="0"/>
              <w:ind w:left="-37" w:firstLine="37"/>
              <w:jc w:val="center"/>
              <w:rPr>
                <w:rFonts w:eastAsia="TimesNewRomanPSMT"/>
                <w:szCs w:val="24"/>
                <w:lang w:val="sr-Cyrl-RS"/>
              </w:rPr>
            </w:pPr>
            <w:r w:rsidRPr="00CF77C1">
              <w:rPr>
                <w:rFonts w:eastAsia="TimesNewRomanPSMT"/>
                <w:szCs w:val="24"/>
                <w:lang w:val="sr-Cyrl-RS"/>
              </w:rPr>
              <w:t>2017.</w:t>
            </w:r>
          </w:p>
        </w:tc>
      </w:tr>
    </w:tbl>
    <w:p w14:paraId="719C29C8" w14:textId="588FCEB3" w:rsidR="00316872" w:rsidRPr="00CF77C1" w:rsidRDefault="00D61BC9" w:rsidP="00A968A2">
      <w:pPr>
        <w:pStyle w:val="Caption"/>
        <w:ind w:firstLine="720"/>
        <w:rPr>
          <w:b w:val="0"/>
          <w:lang w:val="sr-Cyrl-RS"/>
        </w:rPr>
      </w:pPr>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94</w:t>
      </w:r>
      <w:r w:rsidR="0092145E" w:rsidRPr="00CF77C1">
        <w:rPr>
          <w:b w:val="0"/>
          <w:lang w:val="sr-Cyrl-RS"/>
        </w:rPr>
        <w:fldChar w:fldCharType="end"/>
      </w:r>
      <w:r w:rsidR="00316872" w:rsidRPr="00CF77C1">
        <w:rPr>
          <w:b w:val="0"/>
          <w:lang w:val="sr-Cyrl-RS"/>
        </w:rPr>
        <w:t>: Динамика геолошких истраживања на ПК Поље Е</w:t>
      </w:r>
    </w:p>
    <w:tbl>
      <w:tblPr>
        <w:tblW w:w="7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4570"/>
        <w:gridCol w:w="2404"/>
      </w:tblGrid>
      <w:tr w:rsidR="00316872" w:rsidRPr="00CF77C1" w14:paraId="2508F14F" w14:textId="77777777" w:rsidTr="00276B15">
        <w:trPr>
          <w:trHeight w:val="20"/>
        </w:trPr>
        <w:tc>
          <w:tcPr>
            <w:tcW w:w="539" w:type="dxa"/>
          </w:tcPr>
          <w:p w14:paraId="0EFBC4E9"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Бр.</w:t>
            </w:r>
          </w:p>
        </w:tc>
        <w:tc>
          <w:tcPr>
            <w:tcW w:w="4570" w:type="dxa"/>
          </w:tcPr>
          <w:p w14:paraId="6BBDDDCF"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Назив</w:t>
            </w:r>
          </w:p>
        </w:tc>
        <w:tc>
          <w:tcPr>
            <w:tcW w:w="2404" w:type="dxa"/>
          </w:tcPr>
          <w:p w14:paraId="6DF32CC2" w14:textId="77777777" w:rsidR="00316872" w:rsidRPr="00CF77C1" w:rsidRDefault="00316872" w:rsidP="0080044B">
            <w:pPr>
              <w:framePr w:hSpace="181" w:wrap="notBeside" w:vAnchor="text" w:hAnchor="text" w:x="109" w:y="1"/>
              <w:autoSpaceDE w:val="0"/>
              <w:autoSpaceDN w:val="0"/>
              <w:adjustRightInd w:val="0"/>
              <w:ind w:left="-37" w:firstLine="37"/>
              <w:jc w:val="center"/>
              <w:rPr>
                <w:bCs/>
                <w:szCs w:val="24"/>
                <w:lang w:val="sr-Cyrl-RS"/>
              </w:rPr>
            </w:pPr>
            <w:r w:rsidRPr="00CF77C1">
              <w:rPr>
                <w:bCs/>
                <w:szCs w:val="24"/>
                <w:lang w:val="sr-Cyrl-RS"/>
              </w:rPr>
              <w:t>Динамика</w:t>
            </w:r>
          </w:p>
        </w:tc>
      </w:tr>
      <w:tr w:rsidR="00316872" w:rsidRPr="00CF77C1" w14:paraId="6F4A09FA" w14:textId="77777777" w:rsidTr="00276B15">
        <w:trPr>
          <w:trHeight w:val="20"/>
        </w:trPr>
        <w:tc>
          <w:tcPr>
            <w:tcW w:w="539" w:type="dxa"/>
          </w:tcPr>
          <w:p w14:paraId="631E2DA7" w14:textId="76671B6D"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1</w:t>
            </w:r>
            <w:r w:rsidR="00D20077">
              <w:rPr>
                <w:bCs/>
                <w:szCs w:val="24"/>
                <w:lang w:val="sr-Cyrl-RS"/>
              </w:rPr>
              <w:t>.</w:t>
            </w:r>
          </w:p>
        </w:tc>
        <w:tc>
          <w:tcPr>
            <w:tcW w:w="4570" w:type="dxa"/>
          </w:tcPr>
          <w:p w14:paraId="17CA4439"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Вишенаменски истражни радови</w:t>
            </w:r>
          </w:p>
          <w:p w14:paraId="45A80F68" w14:textId="77777777" w:rsidR="00316872" w:rsidRPr="00CF77C1" w:rsidRDefault="00316872" w:rsidP="0080044B">
            <w:pPr>
              <w:framePr w:hSpace="181" w:wrap="notBeside" w:vAnchor="text" w:hAnchor="text" w:x="109" w:y="1"/>
              <w:numPr>
                <w:ilvl w:val="0"/>
                <w:numId w:val="21"/>
              </w:numPr>
              <w:autoSpaceDE w:val="0"/>
              <w:autoSpaceDN w:val="0"/>
              <w:adjustRightInd w:val="0"/>
              <w:jc w:val="left"/>
              <w:rPr>
                <w:bCs/>
                <w:szCs w:val="24"/>
                <w:lang w:val="sr-Cyrl-RS"/>
              </w:rPr>
            </w:pPr>
            <w:r w:rsidRPr="00CF77C1">
              <w:rPr>
                <w:bCs/>
                <w:szCs w:val="24"/>
                <w:lang w:val="sr-Cyrl-RS"/>
              </w:rPr>
              <w:t>Истражно бушење, 31.000 m</w:t>
            </w:r>
          </w:p>
          <w:p w14:paraId="5B63D44F" w14:textId="77777777" w:rsidR="00316872" w:rsidRPr="00CF77C1" w:rsidRDefault="00316872" w:rsidP="0080044B">
            <w:pPr>
              <w:framePr w:hSpace="181" w:wrap="notBeside" w:vAnchor="text" w:hAnchor="text" w:x="109" w:y="1"/>
              <w:numPr>
                <w:ilvl w:val="0"/>
                <w:numId w:val="21"/>
              </w:numPr>
              <w:autoSpaceDE w:val="0"/>
              <w:autoSpaceDN w:val="0"/>
              <w:adjustRightInd w:val="0"/>
              <w:jc w:val="left"/>
              <w:rPr>
                <w:bCs/>
                <w:szCs w:val="24"/>
                <w:lang w:val="sr-Cyrl-RS"/>
              </w:rPr>
            </w:pPr>
            <w:r w:rsidRPr="00CF77C1">
              <w:rPr>
                <w:bCs/>
                <w:szCs w:val="24"/>
                <w:lang w:val="sr-Cyrl-RS"/>
              </w:rPr>
              <w:t>Остали радови</w:t>
            </w:r>
          </w:p>
        </w:tc>
        <w:tc>
          <w:tcPr>
            <w:tcW w:w="2404" w:type="dxa"/>
          </w:tcPr>
          <w:p w14:paraId="1FD4B823" w14:textId="77777777" w:rsidR="00316872" w:rsidRPr="00CF77C1" w:rsidRDefault="00316872" w:rsidP="0080044B">
            <w:pPr>
              <w:framePr w:hSpace="181" w:wrap="notBeside" w:vAnchor="text" w:hAnchor="text" w:x="109" w:y="1"/>
              <w:autoSpaceDE w:val="0"/>
              <w:autoSpaceDN w:val="0"/>
              <w:adjustRightInd w:val="0"/>
              <w:ind w:left="-37" w:firstLine="37"/>
              <w:jc w:val="center"/>
              <w:rPr>
                <w:bCs/>
                <w:szCs w:val="24"/>
                <w:lang w:val="sr-Cyrl-RS"/>
              </w:rPr>
            </w:pPr>
          </w:p>
          <w:p w14:paraId="3EA8DD99" w14:textId="6F4431AD" w:rsidR="00316872" w:rsidRPr="00CF77C1" w:rsidRDefault="00316872" w:rsidP="00D20077">
            <w:pPr>
              <w:framePr w:hSpace="181" w:wrap="notBeside" w:vAnchor="text" w:hAnchor="text" w:x="109" w:y="1"/>
              <w:autoSpaceDE w:val="0"/>
              <w:autoSpaceDN w:val="0"/>
              <w:adjustRightInd w:val="0"/>
              <w:ind w:left="-37" w:firstLine="37"/>
              <w:jc w:val="center"/>
              <w:rPr>
                <w:bCs/>
                <w:szCs w:val="24"/>
                <w:lang w:val="sr-Cyrl-RS"/>
              </w:rPr>
            </w:pPr>
            <w:r w:rsidRPr="00CF77C1">
              <w:rPr>
                <w:bCs/>
                <w:szCs w:val="24"/>
                <w:lang w:val="sr-Cyrl-RS"/>
              </w:rPr>
              <w:t xml:space="preserve">2016, 2017. </w:t>
            </w:r>
            <w:r w:rsidR="00D20077">
              <w:rPr>
                <w:bCs/>
                <w:szCs w:val="24"/>
                <w:lang w:val="sr-Cyrl-RS"/>
              </w:rPr>
              <w:t xml:space="preserve">и </w:t>
            </w:r>
            <w:r w:rsidRPr="00CF77C1">
              <w:rPr>
                <w:bCs/>
                <w:szCs w:val="24"/>
                <w:lang w:val="sr-Cyrl-RS"/>
              </w:rPr>
              <w:t>2018.</w:t>
            </w:r>
          </w:p>
        </w:tc>
      </w:tr>
      <w:tr w:rsidR="00316872" w:rsidRPr="00CF77C1" w14:paraId="71DED122" w14:textId="77777777" w:rsidTr="00276B15">
        <w:trPr>
          <w:trHeight w:val="20"/>
        </w:trPr>
        <w:tc>
          <w:tcPr>
            <w:tcW w:w="539" w:type="dxa"/>
          </w:tcPr>
          <w:p w14:paraId="066D9C08" w14:textId="6C94247F"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2</w:t>
            </w:r>
            <w:r w:rsidR="00D20077">
              <w:rPr>
                <w:bCs/>
                <w:szCs w:val="24"/>
                <w:lang w:val="sr-Cyrl-RS"/>
              </w:rPr>
              <w:t>.</w:t>
            </w:r>
          </w:p>
        </w:tc>
        <w:tc>
          <w:tcPr>
            <w:tcW w:w="4570" w:type="dxa"/>
          </w:tcPr>
          <w:p w14:paraId="36079B13"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ИЛМС радови</w:t>
            </w:r>
          </w:p>
        </w:tc>
        <w:tc>
          <w:tcPr>
            <w:tcW w:w="2404" w:type="dxa"/>
          </w:tcPr>
          <w:p w14:paraId="5CD4FC45" w14:textId="718AB576" w:rsidR="00316872" w:rsidRPr="00CF77C1" w:rsidRDefault="00316872" w:rsidP="00D20077">
            <w:pPr>
              <w:framePr w:hSpace="181" w:wrap="notBeside" w:vAnchor="text" w:hAnchor="text" w:x="109" w:y="1"/>
              <w:autoSpaceDE w:val="0"/>
              <w:autoSpaceDN w:val="0"/>
              <w:adjustRightInd w:val="0"/>
              <w:ind w:left="-37" w:firstLine="37"/>
              <w:jc w:val="center"/>
              <w:rPr>
                <w:rFonts w:eastAsia="TimesNewRomanPSMT"/>
                <w:szCs w:val="24"/>
                <w:lang w:val="sr-Cyrl-RS"/>
              </w:rPr>
            </w:pPr>
            <w:r w:rsidRPr="00CF77C1">
              <w:rPr>
                <w:rFonts w:eastAsia="TimesNewRomanPSMT"/>
                <w:szCs w:val="24"/>
                <w:lang w:val="sr-Cyrl-RS"/>
              </w:rPr>
              <w:t xml:space="preserve">2016, 2017. </w:t>
            </w:r>
            <w:r w:rsidR="00D20077">
              <w:rPr>
                <w:bCs/>
                <w:szCs w:val="24"/>
                <w:lang w:val="sr-Cyrl-RS"/>
              </w:rPr>
              <w:t xml:space="preserve"> и</w:t>
            </w:r>
            <w:r w:rsidR="00D20077" w:rsidRPr="00CF77C1">
              <w:rPr>
                <w:rFonts w:eastAsia="TimesNewRomanPSMT"/>
                <w:szCs w:val="24"/>
                <w:lang w:val="sr-Cyrl-RS"/>
              </w:rPr>
              <w:t xml:space="preserve"> </w:t>
            </w:r>
            <w:r w:rsidRPr="00CF77C1">
              <w:rPr>
                <w:rFonts w:eastAsia="TimesNewRomanPSMT"/>
                <w:szCs w:val="24"/>
                <w:lang w:val="sr-Cyrl-RS"/>
              </w:rPr>
              <w:t>2018.</w:t>
            </w:r>
          </w:p>
        </w:tc>
      </w:tr>
      <w:tr w:rsidR="00316872" w:rsidRPr="00CF77C1" w14:paraId="03D105E3" w14:textId="77777777" w:rsidTr="00276B15">
        <w:trPr>
          <w:trHeight w:val="20"/>
        </w:trPr>
        <w:tc>
          <w:tcPr>
            <w:tcW w:w="539" w:type="dxa"/>
          </w:tcPr>
          <w:p w14:paraId="0C09FF0A" w14:textId="0A491EBE"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3</w:t>
            </w:r>
            <w:r w:rsidR="00D20077">
              <w:rPr>
                <w:bCs/>
                <w:szCs w:val="24"/>
                <w:lang w:val="sr-Cyrl-RS"/>
              </w:rPr>
              <w:t>.</w:t>
            </w:r>
          </w:p>
        </w:tc>
        <w:tc>
          <w:tcPr>
            <w:tcW w:w="4570" w:type="dxa"/>
          </w:tcPr>
          <w:p w14:paraId="7689D582"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Геотехнички истражни радови</w:t>
            </w:r>
          </w:p>
        </w:tc>
        <w:tc>
          <w:tcPr>
            <w:tcW w:w="2404" w:type="dxa"/>
          </w:tcPr>
          <w:p w14:paraId="20D0C2E1" w14:textId="07A5758A" w:rsidR="00316872" w:rsidRPr="00CF77C1" w:rsidRDefault="00D20077" w:rsidP="0080044B">
            <w:pPr>
              <w:framePr w:hSpace="181" w:wrap="notBeside" w:vAnchor="text" w:hAnchor="text" w:x="109" w:y="1"/>
              <w:autoSpaceDE w:val="0"/>
              <w:autoSpaceDN w:val="0"/>
              <w:adjustRightInd w:val="0"/>
              <w:ind w:left="-37" w:firstLine="37"/>
              <w:jc w:val="center"/>
              <w:rPr>
                <w:rFonts w:eastAsia="TimesNewRomanPSMT"/>
                <w:szCs w:val="24"/>
                <w:lang w:val="sr-Cyrl-RS"/>
              </w:rPr>
            </w:pPr>
            <w:r>
              <w:rPr>
                <w:rFonts w:eastAsia="TimesNewRomanPSMT"/>
                <w:szCs w:val="24"/>
                <w:lang w:val="sr-Cyrl-RS"/>
              </w:rPr>
              <w:t>2016, 2017.</w:t>
            </w:r>
            <w:r>
              <w:rPr>
                <w:bCs/>
                <w:szCs w:val="24"/>
                <w:lang w:val="sr-Cyrl-RS"/>
              </w:rPr>
              <w:t xml:space="preserve"> и</w:t>
            </w:r>
            <w:r w:rsidRPr="00CF77C1">
              <w:rPr>
                <w:rFonts w:eastAsia="TimesNewRomanPSMT"/>
                <w:szCs w:val="24"/>
                <w:lang w:val="sr-Cyrl-RS"/>
              </w:rPr>
              <w:t xml:space="preserve"> </w:t>
            </w:r>
            <w:r w:rsidR="00316872" w:rsidRPr="00CF77C1">
              <w:rPr>
                <w:rFonts w:eastAsia="TimesNewRomanPSMT"/>
                <w:szCs w:val="24"/>
                <w:lang w:val="sr-Cyrl-RS"/>
              </w:rPr>
              <w:t>2018.</w:t>
            </w:r>
          </w:p>
        </w:tc>
      </w:tr>
      <w:tr w:rsidR="00316872" w:rsidRPr="00CF77C1" w14:paraId="7E675E7B" w14:textId="77777777" w:rsidTr="00276B15">
        <w:trPr>
          <w:trHeight w:val="20"/>
        </w:trPr>
        <w:tc>
          <w:tcPr>
            <w:tcW w:w="539" w:type="dxa"/>
          </w:tcPr>
          <w:p w14:paraId="04DB8845" w14:textId="322D0337" w:rsidR="00316872" w:rsidRPr="00CF77C1" w:rsidRDefault="00316872" w:rsidP="0080044B">
            <w:pPr>
              <w:framePr w:hSpace="181" w:wrap="notBeside" w:vAnchor="text" w:hAnchor="text" w:x="109" w:y="1"/>
              <w:autoSpaceDE w:val="0"/>
              <w:autoSpaceDN w:val="0"/>
              <w:adjustRightInd w:val="0"/>
              <w:jc w:val="center"/>
              <w:rPr>
                <w:bCs/>
                <w:szCs w:val="24"/>
                <w:lang w:val="sr-Cyrl-RS"/>
              </w:rPr>
            </w:pPr>
            <w:r w:rsidRPr="00CF77C1">
              <w:rPr>
                <w:bCs/>
                <w:szCs w:val="24"/>
                <w:lang w:val="sr-Cyrl-RS"/>
              </w:rPr>
              <w:t>4</w:t>
            </w:r>
            <w:r w:rsidR="00D20077">
              <w:rPr>
                <w:bCs/>
                <w:szCs w:val="24"/>
                <w:lang w:val="sr-Cyrl-RS"/>
              </w:rPr>
              <w:t>.</w:t>
            </w:r>
          </w:p>
        </w:tc>
        <w:tc>
          <w:tcPr>
            <w:tcW w:w="4570" w:type="dxa"/>
          </w:tcPr>
          <w:p w14:paraId="75077862" w14:textId="77777777" w:rsidR="00316872" w:rsidRPr="00CF77C1" w:rsidRDefault="00316872" w:rsidP="0080044B">
            <w:pPr>
              <w:framePr w:hSpace="181" w:wrap="notBeside" w:vAnchor="text" w:hAnchor="text" w:x="109" w:y="1"/>
              <w:autoSpaceDE w:val="0"/>
              <w:autoSpaceDN w:val="0"/>
              <w:adjustRightInd w:val="0"/>
              <w:rPr>
                <w:bCs/>
                <w:szCs w:val="24"/>
                <w:lang w:val="sr-Cyrl-RS"/>
              </w:rPr>
            </w:pPr>
            <w:r w:rsidRPr="00CF77C1">
              <w:rPr>
                <w:bCs/>
                <w:szCs w:val="24"/>
                <w:lang w:val="sr-Cyrl-RS"/>
              </w:rPr>
              <w:t>Хидрогеолошки истражни радови</w:t>
            </w:r>
          </w:p>
        </w:tc>
        <w:tc>
          <w:tcPr>
            <w:tcW w:w="2404" w:type="dxa"/>
          </w:tcPr>
          <w:p w14:paraId="3AA24615" w14:textId="5FFF74CE" w:rsidR="00316872" w:rsidRPr="00CF77C1" w:rsidRDefault="00316872" w:rsidP="00D20077">
            <w:pPr>
              <w:framePr w:hSpace="181" w:wrap="notBeside" w:vAnchor="text" w:hAnchor="text" w:x="109" w:y="1"/>
              <w:autoSpaceDE w:val="0"/>
              <w:autoSpaceDN w:val="0"/>
              <w:adjustRightInd w:val="0"/>
              <w:ind w:left="-37" w:firstLine="37"/>
              <w:jc w:val="center"/>
              <w:rPr>
                <w:rFonts w:eastAsia="TimesNewRomanPSMT"/>
                <w:szCs w:val="24"/>
                <w:lang w:val="sr-Cyrl-RS"/>
              </w:rPr>
            </w:pPr>
            <w:r w:rsidRPr="00CF77C1">
              <w:rPr>
                <w:rFonts w:eastAsia="TimesNewRomanPSMT"/>
                <w:szCs w:val="24"/>
                <w:lang w:val="sr-Cyrl-RS"/>
              </w:rPr>
              <w:t xml:space="preserve">2016, 2017. </w:t>
            </w:r>
            <w:r w:rsidR="00D20077">
              <w:rPr>
                <w:rFonts w:eastAsia="TimesNewRomanPSMT"/>
                <w:szCs w:val="24"/>
                <w:lang w:val="sr-Cyrl-RS"/>
              </w:rPr>
              <w:t xml:space="preserve">и </w:t>
            </w:r>
            <w:r w:rsidRPr="00CF77C1">
              <w:rPr>
                <w:rFonts w:eastAsia="TimesNewRomanPSMT"/>
                <w:szCs w:val="24"/>
                <w:lang w:val="sr-Cyrl-RS"/>
              </w:rPr>
              <w:t>2018.</w:t>
            </w:r>
          </w:p>
        </w:tc>
      </w:tr>
    </w:tbl>
    <w:p w14:paraId="5EA08021" w14:textId="77777777" w:rsidR="00316872" w:rsidRPr="00CF77C1" w:rsidRDefault="00316872" w:rsidP="00A968A2">
      <w:pPr>
        <w:ind w:firstLine="720"/>
        <w:rPr>
          <w:lang w:val="sr-Cyrl-RS"/>
        </w:rPr>
      </w:pPr>
      <w:r w:rsidRPr="00CF77C1">
        <w:rPr>
          <w:lang w:val="sr-Cyrl-RS"/>
        </w:rPr>
        <w:t xml:space="preserve">До краја експлоатације на површинском копу Поље Е планирана су вишенаменска геолошка истраживања мањег обима, у износу 200.000 до 250.000 </w:t>
      </w:r>
      <w:r w:rsidR="00537E82" w:rsidRPr="00CF77C1">
        <w:rPr>
          <w:lang w:val="sr-Cyrl-RS"/>
        </w:rPr>
        <w:t>€</w:t>
      </w:r>
      <w:r w:rsidRPr="00CF77C1">
        <w:rPr>
          <w:lang w:val="sr-Cyrl-RS"/>
        </w:rPr>
        <w:t xml:space="preserve"> годишње, на бази којих се могу елаборирати петогодишњи извештаји.</w:t>
      </w:r>
    </w:p>
    <w:p w14:paraId="4E605E1C" w14:textId="77777777" w:rsidR="00316872" w:rsidRPr="00CF77C1" w:rsidRDefault="00316872" w:rsidP="00A968A2">
      <w:pPr>
        <w:ind w:firstLine="720"/>
        <w:rPr>
          <w:u w:val="single"/>
          <w:lang w:val="sr-Cyrl-RS"/>
        </w:rPr>
      </w:pPr>
      <w:r w:rsidRPr="00CF77C1">
        <w:rPr>
          <w:u w:val="single"/>
          <w:lang w:val="sr-Cyrl-RS"/>
        </w:rPr>
        <w:t>Поље Г</w:t>
      </w:r>
    </w:p>
    <w:p w14:paraId="62073621" w14:textId="7D52E2BF" w:rsidR="00316872" w:rsidRPr="00CF77C1" w:rsidRDefault="00316872" w:rsidP="00A968A2">
      <w:pPr>
        <w:ind w:firstLine="720"/>
        <w:rPr>
          <w:lang w:val="sr-Cyrl-RS"/>
        </w:rPr>
      </w:pPr>
      <w:r w:rsidRPr="00CF77C1">
        <w:rPr>
          <w:lang w:val="sr-Cyrl-RS"/>
        </w:rPr>
        <w:t>Са аспекта високе заступљености рудних резерви угља А и Б категорије од 100%, степен истражености угља на лежишту Поље Г је на високом нивоу. За разлику од угља, на лежишту практично нису вршена детаљна геолошка истраживања и испитивања пратећих корисних неметаличних минералних сировина којих евидентно има на лежишту. Планирано је да се пројектована геолошка истраживања изврше најкасније у периоду од 2018. до 2022. године.</w:t>
      </w:r>
      <w:r w:rsidR="00EA6189" w:rsidRPr="00CF77C1">
        <w:rPr>
          <w:lang w:val="sr-Cyrl-RS"/>
        </w:rPr>
        <w:t xml:space="preserve"> </w:t>
      </w:r>
      <w:r w:rsidRPr="00CF77C1">
        <w:rPr>
          <w:lang w:val="sr-Cyrl-RS"/>
        </w:rPr>
        <w:t>Динамика геолошких и</w:t>
      </w:r>
      <w:r w:rsidR="005E0737" w:rsidRPr="00CF77C1">
        <w:rPr>
          <w:lang w:val="sr-Cyrl-RS"/>
        </w:rPr>
        <w:t>стражних радова, у периоду 2018</w:t>
      </w:r>
      <w:r w:rsidRPr="00CF77C1">
        <w:rPr>
          <w:lang w:val="sr-Cyrl-RS"/>
        </w:rPr>
        <w:t xml:space="preserve">-2022. година, приказана је у </w:t>
      </w:r>
      <w:r w:rsidR="000642D2" w:rsidRPr="00CF77C1">
        <w:rPr>
          <w:lang w:val="sr-Cyrl-RS"/>
        </w:rPr>
        <w:fldChar w:fldCharType="begin"/>
      </w:r>
      <w:r w:rsidR="000642D2" w:rsidRPr="00CF77C1">
        <w:rPr>
          <w:lang w:val="sr-Cyrl-RS"/>
        </w:rPr>
        <w:instrText xml:space="preserve"> REF _Ref465410843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95</w:t>
      </w:r>
      <w:r w:rsidR="000642D2" w:rsidRPr="00CF77C1">
        <w:rPr>
          <w:lang w:val="sr-Cyrl-RS"/>
        </w:rPr>
        <w:fldChar w:fldCharType="end"/>
      </w:r>
      <w:r w:rsidRPr="00CF77C1">
        <w:rPr>
          <w:lang w:val="sr-Cyrl-RS"/>
        </w:rPr>
        <w:t>.</w:t>
      </w:r>
    </w:p>
    <w:p w14:paraId="49B487A6" w14:textId="0F4DA2D3" w:rsidR="00316872" w:rsidRPr="00CF77C1" w:rsidRDefault="00D61BC9" w:rsidP="00A968A2">
      <w:pPr>
        <w:pStyle w:val="Caption"/>
        <w:ind w:firstLine="720"/>
        <w:rPr>
          <w:b w:val="0"/>
          <w:lang w:val="sr-Cyrl-RS"/>
        </w:rPr>
      </w:pPr>
      <w:bookmarkStart w:id="167" w:name="_Ref465410843"/>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95</w:t>
      </w:r>
      <w:r w:rsidR="0092145E" w:rsidRPr="00CF77C1">
        <w:rPr>
          <w:b w:val="0"/>
          <w:lang w:val="sr-Cyrl-RS"/>
        </w:rPr>
        <w:fldChar w:fldCharType="end"/>
      </w:r>
      <w:bookmarkEnd w:id="167"/>
      <w:r w:rsidR="00316872" w:rsidRPr="00CF77C1">
        <w:rPr>
          <w:b w:val="0"/>
          <w:lang w:val="sr-Cyrl-RS"/>
        </w:rPr>
        <w:t>: Динамика геолошких истражних радова на Пољу Г у периоду 2018-2022. година</w:t>
      </w:r>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062"/>
        <w:gridCol w:w="1062"/>
        <w:gridCol w:w="1062"/>
        <w:gridCol w:w="1062"/>
        <w:gridCol w:w="1062"/>
      </w:tblGrid>
      <w:tr w:rsidR="00316872" w:rsidRPr="00CF77C1" w14:paraId="295CBF99" w14:textId="77777777" w:rsidTr="00915572">
        <w:trPr>
          <w:trHeight w:val="20"/>
        </w:trPr>
        <w:tc>
          <w:tcPr>
            <w:tcW w:w="3794" w:type="dxa"/>
            <w:vAlign w:val="center"/>
          </w:tcPr>
          <w:p w14:paraId="2DC4C838"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Радови</w:t>
            </w:r>
          </w:p>
        </w:tc>
        <w:tc>
          <w:tcPr>
            <w:tcW w:w="1062" w:type="dxa"/>
            <w:vAlign w:val="center"/>
          </w:tcPr>
          <w:p w14:paraId="7141C8CF"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2018.</w:t>
            </w:r>
          </w:p>
        </w:tc>
        <w:tc>
          <w:tcPr>
            <w:tcW w:w="1062" w:type="dxa"/>
            <w:vAlign w:val="center"/>
          </w:tcPr>
          <w:p w14:paraId="03C19D72"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2019.</w:t>
            </w:r>
          </w:p>
        </w:tc>
        <w:tc>
          <w:tcPr>
            <w:tcW w:w="1062" w:type="dxa"/>
            <w:vAlign w:val="center"/>
          </w:tcPr>
          <w:p w14:paraId="35C1D5C9"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2020.</w:t>
            </w:r>
          </w:p>
        </w:tc>
        <w:tc>
          <w:tcPr>
            <w:tcW w:w="1062" w:type="dxa"/>
            <w:vAlign w:val="center"/>
          </w:tcPr>
          <w:p w14:paraId="683362C6"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2021.</w:t>
            </w:r>
          </w:p>
        </w:tc>
        <w:tc>
          <w:tcPr>
            <w:tcW w:w="1062" w:type="dxa"/>
            <w:vAlign w:val="center"/>
          </w:tcPr>
          <w:p w14:paraId="16612F35"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2022.</w:t>
            </w:r>
          </w:p>
        </w:tc>
      </w:tr>
      <w:tr w:rsidR="00316872" w:rsidRPr="00CF77C1" w14:paraId="752BE1AB" w14:textId="77777777" w:rsidTr="00915572">
        <w:trPr>
          <w:trHeight w:val="20"/>
        </w:trPr>
        <w:tc>
          <w:tcPr>
            <w:tcW w:w="3794" w:type="dxa"/>
            <w:vAlign w:val="center"/>
          </w:tcPr>
          <w:p w14:paraId="662F2506" w14:textId="77777777" w:rsidR="00316872" w:rsidRPr="00CF77C1" w:rsidRDefault="00316872" w:rsidP="0080044B">
            <w:pPr>
              <w:framePr w:hSpace="181" w:wrap="notBeside" w:vAnchor="text" w:hAnchor="text" w:x="109" w:y="1"/>
              <w:autoSpaceDE w:val="0"/>
              <w:autoSpaceDN w:val="0"/>
              <w:adjustRightInd w:val="0"/>
              <w:jc w:val="left"/>
              <w:rPr>
                <w:szCs w:val="24"/>
                <w:lang w:val="sr-Cyrl-RS"/>
              </w:rPr>
            </w:pPr>
            <w:r w:rsidRPr="00CF77C1">
              <w:rPr>
                <w:szCs w:val="24"/>
                <w:lang w:val="sr-Cyrl-RS"/>
              </w:rPr>
              <w:t>Вишенаменски истражни радови</w:t>
            </w:r>
          </w:p>
        </w:tc>
        <w:tc>
          <w:tcPr>
            <w:tcW w:w="1062" w:type="dxa"/>
            <w:vAlign w:val="center"/>
          </w:tcPr>
          <w:p w14:paraId="39AC4C38"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21F4CF8C"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47CAE11C"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4D2AD24D"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7ED2B9B9"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r>
      <w:tr w:rsidR="00316872" w:rsidRPr="00CF77C1" w14:paraId="75AF5126" w14:textId="77777777" w:rsidTr="00915572">
        <w:trPr>
          <w:trHeight w:val="20"/>
        </w:trPr>
        <w:tc>
          <w:tcPr>
            <w:tcW w:w="3794" w:type="dxa"/>
            <w:vAlign w:val="center"/>
          </w:tcPr>
          <w:p w14:paraId="2F7D59E1" w14:textId="77777777" w:rsidR="00316872" w:rsidRPr="00CF77C1" w:rsidRDefault="00316872" w:rsidP="0080044B">
            <w:pPr>
              <w:framePr w:hSpace="181" w:wrap="notBeside" w:vAnchor="text" w:hAnchor="text" w:x="109" w:y="1"/>
              <w:autoSpaceDE w:val="0"/>
              <w:autoSpaceDN w:val="0"/>
              <w:adjustRightInd w:val="0"/>
              <w:jc w:val="left"/>
              <w:rPr>
                <w:szCs w:val="24"/>
                <w:lang w:val="sr-Cyrl-RS"/>
              </w:rPr>
            </w:pPr>
            <w:r w:rsidRPr="00CF77C1">
              <w:rPr>
                <w:szCs w:val="24"/>
                <w:lang w:val="sr-Cyrl-RS"/>
              </w:rPr>
              <w:t>Геолошки истражни радови</w:t>
            </w:r>
          </w:p>
        </w:tc>
        <w:tc>
          <w:tcPr>
            <w:tcW w:w="1062" w:type="dxa"/>
            <w:vAlign w:val="center"/>
          </w:tcPr>
          <w:p w14:paraId="76EDD0D8"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1C71F2F2"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5A81E6C9"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447F81B0"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6A9F2084"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r>
      <w:tr w:rsidR="00316872" w:rsidRPr="00CF77C1" w14:paraId="57F0FE7F" w14:textId="77777777" w:rsidTr="00915572">
        <w:trPr>
          <w:trHeight w:val="20"/>
        </w:trPr>
        <w:tc>
          <w:tcPr>
            <w:tcW w:w="3794" w:type="dxa"/>
            <w:vAlign w:val="center"/>
          </w:tcPr>
          <w:p w14:paraId="61C91FE8" w14:textId="77777777" w:rsidR="00316872" w:rsidRPr="00CF77C1" w:rsidRDefault="00316872" w:rsidP="0080044B">
            <w:pPr>
              <w:framePr w:hSpace="181" w:wrap="notBeside" w:vAnchor="text" w:hAnchor="text" w:x="109" w:y="1"/>
              <w:autoSpaceDE w:val="0"/>
              <w:autoSpaceDN w:val="0"/>
              <w:adjustRightInd w:val="0"/>
              <w:jc w:val="left"/>
              <w:rPr>
                <w:szCs w:val="24"/>
                <w:lang w:val="sr-Cyrl-RS"/>
              </w:rPr>
            </w:pPr>
            <w:r w:rsidRPr="00CF77C1">
              <w:rPr>
                <w:szCs w:val="24"/>
                <w:lang w:val="sr-Cyrl-RS"/>
              </w:rPr>
              <w:t>Геотехнички радови</w:t>
            </w:r>
          </w:p>
        </w:tc>
        <w:tc>
          <w:tcPr>
            <w:tcW w:w="1062" w:type="dxa"/>
            <w:vAlign w:val="center"/>
          </w:tcPr>
          <w:p w14:paraId="7BD9DFEB"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70703600"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1BD4931E"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451C95C7"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74AACFC0"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r>
      <w:tr w:rsidR="00316872" w:rsidRPr="00CF77C1" w14:paraId="2924A1E3" w14:textId="77777777" w:rsidTr="00915572">
        <w:trPr>
          <w:trHeight w:val="20"/>
        </w:trPr>
        <w:tc>
          <w:tcPr>
            <w:tcW w:w="3794" w:type="dxa"/>
            <w:vAlign w:val="center"/>
          </w:tcPr>
          <w:p w14:paraId="536030D1" w14:textId="77777777" w:rsidR="00316872" w:rsidRPr="00CF77C1" w:rsidRDefault="00316872" w:rsidP="0080044B">
            <w:pPr>
              <w:framePr w:hSpace="181" w:wrap="notBeside" w:vAnchor="text" w:hAnchor="text" w:x="109" w:y="1"/>
              <w:autoSpaceDE w:val="0"/>
              <w:autoSpaceDN w:val="0"/>
              <w:adjustRightInd w:val="0"/>
              <w:jc w:val="left"/>
              <w:rPr>
                <w:szCs w:val="24"/>
                <w:lang w:val="sr-Cyrl-RS"/>
              </w:rPr>
            </w:pPr>
            <w:r w:rsidRPr="00CF77C1">
              <w:rPr>
                <w:szCs w:val="24"/>
                <w:lang w:val="sr-Cyrl-RS"/>
              </w:rPr>
              <w:t>Хидрогеолошки радови</w:t>
            </w:r>
          </w:p>
        </w:tc>
        <w:tc>
          <w:tcPr>
            <w:tcW w:w="1062" w:type="dxa"/>
            <w:vAlign w:val="center"/>
          </w:tcPr>
          <w:p w14:paraId="2C3DA43C"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c>
          <w:tcPr>
            <w:tcW w:w="1062" w:type="dxa"/>
            <w:vAlign w:val="center"/>
          </w:tcPr>
          <w:p w14:paraId="53D25143"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p>
        </w:tc>
        <w:tc>
          <w:tcPr>
            <w:tcW w:w="1062" w:type="dxa"/>
            <w:vAlign w:val="center"/>
          </w:tcPr>
          <w:p w14:paraId="46844B69"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p>
        </w:tc>
        <w:tc>
          <w:tcPr>
            <w:tcW w:w="1062" w:type="dxa"/>
            <w:vAlign w:val="center"/>
          </w:tcPr>
          <w:p w14:paraId="5C4DCD57"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p>
        </w:tc>
        <w:tc>
          <w:tcPr>
            <w:tcW w:w="1062" w:type="dxa"/>
            <w:vAlign w:val="center"/>
          </w:tcPr>
          <w:p w14:paraId="2FCB6669" w14:textId="77777777" w:rsidR="00316872" w:rsidRPr="00CF77C1" w:rsidRDefault="00316872" w:rsidP="0080044B">
            <w:pPr>
              <w:framePr w:hSpace="181" w:wrap="notBeside" w:vAnchor="text" w:hAnchor="text" w:x="109" w:y="1"/>
              <w:autoSpaceDE w:val="0"/>
              <w:autoSpaceDN w:val="0"/>
              <w:adjustRightInd w:val="0"/>
              <w:jc w:val="center"/>
              <w:rPr>
                <w:szCs w:val="24"/>
                <w:lang w:val="sr-Cyrl-RS"/>
              </w:rPr>
            </w:pPr>
            <w:r w:rsidRPr="00CF77C1">
              <w:rPr>
                <w:szCs w:val="24"/>
                <w:lang w:val="sr-Cyrl-RS"/>
              </w:rPr>
              <w:t>x</w:t>
            </w:r>
          </w:p>
        </w:tc>
      </w:tr>
    </w:tbl>
    <w:p w14:paraId="7D634FD6" w14:textId="77777777" w:rsidR="00316872" w:rsidRPr="00CF77C1" w:rsidRDefault="00316872" w:rsidP="00A968A2">
      <w:pPr>
        <w:ind w:firstLine="720"/>
        <w:rPr>
          <w:lang w:val="sr-Cyrl-RS"/>
        </w:rPr>
      </w:pPr>
      <w:r w:rsidRPr="00CF77C1">
        <w:rPr>
          <w:lang w:val="sr-Cyrl-RS"/>
        </w:rPr>
        <w:t>До краја експлоатације, на површинском копу Поље Г, неће се вршити детаљна геолошка истраживања.</w:t>
      </w:r>
    </w:p>
    <w:p w14:paraId="65FAC4CB" w14:textId="77777777" w:rsidR="00316872" w:rsidRPr="00CF77C1" w:rsidRDefault="00316872" w:rsidP="00A968A2">
      <w:pPr>
        <w:ind w:firstLine="720"/>
        <w:rPr>
          <w:u w:val="single"/>
          <w:lang w:val="sr-Cyrl-RS"/>
        </w:rPr>
      </w:pPr>
      <w:r w:rsidRPr="00CF77C1">
        <w:rPr>
          <w:u w:val="single"/>
          <w:lang w:val="sr-Cyrl-RS"/>
        </w:rPr>
        <w:t xml:space="preserve">Тамнава </w:t>
      </w:r>
      <w:r w:rsidR="00176354" w:rsidRPr="00CF77C1">
        <w:rPr>
          <w:u w:val="single"/>
          <w:lang w:val="sr-Cyrl-RS"/>
        </w:rPr>
        <w:t xml:space="preserve">западно </w:t>
      </w:r>
      <w:r w:rsidRPr="00CF77C1">
        <w:rPr>
          <w:u w:val="single"/>
          <w:lang w:val="sr-Cyrl-RS"/>
        </w:rPr>
        <w:t>поље</w:t>
      </w:r>
    </w:p>
    <w:p w14:paraId="605C89EB" w14:textId="44557F8E" w:rsidR="00316872" w:rsidRPr="00CF77C1" w:rsidRDefault="0028406A" w:rsidP="00A968A2">
      <w:pPr>
        <w:ind w:firstLine="720"/>
        <w:rPr>
          <w:lang w:val="sr-Cyrl-RS"/>
        </w:rPr>
      </w:pPr>
      <w:r w:rsidRPr="00CF77C1">
        <w:rPr>
          <w:lang w:val="sr-Cyrl-RS"/>
        </w:rPr>
        <w:t xml:space="preserve">Геолошка истраживања планирана су тако да се временски изводе испред фронта радова на површинском копу најмање толико да се обезбеде сви параметри на којима се заснива благовремена и поуздана геолошка интерпретација лежишта неопходна за несметано планирање и извођење радова на откривци и експлоатацији угља. </w:t>
      </w:r>
      <w:r w:rsidR="00316872" w:rsidRPr="00CF77C1">
        <w:rPr>
          <w:lang w:val="sr-Cyrl-RS"/>
        </w:rPr>
        <w:t xml:space="preserve">Динамика геолошких истражних радова на лежишту Тамнава </w:t>
      </w:r>
      <w:r w:rsidR="00176354" w:rsidRPr="00CF77C1">
        <w:rPr>
          <w:lang w:val="sr-Cyrl-RS"/>
        </w:rPr>
        <w:t xml:space="preserve">западно </w:t>
      </w:r>
      <w:r w:rsidR="00316872" w:rsidRPr="00CF77C1">
        <w:rPr>
          <w:lang w:val="sr-Cyrl-RS"/>
        </w:rPr>
        <w:t xml:space="preserve">поље, приказана је у </w:t>
      </w:r>
      <w:r w:rsidR="000642D2" w:rsidRPr="00CF77C1">
        <w:rPr>
          <w:lang w:val="sr-Cyrl-RS"/>
        </w:rPr>
        <w:fldChar w:fldCharType="begin"/>
      </w:r>
      <w:r w:rsidR="000642D2" w:rsidRPr="00CF77C1">
        <w:rPr>
          <w:lang w:val="sr-Cyrl-RS"/>
        </w:rPr>
        <w:instrText xml:space="preserve"> REF _Ref465410898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96</w:t>
      </w:r>
      <w:r w:rsidR="000642D2" w:rsidRPr="00CF77C1">
        <w:rPr>
          <w:lang w:val="sr-Cyrl-RS"/>
        </w:rPr>
        <w:fldChar w:fldCharType="end"/>
      </w:r>
      <w:r w:rsidR="00316872" w:rsidRPr="00CF77C1">
        <w:rPr>
          <w:lang w:val="sr-Cyrl-RS"/>
        </w:rPr>
        <w:t>.</w:t>
      </w:r>
    </w:p>
    <w:p w14:paraId="5923E4F8" w14:textId="0659B8D1" w:rsidR="00316872" w:rsidRPr="00CF77C1" w:rsidRDefault="00D61BC9" w:rsidP="00A968A2">
      <w:pPr>
        <w:pStyle w:val="Caption"/>
        <w:ind w:firstLine="720"/>
        <w:rPr>
          <w:b w:val="0"/>
          <w:lang w:val="sr-Cyrl-RS"/>
        </w:rPr>
      </w:pPr>
      <w:bookmarkStart w:id="168" w:name="_Ref465410898"/>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96</w:t>
      </w:r>
      <w:r w:rsidR="0092145E" w:rsidRPr="00CF77C1">
        <w:rPr>
          <w:b w:val="0"/>
          <w:lang w:val="sr-Cyrl-RS"/>
        </w:rPr>
        <w:fldChar w:fldCharType="end"/>
      </w:r>
      <w:bookmarkEnd w:id="168"/>
      <w:r w:rsidR="00316872" w:rsidRPr="00CF77C1">
        <w:rPr>
          <w:b w:val="0"/>
          <w:lang w:val="sr-Cyrl-RS"/>
        </w:rPr>
        <w:t xml:space="preserve">: Динамика геолошких истражних радова на лежишту Тамнава </w:t>
      </w:r>
      <w:r w:rsidR="00176354" w:rsidRPr="00CF77C1">
        <w:rPr>
          <w:b w:val="0"/>
          <w:lang w:val="sr-Cyrl-RS"/>
        </w:rPr>
        <w:t xml:space="preserve">западно </w:t>
      </w:r>
      <w:r w:rsidR="00316872" w:rsidRPr="00CF77C1">
        <w:rPr>
          <w:b w:val="0"/>
          <w:lang w:val="sr-Cyrl-RS"/>
        </w:rPr>
        <w:t>поље</w:t>
      </w:r>
    </w:p>
    <w:tbl>
      <w:tblPr>
        <w:tblW w:w="8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1564"/>
        <w:gridCol w:w="1550"/>
        <w:gridCol w:w="1405"/>
      </w:tblGrid>
      <w:tr w:rsidR="00316872" w:rsidRPr="00CF77C1" w14:paraId="3A3E6991" w14:textId="77777777" w:rsidTr="00276B15">
        <w:trPr>
          <w:trHeight w:val="20"/>
        </w:trPr>
        <w:tc>
          <w:tcPr>
            <w:tcW w:w="3828" w:type="dxa"/>
            <w:vAlign w:val="center"/>
          </w:tcPr>
          <w:p w14:paraId="5113EDD0"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Радови</w:t>
            </w:r>
          </w:p>
        </w:tc>
        <w:tc>
          <w:tcPr>
            <w:tcW w:w="1564" w:type="dxa"/>
            <w:vAlign w:val="center"/>
          </w:tcPr>
          <w:p w14:paraId="049717BD"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2018.</w:t>
            </w:r>
          </w:p>
        </w:tc>
        <w:tc>
          <w:tcPr>
            <w:tcW w:w="1550" w:type="dxa"/>
            <w:vAlign w:val="center"/>
          </w:tcPr>
          <w:p w14:paraId="3376529A"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2019.</w:t>
            </w:r>
          </w:p>
        </w:tc>
        <w:tc>
          <w:tcPr>
            <w:tcW w:w="1405" w:type="dxa"/>
            <w:vAlign w:val="center"/>
          </w:tcPr>
          <w:p w14:paraId="5D4BA679"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2020.</w:t>
            </w:r>
          </w:p>
        </w:tc>
      </w:tr>
      <w:tr w:rsidR="00316872" w:rsidRPr="00CF77C1" w14:paraId="653EE745" w14:textId="77777777" w:rsidTr="00276B15">
        <w:trPr>
          <w:trHeight w:val="20"/>
        </w:trPr>
        <w:tc>
          <w:tcPr>
            <w:tcW w:w="3828" w:type="dxa"/>
            <w:vAlign w:val="center"/>
          </w:tcPr>
          <w:p w14:paraId="0764B1F3"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Вишенаменски истражни радови</w:t>
            </w:r>
          </w:p>
        </w:tc>
        <w:tc>
          <w:tcPr>
            <w:tcW w:w="1564" w:type="dxa"/>
            <w:vAlign w:val="center"/>
          </w:tcPr>
          <w:p w14:paraId="3D0B7BB0"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550" w:type="dxa"/>
            <w:vAlign w:val="center"/>
          </w:tcPr>
          <w:p w14:paraId="7C94E28E"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405" w:type="dxa"/>
            <w:vAlign w:val="center"/>
          </w:tcPr>
          <w:p w14:paraId="76C456B2"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r w:rsidR="00316872" w:rsidRPr="00CF77C1" w14:paraId="416EB863" w14:textId="77777777" w:rsidTr="00276B15">
        <w:trPr>
          <w:trHeight w:val="20"/>
        </w:trPr>
        <w:tc>
          <w:tcPr>
            <w:tcW w:w="3828" w:type="dxa"/>
            <w:vAlign w:val="center"/>
          </w:tcPr>
          <w:p w14:paraId="393B1E9B"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Геолошки истражни радови</w:t>
            </w:r>
          </w:p>
        </w:tc>
        <w:tc>
          <w:tcPr>
            <w:tcW w:w="1564" w:type="dxa"/>
            <w:vAlign w:val="center"/>
          </w:tcPr>
          <w:p w14:paraId="2C11E04D"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550" w:type="dxa"/>
            <w:vAlign w:val="center"/>
          </w:tcPr>
          <w:p w14:paraId="44D6A218"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405" w:type="dxa"/>
            <w:vAlign w:val="center"/>
          </w:tcPr>
          <w:p w14:paraId="79154E6E"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r w:rsidR="00316872" w:rsidRPr="00CF77C1" w14:paraId="13112D51" w14:textId="77777777" w:rsidTr="00276B15">
        <w:trPr>
          <w:trHeight w:val="20"/>
        </w:trPr>
        <w:tc>
          <w:tcPr>
            <w:tcW w:w="3828" w:type="dxa"/>
            <w:vAlign w:val="center"/>
          </w:tcPr>
          <w:p w14:paraId="4FA4937E"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Геотехнички радови</w:t>
            </w:r>
          </w:p>
        </w:tc>
        <w:tc>
          <w:tcPr>
            <w:tcW w:w="1564" w:type="dxa"/>
            <w:vAlign w:val="center"/>
          </w:tcPr>
          <w:p w14:paraId="77BB2754"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550" w:type="dxa"/>
            <w:vAlign w:val="center"/>
          </w:tcPr>
          <w:p w14:paraId="61E0CA8F"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405" w:type="dxa"/>
            <w:vAlign w:val="center"/>
          </w:tcPr>
          <w:p w14:paraId="07C7B255"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r w:rsidR="00316872" w:rsidRPr="00CF77C1" w14:paraId="25764E95" w14:textId="77777777" w:rsidTr="00276B15">
        <w:trPr>
          <w:trHeight w:val="20"/>
        </w:trPr>
        <w:tc>
          <w:tcPr>
            <w:tcW w:w="3828" w:type="dxa"/>
            <w:vAlign w:val="center"/>
          </w:tcPr>
          <w:p w14:paraId="15042604"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Хидрогеолошки радови</w:t>
            </w:r>
          </w:p>
        </w:tc>
        <w:tc>
          <w:tcPr>
            <w:tcW w:w="1564" w:type="dxa"/>
            <w:vAlign w:val="center"/>
          </w:tcPr>
          <w:p w14:paraId="5B3313A9"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550" w:type="dxa"/>
            <w:vAlign w:val="center"/>
          </w:tcPr>
          <w:p w14:paraId="51861AAD"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405" w:type="dxa"/>
            <w:vAlign w:val="center"/>
          </w:tcPr>
          <w:p w14:paraId="20BA4859"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bl>
    <w:p w14:paraId="46B17236" w14:textId="5053EF2B" w:rsidR="00316872" w:rsidRPr="00CF77C1" w:rsidRDefault="00316872" w:rsidP="00A968A2">
      <w:pPr>
        <w:ind w:firstLine="720"/>
        <w:rPr>
          <w:lang w:val="sr-Cyrl-RS"/>
        </w:rPr>
      </w:pPr>
      <w:r w:rsidRPr="00CF77C1">
        <w:rPr>
          <w:lang w:val="sr-Cyrl-RS"/>
        </w:rPr>
        <w:t>Осим поменутих примењених геоло</w:t>
      </w:r>
      <w:r w:rsidR="005E0737" w:rsidRPr="00CF77C1">
        <w:rPr>
          <w:lang w:val="sr-Cyrl-RS"/>
        </w:rPr>
        <w:t>шких истраживања у периоду 2018</w:t>
      </w:r>
      <w:r w:rsidRPr="00CF77C1">
        <w:rPr>
          <w:lang w:val="sr-Cyrl-RS"/>
        </w:rPr>
        <w:t xml:space="preserve">-2020. година, током 2015. године реализована су улагања из претходног плана у износу од 300.000 €. До краја </w:t>
      </w:r>
      <w:r w:rsidR="005E0737" w:rsidRPr="00CF77C1">
        <w:rPr>
          <w:lang w:val="sr-Cyrl-RS"/>
        </w:rPr>
        <w:t>експлоатације, у периодима 2022</w:t>
      </w:r>
      <w:r w:rsidRPr="00CF77C1">
        <w:rPr>
          <w:lang w:val="sr-Cyrl-RS"/>
        </w:rPr>
        <w:t>-</w:t>
      </w:r>
      <w:r w:rsidR="005E0737" w:rsidRPr="00CF77C1">
        <w:rPr>
          <w:lang w:val="sr-Cyrl-RS"/>
        </w:rPr>
        <w:t>2026. година и 2029</w:t>
      </w:r>
      <w:r w:rsidRPr="00CF77C1">
        <w:rPr>
          <w:lang w:val="sr-Cyrl-RS"/>
        </w:rPr>
        <w:t xml:space="preserve">-2033. година, потребно је реализовати мањи обим примењених геолошких истраживања за која се планирају улагања у износу од 400.000 €, односно годишње 80.000 € у планираном периоду од </w:t>
      </w:r>
      <w:r w:rsidR="00683F0B">
        <w:rPr>
          <w:lang w:val="sr-Cyrl-RS"/>
        </w:rPr>
        <w:t>пет</w:t>
      </w:r>
      <w:r w:rsidRPr="00CF77C1">
        <w:rPr>
          <w:lang w:val="sr-Cyrl-RS"/>
        </w:rPr>
        <w:t xml:space="preserve"> година на бази којих се могу елаборирати петогодишњи извештаји.</w:t>
      </w:r>
    </w:p>
    <w:p w14:paraId="2077516B" w14:textId="7897D482" w:rsidR="0028406A" w:rsidRPr="00CF77C1" w:rsidRDefault="00D61BC9" w:rsidP="00A968A2">
      <w:pPr>
        <w:pStyle w:val="Caption"/>
        <w:ind w:firstLine="720"/>
        <w:rPr>
          <w:b w:val="0"/>
          <w:lang w:val="sr-Cyrl-RS"/>
        </w:rPr>
      </w:pPr>
      <w:r w:rsidRPr="00CF77C1">
        <w:rPr>
          <w:b w:val="0"/>
          <w:lang w:val="sr-Cyrl-RS"/>
        </w:rPr>
        <w:t>таб.</w:t>
      </w:r>
      <w:r w:rsidR="0028406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97</w:t>
      </w:r>
      <w:r w:rsidR="0092145E" w:rsidRPr="00CF77C1">
        <w:rPr>
          <w:b w:val="0"/>
          <w:lang w:val="sr-Cyrl-RS"/>
        </w:rPr>
        <w:fldChar w:fldCharType="end"/>
      </w:r>
      <w:r w:rsidR="0028406A" w:rsidRPr="00CF77C1">
        <w:rPr>
          <w:b w:val="0"/>
          <w:lang w:val="sr-Cyrl-RS"/>
        </w:rPr>
        <w:t>: Планиране инвестиције за геолошке истражне радове на лежишту Тамнава</w:t>
      </w:r>
    </w:p>
    <w:tbl>
      <w:tblPr>
        <w:tblW w:w="6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2693"/>
      </w:tblGrid>
      <w:tr w:rsidR="0028406A" w:rsidRPr="00CF77C1" w14:paraId="5B7271B7" w14:textId="77777777" w:rsidTr="00276B15">
        <w:trPr>
          <w:trHeight w:val="269"/>
        </w:trPr>
        <w:tc>
          <w:tcPr>
            <w:tcW w:w="4253" w:type="dxa"/>
            <w:vAlign w:val="center"/>
          </w:tcPr>
          <w:p w14:paraId="1C7B3A82"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Радови</w:t>
            </w:r>
          </w:p>
        </w:tc>
        <w:tc>
          <w:tcPr>
            <w:tcW w:w="2693" w:type="dxa"/>
          </w:tcPr>
          <w:p w14:paraId="3E804F6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Износ (€)</w:t>
            </w:r>
          </w:p>
        </w:tc>
      </w:tr>
      <w:tr w:rsidR="0028406A" w:rsidRPr="00CF77C1" w14:paraId="24B671FA" w14:textId="77777777" w:rsidTr="00276B15">
        <w:trPr>
          <w:trHeight w:val="287"/>
        </w:trPr>
        <w:tc>
          <w:tcPr>
            <w:tcW w:w="4253" w:type="dxa"/>
            <w:vAlign w:val="center"/>
          </w:tcPr>
          <w:p w14:paraId="508150C5"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Вишенаменски истражни радови</w:t>
            </w:r>
          </w:p>
        </w:tc>
        <w:tc>
          <w:tcPr>
            <w:tcW w:w="2693" w:type="dxa"/>
            <w:vAlign w:val="center"/>
          </w:tcPr>
          <w:p w14:paraId="0C0486DD"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573.653</w:t>
            </w:r>
          </w:p>
        </w:tc>
      </w:tr>
      <w:tr w:rsidR="0028406A" w:rsidRPr="00CF77C1" w14:paraId="346D6D1A" w14:textId="77777777" w:rsidTr="00276B15">
        <w:tc>
          <w:tcPr>
            <w:tcW w:w="4253" w:type="dxa"/>
            <w:vAlign w:val="center"/>
          </w:tcPr>
          <w:p w14:paraId="063F4550"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Геолошки истражни радови</w:t>
            </w:r>
          </w:p>
        </w:tc>
        <w:tc>
          <w:tcPr>
            <w:tcW w:w="2693" w:type="dxa"/>
            <w:vAlign w:val="center"/>
          </w:tcPr>
          <w:p w14:paraId="4452B819"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323.518</w:t>
            </w:r>
          </w:p>
        </w:tc>
      </w:tr>
      <w:tr w:rsidR="0028406A" w:rsidRPr="00CF77C1" w14:paraId="56D8D5DE" w14:textId="77777777" w:rsidTr="00276B15">
        <w:tc>
          <w:tcPr>
            <w:tcW w:w="4253" w:type="dxa"/>
            <w:vAlign w:val="center"/>
          </w:tcPr>
          <w:p w14:paraId="64FF4600"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Геотехнички радови</w:t>
            </w:r>
          </w:p>
        </w:tc>
        <w:tc>
          <w:tcPr>
            <w:tcW w:w="2693" w:type="dxa"/>
            <w:vAlign w:val="center"/>
          </w:tcPr>
          <w:p w14:paraId="302D59C0"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55.856</w:t>
            </w:r>
          </w:p>
        </w:tc>
      </w:tr>
      <w:tr w:rsidR="0028406A" w:rsidRPr="00CF77C1" w14:paraId="6BBC876A" w14:textId="77777777" w:rsidTr="00276B15">
        <w:tc>
          <w:tcPr>
            <w:tcW w:w="4253" w:type="dxa"/>
            <w:vAlign w:val="center"/>
          </w:tcPr>
          <w:p w14:paraId="57918B8D"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Хидрогеолошки радови</w:t>
            </w:r>
          </w:p>
        </w:tc>
        <w:tc>
          <w:tcPr>
            <w:tcW w:w="2693" w:type="dxa"/>
            <w:vAlign w:val="center"/>
          </w:tcPr>
          <w:p w14:paraId="05A37B44"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43.227</w:t>
            </w:r>
          </w:p>
        </w:tc>
      </w:tr>
      <w:tr w:rsidR="0028406A" w:rsidRPr="00CF77C1" w14:paraId="34F7BB89" w14:textId="77777777" w:rsidTr="00276B15">
        <w:trPr>
          <w:trHeight w:val="197"/>
        </w:trPr>
        <w:tc>
          <w:tcPr>
            <w:tcW w:w="4253" w:type="dxa"/>
          </w:tcPr>
          <w:p w14:paraId="3AA3D1B0" w14:textId="77777777" w:rsidR="0028406A" w:rsidRPr="00CF77C1" w:rsidRDefault="0028406A" w:rsidP="0080044B">
            <w:pPr>
              <w:framePr w:hSpace="181" w:wrap="notBeside" w:vAnchor="text" w:hAnchor="text" w:x="109" w:y="1"/>
              <w:jc w:val="left"/>
              <w:rPr>
                <w:sz w:val="22"/>
                <w:szCs w:val="22"/>
                <w:lang w:val="sr-Cyrl-RS"/>
              </w:rPr>
            </w:pPr>
            <w:r w:rsidRPr="00CF77C1">
              <w:rPr>
                <w:szCs w:val="24"/>
                <w:lang w:val="sr-Cyrl-RS"/>
              </w:rPr>
              <w:t>Укупно</w:t>
            </w:r>
          </w:p>
        </w:tc>
        <w:tc>
          <w:tcPr>
            <w:tcW w:w="2693" w:type="dxa"/>
            <w:vAlign w:val="center"/>
          </w:tcPr>
          <w:p w14:paraId="39B0213C"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996.255</w:t>
            </w:r>
          </w:p>
        </w:tc>
      </w:tr>
    </w:tbl>
    <w:p w14:paraId="1EE24E37" w14:textId="6DB22A15" w:rsidR="0028406A" w:rsidRPr="00CF77C1" w:rsidRDefault="0028406A" w:rsidP="00A968A2">
      <w:pPr>
        <w:ind w:firstLine="720"/>
        <w:rPr>
          <w:lang w:val="sr-Cyrl-RS"/>
        </w:rPr>
      </w:pPr>
      <w:r w:rsidRPr="00CF77C1">
        <w:rPr>
          <w:lang w:val="sr-Cyrl-RS"/>
        </w:rPr>
        <w:t xml:space="preserve">Динамика и кумулативна инвестициона улагања у планирана примењена детаљна геолошка по годинама приказана су у </w:t>
      </w:r>
      <w:r w:rsidR="000642D2" w:rsidRPr="00CF77C1">
        <w:rPr>
          <w:lang w:val="sr-Cyrl-RS"/>
        </w:rPr>
        <w:fldChar w:fldCharType="begin"/>
      </w:r>
      <w:r w:rsidR="000642D2" w:rsidRPr="00CF77C1">
        <w:rPr>
          <w:lang w:val="sr-Cyrl-RS"/>
        </w:rPr>
        <w:instrText xml:space="preserve"> REF _Ref469243276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98</w:t>
      </w:r>
      <w:r w:rsidR="000642D2" w:rsidRPr="00CF77C1">
        <w:rPr>
          <w:lang w:val="sr-Cyrl-RS"/>
        </w:rPr>
        <w:fldChar w:fldCharType="end"/>
      </w:r>
      <w:r w:rsidRPr="00CF77C1">
        <w:rPr>
          <w:lang w:val="sr-Cyrl-RS"/>
        </w:rPr>
        <w:t>.</w:t>
      </w:r>
    </w:p>
    <w:p w14:paraId="6ADF467B" w14:textId="45F5A7C6" w:rsidR="0028406A" w:rsidRPr="00CF77C1" w:rsidRDefault="00D61BC9" w:rsidP="00A968A2">
      <w:pPr>
        <w:pStyle w:val="Caption"/>
        <w:ind w:firstLine="720"/>
        <w:rPr>
          <w:b w:val="0"/>
          <w:lang w:val="sr-Cyrl-RS"/>
        </w:rPr>
      </w:pPr>
      <w:bookmarkStart w:id="169" w:name="_Ref469243276"/>
      <w:r w:rsidRPr="00CF77C1">
        <w:rPr>
          <w:b w:val="0"/>
          <w:lang w:val="sr-Cyrl-RS"/>
        </w:rPr>
        <w:t>таб.</w:t>
      </w:r>
      <w:r w:rsidR="0028406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98</w:t>
      </w:r>
      <w:r w:rsidR="0092145E" w:rsidRPr="00CF77C1">
        <w:rPr>
          <w:b w:val="0"/>
          <w:lang w:val="sr-Cyrl-RS"/>
        </w:rPr>
        <w:fldChar w:fldCharType="end"/>
      </w:r>
      <w:bookmarkEnd w:id="169"/>
      <w:r w:rsidR="0028406A" w:rsidRPr="00CF77C1">
        <w:rPr>
          <w:b w:val="0"/>
          <w:lang w:val="sr-Cyrl-RS"/>
        </w:rPr>
        <w:t>: Динамика улагања у геолошка истраживања</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1452"/>
        <w:gridCol w:w="1452"/>
        <w:gridCol w:w="1452"/>
        <w:gridCol w:w="1453"/>
      </w:tblGrid>
      <w:tr w:rsidR="0028406A" w:rsidRPr="00CF77C1" w14:paraId="280C282F" w14:textId="77777777" w:rsidTr="0028406A">
        <w:trPr>
          <w:trHeight w:val="206"/>
        </w:trPr>
        <w:tc>
          <w:tcPr>
            <w:tcW w:w="3655" w:type="dxa"/>
            <w:vAlign w:val="center"/>
          </w:tcPr>
          <w:p w14:paraId="129FC6DC" w14:textId="77777777" w:rsidR="0028406A" w:rsidRPr="00CF77C1" w:rsidRDefault="0028406A" w:rsidP="0080044B">
            <w:pPr>
              <w:framePr w:hSpace="181" w:wrap="notBeside" w:vAnchor="text" w:hAnchor="text" w:x="18" w:y="1"/>
              <w:jc w:val="center"/>
              <w:rPr>
                <w:szCs w:val="24"/>
                <w:lang w:val="sr-Cyrl-RS"/>
              </w:rPr>
            </w:pPr>
            <w:r w:rsidRPr="00CF77C1">
              <w:rPr>
                <w:szCs w:val="24"/>
                <w:lang w:val="sr-Cyrl-RS"/>
              </w:rPr>
              <w:t>Радови</w:t>
            </w:r>
          </w:p>
        </w:tc>
        <w:tc>
          <w:tcPr>
            <w:tcW w:w="1452" w:type="dxa"/>
          </w:tcPr>
          <w:p w14:paraId="169CA83C" w14:textId="77777777" w:rsidR="0028406A" w:rsidRPr="00CF77C1" w:rsidRDefault="0028406A" w:rsidP="0080044B">
            <w:pPr>
              <w:framePr w:hSpace="181" w:wrap="notBeside" w:vAnchor="text" w:hAnchor="text" w:x="18" w:y="1"/>
              <w:jc w:val="center"/>
              <w:rPr>
                <w:szCs w:val="24"/>
                <w:lang w:val="sr-Cyrl-RS"/>
              </w:rPr>
            </w:pPr>
            <w:r w:rsidRPr="00CF77C1">
              <w:rPr>
                <w:szCs w:val="24"/>
                <w:lang w:val="sr-Cyrl-RS"/>
              </w:rPr>
              <w:t>2018.</w:t>
            </w:r>
          </w:p>
        </w:tc>
        <w:tc>
          <w:tcPr>
            <w:tcW w:w="1452" w:type="dxa"/>
          </w:tcPr>
          <w:p w14:paraId="12EED620" w14:textId="77777777" w:rsidR="0028406A" w:rsidRPr="00CF77C1" w:rsidRDefault="0028406A" w:rsidP="0080044B">
            <w:pPr>
              <w:framePr w:hSpace="181" w:wrap="notBeside" w:vAnchor="text" w:hAnchor="text" w:x="18" w:y="1"/>
              <w:jc w:val="center"/>
              <w:rPr>
                <w:szCs w:val="24"/>
                <w:lang w:val="sr-Cyrl-RS"/>
              </w:rPr>
            </w:pPr>
            <w:r w:rsidRPr="00CF77C1">
              <w:rPr>
                <w:szCs w:val="24"/>
                <w:lang w:val="sr-Cyrl-RS"/>
              </w:rPr>
              <w:t>2019.</w:t>
            </w:r>
          </w:p>
        </w:tc>
        <w:tc>
          <w:tcPr>
            <w:tcW w:w="1452" w:type="dxa"/>
          </w:tcPr>
          <w:p w14:paraId="6F99324F" w14:textId="77777777" w:rsidR="0028406A" w:rsidRPr="00CF77C1" w:rsidRDefault="0028406A" w:rsidP="0080044B">
            <w:pPr>
              <w:framePr w:hSpace="181" w:wrap="notBeside" w:vAnchor="text" w:hAnchor="text" w:x="18" w:y="1"/>
              <w:jc w:val="center"/>
              <w:rPr>
                <w:szCs w:val="24"/>
                <w:lang w:val="sr-Cyrl-RS"/>
              </w:rPr>
            </w:pPr>
            <w:r w:rsidRPr="00CF77C1">
              <w:rPr>
                <w:szCs w:val="24"/>
                <w:lang w:val="sr-Cyrl-RS"/>
              </w:rPr>
              <w:t>2020.</w:t>
            </w:r>
          </w:p>
        </w:tc>
        <w:tc>
          <w:tcPr>
            <w:tcW w:w="1453" w:type="dxa"/>
          </w:tcPr>
          <w:p w14:paraId="632BF2BD" w14:textId="77777777" w:rsidR="0028406A" w:rsidRPr="00CF77C1" w:rsidRDefault="0028406A" w:rsidP="0080044B">
            <w:pPr>
              <w:framePr w:hSpace="181" w:wrap="notBeside" w:vAnchor="text" w:hAnchor="text" w:x="18" w:y="1"/>
              <w:jc w:val="center"/>
              <w:rPr>
                <w:szCs w:val="24"/>
                <w:lang w:val="sr-Cyrl-RS"/>
              </w:rPr>
            </w:pPr>
            <w:r w:rsidRPr="00CF77C1">
              <w:rPr>
                <w:szCs w:val="24"/>
                <w:lang w:val="sr-Cyrl-RS"/>
              </w:rPr>
              <w:t>Укупно (</w:t>
            </w:r>
            <w:r w:rsidRPr="00CF77C1">
              <w:rPr>
                <w:bCs/>
                <w:spacing w:val="-1"/>
                <w:szCs w:val="24"/>
                <w:lang w:val="sr-Cyrl-RS"/>
              </w:rPr>
              <w:t>€)</w:t>
            </w:r>
          </w:p>
        </w:tc>
      </w:tr>
      <w:tr w:rsidR="0028406A" w:rsidRPr="00CF77C1" w14:paraId="1236AF67" w14:textId="77777777" w:rsidTr="0028406A">
        <w:trPr>
          <w:trHeight w:val="170"/>
        </w:trPr>
        <w:tc>
          <w:tcPr>
            <w:tcW w:w="3655" w:type="dxa"/>
            <w:vAlign w:val="center"/>
          </w:tcPr>
          <w:p w14:paraId="756E5FA6" w14:textId="77777777" w:rsidR="0028406A" w:rsidRPr="00CF77C1" w:rsidRDefault="0028406A" w:rsidP="0080044B">
            <w:pPr>
              <w:framePr w:hSpace="181" w:wrap="notBeside" w:vAnchor="text" w:hAnchor="text" w:x="18" w:y="1"/>
              <w:jc w:val="left"/>
              <w:rPr>
                <w:szCs w:val="24"/>
                <w:lang w:val="sr-Cyrl-RS"/>
              </w:rPr>
            </w:pPr>
            <w:r w:rsidRPr="00CF77C1">
              <w:rPr>
                <w:szCs w:val="24"/>
                <w:lang w:val="sr-Cyrl-RS"/>
              </w:rPr>
              <w:t>Вишенаменски истражни радови</w:t>
            </w:r>
          </w:p>
        </w:tc>
        <w:tc>
          <w:tcPr>
            <w:tcW w:w="1452" w:type="dxa"/>
            <w:vAlign w:val="bottom"/>
          </w:tcPr>
          <w:p w14:paraId="26585592"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194.913</w:t>
            </w:r>
          </w:p>
        </w:tc>
        <w:tc>
          <w:tcPr>
            <w:tcW w:w="1452" w:type="dxa"/>
            <w:vAlign w:val="bottom"/>
          </w:tcPr>
          <w:p w14:paraId="25D79C08"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190.827</w:t>
            </w:r>
          </w:p>
        </w:tc>
        <w:tc>
          <w:tcPr>
            <w:tcW w:w="1452" w:type="dxa"/>
            <w:vAlign w:val="bottom"/>
          </w:tcPr>
          <w:p w14:paraId="5B899826"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187.914</w:t>
            </w:r>
          </w:p>
        </w:tc>
        <w:tc>
          <w:tcPr>
            <w:tcW w:w="1453" w:type="dxa"/>
            <w:vAlign w:val="bottom"/>
          </w:tcPr>
          <w:p w14:paraId="489EE151"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573.653</w:t>
            </w:r>
          </w:p>
        </w:tc>
      </w:tr>
      <w:tr w:rsidR="0028406A" w:rsidRPr="00CF77C1" w14:paraId="2915A27E" w14:textId="77777777" w:rsidTr="0028406A">
        <w:trPr>
          <w:trHeight w:val="170"/>
        </w:trPr>
        <w:tc>
          <w:tcPr>
            <w:tcW w:w="3655" w:type="dxa"/>
            <w:vAlign w:val="center"/>
          </w:tcPr>
          <w:p w14:paraId="56F3C720" w14:textId="77777777" w:rsidR="0028406A" w:rsidRPr="00CF77C1" w:rsidRDefault="0028406A" w:rsidP="0080044B">
            <w:pPr>
              <w:framePr w:hSpace="181" w:wrap="notBeside" w:vAnchor="text" w:hAnchor="text" w:x="18" w:y="1"/>
              <w:jc w:val="left"/>
              <w:rPr>
                <w:szCs w:val="24"/>
                <w:lang w:val="sr-Cyrl-RS"/>
              </w:rPr>
            </w:pPr>
            <w:r w:rsidRPr="00CF77C1">
              <w:rPr>
                <w:szCs w:val="24"/>
                <w:lang w:val="sr-Cyrl-RS"/>
              </w:rPr>
              <w:t>Геолошки истражни радови</w:t>
            </w:r>
          </w:p>
        </w:tc>
        <w:tc>
          <w:tcPr>
            <w:tcW w:w="1452" w:type="dxa"/>
            <w:vAlign w:val="bottom"/>
          </w:tcPr>
          <w:p w14:paraId="612B061E"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107.278</w:t>
            </w:r>
          </w:p>
        </w:tc>
        <w:tc>
          <w:tcPr>
            <w:tcW w:w="1452" w:type="dxa"/>
            <w:vAlign w:val="bottom"/>
          </w:tcPr>
          <w:p w14:paraId="4A969187"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101.205</w:t>
            </w:r>
          </w:p>
        </w:tc>
        <w:tc>
          <w:tcPr>
            <w:tcW w:w="1452" w:type="dxa"/>
            <w:vAlign w:val="bottom"/>
          </w:tcPr>
          <w:p w14:paraId="0D59BFB6"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115.035</w:t>
            </w:r>
          </w:p>
        </w:tc>
        <w:tc>
          <w:tcPr>
            <w:tcW w:w="1453" w:type="dxa"/>
            <w:vAlign w:val="bottom"/>
          </w:tcPr>
          <w:p w14:paraId="471C7086"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323.518</w:t>
            </w:r>
          </w:p>
        </w:tc>
      </w:tr>
      <w:tr w:rsidR="0028406A" w:rsidRPr="00CF77C1" w14:paraId="12205B6C" w14:textId="77777777" w:rsidTr="0028406A">
        <w:trPr>
          <w:trHeight w:val="170"/>
        </w:trPr>
        <w:tc>
          <w:tcPr>
            <w:tcW w:w="3655" w:type="dxa"/>
            <w:vAlign w:val="center"/>
          </w:tcPr>
          <w:p w14:paraId="3E077F22" w14:textId="77777777" w:rsidR="0028406A" w:rsidRPr="00CF77C1" w:rsidRDefault="0028406A" w:rsidP="0080044B">
            <w:pPr>
              <w:framePr w:hSpace="181" w:wrap="notBeside" w:vAnchor="text" w:hAnchor="text" w:x="18" w:y="1"/>
              <w:jc w:val="left"/>
              <w:rPr>
                <w:szCs w:val="24"/>
                <w:lang w:val="sr-Cyrl-RS"/>
              </w:rPr>
            </w:pPr>
            <w:r w:rsidRPr="00CF77C1">
              <w:rPr>
                <w:szCs w:val="24"/>
                <w:lang w:val="sr-Cyrl-RS"/>
              </w:rPr>
              <w:t>Геотехнички радови</w:t>
            </w:r>
          </w:p>
        </w:tc>
        <w:tc>
          <w:tcPr>
            <w:tcW w:w="1452" w:type="dxa"/>
            <w:vAlign w:val="bottom"/>
          </w:tcPr>
          <w:p w14:paraId="40A52081"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25.480</w:t>
            </w:r>
          </w:p>
        </w:tc>
        <w:tc>
          <w:tcPr>
            <w:tcW w:w="1452" w:type="dxa"/>
            <w:vAlign w:val="bottom"/>
          </w:tcPr>
          <w:p w14:paraId="19DCD6F2"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14.629</w:t>
            </w:r>
          </w:p>
        </w:tc>
        <w:tc>
          <w:tcPr>
            <w:tcW w:w="1452" w:type="dxa"/>
            <w:vAlign w:val="bottom"/>
          </w:tcPr>
          <w:p w14:paraId="482ED2D6"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15.747</w:t>
            </w:r>
          </w:p>
        </w:tc>
        <w:tc>
          <w:tcPr>
            <w:tcW w:w="1453" w:type="dxa"/>
            <w:vAlign w:val="bottom"/>
          </w:tcPr>
          <w:p w14:paraId="475B3C2D"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55.856</w:t>
            </w:r>
          </w:p>
        </w:tc>
      </w:tr>
      <w:tr w:rsidR="0028406A" w:rsidRPr="00CF77C1" w14:paraId="4ED7FEDC" w14:textId="77777777" w:rsidTr="0028406A">
        <w:trPr>
          <w:trHeight w:val="170"/>
        </w:trPr>
        <w:tc>
          <w:tcPr>
            <w:tcW w:w="3655" w:type="dxa"/>
            <w:vAlign w:val="center"/>
          </w:tcPr>
          <w:p w14:paraId="7E60063D" w14:textId="77777777" w:rsidR="0028406A" w:rsidRPr="00CF77C1" w:rsidRDefault="0028406A" w:rsidP="0080044B">
            <w:pPr>
              <w:framePr w:hSpace="181" w:wrap="notBeside" w:vAnchor="text" w:hAnchor="text" w:x="18" w:y="1"/>
              <w:jc w:val="left"/>
              <w:rPr>
                <w:szCs w:val="24"/>
                <w:lang w:val="sr-Cyrl-RS"/>
              </w:rPr>
            </w:pPr>
            <w:r w:rsidRPr="00CF77C1">
              <w:rPr>
                <w:szCs w:val="24"/>
                <w:lang w:val="sr-Cyrl-RS"/>
              </w:rPr>
              <w:t>Хидрогеолошки радови</w:t>
            </w:r>
          </w:p>
        </w:tc>
        <w:tc>
          <w:tcPr>
            <w:tcW w:w="1452" w:type="dxa"/>
            <w:vAlign w:val="bottom"/>
          </w:tcPr>
          <w:p w14:paraId="44DC415B"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15.289</w:t>
            </w:r>
          </w:p>
        </w:tc>
        <w:tc>
          <w:tcPr>
            <w:tcW w:w="1452" w:type="dxa"/>
            <w:vAlign w:val="bottom"/>
          </w:tcPr>
          <w:p w14:paraId="50C408D0"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18.308</w:t>
            </w:r>
          </w:p>
        </w:tc>
        <w:tc>
          <w:tcPr>
            <w:tcW w:w="1452" w:type="dxa"/>
            <w:vAlign w:val="bottom"/>
          </w:tcPr>
          <w:p w14:paraId="0B92FBB7"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9.630</w:t>
            </w:r>
          </w:p>
        </w:tc>
        <w:tc>
          <w:tcPr>
            <w:tcW w:w="1453" w:type="dxa"/>
            <w:vAlign w:val="bottom"/>
          </w:tcPr>
          <w:p w14:paraId="20CF6164"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43.227</w:t>
            </w:r>
          </w:p>
        </w:tc>
      </w:tr>
      <w:tr w:rsidR="0028406A" w:rsidRPr="00CF77C1" w14:paraId="5CDF8497" w14:textId="77777777" w:rsidTr="0028406A">
        <w:trPr>
          <w:trHeight w:val="170"/>
        </w:trPr>
        <w:tc>
          <w:tcPr>
            <w:tcW w:w="3655" w:type="dxa"/>
          </w:tcPr>
          <w:p w14:paraId="4F592D57" w14:textId="77777777" w:rsidR="0028406A" w:rsidRPr="00CF77C1" w:rsidRDefault="0028406A" w:rsidP="0080044B">
            <w:pPr>
              <w:framePr w:hSpace="181" w:wrap="notBeside" w:vAnchor="text" w:hAnchor="text" w:x="18" w:y="1"/>
              <w:jc w:val="left"/>
              <w:rPr>
                <w:sz w:val="22"/>
                <w:szCs w:val="22"/>
                <w:lang w:val="sr-Cyrl-RS"/>
              </w:rPr>
            </w:pPr>
            <w:r w:rsidRPr="00CF77C1">
              <w:rPr>
                <w:szCs w:val="24"/>
                <w:lang w:val="sr-Cyrl-RS"/>
              </w:rPr>
              <w:t>Укупно</w:t>
            </w:r>
          </w:p>
        </w:tc>
        <w:tc>
          <w:tcPr>
            <w:tcW w:w="1452" w:type="dxa"/>
            <w:vAlign w:val="bottom"/>
          </w:tcPr>
          <w:p w14:paraId="2B2D4044"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342.959</w:t>
            </w:r>
          </w:p>
        </w:tc>
        <w:tc>
          <w:tcPr>
            <w:tcW w:w="1452" w:type="dxa"/>
            <w:vAlign w:val="bottom"/>
          </w:tcPr>
          <w:p w14:paraId="02074C7F"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324.969</w:t>
            </w:r>
          </w:p>
        </w:tc>
        <w:tc>
          <w:tcPr>
            <w:tcW w:w="1452" w:type="dxa"/>
            <w:vAlign w:val="bottom"/>
          </w:tcPr>
          <w:p w14:paraId="6D0E44CE"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328.327</w:t>
            </w:r>
          </w:p>
        </w:tc>
        <w:tc>
          <w:tcPr>
            <w:tcW w:w="1453" w:type="dxa"/>
            <w:vAlign w:val="bottom"/>
          </w:tcPr>
          <w:p w14:paraId="5772742B" w14:textId="77777777" w:rsidR="0028406A" w:rsidRPr="00CF77C1" w:rsidRDefault="0028406A" w:rsidP="0080044B">
            <w:pPr>
              <w:framePr w:hSpace="181" w:wrap="notBeside" w:vAnchor="text" w:hAnchor="text" w:x="18" w:y="1"/>
              <w:jc w:val="right"/>
              <w:rPr>
                <w:szCs w:val="24"/>
                <w:lang w:val="sr-Cyrl-RS"/>
              </w:rPr>
            </w:pPr>
            <w:r w:rsidRPr="00CF77C1">
              <w:rPr>
                <w:szCs w:val="24"/>
                <w:lang w:val="sr-Cyrl-RS"/>
              </w:rPr>
              <w:t>996.255</w:t>
            </w:r>
          </w:p>
        </w:tc>
      </w:tr>
    </w:tbl>
    <w:p w14:paraId="05EE6F13" w14:textId="77777777" w:rsidR="00316872" w:rsidRPr="00CF77C1" w:rsidRDefault="00316872" w:rsidP="00A968A2">
      <w:pPr>
        <w:ind w:firstLine="720"/>
        <w:rPr>
          <w:u w:val="single"/>
          <w:lang w:val="sr-Cyrl-RS"/>
        </w:rPr>
      </w:pPr>
      <w:r w:rsidRPr="00CF77C1">
        <w:rPr>
          <w:u w:val="single"/>
          <w:lang w:val="sr-Cyrl-RS"/>
        </w:rPr>
        <w:t>Поље Радљево</w:t>
      </w:r>
    </w:p>
    <w:p w14:paraId="2727D3B1" w14:textId="266CEC75" w:rsidR="00316872" w:rsidRPr="00CF77C1" w:rsidRDefault="00316872" w:rsidP="00A968A2">
      <w:pPr>
        <w:ind w:firstLine="720"/>
        <w:rPr>
          <w:lang w:val="sr-Cyrl-RS"/>
        </w:rPr>
      </w:pPr>
      <w:r w:rsidRPr="00CF77C1">
        <w:rPr>
          <w:lang w:val="sr-Cyrl-RS"/>
        </w:rPr>
        <w:t xml:space="preserve">Због недовољне истражености лежишта, а у складу са динамиком отварања површинског копа Радљево, пројектом су планирана геолошка истраживања, која треба да се реализују у периоду од </w:t>
      </w:r>
      <w:r w:rsidR="0005108C">
        <w:rPr>
          <w:lang w:val="sr-Cyrl-RS"/>
        </w:rPr>
        <w:t>четири</w:t>
      </w:r>
      <w:r w:rsidRPr="00CF77C1">
        <w:rPr>
          <w:lang w:val="sr-Cyrl-RS"/>
        </w:rPr>
        <w:t xml:space="preserve"> године са почетком 2016. године. Динамика геолошких истражних радова у пе</w:t>
      </w:r>
      <w:r w:rsidR="005E0737" w:rsidRPr="00CF77C1">
        <w:rPr>
          <w:lang w:val="sr-Cyrl-RS"/>
        </w:rPr>
        <w:t>риоду 2016</w:t>
      </w:r>
      <w:r w:rsidRPr="00CF77C1">
        <w:rPr>
          <w:lang w:val="sr-Cyrl-RS"/>
        </w:rPr>
        <w:t xml:space="preserve">-2019. година приказана је у </w:t>
      </w:r>
      <w:r w:rsidR="000642D2" w:rsidRPr="00CF77C1">
        <w:rPr>
          <w:lang w:val="sr-Cyrl-RS"/>
        </w:rPr>
        <w:fldChar w:fldCharType="begin"/>
      </w:r>
      <w:r w:rsidR="000642D2" w:rsidRPr="00CF77C1">
        <w:rPr>
          <w:lang w:val="sr-Cyrl-RS"/>
        </w:rPr>
        <w:instrText xml:space="preserve"> REF _Ref465411207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99</w:t>
      </w:r>
      <w:r w:rsidR="000642D2" w:rsidRPr="00CF77C1">
        <w:rPr>
          <w:lang w:val="sr-Cyrl-RS"/>
        </w:rPr>
        <w:fldChar w:fldCharType="end"/>
      </w:r>
      <w:r w:rsidRPr="00CF77C1">
        <w:rPr>
          <w:lang w:val="sr-Cyrl-RS"/>
        </w:rPr>
        <w:t>.</w:t>
      </w:r>
    </w:p>
    <w:p w14:paraId="3DF0F216" w14:textId="040AD3D8" w:rsidR="00316872" w:rsidRPr="00CF77C1" w:rsidRDefault="00D61BC9" w:rsidP="00A968A2">
      <w:pPr>
        <w:pStyle w:val="Caption"/>
        <w:ind w:firstLine="720"/>
        <w:rPr>
          <w:b w:val="0"/>
          <w:lang w:val="sr-Cyrl-RS"/>
        </w:rPr>
      </w:pPr>
      <w:bookmarkStart w:id="170" w:name="_Ref465411207"/>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99</w:t>
      </w:r>
      <w:r w:rsidR="0092145E" w:rsidRPr="00CF77C1">
        <w:rPr>
          <w:b w:val="0"/>
          <w:lang w:val="sr-Cyrl-RS"/>
        </w:rPr>
        <w:fldChar w:fldCharType="end"/>
      </w:r>
      <w:bookmarkEnd w:id="170"/>
      <w:r w:rsidR="00316872" w:rsidRPr="00CF77C1">
        <w:rPr>
          <w:b w:val="0"/>
          <w:lang w:val="sr-Cyrl-RS"/>
        </w:rPr>
        <w:t>: Динамика геолошких истражних радова на лежишту Радљево</w:t>
      </w:r>
    </w:p>
    <w:tbl>
      <w:tblPr>
        <w:tblW w:w="8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1139"/>
        <w:gridCol w:w="1140"/>
        <w:gridCol w:w="1139"/>
        <w:gridCol w:w="1140"/>
      </w:tblGrid>
      <w:tr w:rsidR="00316872" w:rsidRPr="00CF77C1" w14:paraId="5A170F5C" w14:textId="77777777" w:rsidTr="00276B15">
        <w:trPr>
          <w:trHeight w:val="20"/>
        </w:trPr>
        <w:tc>
          <w:tcPr>
            <w:tcW w:w="3828" w:type="dxa"/>
            <w:vAlign w:val="center"/>
          </w:tcPr>
          <w:p w14:paraId="5F840617"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Радови</w:t>
            </w:r>
          </w:p>
        </w:tc>
        <w:tc>
          <w:tcPr>
            <w:tcW w:w="1139" w:type="dxa"/>
            <w:vAlign w:val="center"/>
          </w:tcPr>
          <w:p w14:paraId="66EA80DC"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2016.</w:t>
            </w:r>
          </w:p>
        </w:tc>
        <w:tc>
          <w:tcPr>
            <w:tcW w:w="1140" w:type="dxa"/>
            <w:vAlign w:val="center"/>
          </w:tcPr>
          <w:p w14:paraId="4D5E7653"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2017.</w:t>
            </w:r>
          </w:p>
        </w:tc>
        <w:tc>
          <w:tcPr>
            <w:tcW w:w="1139" w:type="dxa"/>
            <w:vAlign w:val="center"/>
          </w:tcPr>
          <w:p w14:paraId="3BEE3867"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2018.</w:t>
            </w:r>
          </w:p>
        </w:tc>
        <w:tc>
          <w:tcPr>
            <w:tcW w:w="1140" w:type="dxa"/>
            <w:vAlign w:val="center"/>
          </w:tcPr>
          <w:p w14:paraId="3CF690A0"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2019.</w:t>
            </w:r>
          </w:p>
        </w:tc>
      </w:tr>
      <w:tr w:rsidR="00316872" w:rsidRPr="00CF77C1" w14:paraId="1156D0E5" w14:textId="77777777" w:rsidTr="00276B15">
        <w:trPr>
          <w:trHeight w:val="20"/>
        </w:trPr>
        <w:tc>
          <w:tcPr>
            <w:tcW w:w="3828" w:type="dxa"/>
            <w:vAlign w:val="center"/>
          </w:tcPr>
          <w:p w14:paraId="41B50FF8"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Вишенаменски истражни радови</w:t>
            </w:r>
          </w:p>
        </w:tc>
        <w:tc>
          <w:tcPr>
            <w:tcW w:w="1139" w:type="dxa"/>
            <w:vAlign w:val="center"/>
          </w:tcPr>
          <w:p w14:paraId="5A3264E0"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5A54BFAA"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39" w:type="dxa"/>
            <w:vAlign w:val="center"/>
          </w:tcPr>
          <w:p w14:paraId="0049B1E1"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2639C567"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r w:rsidR="00316872" w:rsidRPr="00CF77C1" w14:paraId="1E7E536C" w14:textId="77777777" w:rsidTr="00276B15">
        <w:trPr>
          <w:trHeight w:val="20"/>
        </w:trPr>
        <w:tc>
          <w:tcPr>
            <w:tcW w:w="3828" w:type="dxa"/>
            <w:vAlign w:val="center"/>
          </w:tcPr>
          <w:p w14:paraId="4A98A633"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Геолошки истражни радови</w:t>
            </w:r>
          </w:p>
        </w:tc>
        <w:tc>
          <w:tcPr>
            <w:tcW w:w="1139" w:type="dxa"/>
            <w:vAlign w:val="center"/>
          </w:tcPr>
          <w:p w14:paraId="5D2CD787"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1C55508E"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39" w:type="dxa"/>
            <w:vAlign w:val="center"/>
          </w:tcPr>
          <w:p w14:paraId="10000A64"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6C9B57A5"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r w:rsidR="00316872" w:rsidRPr="00CF77C1" w14:paraId="7B4BC5C9" w14:textId="77777777" w:rsidTr="00276B15">
        <w:trPr>
          <w:trHeight w:val="20"/>
        </w:trPr>
        <w:tc>
          <w:tcPr>
            <w:tcW w:w="3828" w:type="dxa"/>
            <w:vAlign w:val="center"/>
          </w:tcPr>
          <w:p w14:paraId="6F532116"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Геофизички истражни радови</w:t>
            </w:r>
          </w:p>
        </w:tc>
        <w:tc>
          <w:tcPr>
            <w:tcW w:w="1139" w:type="dxa"/>
            <w:vAlign w:val="center"/>
          </w:tcPr>
          <w:p w14:paraId="63293470"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3ECD98CF"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39" w:type="dxa"/>
            <w:vAlign w:val="center"/>
          </w:tcPr>
          <w:p w14:paraId="706C1B28"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7E5AC530"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r w:rsidR="00316872" w:rsidRPr="00CF77C1" w14:paraId="1400EB07" w14:textId="77777777" w:rsidTr="00276B15">
        <w:trPr>
          <w:trHeight w:val="20"/>
        </w:trPr>
        <w:tc>
          <w:tcPr>
            <w:tcW w:w="3828" w:type="dxa"/>
            <w:vAlign w:val="center"/>
          </w:tcPr>
          <w:p w14:paraId="24EF99E5"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Геотехнички радови</w:t>
            </w:r>
          </w:p>
        </w:tc>
        <w:tc>
          <w:tcPr>
            <w:tcW w:w="1139" w:type="dxa"/>
            <w:vAlign w:val="center"/>
          </w:tcPr>
          <w:p w14:paraId="16EFB2FF"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04B29B16"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39" w:type="dxa"/>
            <w:vAlign w:val="center"/>
          </w:tcPr>
          <w:p w14:paraId="52F4422E"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7F9BB879"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r w:rsidR="00316872" w:rsidRPr="00CF77C1" w14:paraId="76F44642" w14:textId="77777777" w:rsidTr="00276B15">
        <w:trPr>
          <w:trHeight w:val="20"/>
        </w:trPr>
        <w:tc>
          <w:tcPr>
            <w:tcW w:w="3828" w:type="dxa"/>
            <w:vAlign w:val="center"/>
          </w:tcPr>
          <w:p w14:paraId="024522C5" w14:textId="77777777" w:rsidR="00316872" w:rsidRPr="00CF77C1" w:rsidRDefault="00316872" w:rsidP="0080044B">
            <w:pPr>
              <w:framePr w:hSpace="181" w:wrap="notBeside" w:vAnchor="text" w:hAnchor="text" w:x="109" w:y="1"/>
              <w:jc w:val="left"/>
              <w:rPr>
                <w:szCs w:val="24"/>
                <w:lang w:val="sr-Cyrl-RS"/>
              </w:rPr>
            </w:pPr>
            <w:r w:rsidRPr="00CF77C1">
              <w:rPr>
                <w:szCs w:val="24"/>
                <w:lang w:val="sr-Cyrl-RS"/>
              </w:rPr>
              <w:t>Хидрогеолошки радови</w:t>
            </w:r>
          </w:p>
        </w:tc>
        <w:tc>
          <w:tcPr>
            <w:tcW w:w="1139" w:type="dxa"/>
            <w:vAlign w:val="center"/>
          </w:tcPr>
          <w:p w14:paraId="31538E06"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6D7C4755"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39" w:type="dxa"/>
            <w:vAlign w:val="center"/>
          </w:tcPr>
          <w:p w14:paraId="53C97FD7"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c>
          <w:tcPr>
            <w:tcW w:w="1140" w:type="dxa"/>
            <w:vAlign w:val="center"/>
          </w:tcPr>
          <w:p w14:paraId="743A2D99" w14:textId="77777777" w:rsidR="00316872" w:rsidRPr="00CF77C1" w:rsidRDefault="00316872" w:rsidP="0080044B">
            <w:pPr>
              <w:framePr w:hSpace="181" w:wrap="notBeside" w:vAnchor="text" w:hAnchor="text" w:x="109" w:y="1"/>
              <w:jc w:val="center"/>
              <w:rPr>
                <w:szCs w:val="24"/>
                <w:lang w:val="sr-Cyrl-RS"/>
              </w:rPr>
            </w:pPr>
            <w:r w:rsidRPr="00CF77C1">
              <w:rPr>
                <w:szCs w:val="24"/>
                <w:lang w:val="sr-Cyrl-RS"/>
              </w:rPr>
              <w:t>x</w:t>
            </w:r>
          </w:p>
        </w:tc>
      </w:tr>
    </w:tbl>
    <w:p w14:paraId="14383F9A" w14:textId="2951C2A9" w:rsidR="00316872" w:rsidRPr="00CF77C1" w:rsidRDefault="00316872" w:rsidP="00A968A2">
      <w:pPr>
        <w:ind w:firstLine="720"/>
        <w:rPr>
          <w:lang w:val="sr-Cyrl-RS"/>
        </w:rPr>
      </w:pPr>
      <w:r w:rsidRPr="00CF77C1">
        <w:rPr>
          <w:lang w:val="sr-Cyrl-RS"/>
        </w:rPr>
        <w:t>Геолошка истраживања до краја века експлоатације површинског копа Радљево планирана су тако да се временски изводе испред фронта радова на површинском копу најмање толико да се обезбеде сви параметри на којима се заснива благовремена и поуздана геолошка интерпретација лежишта неопходна за несметано планирање и извођење радова на откривци и експлоатацији угља.</w:t>
      </w:r>
      <w:r w:rsidR="00EA6189" w:rsidRPr="00CF77C1">
        <w:rPr>
          <w:lang w:val="sr-Cyrl-RS"/>
        </w:rPr>
        <w:t xml:space="preserve"> </w:t>
      </w:r>
      <w:r w:rsidRPr="00CF77C1">
        <w:rPr>
          <w:lang w:val="sr-Cyrl-RS"/>
        </w:rPr>
        <w:t>Због т</w:t>
      </w:r>
      <w:r w:rsidR="005E0737" w:rsidRPr="00CF77C1">
        <w:rPr>
          <w:lang w:val="sr-Cyrl-RS"/>
        </w:rPr>
        <w:t>ога је потребно, у периоду 2023</w:t>
      </w:r>
      <w:r w:rsidRPr="00CF77C1">
        <w:rPr>
          <w:lang w:val="sr-Cyrl-RS"/>
        </w:rPr>
        <w:t>-2028. година, реализовати геолошка истраживања по обиму и садржају сличн</w:t>
      </w:r>
      <w:r w:rsidR="005E0737" w:rsidRPr="00CF77C1">
        <w:rPr>
          <w:lang w:val="sr-Cyrl-RS"/>
        </w:rPr>
        <w:t>о, каква се врше у периоду 2016</w:t>
      </w:r>
      <w:r w:rsidRPr="00CF77C1">
        <w:rPr>
          <w:lang w:val="sr-Cyrl-RS"/>
        </w:rPr>
        <w:t>-2019. године.</w:t>
      </w:r>
      <w:r w:rsidR="0028406A" w:rsidRPr="00CF77C1">
        <w:rPr>
          <w:lang w:val="sr-Cyrl-RS"/>
        </w:rPr>
        <w:t xml:space="preserve"> Динамика геолошких и</w:t>
      </w:r>
      <w:r w:rsidR="005E0737" w:rsidRPr="00CF77C1">
        <w:rPr>
          <w:lang w:val="sr-Cyrl-RS"/>
        </w:rPr>
        <w:t>стражних радова, у периоду 2023</w:t>
      </w:r>
      <w:r w:rsidR="0028406A" w:rsidRPr="00CF77C1">
        <w:rPr>
          <w:lang w:val="sr-Cyrl-RS"/>
        </w:rPr>
        <w:t xml:space="preserve">-2028. година, приказана је у </w:t>
      </w:r>
      <w:r w:rsidR="000642D2" w:rsidRPr="00CF77C1">
        <w:rPr>
          <w:lang w:val="sr-Cyrl-RS"/>
        </w:rPr>
        <w:fldChar w:fldCharType="begin"/>
      </w:r>
      <w:r w:rsidR="000642D2" w:rsidRPr="00CF77C1">
        <w:rPr>
          <w:lang w:val="sr-Cyrl-RS"/>
        </w:rPr>
        <w:instrText xml:space="preserve"> REF _Ref469243578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100</w:t>
      </w:r>
      <w:r w:rsidR="000642D2" w:rsidRPr="00CF77C1">
        <w:rPr>
          <w:lang w:val="sr-Cyrl-RS"/>
        </w:rPr>
        <w:fldChar w:fldCharType="end"/>
      </w:r>
      <w:r w:rsidR="0028406A" w:rsidRPr="00CF77C1">
        <w:rPr>
          <w:lang w:val="sr-Cyrl-RS"/>
        </w:rPr>
        <w:t>.</w:t>
      </w:r>
    </w:p>
    <w:p w14:paraId="4CECA088" w14:textId="193F2500" w:rsidR="0028406A" w:rsidRPr="00CF77C1" w:rsidRDefault="00D61BC9" w:rsidP="00A968A2">
      <w:pPr>
        <w:pStyle w:val="Caption"/>
        <w:ind w:firstLine="720"/>
        <w:rPr>
          <w:b w:val="0"/>
          <w:lang w:val="sr-Cyrl-RS"/>
        </w:rPr>
      </w:pPr>
      <w:bookmarkStart w:id="171" w:name="_Ref469243578"/>
      <w:r w:rsidRPr="00CF77C1">
        <w:rPr>
          <w:b w:val="0"/>
          <w:lang w:val="sr-Cyrl-RS"/>
        </w:rPr>
        <w:t>таб.</w:t>
      </w:r>
      <w:r w:rsidR="0028406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100</w:t>
      </w:r>
      <w:r w:rsidR="0092145E" w:rsidRPr="00CF77C1">
        <w:rPr>
          <w:b w:val="0"/>
          <w:lang w:val="sr-Cyrl-RS"/>
        </w:rPr>
        <w:fldChar w:fldCharType="end"/>
      </w:r>
      <w:bookmarkEnd w:id="171"/>
      <w:r w:rsidR="0028406A" w:rsidRPr="00CF77C1">
        <w:rPr>
          <w:b w:val="0"/>
          <w:lang w:val="sr-Cyrl-RS"/>
        </w:rPr>
        <w:t>: Динамика геолошких истражних радова на лежишту Радљево у периоду 2023-2027. година</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9"/>
        <w:gridCol w:w="1133"/>
        <w:gridCol w:w="1135"/>
        <w:gridCol w:w="1134"/>
        <w:gridCol w:w="1127"/>
        <w:gridCol w:w="1135"/>
      </w:tblGrid>
      <w:tr w:rsidR="0028406A" w:rsidRPr="00CF77C1" w14:paraId="7FDC5269" w14:textId="77777777" w:rsidTr="00276B15">
        <w:trPr>
          <w:trHeight w:val="20"/>
        </w:trPr>
        <w:tc>
          <w:tcPr>
            <w:tcW w:w="3799" w:type="dxa"/>
            <w:vAlign w:val="center"/>
          </w:tcPr>
          <w:p w14:paraId="2CD753FB"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Радови</w:t>
            </w:r>
          </w:p>
        </w:tc>
        <w:tc>
          <w:tcPr>
            <w:tcW w:w="1133" w:type="dxa"/>
            <w:vAlign w:val="center"/>
          </w:tcPr>
          <w:p w14:paraId="5BBD7E1A"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2023.</w:t>
            </w:r>
          </w:p>
        </w:tc>
        <w:tc>
          <w:tcPr>
            <w:tcW w:w="1135" w:type="dxa"/>
            <w:vAlign w:val="center"/>
          </w:tcPr>
          <w:p w14:paraId="0F9B94F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2024.</w:t>
            </w:r>
          </w:p>
        </w:tc>
        <w:tc>
          <w:tcPr>
            <w:tcW w:w="1134" w:type="dxa"/>
            <w:vAlign w:val="center"/>
          </w:tcPr>
          <w:p w14:paraId="5EADD829"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2025.</w:t>
            </w:r>
          </w:p>
        </w:tc>
        <w:tc>
          <w:tcPr>
            <w:tcW w:w="1127" w:type="dxa"/>
          </w:tcPr>
          <w:p w14:paraId="4E4A8B57"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2026.</w:t>
            </w:r>
          </w:p>
        </w:tc>
        <w:tc>
          <w:tcPr>
            <w:tcW w:w="1135" w:type="dxa"/>
            <w:vAlign w:val="center"/>
          </w:tcPr>
          <w:p w14:paraId="1CD05868"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2027.</w:t>
            </w:r>
          </w:p>
        </w:tc>
      </w:tr>
      <w:tr w:rsidR="0028406A" w:rsidRPr="00CF77C1" w14:paraId="762F3843" w14:textId="77777777" w:rsidTr="00276B15">
        <w:trPr>
          <w:trHeight w:val="20"/>
        </w:trPr>
        <w:tc>
          <w:tcPr>
            <w:tcW w:w="3799" w:type="dxa"/>
            <w:vAlign w:val="center"/>
          </w:tcPr>
          <w:p w14:paraId="42529508"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Вишенаменски истражни радови</w:t>
            </w:r>
          </w:p>
        </w:tc>
        <w:tc>
          <w:tcPr>
            <w:tcW w:w="1133" w:type="dxa"/>
            <w:vAlign w:val="center"/>
          </w:tcPr>
          <w:p w14:paraId="752C3CBA"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3D22B032"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4" w:type="dxa"/>
            <w:vAlign w:val="center"/>
          </w:tcPr>
          <w:p w14:paraId="76CE351E"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27" w:type="dxa"/>
            <w:vAlign w:val="center"/>
          </w:tcPr>
          <w:p w14:paraId="5FD8C0A0"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1962965D"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r>
      <w:tr w:rsidR="0028406A" w:rsidRPr="00CF77C1" w14:paraId="2E0AA118" w14:textId="77777777" w:rsidTr="00276B15">
        <w:trPr>
          <w:trHeight w:val="20"/>
        </w:trPr>
        <w:tc>
          <w:tcPr>
            <w:tcW w:w="3799" w:type="dxa"/>
            <w:vAlign w:val="center"/>
          </w:tcPr>
          <w:p w14:paraId="0C8E5150"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Геолошки истражни радови</w:t>
            </w:r>
          </w:p>
        </w:tc>
        <w:tc>
          <w:tcPr>
            <w:tcW w:w="1133" w:type="dxa"/>
            <w:vAlign w:val="center"/>
          </w:tcPr>
          <w:p w14:paraId="4AD21DFD"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79D54807"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4" w:type="dxa"/>
            <w:vAlign w:val="center"/>
          </w:tcPr>
          <w:p w14:paraId="06391B9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27" w:type="dxa"/>
            <w:vAlign w:val="center"/>
          </w:tcPr>
          <w:p w14:paraId="57E38096"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4DC8DE72"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r>
      <w:tr w:rsidR="0028406A" w:rsidRPr="00CF77C1" w14:paraId="48A894BC" w14:textId="77777777" w:rsidTr="00276B15">
        <w:trPr>
          <w:trHeight w:val="20"/>
        </w:trPr>
        <w:tc>
          <w:tcPr>
            <w:tcW w:w="3799" w:type="dxa"/>
            <w:vAlign w:val="center"/>
          </w:tcPr>
          <w:p w14:paraId="68D2DBD9"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Геофизички истражни радови</w:t>
            </w:r>
          </w:p>
        </w:tc>
        <w:tc>
          <w:tcPr>
            <w:tcW w:w="1133" w:type="dxa"/>
            <w:vAlign w:val="center"/>
          </w:tcPr>
          <w:p w14:paraId="7C4914A1"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1AA96DE9"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4" w:type="dxa"/>
            <w:vAlign w:val="center"/>
          </w:tcPr>
          <w:p w14:paraId="70EA3C36"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27" w:type="dxa"/>
            <w:vAlign w:val="center"/>
          </w:tcPr>
          <w:p w14:paraId="6514E92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6E40D7ED"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r>
      <w:tr w:rsidR="0028406A" w:rsidRPr="00CF77C1" w14:paraId="648ADDE9" w14:textId="77777777" w:rsidTr="00276B15">
        <w:trPr>
          <w:trHeight w:val="20"/>
        </w:trPr>
        <w:tc>
          <w:tcPr>
            <w:tcW w:w="3799" w:type="dxa"/>
            <w:vAlign w:val="center"/>
          </w:tcPr>
          <w:p w14:paraId="065ED108"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Геотехнички радови</w:t>
            </w:r>
          </w:p>
        </w:tc>
        <w:tc>
          <w:tcPr>
            <w:tcW w:w="1133" w:type="dxa"/>
            <w:vAlign w:val="center"/>
          </w:tcPr>
          <w:p w14:paraId="7E85E67C"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71E8274B"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4" w:type="dxa"/>
            <w:vAlign w:val="center"/>
          </w:tcPr>
          <w:p w14:paraId="7238590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27" w:type="dxa"/>
            <w:vAlign w:val="center"/>
          </w:tcPr>
          <w:p w14:paraId="76BBB02A"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196220A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r>
      <w:tr w:rsidR="0028406A" w:rsidRPr="00CF77C1" w14:paraId="7CC2AB56" w14:textId="77777777" w:rsidTr="00276B15">
        <w:trPr>
          <w:trHeight w:val="20"/>
        </w:trPr>
        <w:tc>
          <w:tcPr>
            <w:tcW w:w="3799" w:type="dxa"/>
            <w:vAlign w:val="center"/>
          </w:tcPr>
          <w:p w14:paraId="3E702589"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Хидрогеолошки радови</w:t>
            </w:r>
          </w:p>
        </w:tc>
        <w:tc>
          <w:tcPr>
            <w:tcW w:w="1133" w:type="dxa"/>
            <w:vAlign w:val="center"/>
          </w:tcPr>
          <w:p w14:paraId="6F5CD634"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5792762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4" w:type="dxa"/>
            <w:vAlign w:val="center"/>
          </w:tcPr>
          <w:p w14:paraId="28CAF043"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27" w:type="dxa"/>
            <w:vAlign w:val="center"/>
          </w:tcPr>
          <w:p w14:paraId="0C700220"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c>
          <w:tcPr>
            <w:tcW w:w="1135" w:type="dxa"/>
            <w:vAlign w:val="center"/>
          </w:tcPr>
          <w:p w14:paraId="400E398D"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x</w:t>
            </w:r>
          </w:p>
        </w:tc>
      </w:tr>
    </w:tbl>
    <w:p w14:paraId="53340FA2" w14:textId="390E6507" w:rsidR="00316872" w:rsidRPr="00CF77C1" w:rsidRDefault="00316872" w:rsidP="00A968A2">
      <w:pPr>
        <w:ind w:firstLine="720"/>
        <w:rPr>
          <w:lang w:val="sr-Cyrl-RS"/>
        </w:rPr>
      </w:pPr>
      <w:r w:rsidRPr="00CF77C1">
        <w:rPr>
          <w:lang w:val="sr-Cyrl-RS"/>
        </w:rPr>
        <w:t>До краја експлоатације, у периодима 2</w:t>
      </w:r>
      <w:r w:rsidR="005E0737" w:rsidRPr="00CF77C1">
        <w:rPr>
          <w:lang w:val="sr-Cyrl-RS"/>
        </w:rPr>
        <w:t>030</w:t>
      </w:r>
      <w:r w:rsidRPr="00CF77C1">
        <w:rPr>
          <w:lang w:val="sr-Cyrl-RS"/>
        </w:rPr>
        <w:t>-</w:t>
      </w:r>
      <w:r w:rsidR="005E0737" w:rsidRPr="00CF77C1">
        <w:rPr>
          <w:lang w:val="sr-Cyrl-RS"/>
        </w:rPr>
        <w:t>2034. година, 2037</w:t>
      </w:r>
      <w:r w:rsidRPr="00CF77C1">
        <w:rPr>
          <w:lang w:val="sr-Cyrl-RS"/>
        </w:rPr>
        <w:t>-</w:t>
      </w:r>
      <w:r w:rsidR="005E0737" w:rsidRPr="00CF77C1">
        <w:rPr>
          <w:lang w:val="sr-Cyrl-RS"/>
        </w:rPr>
        <w:t>2041. година и 2043</w:t>
      </w:r>
      <w:r w:rsidRPr="00CF77C1">
        <w:rPr>
          <w:lang w:val="sr-Cyrl-RS"/>
        </w:rPr>
        <w:t xml:space="preserve">-2047. година, потребно је реализовати мањи обим примењених геолошких истраживања за која се планирају улагања у износу од 500.000 </w:t>
      </w:r>
      <w:r w:rsidR="00F1645E" w:rsidRPr="00CF77C1">
        <w:rPr>
          <w:lang w:val="sr-Cyrl-RS"/>
        </w:rPr>
        <w:t>€</w:t>
      </w:r>
      <w:r w:rsidRPr="00CF77C1">
        <w:rPr>
          <w:lang w:val="sr-Cyrl-RS"/>
        </w:rPr>
        <w:t xml:space="preserve">, односно годишње 100.000 </w:t>
      </w:r>
      <w:r w:rsidR="00F1645E" w:rsidRPr="00CF77C1">
        <w:rPr>
          <w:lang w:val="sr-Cyrl-RS"/>
        </w:rPr>
        <w:t>€</w:t>
      </w:r>
      <w:r w:rsidRPr="00CF77C1">
        <w:rPr>
          <w:lang w:val="sr-Cyrl-RS"/>
        </w:rPr>
        <w:t xml:space="preserve"> у планираном периоду од </w:t>
      </w:r>
      <w:r w:rsidR="001E4172">
        <w:rPr>
          <w:lang w:val="sr-Cyrl-RS"/>
        </w:rPr>
        <w:t xml:space="preserve">пет </w:t>
      </w:r>
      <w:r w:rsidRPr="00CF77C1">
        <w:rPr>
          <w:lang w:val="sr-Cyrl-RS"/>
        </w:rPr>
        <w:t>година на бази којих се могу елаборирати петогодишњи извештаји. Приказана динамика геолошких истраживања за свако лежиште на коме ће се у планском периоду до 2025. године, односно до 2050. године вршити експлоатација угља планирана су тако да се временски изводе испред фронта радова на површинским коповим</w:t>
      </w:r>
      <w:r w:rsidR="00BA108E">
        <w:rPr>
          <w:lang w:val="sr-Cyrl-RS"/>
        </w:rPr>
        <w:t>а</w:t>
      </w:r>
      <w:r w:rsidRPr="00CF77C1">
        <w:rPr>
          <w:lang w:val="sr-Cyrl-RS"/>
        </w:rPr>
        <w:t xml:space="preserve"> најмање толико да се обезбеде сви параметри на којима се заснива благовремена и поуздана геолошка интерпретација лежишта неопходна за несметано планирање и извођење радова на откривци и експлоатацији угља.</w:t>
      </w:r>
    </w:p>
    <w:p w14:paraId="0F488A67" w14:textId="08E905D7" w:rsidR="0028406A" w:rsidRPr="00CF77C1" w:rsidRDefault="00D61BC9" w:rsidP="00A968A2">
      <w:pPr>
        <w:pStyle w:val="Caption"/>
        <w:ind w:firstLine="720"/>
        <w:rPr>
          <w:b w:val="0"/>
          <w:lang w:val="sr-Cyrl-RS"/>
        </w:rPr>
      </w:pPr>
      <w:r w:rsidRPr="00CF77C1">
        <w:rPr>
          <w:b w:val="0"/>
          <w:lang w:val="sr-Cyrl-RS"/>
        </w:rPr>
        <w:t>таб.</w:t>
      </w:r>
      <w:r w:rsidR="0028406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101</w:t>
      </w:r>
      <w:r w:rsidR="0092145E" w:rsidRPr="00CF77C1">
        <w:rPr>
          <w:b w:val="0"/>
          <w:lang w:val="sr-Cyrl-RS"/>
        </w:rPr>
        <w:fldChar w:fldCharType="end"/>
      </w:r>
      <w:r w:rsidR="0028406A" w:rsidRPr="00CF77C1">
        <w:rPr>
          <w:b w:val="0"/>
          <w:lang w:val="sr-Cyrl-RS"/>
        </w:rPr>
        <w:t>: Спецификација геолошких радова и рекапитулација укупних трошкова истраживања (€) на лежишту Радљево, по</w:t>
      </w:r>
      <w:r w:rsidR="005E0737" w:rsidRPr="00CF77C1">
        <w:rPr>
          <w:b w:val="0"/>
          <w:lang w:val="sr-Cyrl-RS"/>
        </w:rPr>
        <w:t xml:space="preserve"> врстама радова, у периоду 2016</w:t>
      </w:r>
      <w:r w:rsidR="0028406A" w:rsidRPr="00CF77C1">
        <w:rPr>
          <w:b w:val="0"/>
          <w:lang w:val="sr-Cyrl-RS"/>
        </w:rPr>
        <w:t>-2019. година</w:t>
      </w:r>
    </w:p>
    <w:tbl>
      <w:tblPr>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442"/>
        <w:gridCol w:w="1442"/>
        <w:gridCol w:w="1442"/>
        <w:gridCol w:w="1442"/>
        <w:gridCol w:w="1442"/>
      </w:tblGrid>
      <w:tr w:rsidR="0028406A" w:rsidRPr="00CF77C1" w14:paraId="5D03DEB3" w14:textId="77777777" w:rsidTr="00276B15">
        <w:trPr>
          <w:trHeight w:val="283"/>
        </w:trPr>
        <w:tc>
          <w:tcPr>
            <w:tcW w:w="2109" w:type="dxa"/>
            <w:vAlign w:val="center"/>
          </w:tcPr>
          <w:p w14:paraId="6CF24F02" w14:textId="77777777" w:rsidR="0028406A" w:rsidRPr="00CF77C1" w:rsidRDefault="0028406A" w:rsidP="0080044B">
            <w:pPr>
              <w:framePr w:hSpace="181" w:wrap="notBeside" w:vAnchor="text" w:hAnchor="text" w:x="120" w:y="1"/>
              <w:jc w:val="center"/>
              <w:rPr>
                <w:szCs w:val="24"/>
                <w:lang w:val="sr-Cyrl-RS"/>
              </w:rPr>
            </w:pPr>
            <w:r w:rsidRPr="00CF77C1">
              <w:rPr>
                <w:szCs w:val="24"/>
                <w:lang w:val="sr-Cyrl-RS"/>
              </w:rPr>
              <w:t>Радови</w:t>
            </w:r>
          </w:p>
        </w:tc>
        <w:tc>
          <w:tcPr>
            <w:tcW w:w="1442" w:type="dxa"/>
            <w:vAlign w:val="center"/>
          </w:tcPr>
          <w:p w14:paraId="26CDE568" w14:textId="77777777" w:rsidR="0028406A" w:rsidRPr="00CF77C1" w:rsidRDefault="0028406A" w:rsidP="0080044B">
            <w:pPr>
              <w:framePr w:hSpace="181" w:wrap="notBeside" w:vAnchor="text" w:hAnchor="text" w:x="120" w:y="1"/>
              <w:jc w:val="center"/>
              <w:rPr>
                <w:szCs w:val="24"/>
                <w:lang w:val="sr-Cyrl-RS"/>
              </w:rPr>
            </w:pPr>
            <w:r w:rsidRPr="00CF77C1">
              <w:rPr>
                <w:szCs w:val="24"/>
                <w:lang w:val="sr-Cyrl-RS"/>
              </w:rPr>
              <w:t>2016.</w:t>
            </w:r>
          </w:p>
        </w:tc>
        <w:tc>
          <w:tcPr>
            <w:tcW w:w="1442" w:type="dxa"/>
            <w:vAlign w:val="center"/>
          </w:tcPr>
          <w:p w14:paraId="43E68CFD" w14:textId="77777777" w:rsidR="0028406A" w:rsidRPr="00CF77C1" w:rsidRDefault="0028406A" w:rsidP="0080044B">
            <w:pPr>
              <w:framePr w:hSpace="181" w:wrap="notBeside" w:vAnchor="text" w:hAnchor="text" w:x="120" w:y="1"/>
              <w:jc w:val="center"/>
              <w:rPr>
                <w:szCs w:val="24"/>
                <w:lang w:val="sr-Cyrl-RS"/>
              </w:rPr>
            </w:pPr>
            <w:r w:rsidRPr="00CF77C1">
              <w:rPr>
                <w:szCs w:val="24"/>
                <w:lang w:val="sr-Cyrl-RS"/>
              </w:rPr>
              <w:t>2017.</w:t>
            </w:r>
          </w:p>
        </w:tc>
        <w:tc>
          <w:tcPr>
            <w:tcW w:w="1442" w:type="dxa"/>
            <w:vAlign w:val="center"/>
          </w:tcPr>
          <w:p w14:paraId="7EBBA750" w14:textId="77777777" w:rsidR="0028406A" w:rsidRPr="00CF77C1" w:rsidRDefault="0028406A" w:rsidP="0080044B">
            <w:pPr>
              <w:framePr w:hSpace="181" w:wrap="notBeside" w:vAnchor="text" w:hAnchor="text" w:x="120" w:y="1"/>
              <w:jc w:val="center"/>
              <w:rPr>
                <w:szCs w:val="24"/>
                <w:lang w:val="sr-Cyrl-RS"/>
              </w:rPr>
            </w:pPr>
            <w:r w:rsidRPr="00CF77C1">
              <w:rPr>
                <w:szCs w:val="24"/>
                <w:lang w:val="sr-Cyrl-RS"/>
              </w:rPr>
              <w:t>2018.</w:t>
            </w:r>
          </w:p>
        </w:tc>
        <w:tc>
          <w:tcPr>
            <w:tcW w:w="1442" w:type="dxa"/>
            <w:vAlign w:val="center"/>
          </w:tcPr>
          <w:p w14:paraId="000EAD5D" w14:textId="77777777" w:rsidR="0028406A" w:rsidRPr="00CF77C1" w:rsidRDefault="0028406A" w:rsidP="0080044B">
            <w:pPr>
              <w:framePr w:hSpace="181" w:wrap="notBeside" w:vAnchor="text" w:hAnchor="text" w:x="120" w:y="1"/>
              <w:jc w:val="center"/>
              <w:rPr>
                <w:szCs w:val="24"/>
                <w:lang w:val="sr-Cyrl-RS"/>
              </w:rPr>
            </w:pPr>
            <w:r w:rsidRPr="00CF77C1">
              <w:rPr>
                <w:szCs w:val="24"/>
                <w:lang w:val="sr-Cyrl-RS"/>
              </w:rPr>
              <w:t>2019.</w:t>
            </w:r>
          </w:p>
        </w:tc>
        <w:tc>
          <w:tcPr>
            <w:tcW w:w="1442" w:type="dxa"/>
            <w:vAlign w:val="center"/>
          </w:tcPr>
          <w:p w14:paraId="4E1D81A8" w14:textId="02CB57B1" w:rsidR="0028406A" w:rsidRPr="00CF77C1" w:rsidRDefault="00F36259" w:rsidP="0080044B">
            <w:pPr>
              <w:framePr w:hSpace="181" w:wrap="notBeside" w:vAnchor="text" w:hAnchor="text" w:x="120" w:y="1"/>
              <w:jc w:val="center"/>
              <w:rPr>
                <w:szCs w:val="24"/>
                <w:lang w:val="sr-Cyrl-RS"/>
              </w:rPr>
            </w:pPr>
            <w:r>
              <w:rPr>
                <w:szCs w:val="24"/>
                <w:lang w:val="sr-Cyrl-RS"/>
              </w:rPr>
              <w:t>Укупно</w:t>
            </w:r>
            <w:r w:rsidR="0028406A" w:rsidRPr="00CF77C1">
              <w:rPr>
                <w:szCs w:val="24"/>
                <w:lang w:val="sr-Cyrl-RS"/>
              </w:rPr>
              <w:t xml:space="preserve"> (</w:t>
            </w:r>
            <w:r w:rsidR="0028406A" w:rsidRPr="00CF77C1">
              <w:rPr>
                <w:bCs/>
                <w:spacing w:val="-1"/>
                <w:szCs w:val="24"/>
                <w:lang w:val="sr-Cyrl-RS"/>
              </w:rPr>
              <w:t>€)</w:t>
            </w:r>
          </w:p>
        </w:tc>
      </w:tr>
      <w:tr w:rsidR="0028406A" w:rsidRPr="00CF77C1" w14:paraId="046932A4" w14:textId="77777777" w:rsidTr="00276B15">
        <w:trPr>
          <w:trHeight w:val="170"/>
        </w:trPr>
        <w:tc>
          <w:tcPr>
            <w:tcW w:w="2109" w:type="dxa"/>
            <w:vAlign w:val="center"/>
          </w:tcPr>
          <w:p w14:paraId="78836A3E" w14:textId="77777777" w:rsidR="0028406A" w:rsidRPr="00CF77C1" w:rsidRDefault="0028406A" w:rsidP="0080044B">
            <w:pPr>
              <w:framePr w:hSpace="181" w:wrap="notBeside" w:vAnchor="text" w:hAnchor="text" w:x="120" w:y="1"/>
              <w:jc w:val="left"/>
              <w:rPr>
                <w:szCs w:val="24"/>
                <w:lang w:val="sr-Cyrl-RS"/>
              </w:rPr>
            </w:pPr>
            <w:r w:rsidRPr="00CF77C1">
              <w:rPr>
                <w:szCs w:val="24"/>
                <w:lang w:val="sr-Cyrl-RS"/>
              </w:rPr>
              <w:t>Вишенаменски истражни радови</w:t>
            </w:r>
          </w:p>
        </w:tc>
        <w:tc>
          <w:tcPr>
            <w:tcW w:w="1442" w:type="dxa"/>
            <w:vAlign w:val="center"/>
          </w:tcPr>
          <w:p w14:paraId="648FB7F8"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509.659</w:t>
            </w:r>
          </w:p>
        </w:tc>
        <w:tc>
          <w:tcPr>
            <w:tcW w:w="1442" w:type="dxa"/>
            <w:vAlign w:val="center"/>
          </w:tcPr>
          <w:p w14:paraId="78919136"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540.459</w:t>
            </w:r>
          </w:p>
        </w:tc>
        <w:tc>
          <w:tcPr>
            <w:tcW w:w="1442" w:type="dxa"/>
            <w:vAlign w:val="center"/>
          </w:tcPr>
          <w:p w14:paraId="037CC8F2"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723.854</w:t>
            </w:r>
          </w:p>
        </w:tc>
        <w:tc>
          <w:tcPr>
            <w:tcW w:w="1442" w:type="dxa"/>
            <w:vAlign w:val="center"/>
          </w:tcPr>
          <w:p w14:paraId="653596FF"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265.311</w:t>
            </w:r>
          </w:p>
        </w:tc>
        <w:tc>
          <w:tcPr>
            <w:tcW w:w="1442" w:type="dxa"/>
            <w:vAlign w:val="center"/>
          </w:tcPr>
          <w:p w14:paraId="53EE9F7C"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2.039.283</w:t>
            </w:r>
          </w:p>
        </w:tc>
      </w:tr>
      <w:tr w:rsidR="0028406A" w:rsidRPr="00CF77C1" w14:paraId="5CF21D8D" w14:textId="77777777" w:rsidTr="00276B15">
        <w:trPr>
          <w:trHeight w:val="170"/>
        </w:trPr>
        <w:tc>
          <w:tcPr>
            <w:tcW w:w="2109" w:type="dxa"/>
            <w:vAlign w:val="center"/>
          </w:tcPr>
          <w:p w14:paraId="52C861D8" w14:textId="77777777" w:rsidR="0028406A" w:rsidRPr="00CF77C1" w:rsidRDefault="0028406A" w:rsidP="0080044B">
            <w:pPr>
              <w:framePr w:hSpace="181" w:wrap="notBeside" w:vAnchor="text" w:hAnchor="text" w:x="120" w:y="1"/>
              <w:jc w:val="left"/>
              <w:rPr>
                <w:szCs w:val="24"/>
                <w:lang w:val="sr-Cyrl-RS"/>
              </w:rPr>
            </w:pPr>
            <w:r w:rsidRPr="00CF77C1">
              <w:rPr>
                <w:szCs w:val="24"/>
                <w:lang w:val="sr-Cyrl-RS"/>
              </w:rPr>
              <w:t>Геолошки истражни радови</w:t>
            </w:r>
          </w:p>
        </w:tc>
        <w:tc>
          <w:tcPr>
            <w:tcW w:w="1442" w:type="dxa"/>
            <w:vAlign w:val="center"/>
          </w:tcPr>
          <w:p w14:paraId="6C5E7202"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900.379</w:t>
            </w:r>
          </w:p>
        </w:tc>
        <w:tc>
          <w:tcPr>
            <w:tcW w:w="1442" w:type="dxa"/>
            <w:vAlign w:val="center"/>
          </w:tcPr>
          <w:p w14:paraId="7E48AF0F"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696.886</w:t>
            </w:r>
          </w:p>
        </w:tc>
        <w:tc>
          <w:tcPr>
            <w:tcW w:w="1442" w:type="dxa"/>
            <w:vAlign w:val="center"/>
          </w:tcPr>
          <w:p w14:paraId="4570C7DD"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933.064</w:t>
            </w:r>
          </w:p>
        </w:tc>
        <w:tc>
          <w:tcPr>
            <w:tcW w:w="1442" w:type="dxa"/>
            <w:vAlign w:val="center"/>
          </w:tcPr>
          <w:p w14:paraId="12B0350A"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261.711</w:t>
            </w:r>
          </w:p>
        </w:tc>
        <w:tc>
          <w:tcPr>
            <w:tcW w:w="1442" w:type="dxa"/>
            <w:vAlign w:val="center"/>
          </w:tcPr>
          <w:p w14:paraId="0CEF8C9D"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2.792.040</w:t>
            </w:r>
          </w:p>
        </w:tc>
      </w:tr>
      <w:tr w:rsidR="0028406A" w:rsidRPr="00CF77C1" w14:paraId="7AFFF1EC" w14:textId="77777777" w:rsidTr="00276B15">
        <w:trPr>
          <w:trHeight w:val="170"/>
        </w:trPr>
        <w:tc>
          <w:tcPr>
            <w:tcW w:w="2109" w:type="dxa"/>
            <w:vAlign w:val="center"/>
          </w:tcPr>
          <w:p w14:paraId="4F64A51B" w14:textId="77777777" w:rsidR="0028406A" w:rsidRPr="00CF77C1" w:rsidRDefault="0028406A" w:rsidP="0080044B">
            <w:pPr>
              <w:framePr w:hSpace="181" w:wrap="notBeside" w:vAnchor="text" w:hAnchor="text" w:x="120" w:y="1"/>
              <w:jc w:val="left"/>
              <w:rPr>
                <w:szCs w:val="24"/>
                <w:lang w:val="sr-Cyrl-RS"/>
              </w:rPr>
            </w:pPr>
            <w:r w:rsidRPr="00CF77C1">
              <w:rPr>
                <w:szCs w:val="24"/>
                <w:lang w:val="sr-Cyrl-RS"/>
              </w:rPr>
              <w:t>Геофизички истражни радови</w:t>
            </w:r>
          </w:p>
        </w:tc>
        <w:tc>
          <w:tcPr>
            <w:tcW w:w="1442" w:type="dxa"/>
            <w:vAlign w:val="center"/>
          </w:tcPr>
          <w:p w14:paraId="631ED273"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172.703</w:t>
            </w:r>
          </w:p>
        </w:tc>
        <w:tc>
          <w:tcPr>
            <w:tcW w:w="1442" w:type="dxa"/>
            <w:vAlign w:val="center"/>
          </w:tcPr>
          <w:p w14:paraId="307C7738"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229.450</w:t>
            </w:r>
          </w:p>
        </w:tc>
        <w:tc>
          <w:tcPr>
            <w:tcW w:w="1442" w:type="dxa"/>
            <w:vAlign w:val="center"/>
          </w:tcPr>
          <w:p w14:paraId="31F67955"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167.792</w:t>
            </w:r>
          </w:p>
        </w:tc>
        <w:tc>
          <w:tcPr>
            <w:tcW w:w="1442" w:type="dxa"/>
            <w:vAlign w:val="center"/>
          </w:tcPr>
          <w:p w14:paraId="5799917C"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268.339</w:t>
            </w:r>
          </w:p>
        </w:tc>
        <w:tc>
          <w:tcPr>
            <w:tcW w:w="1442" w:type="dxa"/>
            <w:vAlign w:val="center"/>
          </w:tcPr>
          <w:p w14:paraId="396F398F"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838.284</w:t>
            </w:r>
          </w:p>
        </w:tc>
      </w:tr>
      <w:tr w:rsidR="0028406A" w:rsidRPr="00CF77C1" w14:paraId="73779108" w14:textId="77777777" w:rsidTr="00276B15">
        <w:trPr>
          <w:trHeight w:val="170"/>
        </w:trPr>
        <w:tc>
          <w:tcPr>
            <w:tcW w:w="2109" w:type="dxa"/>
            <w:vAlign w:val="center"/>
          </w:tcPr>
          <w:p w14:paraId="47F0D5CF" w14:textId="77777777" w:rsidR="0028406A" w:rsidRPr="00CF77C1" w:rsidRDefault="0028406A" w:rsidP="0080044B">
            <w:pPr>
              <w:framePr w:hSpace="181" w:wrap="notBeside" w:vAnchor="text" w:hAnchor="text" w:x="120" w:y="1"/>
              <w:jc w:val="left"/>
              <w:rPr>
                <w:szCs w:val="24"/>
                <w:lang w:val="sr-Cyrl-RS"/>
              </w:rPr>
            </w:pPr>
            <w:r w:rsidRPr="00CF77C1">
              <w:rPr>
                <w:szCs w:val="24"/>
                <w:lang w:val="sr-Cyrl-RS"/>
              </w:rPr>
              <w:t>Геотехнички радови</w:t>
            </w:r>
          </w:p>
        </w:tc>
        <w:tc>
          <w:tcPr>
            <w:tcW w:w="1442" w:type="dxa"/>
            <w:vAlign w:val="center"/>
          </w:tcPr>
          <w:p w14:paraId="7D472F67"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182.361</w:t>
            </w:r>
          </w:p>
        </w:tc>
        <w:tc>
          <w:tcPr>
            <w:tcW w:w="1442" w:type="dxa"/>
            <w:vAlign w:val="center"/>
          </w:tcPr>
          <w:p w14:paraId="2EF26E04"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154.817</w:t>
            </w:r>
          </w:p>
        </w:tc>
        <w:tc>
          <w:tcPr>
            <w:tcW w:w="1442" w:type="dxa"/>
            <w:vAlign w:val="center"/>
          </w:tcPr>
          <w:p w14:paraId="25736300"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129.583</w:t>
            </w:r>
          </w:p>
        </w:tc>
        <w:tc>
          <w:tcPr>
            <w:tcW w:w="1442" w:type="dxa"/>
            <w:vAlign w:val="center"/>
          </w:tcPr>
          <w:p w14:paraId="56A9BEC8"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84.706</w:t>
            </w:r>
          </w:p>
        </w:tc>
        <w:tc>
          <w:tcPr>
            <w:tcW w:w="1442" w:type="dxa"/>
            <w:vAlign w:val="center"/>
          </w:tcPr>
          <w:p w14:paraId="4908D8F2"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551.467</w:t>
            </w:r>
          </w:p>
        </w:tc>
      </w:tr>
      <w:tr w:rsidR="0028406A" w:rsidRPr="00CF77C1" w14:paraId="5300B9FD" w14:textId="77777777" w:rsidTr="00276B15">
        <w:trPr>
          <w:trHeight w:val="170"/>
        </w:trPr>
        <w:tc>
          <w:tcPr>
            <w:tcW w:w="2109" w:type="dxa"/>
            <w:vAlign w:val="center"/>
          </w:tcPr>
          <w:p w14:paraId="4D03C6EF" w14:textId="77777777" w:rsidR="0028406A" w:rsidRPr="00CF77C1" w:rsidRDefault="0028406A" w:rsidP="0080044B">
            <w:pPr>
              <w:framePr w:hSpace="181" w:wrap="notBeside" w:vAnchor="text" w:hAnchor="text" w:x="120" w:y="1"/>
              <w:jc w:val="left"/>
              <w:rPr>
                <w:szCs w:val="24"/>
                <w:lang w:val="sr-Cyrl-RS"/>
              </w:rPr>
            </w:pPr>
            <w:r w:rsidRPr="00CF77C1">
              <w:rPr>
                <w:szCs w:val="24"/>
                <w:lang w:val="sr-Cyrl-RS"/>
              </w:rPr>
              <w:t>Хидрогеолошки радови</w:t>
            </w:r>
          </w:p>
        </w:tc>
        <w:tc>
          <w:tcPr>
            <w:tcW w:w="1442" w:type="dxa"/>
            <w:vAlign w:val="center"/>
          </w:tcPr>
          <w:p w14:paraId="24F38F60"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204.859</w:t>
            </w:r>
          </w:p>
        </w:tc>
        <w:tc>
          <w:tcPr>
            <w:tcW w:w="1442" w:type="dxa"/>
            <w:vAlign w:val="center"/>
          </w:tcPr>
          <w:p w14:paraId="2ED01378"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402.937</w:t>
            </w:r>
          </w:p>
        </w:tc>
        <w:tc>
          <w:tcPr>
            <w:tcW w:w="1442" w:type="dxa"/>
            <w:vAlign w:val="center"/>
          </w:tcPr>
          <w:p w14:paraId="7F87A1E8"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116.824</w:t>
            </w:r>
          </w:p>
        </w:tc>
        <w:tc>
          <w:tcPr>
            <w:tcW w:w="1442" w:type="dxa"/>
            <w:vAlign w:val="center"/>
          </w:tcPr>
          <w:p w14:paraId="115B2DC8"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242.896</w:t>
            </w:r>
          </w:p>
        </w:tc>
        <w:tc>
          <w:tcPr>
            <w:tcW w:w="1442" w:type="dxa"/>
            <w:vAlign w:val="center"/>
          </w:tcPr>
          <w:p w14:paraId="71F805BB"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967.516</w:t>
            </w:r>
          </w:p>
        </w:tc>
      </w:tr>
      <w:tr w:rsidR="0028406A" w:rsidRPr="00CF77C1" w14:paraId="7F403D71" w14:textId="77777777" w:rsidTr="00276B15">
        <w:trPr>
          <w:trHeight w:val="170"/>
        </w:trPr>
        <w:tc>
          <w:tcPr>
            <w:tcW w:w="2109" w:type="dxa"/>
            <w:vAlign w:val="center"/>
          </w:tcPr>
          <w:p w14:paraId="5DEBFDD8" w14:textId="77777777" w:rsidR="0028406A" w:rsidRPr="00CF77C1" w:rsidRDefault="0028406A" w:rsidP="0080044B">
            <w:pPr>
              <w:framePr w:hSpace="181" w:wrap="notBeside" w:vAnchor="text" w:hAnchor="text" w:x="120" w:y="1"/>
              <w:jc w:val="left"/>
              <w:rPr>
                <w:szCs w:val="24"/>
                <w:lang w:val="sr-Cyrl-RS"/>
              </w:rPr>
            </w:pPr>
            <w:r w:rsidRPr="00CF77C1">
              <w:rPr>
                <w:szCs w:val="24"/>
                <w:lang w:val="sr-Cyrl-RS"/>
              </w:rPr>
              <w:t>Укупно</w:t>
            </w:r>
          </w:p>
        </w:tc>
        <w:tc>
          <w:tcPr>
            <w:tcW w:w="1442" w:type="dxa"/>
            <w:vAlign w:val="center"/>
          </w:tcPr>
          <w:p w14:paraId="417626A1"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1.969.961</w:t>
            </w:r>
          </w:p>
        </w:tc>
        <w:tc>
          <w:tcPr>
            <w:tcW w:w="1442" w:type="dxa"/>
            <w:vAlign w:val="center"/>
          </w:tcPr>
          <w:p w14:paraId="6CB4BC30"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2.024.548</w:t>
            </w:r>
          </w:p>
        </w:tc>
        <w:tc>
          <w:tcPr>
            <w:tcW w:w="1442" w:type="dxa"/>
            <w:vAlign w:val="center"/>
          </w:tcPr>
          <w:p w14:paraId="6CA46523"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2.071.118</w:t>
            </w:r>
          </w:p>
        </w:tc>
        <w:tc>
          <w:tcPr>
            <w:tcW w:w="1442" w:type="dxa"/>
            <w:vAlign w:val="center"/>
          </w:tcPr>
          <w:p w14:paraId="79C8D889"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1.122.963</w:t>
            </w:r>
          </w:p>
        </w:tc>
        <w:tc>
          <w:tcPr>
            <w:tcW w:w="1442" w:type="dxa"/>
            <w:vAlign w:val="center"/>
          </w:tcPr>
          <w:p w14:paraId="29280478" w14:textId="77777777" w:rsidR="0028406A" w:rsidRPr="00CF77C1" w:rsidRDefault="0028406A" w:rsidP="0080044B">
            <w:pPr>
              <w:framePr w:hSpace="181" w:wrap="notBeside" w:vAnchor="text" w:hAnchor="text" w:x="120" w:y="1"/>
              <w:jc w:val="right"/>
              <w:rPr>
                <w:szCs w:val="24"/>
                <w:lang w:val="sr-Cyrl-RS"/>
              </w:rPr>
            </w:pPr>
            <w:r w:rsidRPr="00CF77C1">
              <w:rPr>
                <w:szCs w:val="24"/>
                <w:lang w:val="sr-Cyrl-RS"/>
              </w:rPr>
              <w:t>7.188.589</w:t>
            </w:r>
          </w:p>
        </w:tc>
      </w:tr>
    </w:tbl>
    <w:p w14:paraId="5E820DB0" w14:textId="22252FF8" w:rsidR="00316872" w:rsidRPr="00CF77C1" w:rsidRDefault="00D61BC9" w:rsidP="00A968A2">
      <w:pPr>
        <w:pStyle w:val="Caption"/>
        <w:ind w:firstLine="720"/>
        <w:rPr>
          <w:b w:val="0"/>
          <w:lang w:val="sr-Cyrl-RS"/>
        </w:rPr>
      </w:pPr>
      <w:r w:rsidRPr="00CF77C1">
        <w:rPr>
          <w:b w:val="0"/>
          <w:lang w:val="sr-Cyrl-RS"/>
        </w:rPr>
        <w:t>таб.</w:t>
      </w:r>
      <w:r w:rsidR="003168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102</w:t>
      </w:r>
      <w:r w:rsidR="0092145E" w:rsidRPr="00CF77C1">
        <w:rPr>
          <w:b w:val="0"/>
          <w:lang w:val="sr-Cyrl-RS"/>
        </w:rPr>
        <w:fldChar w:fldCharType="end"/>
      </w:r>
      <w:r w:rsidR="00316872" w:rsidRPr="00CF77C1">
        <w:rPr>
          <w:b w:val="0"/>
          <w:lang w:val="sr-Cyrl-RS"/>
        </w:rPr>
        <w:t>: Улагања (€) у геолошка истраживања у источном делу колубарског басена</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709"/>
        <w:gridCol w:w="4680"/>
        <w:gridCol w:w="1348"/>
        <w:gridCol w:w="1349"/>
        <w:gridCol w:w="1349"/>
      </w:tblGrid>
      <w:tr w:rsidR="00316872" w:rsidRPr="00CF77C1" w14:paraId="465FE6A1" w14:textId="77777777" w:rsidTr="00276B15">
        <w:trPr>
          <w:trHeight w:val="240"/>
        </w:trPr>
        <w:tc>
          <w:tcPr>
            <w:tcW w:w="709" w:type="dxa"/>
            <w:tcBorders>
              <w:top w:val="single" w:sz="4" w:space="0" w:color="auto"/>
              <w:left w:val="single" w:sz="4" w:space="0" w:color="auto"/>
              <w:bottom w:val="single" w:sz="4" w:space="0" w:color="auto"/>
              <w:right w:val="single" w:sz="4" w:space="0" w:color="auto"/>
            </w:tcBorders>
            <w:shd w:val="solid" w:color="FFFFFF" w:fill="auto"/>
            <w:vAlign w:val="center"/>
          </w:tcPr>
          <w:p w14:paraId="3E53F9AC" w14:textId="77777777" w:rsidR="00316872" w:rsidRPr="00CF77C1" w:rsidRDefault="00316872" w:rsidP="0080044B">
            <w:pPr>
              <w:framePr w:hSpace="181" w:wrap="notBeside" w:vAnchor="text" w:hAnchor="text" w:x="29" w:y="1"/>
              <w:autoSpaceDE w:val="0"/>
              <w:autoSpaceDN w:val="0"/>
              <w:adjustRightInd w:val="0"/>
              <w:spacing w:after="0"/>
              <w:jc w:val="center"/>
              <w:rPr>
                <w:bCs/>
                <w:szCs w:val="24"/>
                <w:lang w:val="sr-Cyrl-RS"/>
              </w:rPr>
            </w:pPr>
            <w:r w:rsidRPr="00CF77C1">
              <w:rPr>
                <w:bCs/>
                <w:szCs w:val="24"/>
                <w:lang w:val="sr-Cyrl-RS"/>
              </w:rPr>
              <w:t>Број</w:t>
            </w:r>
          </w:p>
        </w:tc>
        <w:tc>
          <w:tcPr>
            <w:tcW w:w="4680" w:type="dxa"/>
            <w:tcBorders>
              <w:top w:val="single" w:sz="4" w:space="0" w:color="auto"/>
              <w:left w:val="single" w:sz="4" w:space="0" w:color="auto"/>
              <w:bottom w:val="single" w:sz="4" w:space="0" w:color="auto"/>
              <w:right w:val="single" w:sz="4" w:space="0" w:color="auto"/>
            </w:tcBorders>
            <w:shd w:val="solid" w:color="FFFFFF" w:fill="auto"/>
            <w:vAlign w:val="center"/>
          </w:tcPr>
          <w:p w14:paraId="369E0211" w14:textId="77777777" w:rsidR="00316872" w:rsidRPr="00CF77C1" w:rsidRDefault="00316872" w:rsidP="0080044B">
            <w:pPr>
              <w:framePr w:hSpace="181" w:wrap="notBeside" w:vAnchor="text" w:hAnchor="text" w:x="29" w:y="1"/>
              <w:spacing w:after="0"/>
              <w:jc w:val="center"/>
              <w:rPr>
                <w:bCs/>
                <w:szCs w:val="24"/>
                <w:lang w:val="sr-Cyrl-RS"/>
              </w:rPr>
            </w:pPr>
            <w:r w:rsidRPr="00CF77C1">
              <w:rPr>
                <w:bCs/>
                <w:szCs w:val="24"/>
                <w:lang w:val="sr-Cyrl-RS"/>
              </w:rPr>
              <w:t>Назив</w:t>
            </w:r>
          </w:p>
        </w:tc>
        <w:tc>
          <w:tcPr>
            <w:tcW w:w="1348" w:type="dxa"/>
            <w:tcBorders>
              <w:top w:val="single" w:sz="4" w:space="0" w:color="auto"/>
              <w:left w:val="single" w:sz="4" w:space="0" w:color="auto"/>
              <w:bottom w:val="single" w:sz="4" w:space="0" w:color="auto"/>
              <w:right w:val="single" w:sz="4" w:space="0" w:color="auto"/>
            </w:tcBorders>
            <w:shd w:val="solid" w:color="FFFFFF" w:fill="auto"/>
            <w:vAlign w:val="center"/>
          </w:tcPr>
          <w:p w14:paraId="66C2240F" w14:textId="77777777" w:rsidR="00316872" w:rsidRPr="00CF77C1" w:rsidRDefault="00316872" w:rsidP="0080044B">
            <w:pPr>
              <w:framePr w:hSpace="181" w:wrap="notBeside" w:vAnchor="text" w:hAnchor="text" w:x="29" w:y="1"/>
              <w:spacing w:after="0"/>
              <w:jc w:val="center"/>
              <w:rPr>
                <w:bCs/>
                <w:szCs w:val="24"/>
                <w:lang w:val="sr-Cyrl-RS"/>
              </w:rPr>
            </w:pPr>
            <w:r w:rsidRPr="00CF77C1">
              <w:rPr>
                <w:bCs/>
                <w:szCs w:val="24"/>
                <w:lang w:val="sr-Cyrl-RS"/>
              </w:rPr>
              <w:t>Укупна улагања у периоду</w:t>
            </w:r>
            <w:r w:rsidR="00BD44C7" w:rsidRPr="00CF77C1">
              <w:rPr>
                <w:bCs/>
                <w:szCs w:val="24"/>
                <w:lang w:val="sr-Cyrl-RS"/>
              </w:rPr>
              <w:t xml:space="preserve"> </w:t>
            </w:r>
            <w:r w:rsidR="00537E82" w:rsidRPr="00CF77C1">
              <w:rPr>
                <w:bCs/>
                <w:szCs w:val="24"/>
                <w:lang w:val="sr-Cyrl-RS"/>
              </w:rPr>
              <w:t>2015</w:t>
            </w:r>
            <w:r w:rsidRPr="00CF77C1">
              <w:rPr>
                <w:bCs/>
                <w:szCs w:val="24"/>
                <w:lang w:val="sr-Cyrl-RS"/>
              </w:rPr>
              <w:t>-2049.</w:t>
            </w:r>
          </w:p>
        </w:tc>
        <w:tc>
          <w:tcPr>
            <w:tcW w:w="1349" w:type="dxa"/>
            <w:tcBorders>
              <w:top w:val="single" w:sz="4" w:space="0" w:color="auto"/>
              <w:left w:val="single" w:sz="4" w:space="0" w:color="auto"/>
              <w:bottom w:val="single" w:sz="4" w:space="0" w:color="auto"/>
              <w:right w:val="single" w:sz="4" w:space="0" w:color="auto"/>
            </w:tcBorders>
            <w:shd w:val="solid" w:color="FFFFFF" w:fill="auto"/>
            <w:vAlign w:val="center"/>
          </w:tcPr>
          <w:p w14:paraId="40EE4424" w14:textId="77777777" w:rsidR="00316872" w:rsidRPr="00CF77C1" w:rsidRDefault="00316872" w:rsidP="0080044B">
            <w:pPr>
              <w:framePr w:hSpace="181" w:wrap="notBeside" w:vAnchor="text" w:hAnchor="text" w:x="29" w:y="1"/>
              <w:spacing w:after="0"/>
              <w:jc w:val="center"/>
              <w:rPr>
                <w:bCs/>
                <w:szCs w:val="24"/>
                <w:lang w:val="sr-Cyrl-RS"/>
              </w:rPr>
            </w:pPr>
            <w:r w:rsidRPr="00CF77C1">
              <w:rPr>
                <w:bCs/>
                <w:szCs w:val="24"/>
                <w:lang w:val="sr-Cyrl-RS"/>
              </w:rPr>
              <w:t>Улагања у периоду</w:t>
            </w:r>
            <w:r w:rsidR="00BD44C7" w:rsidRPr="00CF77C1">
              <w:rPr>
                <w:bCs/>
                <w:szCs w:val="24"/>
                <w:lang w:val="sr-Cyrl-RS"/>
              </w:rPr>
              <w:t xml:space="preserve"> </w:t>
            </w:r>
            <w:r w:rsidR="00537E82" w:rsidRPr="00CF77C1">
              <w:rPr>
                <w:bCs/>
                <w:szCs w:val="24"/>
                <w:lang w:val="sr-Cyrl-RS"/>
              </w:rPr>
              <w:t>2015</w:t>
            </w:r>
            <w:r w:rsidRPr="00CF77C1">
              <w:rPr>
                <w:bCs/>
                <w:szCs w:val="24"/>
                <w:lang w:val="sr-Cyrl-RS"/>
              </w:rPr>
              <w:t>-2020.</w:t>
            </w:r>
          </w:p>
        </w:tc>
        <w:tc>
          <w:tcPr>
            <w:tcW w:w="1349" w:type="dxa"/>
            <w:tcBorders>
              <w:top w:val="single" w:sz="4" w:space="0" w:color="auto"/>
              <w:left w:val="single" w:sz="4" w:space="0" w:color="auto"/>
              <w:bottom w:val="single" w:sz="4" w:space="0" w:color="auto"/>
              <w:right w:val="single" w:sz="4" w:space="0" w:color="auto"/>
            </w:tcBorders>
            <w:shd w:val="solid" w:color="FFFFFF" w:fill="auto"/>
            <w:vAlign w:val="center"/>
          </w:tcPr>
          <w:p w14:paraId="0FB8FA1D" w14:textId="77777777" w:rsidR="00316872" w:rsidRPr="00CF77C1" w:rsidRDefault="00316872" w:rsidP="0080044B">
            <w:pPr>
              <w:framePr w:hSpace="181" w:wrap="notBeside" w:vAnchor="text" w:hAnchor="text" w:x="29" w:y="1"/>
              <w:spacing w:after="0"/>
              <w:jc w:val="center"/>
              <w:rPr>
                <w:bCs/>
                <w:szCs w:val="24"/>
                <w:lang w:val="sr-Cyrl-RS"/>
              </w:rPr>
            </w:pPr>
            <w:r w:rsidRPr="00CF77C1">
              <w:rPr>
                <w:bCs/>
                <w:szCs w:val="24"/>
                <w:lang w:val="sr-Cyrl-RS"/>
              </w:rPr>
              <w:t>Улагања у периоду</w:t>
            </w:r>
            <w:r w:rsidR="00BD44C7" w:rsidRPr="00CF77C1">
              <w:rPr>
                <w:bCs/>
                <w:szCs w:val="24"/>
                <w:lang w:val="sr-Cyrl-RS"/>
              </w:rPr>
              <w:t xml:space="preserve"> </w:t>
            </w:r>
            <w:r w:rsidR="00537E82" w:rsidRPr="00CF77C1">
              <w:rPr>
                <w:bCs/>
                <w:szCs w:val="24"/>
                <w:lang w:val="sr-Cyrl-RS"/>
              </w:rPr>
              <w:t>2021</w:t>
            </w:r>
            <w:r w:rsidRPr="00CF77C1">
              <w:rPr>
                <w:bCs/>
                <w:szCs w:val="24"/>
                <w:lang w:val="sr-Cyrl-RS"/>
              </w:rPr>
              <w:t>-2049.</w:t>
            </w:r>
          </w:p>
        </w:tc>
      </w:tr>
      <w:tr w:rsidR="00316872" w:rsidRPr="00CF77C1" w14:paraId="7573784C" w14:textId="77777777" w:rsidTr="00276B15">
        <w:trPr>
          <w:trHeight w:val="240"/>
        </w:trPr>
        <w:tc>
          <w:tcPr>
            <w:tcW w:w="709" w:type="dxa"/>
            <w:vAlign w:val="center"/>
          </w:tcPr>
          <w:p w14:paraId="681F7BE3"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w:t>
            </w:r>
          </w:p>
        </w:tc>
        <w:tc>
          <w:tcPr>
            <w:tcW w:w="4680" w:type="dxa"/>
            <w:vAlign w:val="center"/>
          </w:tcPr>
          <w:p w14:paraId="1AE0A5A8" w14:textId="77777777" w:rsidR="00316872" w:rsidRPr="00CF77C1" w:rsidRDefault="00316872" w:rsidP="0080044B">
            <w:pPr>
              <w:framePr w:hSpace="181" w:wrap="notBeside" w:vAnchor="text" w:hAnchor="text" w:x="29" w:y="1"/>
              <w:spacing w:after="0"/>
              <w:jc w:val="left"/>
              <w:rPr>
                <w:bCs/>
                <w:szCs w:val="24"/>
                <w:lang w:val="sr-Cyrl-RS"/>
              </w:rPr>
            </w:pPr>
            <w:r w:rsidRPr="00CF77C1">
              <w:rPr>
                <w:bCs/>
                <w:szCs w:val="24"/>
                <w:lang w:val="sr-Cyrl-RS"/>
              </w:rPr>
              <w:t>Геолошка истраживања</w:t>
            </w:r>
          </w:p>
        </w:tc>
        <w:tc>
          <w:tcPr>
            <w:tcW w:w="1348" w:type="dxa"/>
            <w:vAlign w:val="center"/>
          </w:tcPr>
          <w:p w14:paraId="373FF0FA" w14:textId="77777777" w:rsidR="00316872" w:rsidRPr="00CF77C1" w:rsidRDefault="00316872" w:rsidP="0080044B">
            <w:pPr>
              <w:framePr w:hSpace="181" w:wrap="notBeside" w:vAnchor="text" w:hAnchor="text" w:x="29" w:y="1"/>
              <w:spacing w:after="0"/>
              <w:jc w:val="right"/>
              <w:rPr>
                <w:bCs/>
                <w:szCs w:val="24"/>
                <w:lang w:val="sr-Cyrl-RS"/>
              </w:rPr>
            </w:pPr>
          </w:p>
        </w:tc>
        <w:tc>
          <w:tcPr>
            <w:tcW w:w="1349" w:type="dxa"/>
            <w:vAlign w:val="center"/>
          </w:tcPr>
          <w:p w14:paraId="2B0C8395" w14:textId="77777777" w:rsidR="00316872" w:rsidRPr="00CF77C1" w:rsidRDefault="00316872" w:rsidP="0080044B">
            <w:pPr>
              <w:framePr w:hSpace="181" w:wrap="notBeside" w:vAnchor="text" w:hAnchor="text" w:x="29" w:y="1"/>
              <w:spacing w:after="0"/>
              <w:jc w:val="right"/>
              <w:rPr>
                <w:bCs/>
                <w:szCs w:val="24"/>
                <w:lang w:val="sr-Cyrl-RS"/>
              </w:rPr>
            </w:pPr>
          </w:p>
        </w:tc>
        <w:tc>
          <w:tcPr>
            <w:tcW w:w="1349" w:type="dxa"/>
            <w:vAlign w:val="center"/>
          </w:tcPr>
          <w:p w14:paraId="1A20C006" w14:textId="77777777" w:rsidR="00316872" w:rsidRPr="00CF77C1" w:rsidRDefault="00316872" w:rsidP="0080044B">
            <w:pPr>
              <w:framePr w:hSpace="181" w:wrap="notBeside" w:vAnchor="text" w:hAnchor="text" w:x="29" w:y="1"/>
              <w:spacing w:after="0"/>
              <w:jc w:val="right"/>
              <w:rPr>
                <w:bCs/>
                <w:szCs w:val="24"/>
                <w:lang w:val="sr-Cyrl-RS"/>
              </w:rPr>
            </w:pPr>
          </w:p>
        </w:tc>
      </w:tr>
      <w:tr w:rsidR="00316872" w:rsidRPr="00CF77C1" w14:paraId="7BFF2031" w14:textId="77777777" w:rsidTr="00276B15">
        <w:trPr>
          <w:trHeight w:val="240"/>
        </w:trPr>
        <w:tc>
          <w:tcPr>
            <w:tcW w:w="709" w:type="dxa"/>
            <w:vAlign w:val="center"/>
          </w:tcPr>
          <w:p w14:paraId="69DAFECE"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1.1</w:t>
            </w:r>
          </w:p>
        </w:tc>
        <w:tc>
          <w:tcPr>
            <w:tcW w:w="4680" w:type="dxa"/>
            <w:vAlign w:val="center"/>
          </w:tcPr>
          <w:p w14:paraId="116E2724"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Истраживања у функцији санације унутрашњег одлагалишта Поља Ц</w:t>
            </w:r>
          </w:p>
        </w:tc>
        <w:tc>
          <w:tcPr>
            <w:tcW w:w="1348" w:type="dxa"/>
            <w:vAlign w:val="center"/>
          </w:tcPr>
          <w:p w14:paraId="49E03EAF"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80.000</w:t>
            </w:r>
          </w:p>
        </w:tc>
        <w:tc>
          <w:tcPr>
            <w:tcW w:w="1349" w:type="dxa"/>
            <w:vAlign w:val="center"/>
          </w:tcPr>
          <w:p w14:paraId="3AD198AA"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80.000</w:t>
            </w:r>
          </w:p>
        </w:tc>
        <w:tc>
          <w:tcPr>
            <w:tcW w:w="1349" w:type="dxa"/>
            <w:vAlign w:val="center"/>
          </w:tcPr>
          <w:p w14:paraId="15DA8A7A"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0</w:t>
            </w:r>
          </w:p>
        </w:tc>
      </w:tr>
      <w:tr w:rsidR="00316872" w:rsidRPr="00CF77C1" w14:paraId="0AC864DA" w14:textId="77777777" w:rsidTr="00276B15">
        <w:trPr>
          <w:trHeight w:val="240"/>
        </w:trPr>
        <w:tc>
          <w:tcPr>
            <w:tcW w:w="709" w:type="dxa"/>
            <w:vAlign w:val="center"/>
          </w:tcPr>
          <w:p w14:paraId="0582E8A6"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1.2</w:t>
            </w:r>
          </w:p>
        </w:tc>
        <w:tc>
          <w:tcPr>
            <w:tcW w:w="4680" w:type="dxa"/>
            <w:vAlign w:val="center"/>
          </w:tcPr>
          <w:p w14:paraId="0A23CAB3"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Геолошка истраживања на Пољу Ц</w:t>
            </w:r>
          </w:p>
        </w:tc>
        <w:tc>
          <w:tcPr>
            <w:tcW w:w="1348" w:type="dxa"/>
            <w:vAlign w:val="center"/>
          </w:tcPr>
          <w:p w14:paraId="1A23F6D1"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440.000</w:t>
            </w:r>
          </w:p>
        </w:tc>
        <w:tc>
          <w:tcPr>
            <w:tcW w:w="1349" w:type="dxa"/>
            <w:vAlign w:val="center"/>
          </w:tcPr>
          <w:p w14:paraId="70C075D5"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440.000</w:t>
            </w:r>
          </w:p>
        </w:tc>
        <w:tc>
          <w:tcPr>
            <w:tcW w:w="1349" w:type="dxa"/>
            <w:vAlign w:val="center"/>
          </w:tcPr>
          <w:p w14:paraId="22755847"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0</w:t>
            </w:r>
          </w:p>
        </w:tc>
      </w:tr>
      <w:tr w:rsidR="00316872" w:rsidRPr="00CF77C1" w14:paraId="1BFC029F" w14:textId="77777777" w:rsidTr="00276B15">
        <w:trPr>
          <w:trHeight w:val="240"/>
        </w:trPr>
        <w:tc>
          <w:tcPr>
            <w:tcW w:w="709" w:type="dxa"/>
            <w:vAlign w:val="center"/>
          </w:tcPr>
          <w:p w14:paraId="44D1B67E"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1.3</w:t>
            </w:r>
          </w:p>
        </w:tc>
        <w:tc>
          <w:tcPr>
            <w:tcW w:w="4680" w:type="dxa"/>
            <w:vAlign w:val="center"/>
          </w:tcPr>
          <w:p w14:paraId="3C52DB90"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Геолошка истраживања на Пољу Д</w:t>
            </w:r>
          </w:p>
        </w:tc>
        <w:tc>
          <w:tcPr>
            <w:tcW w:w="1348" w:type="dxa"/>
            <w:vAlign w:val="center"/>
          </w:tcPr>
          <w:p w14:paraId="51BDEA58"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480.000</w:t>
            </w:r>
          </w:p>
        </w:tc>
        <w:tc>
          <w:tcPr>
            <w:tcW w:w="1349" w:type="dxa"/>
            <w:vAlign w:val="center"/>
          </w:tcPr>
          <w:p w14:paraId="7DD4134C"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480.000</w:t>
            </w:r>
          </w:p>
        </w:tc>
        <w:tc>
          <w:tcPr>
            <w:tcW w:w="1349" w:type="dxa"/>
            <w:vAlign w:val="center"/>
          </w:tcPr>
          <w:p w14:paraId="4BF548F0"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0</w:t>
            </w:r>
          </w:p>
        </w:tc>
      </w:tr>
      <w:tr w:rsidR="00316872" w:rsidRPr="00CF77C1" w14:paraId="20C9FDA6" w14:textId="77777777" w:rsidTr="00276B15">
        <w:trPr>
          <w:trHeight w:val="240"/>
        </w:trPr>
        <w:tc>
          <w:tcPr>
            <w:tcW w:w="709" w:type="dxa"/>
            <w:vAlign w:val="center"/>
          </w:tcPr>
          <w:p w14:paraId="2DFD42AA"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1.4</w:t>
            </w:r>
          </w:p>
        </w:tc>
        <w:tc>
          <w:tcPr>
            <w:tcW w:w="4680" w:type="dxa"/>
            <w:vAlign w:val="center"/>
          </w:tcPr>
          <w:p w14:paraId="67F3305F"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Геолошка истраживања на Пољу Е</w:t>
            </w:r>
          </w:p>
        </w:tc>
        <w:tc>
          <w:tcPr>
            <w:tcW w:w="1348" w:type="dxa"/>
            <w:vAlign w:val="center"/>
          </w:tcPr>
          <w:p w14:paraId="7793AAB0"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7.530.000</w:t>
            </w:r>
          </w:p>
        </w:tc>
        <w:tc>
          <w:tcPr>
            <w:tcW w:w="1349" w:type="dxa"/>
            <w:vAlign w:val="center"/>
          </w:tcPr>
          <w:p w14:paraId="77081DA4"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5.280.000</w:t>
            </w:r>
          </w:p>
        </w:tc>
        <w:tc>
          <w:tcPr>
            <w:tcW w:w="1349" w:type="dxa"/>
            <w:vAlign w:val="center"/>
          </w:tcPr>
          <w:p w14:paraId="0D661896"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2.250.000</w:t>
            </w:r>
          </w:p>
        </w:tc>
      </w:tr>
      <w:tr w:rsidR="00316872" w:rsidRPr="00CF77C1" w14:paraId="57EB563E" w14:textId="77777777" w:rsidTr="00276B15">
        <w:trPr>
          <w:trHeight w:val="240"/>
        </w:trPr>
        <w:tc>
          <w:tcPr>
            <w:tcW w:w="709" w:type="dxa"/>
            <w:vAlign w:val="center"/>
          </w:tcPr>
          <w:p w14:paraId="001483E7"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1.4.1</w:t>
            </w:r>
          </w:p>
        </w:tc>
        <w:tc>
          <w:tcPr>
            <w:tcW w:w="4680" w:type="dxa"/>
            <w:vAlign w:val="center"/>
          </w:tcPr>
          <w:p w14:paraId="2E14EA0B"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Вишенаменски истражни радови</w:t>
            </w:r>
          </w:p>
        </w:tc>
        <w:tc>
          <w:tcPr>
            <w:tcW w:w="1348" w:type="dxa"/>
            <w:vAlign w:val="center"/>
          </w:tcPr>
          <w:p w14:paraId="73637984"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4.280.000</w:t>
            </w:r>
          </w:p>
        </w:tc>
        <w:tc>
          <w:tcPr>
            <w:tcW w:w="1349" w:type="dxa"/>
            <w:vAlign w:val="center"/>
          </w:tcPr>
          <w:p w14:paraId="4A39BC68"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2.030.000</w:t>
            </w:r>
          </w:p>
        </w:tc>
        <w:tc>
          <w:tcPr>
            <w:tcW w:w="1349" w:type="dxa"/>
            <w:vAlign w:val="center"/>
          </w:tcPr>
          <w:p w14:paraId="23FDBA93"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2.250.000</w:t>
            </w:r>
          </w:p>
        </w:tc>
      </w:tr>
      <w:tr w:rsidR="00316872" w:rsidRPr="00CF77C1" w14:paraId="4CE3CE01" w14:textId="77777777" w:rsidTr="00276B15">
        <w:trPr>
          <w:trHeight w:val="240"/>
        </w:trPr>
        <w:tc>
          <w:tcPr>
            <w:tcW w:w="709" w:type="dxa"/>
            <w:vAlign w:val="center"/>
          </w:tcPr>
          <w:p w14:paraId="7A58753E"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1.4.2</w:t>
            </w:r>
          </w:p>
        </w:tc>
        <w:tc>
          <w:tcPr>
            <w:tcW w:w="4680" w:type="dxa"/>
            <w:vAlign w:val="center"/>
          </w:tcPr>
          <w:p w14:paraId="2E96BADE"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ИЛМС радови</w:t>
            </w:r>
          </w:p>
        </w:tc>
        <w:tc>
          <w:tcPr>
            <w:tcW w:w="1348" w:type="dxa"/>
            <w:vAlign w:val="center"/>
          </w:tcPr>
          <w:p w14:paraId="678BAD7D"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1.450.000</w:t>
            </w:r>
          </w:p>
        </w:tc>
        <w:tc>
          <w:tcPr>
            <w:tcW w:w="1349" w:type="dxa"/>
            <w:vAlign w:val="center"/>
          </w:tcPr>
          <w:p w14:paraId="748B8241"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1.450.000</w:t>
            </w:r>
          </w:p>
        </w:tc>
        <w:tc>
          <w:tcPr>
            <w:tcW w:w="1349" w:type="dxa"/>
            <w:vAlign w:val="center"/>
          </w:tcPr>
          <w:p w14:paraId="2710DC65"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0</w:t>
            </w:r>
          </w:p>
        </w:tc>
      </w:tr>
      <w:tr w:rsidR="00316872" w:rsidRPr="00CF77C1" w14:paraId="56F986D9" w14:textId="77777777" w:rsidTr="00276B15">
        <w:trPr>
          <w:trHeight w:val="240"/>
        </w:trPr>
        <w:tc>
          <w:tcPr>
            <w:tcW w:w="709" w:type="dxa"/>
            <w:vAlign w:val="center"/>
          </w:tcPr>
          <w:p w14:paraId="5A62E8DC"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1.4.3</w:t>
            </w:r>
          </w:p>
        </w:tc>
        <w:tc>
          <w:tcPr>
            <w:tcW w:w="4680" w:type="dxa"/>
            <w:vAlign w:val="center"/>
          </w:tcPr>
          <w:p w14:paraId="1F8C1A5D"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Геотехнички радови</w:t>
            </w:r>
          </w:p>
        </w:tc>
        <w:tc>
          <w:tcPr>
            <w:tcW w:w="1348" w:type="dxa"/>
            <w:vAlign w:val="center"/>
          </w:tcPr>
          <w:p w14:paraId="5CDC1E7A"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450.000</w:t>
            </w:r>
          </w:p>
        </w:tc>
        <w:tc>
          <w:tcPr>
            <w:tcW w:w="1349" w:type="dxa"/>
            <w:vAlign w:val="center"/>
          </w:tcPr>
          <w:p w14:paraId="038A0D1C"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450.000</w:t>
            </w:r>
          </w:p>
        </w:tc>
        <w:tc>
          <w:tcPr>
            <w:tcW w:w="1349" w:type="dxa"/>
            <w:vAlign w:val="center"/>
          </w:tcPr>
          <w:p w14:paraId="62259607"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0</w:t>
            </w:r>
          </w:p>
        </w:tc>
      </w:tr>
      <w:tr w:rsidR="00316872" w:rsidRPr="00CF77C1" w14:paraId="33F0BCDE" w14:textId="77777777" w:rsidTr="00276B15">
        <w:trPr>
          <w:trHeight w:val="240"/>
        </w:trPr>
        <w:tc>
          <w:tcPr>
            <w:tcW w:w="709" w:type="dxa"/>
            <w:vAlign w:val="center"/>
          </w:tcPr>
          <w:p w14:paraId="3DB719C9"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1.4.4</w:t>
            </w:r>
          </w:p>
        </w:tc>
        <w:tc>
          <w:tcPr>
            <w:tcW w:w="4680" w:type="dxa"/>
            <w:vAlign w:val="center"/>
          </w:tcPr>
          <w:p w14:paraId="3464FD86"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Хидрогеолошки радови</w:t>
            </w:r>
          </w:p>
        </w:tc>
        <w:tc>
          <w:tcPr>
            <w:tcW w:w="1348" w:type="dxa"/>
            <w:vAlign w:val="center"/>
          </w:tcPr>
          <w:p w14:paraId="215EDECA"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1.350.000</w:t>
            </w:r>
          </w:p>
        </w:tc>
        <w:tc>
          <w:tcPr>
            <w:tcW w:w="1349" w:type="dxa"/>
            <w:vAlign w:val="center"/>
          </w:tcPr>
          <w:p w14:paraId="4F95AE71"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1.350.000</w:t>
            </w:r>
          </w:p>
        </w:tc>
        <w:tc>
          <w:tcPr>
            <w:tcW w:w="1349" w:type="dxa"/>
            <w:vAlign w:val="center"/>
          </w:tcPr>
          <w:p w14:paraId="3C5214B2"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0</w:t>
            </w:r>
          </w:p>
        </w:tc>
      </w:tr>
      <w:tr w:rsidR="00316872" w:rsidRPr="00CF77C1" w14:paraId="632402BB" w14:textId="77777777" w:rsidTr="00276B15">
        <w:trPr>
          <w:trHeight w:val="240"/>
        </w:trPr>
        <w:tc>
          <w:tcPr>
            <w:tcW w:w="709" w:type="dxa"/>
            <w:vAlign w:val="center"/>
          </w:tcPr>
          <w:p w14:paraId="358A6013" w14:textId="77777777" w:rsidR="00316872" w:rsidRPr="00CF77C1" w:rsidRDefault="00316872" w:rsidP="0080044B">
            <w:pPr>
              <w:framePr w:hSpace="181" w:wrap="notBeside" w:vAnchor="text" w:hAnchor="text" w:x="29" w:y="1"/>
              <w:autoSpaceDE w:val="0"/>
              <w:autoSpaceDN w:val="0"/>
              <w:adjustRightInd w:val="0"/>
              <w:spacing w:after="0"/>
              <w:jc w:val="right"/>
              <w:rPr>
                <w:bCs/>
                <w:szCs w:val="24"/>
                <w:lang w:val="sr-Cyrl-RS"/>
              </w:rPr>
            </w:pPr>
            <w:r w:rsidRPr="00CF77C1">
              <w:rPr>
                <w:bCs/>
                <w:szCs w:val="24"/>
                <w:lang w:val="sr-Cyrl-RS"/>
              </w:rPr>
              <w:t>2</w:t>
            </w:r>
          </w:p>
        </w:tc>
        <w:tc>
          <w:tcPr>
            <w:tcW w:w="4680" w:type="dxa"/>
            <w:vAlign w:val="center"/>
          </w:tcPr>
          <w:p w14:paraId="18948110" w14:textId="77777777" w:rsidR="00316872" w:rsidRPr="00CF77C1" w:rsidRDefault="00316872" w:rsidP="0080044B">
            <w:pPr>
              <w:framePr w:hSpace="181" w:wrap="notBeside" w:vAnchor="text" w:hAnchor="text" w:x="29" w:y="1"/>
              <w:spacing w:after="0"/>
              <w:jc w:val="left"/>
              <w:rPr>
                <w:szCs w:val="24"/>
                <w:lang w:val="sr-Cyrl-RS"/>
              </w:rPr>
            </w:pPr>
            <w:r w:rsidRPr="00CF77C1">
              <w:rPr>
                <w:szCs w:val="24"/>
                <w:lang w:val="sr-Cyrl-RS"/>
              </w:rPr>
              <w:t>Пројектовање</w:t>
            </w:r>
          </w:p>
        </w:tc>
        <w:tc>
          <w:tcPr>
            <w:tcW w:w="1348" w:type="dxa"/>
            <w:vAlign w:val="center"/>
          </w:tcPr>
          <w:p w14:paraId="1427F338"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2.500.000</w:t>
            </w:r>
          </w:p>
        </w:tc>
        <w:tc>
          <w:tcPr>
            <w:tcW w:w="1349" w:type="dxa"/>
            <w:vAlign w:val="center"/>
          </w:tcPr>
          <w:p w14:paraId="5BAA6BDB"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1.500.000</w:t>
            </w:r>
          </w:p>
        </w:tc>
        <w:tc>
          <w:tcPr>
            <w:tcW w:w="1349" w:type="dxa"/>
            <w:vAlign w:val="center"/>
          </w:tcPr>
          <w:p w14:paraId="33F89976" w14:textId="77777777" w:rsidR="00316872" w:rsidRPr="00CF77C1" w:rsidRDefault="00316872" w:rsidP="0080044B">
            <w:pPr>
              <w:framePr w:hSpace="181" w:wrap="notBeside" w:vAnchor="text" w:hAnchor="text" w:x="29" w:y="1"/>
              <w:spacing w:after="0"/>
              <w:ind w:right="57"/>
              <w:jc w:val="right"/>
              <w:rPr>
                <w:szCs w:val="24"/>
                <w:lang w:val="sr-Cyrl-RS"/>
              </w:rPr>
            </w:pPr>
            <w:r w:rsidRPr="00CF77C1">
              <w:rPr>
                <w:szCs w:val="24"/>
                <w:lang w:val="sr-Cyrl-RS"/>
              </w:rPr>
              <w:t>1.000.000</w:t>
            </w:r>
          </w:p>
        </w:tc>
      </w:tr>
      <w:tr w:rsidR="00316872" w:rsidRPr="00CF77C1" w14:paraId="39EA8169" w14:textId="77777777" w:rsidTr="00276B15">
        <w:trPr>
          <w:trHeight w:val="240"/>
        </w:trPr>
        <w:tc>
          <w:tcPr>
            <w:tcW w:w="709" w:type="dxa"/>
            <w:vAlign w:val="center"/>
          </w:tcPr>
          <w:p w14:paraId="7789A8FB" w14:textId="77777777" w:rsidR="00316872" w:rsidRPr="00CF77C1" w:rsidRDefault="00316872" w:rsidP="0080044B">
            <w:pPr>
              <w:framePr w:hSpace="181" w:wrap="notBeside" w:vAnchor="text" w:hAnchor="text" w:x="29" w:y="1"/>
              <w:autoSpaceDE w:val="0"/>
              <w:autoSpaceDN w:val="0"/>
              <w:adjustRightInd w:val="0"/>
              <w:spacing w:after="0"/>
              <w:jc w:val="center"/>
              <w:rPr>
                <w:bCs/>
                <w:szCs w:val="24"/>
                <w:lang w:val="sr-Cyrl-RS"/>
              </w:rPr>
            </w:pPr>
          </w:p>
        </w:tc>
        <w:tc>
          <w:tcPr>
            <w:tcW w:w="4680" w:type="dxa"/>
            <w:vAlign w:val="center"/>
          </w:tcPr>
          <w:p w14:paraId="77249858" w14:textId="77777777" w:rsidR="00316872" w:rsidRPr="00CF77C1" w:rsidRDefault="00A84557" w:rsidP="0080044B">
            <w:pPr>
              <w:framePr w:hSpace="181" w:wrap="notBeside" w:vAnchor="text" w:hAnchor="text" w:x="29" w:y="1"/>
              <w:spacing w:after="0"/>
              <w:jc w:val="left"/>
              <w:rPr>
                <w:bCs/>
                <w:szCs w:val="24"/>
                <w:lang w:val="sr-Cyrl-RS"/>
              </w:rPr>
            </w:pPr>
            <w:r w:rsidRPr="00CF77C1">
              <w:rPr>
                <w:bCs/>
                <w:szCs w:val="24"/>
                <w:lang w:val="sr-Cyrl-RS"/>
              </w:rPr>
              <w:t>Укупно</w:t>
            </w:r>
          </w:p>
        </w:tc>
        <w:tc>
          <w:tcPr>
            <w:tcW w:w="1348" w:type="dxa"/>
            <w:vAlign w:val="center"/>
          </w:tcPr>
          <w:p w14:paraId="51F56F37" w14:textId="77777777" w:rsidR="00316872" w:rsidRPr="00CF77C1" w:rsidRDefault="00316872" w:rsidP="0080044B">
            <w:pPr>
              <w:framePr w:hSpace="181" w:wrap="notBeside" w:vAnchor="text" w:hAnchor="text" w:x="29" w:y="1"/>
              <w:spacing w:after="0"/>
              <w:ind w:right="57"/>
              <w:jc w:val="right"/>
              <w:rPr>
                <w:bCs/>
                <w:szCs w:val="24"/>
                <w:lang w:val="sr-Cyrl-RS"/>
              </w:rPr>
            </w:pPr>
            <w:r w:rsidRPr="00CF77C1">
              <w:rPr>
                <w:bCs/>
                <w:szCs w:val="24"/>
                <w:lang w:val="sr-Cyrl-RS"/>
              </w:rPr>
              <w:t>11.030.000</w:t>
            </w:r>
          </w:p>
        </w:tc>
        <w:tc>
          <w:tcPr>
            <w:tcW w:w="1349" w:type="dxa"/>
            <w:vAlign w:val="center"/>
          </w:tcPr>
          <w:p w14:paraId="4FB86593" w14:textId="77777777" w:rsidR="00316872" w:rsidRPr="00CF77C1" w:rsidRDefault="00316872" w:rsidP="0080044B">
            <w:pPr>
              <w:framePr w:hSpace="181" w:wrap="notBeside" w:vAnchor="text" w:hAnchor="text" w:x="29" w:y="1"/>
              <w:spacing w:after="0"/>
              <w:ind w:right="57"/>
              <w:jc w:val="right"/>
              <w:rPr>
                <w:bCs/>
                <w:szCs w:val="24"/>
                <w:lang w:val="sr-Cyrl-RS"/>
              </w:rPr>
            </w:pPr>
            <w:r w:rsidRPr="00CF77C1">
              <w:rPr>
                <w:bCs/>
                <w:szCs w:val="24"/>
                <w:lang w:val="sr-Cyrl-RS"/>
              </w:rPr>
              <w:t>7.780.000</w:t>
            </w:r>
          </w:p>
        </w:tc>
        <w:tc>
          <w:tcPr>
            <w:tcW w:w="1349" w:type="dxa"/>
            <w:vAlign w:val="center"/>
          </w:tcPr>
          <w:p w14:paraId="701D9503" w14:textId="77777777" w:rsidR="00316872" w:rsidRPr="00CF77C1" w:rsidRDefault="00316872" w:rsidP="0080044B">
            <w:pPr>
              <w:framePr w:hSpace="181" w:wrap="notBeside" w:vAnchor="text" w:hAnchor="text" w:x="29" w:y="1"/>
              <w:spacing w:after="0"/>
              <w:ind w:right="57"/>
              <w:jc w:val="right"/>
              <w:rPr>
                <w:bCs/>
                <w:szCs w:val="24"/>
                <w:lang w:val="sr-Cyrl-RS"/>
              </w:rPr>
            </w:pPr>
            <w:r w:rsidRPr="00CF77C1">
              <w:rPr>
                <w:bCs/>
                <w:szCs w:val="24"/>
                <w:lang w:val="sr-Cyrl-RS"/>
              </w:rPr>
              <w:t>3.250.000</w:t>
            </w:r>
          </w:p>
        </w:tc>
      </w:tr>
    </w:tbl>
    <w:p w14:paraId="74737395" w14:textId="77777777" w:rsidR="0028406A" w:rsidRPr="00CF77C1" w:rsidRDefault="0028406A" w:rsidP="00A968A2">
      <w:pPr>
        <w:spacing w:before="240"/>
        <w:ind w:firstLine="720"/>
        <w:rPr>
          <w:lang w:val="sr-Cyrl-RS"/>
        </w:rPr>
      </w:pPr>
      <w:r w:rsidRPr="00CF77C1">
        <w:rPr>
          <w:u w:val="single"/>
          <w:lang w:val="sr-Cyrl-RS"/>
        </w:rPr>
        <w:t>Резерве угља</w:t>
      </w:r>
    </w:p>
    <w:p w14:paraId="0C25FE30" w14:textId="77777777" w:rsidR="0028406A" w:rsidRPr="00CF77C1" w:rsidRDefault="0028406A" w:rsidP="00A968A2">
      <w:pPr>
        <w:ind w:firstLine="720"/>
        <w:rPr>
          <w:u w:val="single"/>
          <w:lang w:val="sr-Cyrl-RS"/>
        </w:rPr>
      </w:pPr>
      <w:r w:rsidRPr="00CF77C1">
        <w:rPr>
          <w:u w:val="single"/>
          <w:lang w:val="sr-Cyrl-RS"/>
        </w:rPr>
        <w:t>Колубарски угљени басен</w:t>
      </w:r>
    </w:p>
    <w:p w14:paraId="28953003" w14:textId="7B7AE3BC" w:rsidR="0028406A" w:rsidRPr="00CF77C1" w:rsidRDefault="0028406A" w:rsidP="00A968A2">
      <w:pPr>
        <w:ind w:firstLine="720"/>
        <w:rPr>
          <w:lang w:val="sr-Cyrl-RS"/>
        </w:rPr>
      </w:pPr>
      <w:r w:rsidRPr="00CF77C1">
        <w:rPr>
          <w:lang w:val="sr-Cyrl-RS"/>
        </w:rPr>
        <w:t>Укупне експло</w:t>
      </w:r>
      <w:r w:rsidR="00A84557" w:rsidRPr="00CF77C1">
        <w:rPr>
          <w:lang w:val="sr-Cyrl-RS"/>
        </w:rPr>
        <w:t>а</w:t>
      </w:r>
      <w:r w:rsidRPr="00CF77C1">
        <w:rPr>
          <w:lang w:val="sr-Cyrl-RS"/>
        </w:rPr>
        <w:t xml:space="preserve">табилне резерве у колубарском угљеном басену на крају 2015 године износе 2.105.224.800 </w:t>
      </w:r>
      <w:r w:rsidR="00537E82" w:rsidRPr="00CF77C1">
        <w:rPr>
          <w:szCs w:val="24"/>
          <w:lang w:val="sr-Cyrl-RS"/>
        </w:rPr>
        <w:t>t</w:t>
      </w:r>
      <w:r w:rsidRPr="00CF77C1">
        <w:rPr>
          <w:lang w:val="sr-Cyrl-RS"/>
        </w:rPr>
        <w:t xml:space="preserve"> угља, док су укупне ванбилансне резерве 2.645.574.081 </w:t>
      </w:r>
      <w:r w:rsidR="00537E82" w:rsidRPr="00CF77C1">
        <w:rPr>
          <w:szCs w:val="24"/>
          <w:lang w:val="sr-Cyrl-RS"/>
        </w:rPr>
        <w:t>t</w:t>
      </w:r>
      <w:r w:rsidRPr="00CF77C1">
        <w:rPr>
          <w:lang w:val="sr-Cyrl-RS"/>
        </w:rPr>
        <w:t xml:space="preserve"> угља. У </w:t>
      </w:r>
      <w:r w:rsidR="000642D2" w:rsidRPr="00CF77C1">
        <w:rPr>
          <w:lang w:val="sr-Cyrl-RS"/>
        </w:rPr>
        <w:fldChar w:fldCharType="begin"/>
      </w:r>
      <w:r w:rsidR="000642D2" w:rsidRPr="00CF77C1">
        <w:rPr>
          <w:lang w:val="sr-Cyrl-RS"/>
        </w:rPr>
        <w:instrText xml:space="preserve"> REF _Ref469245564 \h  \* MERGEFORMAT </w:instrText>
      </w:r>
      <w:r w:rsidR="000642D2" w:rsidRPr="00CF77C1">
        <w:rPr>
          <w:lang w:val="sr-Cyrl-RS"/>
        </w:rPr>
      </w:r>
      <w:r w:rsidR="000642D2" w:rsidRPr="00CF77C1">
        <w:rPr>
          <w:lang w:val="sr-Cyrl-RS"/>
        </w:rPr>
        <w:fldChar w:fldCharType="separate"/>
      </w:r>
      <w:r w:rsidR="002D5918" w:rsidRPr="002D5918">
        <w:rPr>
          <w:lang w:val="sr-Cyrl-RS"/>
        </w:rPr>
        <w:t xml:space="preserve">таб. </w:t>
      </w:r>
      <w:r w:rsidR="002D5918" w:rsidRPr="002D5918">
        <w:rPr>
          <w:noProof/>
          <w:lang w:val="sr-Cyrl-RS"/>
        </w:rPr>
        <w:t>103</w:t>
      </w:r>
      <w:r w:rsidR="000642D2" w:rsidRPr="00CF77C1">
        <w:rPr>
          <w:lang w:val="sr-Cyrl-RS"/>
        </w:rPr>
        <w:fldChar w:fldCharType="end"/>
      </w:r>
      <w:r w:rsidRPr="00CF77C1">
        <w:rPr>
          <w:lang w:val="sr-Cyrl-RS"/>
        </w:rPr>
        <w:t xml:space="preserve"> приказане су резерве по експлоатационим пољима у колубарском угљеном басену</w:t>
      </w:r>
      <w:r w:rsidR="004170FA">
        <w:rPr>
          <w:lang w:val="sr-Cyrl-RS"/>
        </w:rPr>
        <w:t>.</w:t>
      </w:r>
    </w:p>
    <w:p w14:paraId="7E5F9BE2" w14:textId="7A172561" w:rsidR="0028406A" w:rsidRPr="00CF77C1" w:rsidRDefault="00D61BC9" w:rsidP="00A968A2">
      <w:pPr>
        <w:pStyle w:val="Caption"/>
        <w:ind w:firstLine="720"/>
        <w:rPr>
          <w:b w:val="0"/>
          <w:lang w:val="sr-Cyrl-RS"/>
        </w:rPr>
      </w:pPr>
      <w:bookmarkStart w:id="172" w:name="_Ref469245564"/>
      <w:r w:rsidRPr="00CF77C1">
        <w:rPr>
          <w:b w:val="0"/>
          <w:lang w:val="sr-Cyrl-RS"/>
        </w:rPr>
        <w:t>таб.</w:t>
      </w:r>
      <w:r w:rsidR="0028406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103</w:t>
      </w:r>
      <w:r w:rsidR="0092145E" w:rsidRPr="00CF77C1">
        <w:rPr>
          <w:b w:val="0"/>
          <w:lang w:val="sr-Cyrl-RS"/>
        </w:rPr>
        <w:fldChar w:fldCharType="end"/>
      </w:r>
      <w:bookmarkEnd w:id="172"/>
      <w:r w:rsidR="0028406A" w:rsidRPr="00CF77C1">
        <w:rPr>
          <w:b w:val="0"/>
          <w:lang w:val="sr-Cyrl-RS"/>
        </w:rPr>
        <w:t>: Табеларни приказ резерви угља у Колубарском угљоносном басену</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1"/>
        <w:gridCol w:w="1612"/>
        <w:gridCol w:w="1710"/>
        <w:gridCol w:w="1710"/>
        <w:gridCol w:w="1772"/>
      </w:tblGrid>
      <w:tr w:rsidR="0028406A" w:rsidRPr="00CF77C1" w14:paraId="1C35AEBE" w14:textId="77777777" w:rsidTr="00276B15">
        <w:trPr>
          <w:trHeight w:val="20"/>
        </w:trPr>
        <w:tc>
          <w:tcPr>
            <w:tcW w:w="2491" w:type="dxa"/>
            <w:shd w:val="clear" w:color="auto" w:fill="auto"/>
            <w:noWrap/>
            <w:tcMar>
              <w:left w:w="28" w:type="dxa"/>
              <w:right w:w="28" w:type="dxa"/>
            </w:tcMar>
            <w:vAlign w:val="center"/>
            <w:hideMark/>
          </w:tcPr>
          <w:p w14:paraId="34EC212B" w14:textId="77777777" w:rsidR="0028406A" w:rsidRPr="00CF77C1" w:rsidRDefault="0028406A" w:rsidP="0080044B">
            <w:pPr>
              <w:framePr w:hSpace="181" w:wrap="notBeside" w:vAnchor="text" w:hAnchor="text" w:y="1"/>
              <w:spacing w:before="0" w:after="0"/>
              <w:jc w:val="center"/>
              <w:rPr>
                <w:szCs w:val="24"/>
                <w:lang w:val="sr-Cyrl-RS"/>
              </w:rPr>
            </w:pPr>
            <w:r w:rsidRPr="00CF77C1">
              <w:rPr>
                <w:szCs w:val="24"/>
                <w:lang w:val="sr-Cyrl-RS"/>
              </w:rPr>
              <w:t>Лежиште</w:t>
            </w:r>
          </w:p>
        </w:tc>
        <w:tc>
          <w:tcPr>
            <w:tcW w:w="1612" w:type="dxa"/>
            <w:shd w:val="clear" w:color="auto" w:fill="auto"/>
            <w:noWrap/>
            <w:tcMar>
              <w:left w:w="28" w:type="dxa"/>
              <w:right w:w="28" w:type="dxa"/>
            </w:tcMar>
            <w:vAlign w:val="center"/>
            <w:hideMark/>
          </w:tcPr>
          <w:p w14:paraId="61C13008" w14:textId="77777777" w:rsidR="0028406A" w:rsidRPr="00CF77C1" w:rsidRDefault="0028406A" w:rsidP="0080044B">
            <w:pPr>
              <w:framePr w:hSpace="181" w:wrap="notBeside" w:vAnchor="text" w:hAnchor="text" w:y="1"/>
              <w:spacing w:before="0" w:after="0"/>
              <w:jc w:val="center"/>
              <w:rPr>
                <w:szCs w:val="24"/>
                <w:lang w:val="sr-Cyrl-RS"/>
              </w:rPr>
            </w:pPr>
            <w:r w:rsidRPr="00CF77C1">
              <w:rPr>
                <w:szCs w:val="24"/>
                <w:lang w:val="sr-Cyrl-RS"/>
              </w:rPr>
              <w:t>Категорија</w:t>
            </w:r>
          </w:p>
        </w:tc>
        <w:tc>
          <w:tcPr>
            <w:tcW w:w="1710" w:type="dxa"/>
            <w:shd w:val="clear" w:color="auto" w:fill="auto"/>
            <w:noWrap/>
            <w:tcMar>
              <w:left w:w="28" w:type="dxa"/>
              <w:right w:w="28" w:type="dxa"/>
            </w:tcMar>
            <w:vAlign w:val="center"/>
            <w:hideMark/>
          </w:tcPr>
          <w:p w14:paraId="4B5C92B3" w14:textId="77777777" w:rsidR="0028406A" w:rsidRPr="00CF77C1" w:rsidRDefault="0028406A" w:rsidP="0080044B">
            <w:pPr>
              <w:framePr w:hSpace="181" w:wrap="notBeside" w:vAnchor="text" w:hAnchor="text" w:y="1"/>
              <w:spacing w:before="0" w:after="0"/>
              <w:jc w:val="center"/>
              <w:rPr>
                <w:szCs w:val="24"/>
                <w:lang w:val="sr-Cyrl-RS"/>
              </w:rPr>
            </w:pPr>
            <w:r w:rsidRPr="00CF77C1">
              <w:rPr>
                <w:szCs w:val="24"/>
                <w:lang w:val="sr-Cyrl-RS"/>
              </w:rPr>
              <w:t>Билансне резерве (t)</w:t>
            </w:r>
          </w:p>
        </w:tc>
        <w:tc>
          <w:tcPr>
            <w:tcW w:w="1710" w:type="dxa"/>
            <w:shd w:val="clear" w:color="auto" w:fill="auto"/>
            <w:noWrap/>
            <w:tcMar>
              <w:left w:w="28" w:type="dxa"/>
              <w:right w:w="28" w:type="dxa"/>
            </w:tcMar>
            <w:vAlign w:val="center"/>
            <w:hideMark/>
          </w:tcPr>
          <w:p w14:paraId="3974B72B" w14:textId="77777777" w:rsidR="0028406A" w:rsidRPr="00CF77C1" w:rsidRDefault="0028406A" w:rsidP="0080044B">
            <w:pPr>
              <w:framePr w:hSpace="181" w:wrap="notBeside" w:vAnchor="text" w:hAnchor="text" w:y="1"/>
              <w:spacing w:before="0" w:after="0"/>
              <w:jc w:val="center"/>
              <w:rPr>
                <w:szCs w:val="24"/>
                <w:lang w:val="sr-Cyrl-RS"/>
              </w:rPr>
            </w:pPr>
            <w:r w:rsidRPr="00CF77C1">
              <w:rPr>
                <w:szCs w:val="24"/>
                <w:lang w:val="sr-Cyrl-RS"/>
              </w:rPr>
              <w:t>Ванбилансне резерве (t)</w:t>
            </w:r>
          </w:p>
        </w:tc>
        <w:tc>
          <w:tcPr>
            <w:tcW w:w="1772" w:type="dxa"/>
            <w:shd w:val="clear" w:color="auto" w:fill="auto"/>
            <w:noWrap/>
            <w:tcMar>
              <w:left w:w="28" w:type="dxa"/>
              <w:right w:w="28" w:type="dxa"/>
            </w:tcMar>
            <w:vAlign w:val="center"/>
            <w:hideMark/>
          </w:tcPr>
          <w:p w14:paraId="4DA3B3CD" w14:textId="77777777" w:rsidR="0028406A" w:rsidRPr="00CF77C1" w:rsidRDefault="0028406A" w:rsidP="0080044B">
            <w:pPr>
              <w:framePr w:hSpace="181" w:wrap="notBeside" w:vAnchor="text" w:hAnchor="text" w:y="1"/>
              <w:spacing w:before="0" w:after="0"/>
              <w:jc w:val="center"/>
              <w:rPr>
                <w:szCs w:val="24"/>
                <w:lang w:val="sr-Cyrl-RS"/>
              </w:rPr>
            </w:pPr>
            <w:r w:rsidRPr="00CF77C1">
              <w:rPr>
                <w:szCs w:val="24"/>
                <w:lang w:val="sr-Cyrl-RS"/>
              </w:rPr>
              <w:t>Геолошке резерве (t)</w:t>
            </w:r>
          </w:p>
        </w:tc>
      </w:tr>
      <w:tr w:rsidR="0028406A" w:rsidRPr="00CF77C1" w14:paraId="615EAD3B" w14:textId="77777777" w:rsidTr="00276B15">
        <w:trPr>
          <w:trHeight w:val="20"/>
        </w:trPr>
        <w:tc>
          <w:tcPr>
            <w:tcW w:w="2491" w:type="dxa"/>
            <w:vMerge w:val="restart"/>
            <w:shd w:val="clear" w:color="auto" w:fill="auto"/>
            <w:noWrap/>
            <w:tcMar>
              <w:left w:w="28" w:type="dxa"/>
              <w:right w:w="28" w:type="dxa"/>
            </w:tcMar>
            <w:vAlign w:val="center"/>
            <w:hideMark/>
          </w:tcPr>
          <w:p w14:paraId="527D7EBF"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 Ц</w:t>
            </w:r>
            <w:r w:rsidRPr="00CF77C1">
              <w:rPr>
                <w:bCs/>
                <w:szCs w:val="24"/>
                <w:lang w:val="sr-Cyrl-RS"/>
              </w:rPr>
              <w:br/>
              <w:t>по старом Поље Б и Ц</w:t>
            </w:r>
          </w:p>
        </w:tc>
        <w:tc>
          <w:tcPr>
            <w:tcW w:w="1612" w:type="dxa"/>
            <w:shd w:val="clear" w:color="auto" w:fill="auto"/>
            <w:noWrap/>
            <w:tcMar>
              <w:left w:w="28" w:type="dxa"/>
              <w:right w:w="28" w:type="dxa"/>
            </w:tcMar>
            <w:vAlign w:val="center"/>
            <w:hideMark/>
          </w:tcPr>
          <w:p w14:paraId="3374496B"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w:t>
            </w:r>
          </w:p>
        </w:tc>
        <w:tc>
          <w:tcPr>
            <w:tcW w:w="1710" w:type="dxa"/>
            <w:shd w:val="clear" w:color="auto" w:fill="auto"/>
            <w:noWrap/>
            <w:tcMar>
              <w:left w:w="28" w:type="dxa"/>
              <w:right w:w="28" w:type="dxa"/>
            </w:tcMar>
            <w:vAlign w:val="center"/>
            <w:hideMark/>
          </w:tcPr>
          <w:p w14:paraId="0F31542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7.355.290</w:t>
            </w:r>
          </w:p>
        </w:tc>
        <w:tc>
          <w:tcPr>
            <w:tcW w:w="1710" w:type="dxa"/>
            <w:shd w:val="clear" w:color="auto" w:fill="auto"/>
            <w:noWrap/>
            <w:tcMar>
              <w:left w:w="28" w:type="dxa"/>
              <w:right w:w="28" w:type="dxa"/>
            </w:tcMar>
            <w:vAlign w:val="center"/>
            <w:hideMark/>
          </w:tcPr>
          <w:p w14:paraId="7276448A"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3.260.760</w:t>
            </w:r>
          </w:p>
        </w:tc>
        <w:tc>
          <w:tcPr>
            <w:tcW w:w="1772" w:type="dxa"/>
            <w:shd w:val="clear" w:color="auto" w:fill="auto"/>
            <w:noWrap/>
            <w:tcMar>
              <w:left w:w="28" w:type="dxa"/>
              <w:right w:w="28" w:type="dxa"/>
            </w:tcMar>
            <w:vAlign w:val="center"/>
            <w:hideMark/>
          </w:tcPr>
          <w:p w14:paraId="3E30634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10.616.040</w:t>
            </w:r>
          </w:p>
        </w:tc>
      </w:tr>
      <w:tr w:rsidR="0028406A" w:rsidRPr="00CF77C1" w14:paraId="230C9077" w14:textId="77777777" w:rsidTr="00276B15">
        <w:trPr>
          <w:trHeight w:val="20"/>
        </w:trPr>
        <w:tc>
          <w:tcPr>
            <w:tcW w:w="2491" w:type="dxa"/>
            <w:vMerge/>
            <w:shd w:val="clear" w:color="auto" w:fill="auto"/>
            <w:noWrap/>
            <w:tcMar>
              <w:left w:w="28" w:type="dxa"/>
              <w:right w:w="28" w:type="dxa"/>
            </w:tcMar>
            <w:vAlign w:val="center"/>
            <w:hideMark/>
          </w:tcPr>
          <w:p w14:paraId="0828A0FB"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19B469EB"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395020B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33.704.980</w:t>
            </w:r>
          </w:p>
        </w:tc>
        <w:tc>
          <w:tcPr>
            <w:tcW w:w="1710" w:type="dxa"/>
            <w:shd w:val="clear" w:color="auto" w:fill="auto"/>
            <w:noWrap/>
            <w:tcMar>
              <w:left w:w="28" w:type="dxa"/>
              <w:right w:w="28" w:type="dxa"/>
            </w:tcMar>
            <w:vAlign w:val="center"/>
            <w:hideMark/>
          </w:tcPr>
          <w:p w14:paraId="52038C6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3.959.420</w:t>
            </w:r>
          </w:p>
        </w:tc>
        <w:tc>
          <w:tcPr>
            <w:tcW w:w="1772" w:type="dxa"/>
            <w:shd w:val="clear" w:color="auto" w:fill="auto"/>
            <w:noWrap/>
            <w:tcMar>
              <w:left w:w="28" w:type="dxa"/>
              <w:right w:w="28" w:type="dxa"/>
            </w:tcMar>
            <w:vAlign w:val="center"/>
            <w:hideMark/>
          </w:tcPr>
          <w:p w14:paraId="6D2E44A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37.664.400</w:t>
            </w:r>
          </w:p>
        </w:tc>
      </w:tr>
      <w:tr w:rsidR="0028406A" w:rsidRPr="00CF77C1" w14:paraId="6246E394" w14:textId="77777777" w:rsidTr="00276B15">
        <w:trPr>
          <w:trHeight w:val="20"/>
        </w:trPr>
        <w:tc>
          <w:tcPr>
            <w:tcW w:w="2491" w:type="dxa"/>
            <w:vMerge/>
            <w:shd w:val="clear" w:color="auto" w:fill="auto"/>
            <w:noWrap/>
            <w:tcMar>
              <w:left w:w="28" w:type="dxa"/>
              <w:right w:w="28" w:type="dxa"/>
            </w:tcMar>
            <w:vAlign w:val="center"/>
            <w:hideMark/>
          </w:tcPr>
          <w:p w14:paraId="340ED7F5"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387FAAB8"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А+Б</w:t>
            </w:r>
          </w:p>
        </w:tc>
        <w:tc>
          <w:tcPr>
            <w:tcW w:w="1710" w:type="dxa"/>
            <w:shd w:val="clear" w:color="auto" w:fill="auto"/>
            <w:noWrap/>
            <w:tcMar>
              <w:left w:w="28" w:type="dxa"/>
              <w:right w:w="28" w:type="dxa"/>
            </w:tcMar>
            <w:vAlign w:val="center"/>
            <w:hideMark/>
          </w:tcPr>
          <w:p w14:paraId="14C5311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41.060.260</w:t>
            </w:r>
          </w:p>
        </w:tc>
        <w:tc>
          <w:tcPr>
            <w:tcW w:w="1710" w:type="dxa"/>
            <w:shd w:val="clear" w:color="auto" w:fill="auto"/>
            <w:noWrap/>
            <w:tcMar>
              <w:left w:w="28" w:type="dxa"/>
              <w:right w:w="28" w:type="dxa"/>
            </w:tcMar>
            <w:vAlign w:val="center"/>
            <w:hideMark/>
          </w:tcPr>
          <w:p w14:paraId="6BF8BD1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7.220.180</w:t>
            </w:r>
          </w:p>
        </w:tc>
        <w:tc>
          <w:tcPr>
            <w:tcW w:w="1772" w:type="dxa"/>
            <w:shd w:val="clear" w:color="auto" w:fill="auto"/>
            <w:noWrap/>
            <w:tcMar>
              <w:left w:w="28" w:type="dxa"/>
              <w:right w:w="28" w:type="dxa"/>
            </w:tcMar>
            <w:vAlign w:val="center"/>
            <w:hideMark/>
          </w:tcPr>
          <w:p w14:paraId="407BA3C7"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48.280.440</w:t>
            </w:r>
          </w:p>
        </w:tc>
      </w:tr>
      <w:tr w:rsidR="0028406A" w:rsidRPr="00CF77C1" w14:paraId="5871577E" w14:textId="77777777" w:rsidTr="00276B15">
        <w:trPr>
          <w:trHeight w:val="20"/>
        </w:trPr>
        <w:tc>
          <w:tcPr>
            <w:tcW w:w="2491" w:type="dxa"/>
            <w:vMerge w:val="restart"/>
            <w:shd w:val="clear" w:color="auto" w:fill="auto"/>
            <w:noWrap/>
            <w:tcMar>
              <w:left w:w="28" w:type="dxa"/>
              <w:right w:w="28" w:type="dxa"/>
            </w:tcMar>
            <w:vAlign w:val="center"/>
            <w:hideMark/>
          </w:tcPr>
          <w:p w14:paraId="5495A03F"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 Д</w:t>
            </w:r>
          </w:p>
        </w:tc>
        <w:tc>
          <w:tcPr>
            <w:tcW w:w="1612" w:type="dxa"/>
            <w:shd w:val="clear" w:color="auto" w:fill="auto"/>
            <w:noWrap/>
            <w:tcMar>
              <w:left w:w="28" w:type="dxa"/>
              <w:right w:w="28" w:type="dxa"/>
            </w:tcMar>
            <w:vAlign w:val="center"/>
            <w:hideMark/>
          </w:tcPr>
          <w:p w14:paraId="0B3177EB"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w:t>
            </w:r>
          </w:p>
        </w:tc>
        <w:tc>
          <w:tcPr>
            <w:tcW w:w="1710" w:type="dxa"/>
            <w:shd w:val="clear" w:color="auto" w:fill="auto"/>
            <w:noWrap/>
            <w:tcMar>
              <w:left w:w="28" w:type="dxa"/>
              <w:right w:w="28" w:type="dxa"/>
            </w:tcMar>
            <w:vAlign w:val="center"/>
            <w:hideMark/>
          </w:tcPr>
          <w:p w14:paraId="03D21C7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34.276.560</w:t>
            </w:r>
          </w:p>
        </w:tc>
        <w:tc>
          <w:tcPr>
            <w:tcW w:w="1710" w:type="dxa"/>
            <w:shd w:val="clear" w:color="auto" w:fill="auto"/>
            <w:noWrap/>
            <w:tcMar>
              <w:left w:w="28" w:type="dxa"/>
              <w:right w:w="28" w:type="dxa"/>
            </w:tcMar>
            <w:vAlign w:val="center"/>
            <w:hideMark/>
          </w:tcPr>
          <w:p w14:paraId="2E9B77A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43.875.950</w:t>
            </w:r>
          </w:p>
        </w:tc>
        <w:tc>
          <w:tcPr>
            <w:tcW w:w="1772" w:type="dxa"/>
            <w:shd w:val="clear" w:color="auto" w:fill="auto"/>
            <w:noWrap/>
            <w:tcMar>
              <w:left w:w="28" w:type="dxa"/>
              <w:right w:w="28" w:type="dxa"/>
            </w:tcMar>
            <w:vAlign w:val="center"/>
            <w:hideMark/>
          </w:tcPr>
          <w:p w14:paraId="1D4AC4E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78.152.510</w:t>
            </w:r>
          </w:p>
        </w:tc>
      </w:tr>
      <w:tr w:rsidR="0028406A" w:rsidRPr="00CF77C1" w14:paraId="23F3D035" w14:textId="77777777" w:rsidTr="00276B15">
        <w:trPr>
          <w:trHeight w:val="20"/>
        </w:trPr>
        <w:tc>
          <w:tcPr>
            <w:tcW w:w="2491" w:type="dxa"/>
            <w:vMerge/>
            <w:shd w:val="clear" w:color="auto" w:fill="auto"/>
            <w:noWrap/>
            <w:tcMar>
              <w:left w:w="28" w:type="dxa"/>
              <w:right w:w="28" w:type="dxa"/>
            </w:tcMar>
            <w:vAlign w:val="center"/>
            <w:hideMark/>
          </w:tcPr>
          <w:p w14:paraId="0F365ABD"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3343AF98"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46B43721"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10" w:type="dxa"/>
            <w:shd w:val="clear" w:color="auto" w:fill="auto"/>
            <w:noWrap/>
            <w:tcMar>
              <w:left w:w="28" w:type="dxa"/>
              <w:right w:w="28" w:type="dxa"/>
            </w:tcMar>
            <w:vAlign w:val="center"/>
            <w:hideMark/>
          </w:tcPr>
          <w:p w14:paraId="0AB3CFD3"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24.053.510</w:t>
            </w:r>
          </w:p>
        </w:tc>
        <w:tc>
          <w:tcPr>
            <w:tcW w:w="1772" w:type="dxa"/>
            <w:shd w:val="clear" w:color="auto" w:fill="auto"/>
            <w:noWrap/>
            <w:tcMar>
              <w:left w:w="28" w:type="dxa"/>
              <w:right w:w="28" w:type="dxa"/>
            </w:tcMar>
            <w:vAlign w:val="center"/>
            <w:hideMark/>
          </w:tcPr>
          <w:p w14:paraId="2F38752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24.053.551</w:t>
            </w:r>
          </w:p>
        </w:tc>
      </w:tr>
      <w:tr w:rsidR="0028406A" w:rsidRPr="00CF77C1" w14:paraId="6CAA3B45" w14:textId="77777777" w:rsidTr="00276B15">
        <w:trPr>
          <w:trHeight w:val="20"/>
        </w:trPr>
        <w:tc>
          <w:tcPr>
            <w:tcW w:w="2491" w:type="dxa"/>
            <w:vMerge/>
            <w:shd w:val="clear" w:color="auto" w:fill="auto"/>
            <w:noWrap/>
            <w:tcMar>
              <w:left w:w="28" w:type="dxa"/>
              <w:right w:w="28" w:type="dxa"/>
            </w:tcMar>
            <w:vAlign w:val="center"/>
            <w:hideMark/>
          </w:tcPr>
          <w:p w14:paraId="5B875612"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71FDE20D"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А+Б</w:t>
            </w:r>
          </w:p>
        </w:tc>
        <w:tc>
          <w:tcPr>
            <w:tcW w:w="1710" w:type="dxa"/>
            <w:shd w:val="clear" w:color="auto" w:fill="auto"/>
            <w:noWrap/>
            <w:tcMar>
              <w:left w:w="28" w:type="dxa"/>
              <w:right w:w="28" w:type="dxa"/>
            </w:tcMar>
            <w:vAlign w:val="center"/>
            <w:hideMark/>
          </w:tcPr>
          <w:p w14:paraId="33D6140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34.276.560</w:t>
            </w:r>
          </w:p>
        </w:tc>
        <w:tc>
          <w:tcPr>
            <w:tcW w:w="1710" w:type="dxa"/>
            <w:shd w:val="clear" w:color="auto" w:fill="auto"/>
            <w:noWrap/>
            <w:tcMar>
              <w:left w:w="28" w:type="dxa"/>
              <w:right w:w="28" w:type="dxa"/>
            </w:tcMar>
            <w:vAlign w:val="center"/>
            <w:hideMark/>
          </w:tcPr>
          <w:p w14:paraId="36CBC5A2"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67.929.460</w:t>
            </w:r>
          </w:p>
        </w:tc>
        <w:tc>
          <w:tcPr>
            <w:tcW w:w="1772" w:type="dxa"/>
            <w:shd w:val="clear" w:color="auto" w:fill="auto"/>
            <w:noWrap/>
            <w:tcMar>
              <w:left w:w="28" w:type="dxa"/>
              <w:right w:w="28" w:type="dxa"/>
            </w:tcMar>
            <w:vAlign w:val="center"/>
            <w:hideMark/>
          </w:tcPr>
          <w:p w14:paraId="4269B74F"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102.206.020</w:t>
            </w:r>
          </w:p>
        </w:tc>
      </w:tr>
      <w:tr w:rsidR="0028406A" w:rsidRPr="00CF77C1" w14:paraId="7618BCCF" w14:textId="77777777" w:rsidTr="00276B15">
        <w:trPr>
          <w:trHeight w:val="20"/>
        </w:trPr>
        <w:tc>
          <w:tcPr>
            <w:tcW w:w="2491" w:type="dxa"/>
            <w:vMerge w:val="restart"/>
            <w:shd w:val="clear" w:color="auto" w:fill="auto"/>
            <w:noWrap/>
            <w:tcMar>
              <w:left w:w="28" w:type="dxa"/>
              <w:right w:w="28" w:type="dxa"/>
            </w:tcMar>
            <w:vAlign w:val="center"/>
            <w:hideMark/>
          </w:tcPr>
          <w:p w14:paraId="59B0C3A5"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 Е</w:t>
            </w:r>
          </w:p>
        </w:tc>
        <w:tc>
          <w:tcPr>
            <w:tcW w:w="1612" w:type="dxa"/>
            <w:shd w:val="clear" w:color="auto" w:fill="auto"/>
            <w:noWrap/>
            <w:tcMar>
              <w:left w:w="28" w:type="dxa"/>
              <w:right w:w="28" w:type="dxa"/>
            </w:tcMar>
            <w:vAlign w:val="center"/>
            <w:hideMark/>
          </w:tcPr>
          <w:p w14:paraId="6D4E7B43"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76DBAFE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146.207.300</w:t>
            </w:r>
          </w:p>
        </w:tc>
        <w:tc>
          <w:tcPr>
            <w:tcW w:w="1710" w:type="dxa"/>
            <w:shd w:val="clear" w:color="auto" w:fill="auto"/>
            <w:noWrap/>
            <w:tcMar>
              <w:left w:w="28" w:type="dxa"/>
              <w:right w:w="28" w:type="dxa"/>
            </w:tcMar>
            <w:vAlign w:val="center"/>
            <w:hideMark/>
          </w:tcPr>
          <w:p w14:paraId="64F70C0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27.620.050</w:t>
            </w:r>
          </w:p>
        </w:tc>
        <w:tc>
          <w:tcPr>
            <w:tcW w:w="1772" w:type="dxa"/>
            <w:shd w:val="clear" w:color="auto" w:fill="auto"/>
            <w:noWrap/>
            <w:tcMar>
              <w:left w:w="28" w:type="dxa"/>
              <w:right w:w="28" w:type="dxa"/>
            </w:tcMar>
            <w:vAlign w:val="center"/>
            <w:hideMark/>
          </w:tcPr>
          <w:p w14:paraId="74943DEE"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173.827.350</w:t>
            </w:r>
          </w:p>
        </w:tc>
      </w:tr>
      <w:tr w:rsidR="0028406A" w:rsidRPr="00CF77C1" w14:paraId="434041EB" w14:textId="77777777" w:rsidTr="00276B15">
        <w:trPr>
          <w:trHeight w:val="20"/>
        </w:trPr>
        <w:tc>
          <w:tcPr>
            <w:tcW w:w="2491" w:type="dxa"/>
            <w:vMerge/>
            <w:shd w:val="clear" w:color="auto" w:fill="auto"/>
            <w:noWrap/>
            <w:tcMar>
              <w:left w:w="28" w:type="dxa"/>
              <w:right w:w="28" w:type="dxa"/>
            </w:tcMar>
            <w:vAlign w:val="center"/>
            <w:hideMark/>
          </w:tcPr>
          <w:p w14:paraId="2E103A06"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3F8ED684"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65C853BA"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150.720.140</w:t>
            </w:r>
          </w:p>
        </w:tc>
        <w:tc>
          <w:tcPr>
            <w:tcW w:w="1710" w:type="dxa"/>
            <w:shd w:val="clear" w:color="auto" w:fill="auto"/>
            <w:noWrap/>
            <w:tcMar>
              <w:left w:w="28" w:type="dxa"/>
              <w:right w:w="28" w:type="dxa"/>
            </w:tcMar>
            <w:vAlign w:val="center"/>
            <w:hideMark/>
          </w:tcPr>
          <w:p w14:paraId="5140F53D"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104.349.620</w:t>
            </w:r>
          </w:p>
        </w:tc>
        <w:tc>
          <w:tcPr>
            <w:tcW w:w="1772" w:type="dxa"/>
            <w:shd w:val="clear" w:color="auto" w:fill="auto"/>
            <w:noWrap/>
            <w:tcMar>
              <w:left w:w="28" w:type="dxa"/>
              <w:right w:w="28" w:type="dxa"/>
            </w:tcMar>
            <w:vAlign w:val="center"/>
            <w:hideMark/>
          </w:tcPr>
          <w:p w14:paraId="440D09DD"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255.069.760</w:t>
            </w:r>
          </w:p>
        </w:tc>
      </w:tr>
      <w:tr w:rsidR="0028406A" w:rsidRPr="00CF77C1" w14:paraId="75930A41" w14:textId="77777777" w:rsidTr="00276B15">
        <w:trPr>
          <w:trHeight w:val="20"/>
        </w:trPr>
        <w:tc>
          <w:tcPr>
            <w:tcW w:w="2491" w:type="dxa"/>
            <w:vMerge/>
            <w:shd w:val="clear" w:color="auto" w:fill="auto"/>
            <w:noWrap/>
            <w:tcMar>
              <w:left w:w="28" w:type="dxa"/>
              <w:right w:w="28" w:type="dxa"/>
            </w:tcMar>
            <w:vAlign w:val="center"/>
            <w:hideMark/>
          </w:tcPr>
          <w:p w14:paraId="132DBE06"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5CDFA400"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0AA37A3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296.927.440</w:t>
            </w:r>
          </w:p>
        </w:tc>
        <w:tc>
          <w:tcPr>
            <w:tcW w:w="1710" w:type="dxa"/>
            <w:shd w:val="clear" w:color="auto" w:fill="auto"/>
            <w:noWrap/>
            <w:tcMar>
              <w:left w:w="28" w:type="dxa"/>
              <w:right w:w="28" w:type="dxa"/>
            </w:tcMar>
            <w:vAlign w:val="center"/>
            <w:hideMark/>
          </w:tcPr>
          <w:p w14:paraId="3C93ED7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131.969.670</w:t>
            </w:r>
          </w:p>
        </w:tc>
        <w:tc>
          <w:tcPr>
            <w:tcW w:w="1772" w:type="dxa"/>
            <w:shd w:val="clear" w:color="auto" w:fill="auto"/>
            <w:noWrap/>
            <w:tcMar>
              <w:left w:w="28" w:type="dxa"/>
              <w:right w:w="28" w:type="dxa"/>
            </w:tcMar>
            <w:vAlign w:val="center"/>
            <w:hideMark/>
          </w:tcPr>
          <w:p w14:paraId="1208C5A5"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428.897.110</w:t>
            </w:r>
          </w:p>
        </w:tc>
      </w:tr>
      <w:tr w:rsidR="0028406A" w:rsidRPr="00CF77C1" w14:paraId="7E4A6918" w14:textId="77777777" w:rsidTr="00276B15">
        <w:trPr>
          <w:trHeight w:val="20"/>
        </w:trPr>
        <w:tc>
          <w:tcPr>
            <w:tcW w:w="2491" w:type="dxa"/>
            <w:vMerge w:val="restart"/>
            <w:shd w:val="clear" w:color="auto" w:fill="auto"/>
            <w:noWrap/>
            <w:tcMar>
              <w:left w:w="28" w:type="dxa"/>
              <w:right w:w="28" w:type="dxa"/>
            </w:tcMar>
            <w:vAlign w:val="center"/>
            <w:hideMark/>
          </w:tcPr>
          <w:p w14:paraId="24FD4C1D"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 Ф</w:t>
            </w:r>
          </w:p>
        </w:tc>
        <w:tc>
          <w:tcPr>
            <w:tcW w:w="1612" w:type="dxa"/>
            <w:shd w:val="clear" w:color="auto" w:fill="auto"/>
            <w:noWrap/>
            <w:tcMar>
              <w:left w:w="28" w:type="dxa"/>
              <w:right w:w="28" w:type="dxa"/>
            </w:tcMar>
            <w:vAlign w:val="center"/>
            <w:hideMark/>
          </w:tcPr>
          <w:p w14:paraId="245DA89D"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381A4BBA"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464.559.700</w:t>
            </w:r>
          </w:p>
        </w:tc>
        <w:tc>
          <w:tcPr>
            <w:tcW w:w="1710" w:type="dxa"/>
            <w:shd w:val="clear" w:color="auto" w:fill="auto"/>
            <w:noWrap/>
            <w:tcMar>
              <w:left w:w="28" w:type="dxa"/>
              <w:right w:w="28" w:type="dxa"/>
            </w:tcMar>
            <w:vAlign w:val="center"/>
          </w:tcPr>
          <w:p w14:paraId="63D7FD5A"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72" w:type="dxa"/>
            <w:shd w:val="clear" w:color="auto" w:fill="auto"/>
            <w:noWrap/>
            <w:tcMar>
              <w:left w:w="28" w:type="dxa"/>
              <w:right w:w="28" w:type="dxa"/>
            </w:tcMar>
            <w:vAlign w:val="center"/>
            <w:hideMark/>
          </w:tcPr>
          <w:p w14:paraId="701F5D47"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464.559.700</w:t>
            </w:r>
          </w:p>
        </w:tc>
      </w:tr>
      <w:tr w:rsidR="0028406A" w:rsidRPr="00CF77C1" w14:paraId="1CF4CF44" w14:textId="77777777" w:rsidTr="00276B15">
        <w:trPr>
          <w:trHeight w:val="20"/>
        </w:trPr>
        <w:tc>
          <w:tcPr>
            <w:tcW w:w="2491" w:type="dxa"/>
            <w:vMerge/>
            <w:shd w:val="clear" w:color="auto" w:fill="auto"/>
            <w:noWrap/>
            <w:tcMar>
              <w:left w:w="28" w:type="dxa"/>
              <w:right w:w="28" w:type="dxa"/>
            </w:tcMar>
            <w:vAlign w:val="center"/>
            <w:hideMark/>
          </w:tcPr>
          <w:p w14:paraId="07AECB1D"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57B2C1B8"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7FBE93C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181.600.500</w:t>
            </w:r>
          </w:p>
        </w:tc>
        <w:tc>
          <w:tcPr>
            <w:tcW w:w="1710" w:type="dxa"/>
            <w:shd w:val="clear" w:color="auto" w:fill="auto"/>
            <w:noWrap/>
            <w:tcMar>
              <w:left w:w="28" w:type="dxa"/>
              <w:right w:w="28" w:type="dxa"/>
            </w:tcMar>
            <w:vAlign w:val="center"/>
          </w:tcPr>
          <w:p w14:paraId="4D38DEC9"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72" w:type="dxa"/>
            <w:shd w:val="clear" w:color="auto" w:fill="auto"/>
            <w:noWrap/>
            <w:tcMar>
              <w:left w:w="28" w:type="dxa"/>
              <w:right w:w="28" w:type="dxa"/>
            </w:tcMar>
            <w:vAlign w:val="center"/>
            <w:hideMark/>
          </w:tcPr>
          <w:p w14:paraId="19C7B19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181.600.500</w:t>
            </w:r>
          </w:p>
        </w:tc>
      </w:tr>
      <w:tr w:rsidR="0028406A" w:rsidRPr="00CF77C1" w14:paraId="0F3D98A3" w14:textId="77777777" w:rsidTr="00276B15">
        <w:trPr>
          <w:trHeight w:val="20"/>
        </w:trPr>
        <w:tc>
          <w:tcPr>
            <w:tcW w:w="2491" w:type="dxa"/>
            <w:vMerge/>
            <w:shd w:val="clear" w:color="auto" w:fill="auto"/>
            <w:noWrap/>
            <w:tcMar>
              <w:left w:w="28" w:type="dxa"/>
              <w:right w:w="28" w:type="dxa"/>
            </w:tcMar>
            <w:vAlign w:val="center"/>
            <w:hideMark/>
          </w:tcPr>
          <w:p w14:paraId="76C01C45"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43098897"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5FC9D6B4"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646.160.200</w:t>
            </w:r>
          </w:p>
        </w:tc>
        <w:tc>
          <w:tcPr>
            <w:tcW w:w="1710" w:type="dxa"/>
            <w:shd w:val="clear" w:color="auto" w:fill="auto"/>
            <w:noWrap/>
            <w:tcMar>
              <w:left w:w="28" w:type="dxa"/>
              <w:right w:w="28" w:type="dxa"/>
            </w:tcMar>
            <w:vAlign w:val="center"/>
          </w:tcPr>
          <w:p w14:paraId="5D3EAD07"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72" w:type="dxa"/>
            <w:shd w:val="clear" w:color="auto" w:fill="auto"/>
            <w:noWrap/>
            <w:tcMar>
              <w:left w:w="28" w:type="dxa"/>
              <w:right w:w="28" w:type="dxa"/>
            </w:tcMar>
            <w:vAlign w:val="center"/>
            <w:hideMark/>
          </w:tcPr>
          <w:p w14:paraId="4880C620"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646.160.200</w:t>
            </w:r>
          </w:p>
        </w:tc>
      </w:tr>
      <w:tr w:rsidR="0028406A" w:rsidRPr="00CF77C1" w14:paraId="4E11E999" w14:textId="77777777" w:rsidTr="00276B15">
        <w:trPr>
          <w:trHeight w:val="20"/>
        </w:trPr>
        <w:tc>
          <w:tcPr>
            <w:tcW w:w="2491" w:type="dxa"/>
            <w:vMerge w:val="restart"/>
            <w:shd w:val="clear" w:color="auto" w:fill="auto"/>
            <w:noWrap/>
            <w:tcMar>
              <w:left w:w="28" w:type="dxa"/>
              <w:right w:w="28" w:type="dxa"/>
            </w:tcMar>
            <w:vAlign w:val="center"/>
            <w:hideMark/>
          </w:tcPr>
          <w:p w14:paraId="491564FB"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 Г</w:t>
            </w:r>
          </w:p>
        </w:tc>
        <w:tc>
          <w:tcPr>
            <w:tcW w:w="1612" w:type="dxa"/>
            <w:shd w:val="clear" w:color="auto" w:fill="auto"/>
            <w:noWrap/>
            <w:tcMar>
              <w:left w:w="28" w:type="dxa"/>
              <w:right w:w="28" w:type="dxa"/>
            </w:tcMar>
            <w:vAlign w:val="center"/>
            <w:hideMark/>
          </w:tcPr>
          <w:p w14:paraId="54CFBAC3"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w:t>
            </w:r>
          </w:p>
        </w:tc>
        <w:tc>
          <w:tcPr>
            <w:tcW w:w="1710" w:type="dxa"/>
            <w:shd w:val="clear" w:color="auto" w:fill="auto"/>
            <w:noWrap/>
            <w:tcMar>
              <w:left w:w="28" w:type="dxa"/>
              <w:right w:w="28" w:type="dxa"/>
            </w:tcMar>
            <w:vAlign w:val="center"/>
            <w:hideMark/>
          </w:tcPr>
          <w:p w14:paraId="403CB2EA"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21.873.290</w:t>
            </w:r>
          </w:p>
        </w:tc>
        <w:tc>
          <w:tcPr>
            <w:tcW w:w="1710" w:type="dxa"/>
            <w:shd w:val="clear" w:color="auto" w:fill="auto"/>
            <w:noWrap/>
            <w:tcMar>
              <w:left w:w="28" w:type="dxa"/>
              <w:right w:w="28" w:type="dxa"/>
            </w:tcMar>
            <w:vAlign w:val="center"/>
            <w:hideMark/>
          </w:tcPr>
          <w:p w14:paraId="73A8A04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25.728.230</w:t>
            </w:r>
          </w:p>
        </w:tc>
        <w:tc>
          <w:tcPr>
            <w:tcW w:w="1772" w:type="dxa"/>
            <w:shd w:val="clear" w:color="auto" w:fill="auto"/>
            <w:noWrap/>
            <w:tcMar>
              <w:left w:w="28" w:type="dxa"/>
              <w:right w:w="28" w:type="dxa"/>
            </w:tcMar>
            <w:vAlign w:val="center"/>
            <w:hideMark/>
          </w:tcPr>
          <w:p w14:paraId="271AE6B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47.601.520</w:t>
            </w:r>
          </w:p>
        </w:tc>
      </w:tr>
      <w:tr w:rsidR="0028406A" w:rsidRPr="00CF77C1" w14:paraId="79B2901E" w14:textId="77777777" w:rsidTr="00276B15">
        <w:trPr>
          <w:trHeight w:val="20"/>
        </w:trPr>
        <w:tc>
          <w:tcPr>
            <w:tcW w:w="2491" w:type="dxa"/>
            <w:vMerge/>
            <w:shd w:val="clear" w:color="auto" w:fill="auto"/>
            <w:noWrap/>
            <w:tcMar>
              <w:left w:w="28" w:type="dxa"/>
              <w:right w:w="28" w:type="dxa"/>
            </w:tcMar>
            <w:vAlign w:val="center"/>
            <w:hideMark/>
          </w:tcPr>
          <w:p w14:paraId="203B7ABC"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24E04435"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4AA56AC9"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14.393.170</w:t>
            </w:r>
          </w:p>
        </w:tc>
        <w:tc>
          <w:tcPr>
            <w:tcW w:w="1710" w:type="dxa"/>
            <w:shd w:val="clear" w:color="auto" w:fill="auto"/>
            <w:noWrap/>
            <w:tcMar>
              <w:left w:w="28" w:type="dxa"/>
              <w:right w:w="28" w:type="dxa"/>
            </w:tcMar>
            <w:vAlign w:val="center"/>
            <w:hideMark/>
          </w:tcPr>
          <w:p w14:paraId="46FE907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40.105.680</w:t>
            </w:r>
          </w:p>
        </w:tc>
        <w:tc>
          <w:tcPr>
            <w:tcW w:w="1772" w:type="dxa"/>
            <w:shd w:val="clear" w:color="auto" w:fill="auto"/>
            <w:noWrap/>
            <w:tcMar>
              <w:left w:w="28" w:type="dxa"/>
              <w:right w:w="28" w:type="dxa"/>
            </w:tcMar>
            <w:vAlign w:val="center"/>
            <w:hideMark/>
          </w:tcPr>
          <w:p w14:paraId="2EF7F659"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54.498.850</w:t>
            </w:r>
          </w:p>
        </w:tc>
      </w:tr>
      <w:tr w:rsidR="0028406A" w:rsidRPr="00CF77C1" w14:paraId="0EBE2E90" w14:textId="77777777" w:rsidTr="00276B15">
        <w:trPr>
          <w:trHeight w:val="20"/>
        </w:trPr>
        <w:tc>
          <w:tcPr>
            <w:tcW w:w="2491" w:type="dxa"/>
            <w:vMerge/>
            <w:shd w:val="clear" w:color="auto" w:fill="auto"/>
            <w:noWrap/>
            <w:tcMar>
              <w:left w:w="28" w:type="dxa"/>
              <w:right w:w="28" w:type="dxa"/>
            </w:tcMar>
            <w:vAlign w:val="center"/>
            <w:hideMark/>
          </w:tcPr>
          <w:p w14:paraId="524FBC4B"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57F76A94"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А+Б</w:t>
            </w:r>
          </w:p>
        </w:tc>
        <w:tc>
          <w:tcPr>
            <w:tcW w:w="1710" w:type="dxa"/>
            <w:shd w:val="clear" w:color="auto" w:fill="auto"/>
            <w:noWrap/>
            <w:tcMar>
              <w:left w:w="28" w:type="dxa"/>
              <w:right w:w="28" w:type="dxa"/>
            </w:tcMar>
            <w:vAlign w:val="center"/>
            <w:hideMark/>
          </w:tcPr>
          <w:p w14:paraId="49C087B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36.266.460</w:t>
            </w:r>
          </w:p>
        </w:tc>
        <w:tc>
          <w:tcPr>
            <w:tcW w:w="1710" w:type="dxa"/>
            <w:shd w:val="clear" w:color="auto" w:fill="auto"/>
            <w:noWrap/>
            <w:tcMar>
              <w:left w:w="28" w:type="dxa"/>
              <w:right w:w="28" w:type="dxa"/>
            </w:tcMar>
            <w:vAlign w:val="center"/>
            <w:hideMark/>
          </w:tcPr>
          <w:p w14:paraId="7A23F43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65.833.910</w:t>
            </w:r>
          </w:p>
        </w:tc>
        <w:tc>
          <w:tcPr>
            <w:tcW w:w="1772" w:type="dxa"/>
            <w:shd w:val="clear" w:color="auto" w:fill="auto"/>
            <w:noWrap/>
            <w:tcMar>
              <w:left w:w="28" w:type="dxa"/>
              <w:right w:w="28" w:type="dxa"/>
            </w:tcMar>
            <w:vAlign w:val="center"/>
            <w:hideMark/>
          </w:tcPr>
          <w:p w14:paraId="505CAF4E"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102.100.370</w:t>
            </w:r>
          </w:p>
        </w:tc>
      </w:tr>
      <w:tr w:rsidR="0028406A" w:rsidRPr="00CF77C1" w14:paraId="2347957A" w14:textId="77777777" w:rsidTr="00276B15">
        <w:trPr>
          <w:trHeight w:val="20"/>
        </w:trPr>
        <w:tc>
          <w:tcPr>
            <w:tcW w:w="2491" w:type="dxa"/>
            <w:vMerge w:val="restart"/>
            <w:shd w:val="clear" w:color="auto" w:fill="auto"/>
            <w:noWrap/>
            <w:tcMar>
              <w:left w:w="28" w:type="dxa"/>
              <w:right w:w="28" w:type="dxa"/>
            </w:tcMar>
            <w:vAlign w:val="center"/>
            <w:hideMark/>
          </w:tcPr>
          <w:p w14:paraId="310CFB04"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w:t>
            </w:r>
            <w:r w:rsidRPr="00CF77C1">
              <w:rPr>
                <w:bCs/>
                <w:szCs w:val="24"/>
                <w:lang w:val="sr-Cyrl-RS"/>
              </w:rPr>
              <w:br/>
              <w:t>Велики Црљени</w:t>
            </w:r>
          </w:p>
        </w:tc>
        <w:tc>
          <w:tcPr>
            <w:tcW w:w="1612" w:type="dxa"/>
            <w:shd w:val="clear" w:color="auto" w:fill="auto"/>
            <w:noWrap/>
            <w:tcMar>
              <w:left w:w="28" w:type="dxa"/>
              <w:right w:w="28" w:type="dxa"/>
            </w:tcMar>
            <w:vAlign w:val="center"/>
            <w:hideMark/>
          </w:tcPr>
          <w:p w14:paraId="5A06A4D7"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w:t>
            </w:r>
          </w:p>
        </w:tc>
        <w:tc>
          <w:tcPr>
            <w:tcW w:w="1710" w:type="dxa"/>
            <w:shd w:val="clear" w:color="auto" w:fill="auto"/>
            <w:noWrap/>
            <w:tcMar>
              <w:left w:w="28" w:type="dxa"/>
              <w:right w:w="28" w:type="dxa"/>
            </w:tcMar>
            <w:vAlign w:val="center"/>
            <w:hideMark/>
          </w:tcPr>
          <w:p w14:paraId="4BEEA48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1.376.950</w:t>
            </w:r>
          </w:p>
        </w:tc>
        <w:tc>
          <w:tcPr>
            <w:tcW w:w="1710" w:type="dxa"/>
            <w:shd w:val="clear" w:color="auto" w:fill="auto"/>
            <w:noWrap/>
            <w:tcMar>
              <w:left w:w="28" w:type="dxa"/>
              <w:right w:w="28" w:type="dxa"/>
            </w:tcMar>
            <w:vAlign w:val="center"/>
            <w:hideMark/>
          </w:tcPr>
          <w:p w14:paraId="1D2A690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15.460.220</w:t>
            </w:r>
          </w:p>
        </w:tc>
        <w:tc>
          <w:tcPr>
            <w:tcW w:w="1772" w:type="dxa"/>
            <w:shd w:val="clear" w:color="auto" w:fill="auto"/>
            <w:noWrap/>
            <w:tcMar>
              <w:left w:w="28" w:type="dxa"/>
              <w:right w:w="28" w:type="dxa"/>
            </w:tcMar>
            <w:vAlign w:val="center"/>
            <w:hideMark/>
          </w:tcPr>
          <w:p w14:paraId="7F0CA5F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16.837.170</w:t>
            </w:r>
          </w:p>
        </w:tc>
      </w:tr>
      <w:tr w:rsidR="0028406A" w:rsidRPr="00CF77C1" w14:paraId="0C2921B8" w14:textId="77777777" w:rsidTr="00276B15">
        <w:trPr>
          <w:trHeight w:val="20"/>
        </w:trPr>
        <w:tc>
          <w:tcPr>
            <w:tcW w:w="2491" w:type="dxa"/>
            <w:vMerge/>
            <w:shd w:val="clear" w:color="auto" w:fill="auto"/>
            <w:noWrap/>
            <w:tcMar>
              <w:left w:w="28" w:type="dxa"/>
              <w:right w:w="28" w:type="dxa"/>
            </w:tcMar>
            <w:vAlign w:val="center"/>
            <w:hideMark/>
          </w:tcPr>
          <w:p w14:paraId="0C3E2B56"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481136B1"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576C03D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10" w:type="dxa"/>
            <w:shd w:val="clear" w:color="auto" w:fill="auto"/>
            <w:noWrap/>
            <w:tcMar>
              <w:left w:w="28" w:type="dxa"/>
              <w:right w:w="28" w:type="dxa"/>
            </w:tcMar>
            <w:vAlign w:val="center"/>
            <w:hideMark/>
          </w:tcPr>
          <w:p w14:paraId="65DBF2E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49.973.480</w:t>
            </w:r>
          </w:p>
        </w:tc>
        <w:tc>
          <w:tcPr>
            <w:tcW w:w="1772" w:type="dxa"/>
            <w:shd w:val="clear" w:color="auto" w:fill="auto"/>
            <w:noWrap/>
            <w:tcMar>
              <w:left w:w="28" w:type="dxa"/>
              <w:right w:w="28" w:type="dxa"/>
            </w:tcMar>
            <w:vAlign w:val="center"/>
            <w:hideMark/>
          </w:tcPr>
          <w:p w14:paraId="42031AD4"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49.973.480</w:t>
            </w:r>
          </w:p>
        </w:tc>
      </w:tr>
      <w:tr w:rsidR="0028406A" w:rsidRPr="00CF77C1" w14:paraId="1AD1EA47" w14:textId="77777777" w:rsidTr="00276B15">
        <w:trPr>
          <w:trHeight w:val="20"/>
        </w:trPr>
        <w:tc>
          <w:tcPr>
            <w:tcW w:w="2491" w:type="dxa"/>
            <w:vMerge/>
            <w:shd w:val="clear" w:color="auto" w:fill="auto"/>
            <w:noWrap/>
            <w:tcMar>
              <w:left w:w="28" w:type="dxa"/>
              <w:right w:w="28" w:type="dxa"/>
            </w:tcMar>
            <w:vAlign w:val="center"/>
            <w:hideMark/>
          </w:tcPr>
          <w:p w14:paraId="20FF3622"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79CC8938"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36B9258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1.376.950</w:t>
            </w:r>
          </w:p>
        </w:tc>
        <w:tc>
          <w:tcPr>
            <w:tcW w:w="1710" w:type="dxa"/>
            <w:shd w:val="clear" w:color="auto" w:fill="auto"/>
            <w:noWrap/>
            <w:tcMar>
              <w:left w:w="28" w:type="dxa"/>
              <w:right w:w="28" w:type="dxa"/>
            </w:tcMar>
            <w:vAlign w:val="center"/>
            <w:hideMark/>
          </w:tcPr>
          <w:p w14:paraId="77E0789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65.433.700</w:t>
            </w:r>
          </w:p>
        </w:tc>
        <w:tc>
          <w:tcPr>
            <w:tcW w:w="1772" w:type="dxa"/>
            <w:shd w:val="clear" w:color="auto" w:fill="auto"/>
            <w:noWrap/>
            <w:tcMar>
              <w:left w:w="28" w:type="dxa"/>
              <w:right w:w="28" w:type="dxa"/>
            </w:tcMar>
            <w:vAlign w:val="center"/>
            <w:hideMark/>
          </w:tcPr>
          <w:p w14:paraId="797F1191"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66.810.650</w:t>
            </w:r>
          </w:p>
        </w:tc>
      </w:tr>
      <w:tr w:rsidR="0028406A" w:rsidRPr="00CF77C1" w14:paraId="7643E04F" w14:textId="77777777" w:rsidTr="00276B15">
        <w:trPr>
          <w:trHeight w:val="20"/>
        </w:trPr>
        <w:tc>
          <w:tcPr>
            <w:tcW w:w="2491" w:type="dxa"/>
            <w:vMerge w:val="restart"/>
            <w:shd w:val="clear" w:color="auto" w:fill="auto"/>
            <w:noWrap/>
            <w:tcMar>
              <w:left w:w="28" w:type="dxa"/>
              <w:right w:w="28" w:type="dxa"/>
            </w:tcMar>
            <w:vAlign w:val="center"/>
            <w:hideMark/>
          </w:tcPr>
          <w:p w14:paraId="0215705A"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Тамнава - Западно Поље</w:t>
            </w:r>
          </w:p>
        </w:tc>
        <w:tc>
          <w:tcPr>
            <w:tcW w:w="1612" w:type="dxa"/>
            <w:shd w:val="clear" w:color="auto" w:fill="auto"/>
            <w:noWrap/>
            <w:tcMar>
              <w:left w:w="28" w:type="dxa"/>
              <w:right w:w="28" w:type="dxa"/>
            </w:tcMar>
            <w:vAlign w:val="center"/>
            <w:hideMark/>
          </w:tcPr>
          <w:p w14:paraId="0B83D5E9"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w:t>
            </w:r>
          </w:p>
        </w:tc>
        <w:tc>
          <w:tcPr>
            <w:tcW w:w="1710" w:type="dxa"/>
            <w:shd w:val="clear" w:color="auto" w:fill="auto"/>
            <w:noWrap/>
            <w:tcMar>
              <w:left w:w="28" w:type="dxa"/>
              <w:right w:w="28" w:type="dxa"/>
            </w:tcMar>
            <w:vAlign w:val="center"/>
            <w:hideMark/>
          </w:tcPr>
          <w:p w14:paraId="5BB1FB6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10" w:type="dxa"/>
            <w:shd w:val="clear" w:color="auto" w:fill="auto"/>
            <w:noWrap/>
            <w:tcMar>
              <w:left w:w="28" w:type="dxa"/>
              <w:right w:w="28" w:type="dxa"/>
            </w:tcMar>
            <w:vAlign w:val="center"/>
            <w:hideMark/>
          </w:tcPr>
          <w:p w14:paraId="56057764"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26.147.790</w:t>
            </w:r>
          </w:p>
        </w:tc>
        <w:tc>
          <w:tcPr>
            <w:tcW w:w="1772" w:type="dxa"/>
            <w:shd w:val="clear" w:color="auto" w:fill="auto"/>
            <w:noWrap/>
            <w:tcMar>
              <w:left w:w="28" w:type="dxa"/>
              <w:right w:w="28" w:type="dxa"/>
            </w:tcMar>
            <w:vAlign w:val="center"/>
            <w:hideMark/>
          </w:tcPr>
          <w:p w14:paraId="2AC22CF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26.147.790</w:t>
            </w:r>
          </w:p>
        </w:tc>
      </w:tr>
      <w:tr w:rsidR="0028406A" w:rsidRPr="00CF77C1" w14:paraId="7F625559" w14:textId="77777777" w:rsidTr="00276B15">
        <w:trPr>
          <w:trHeight w:val="20"/>
        </w:trPr>
        <w:tc>
          <w:tcPr>
            <w:tcW w:w="2491" w:type="dxa"/>
            <w:vMerge/>
            <w:shd w:val="clear" w:color="auto" w:fill="auto"/>
            <w:noWrap/>
            <w:tcMar>
              <w:left w:w="28" w:type="dxa"/>
              <w:right w:w="28" w:type="dxa"/>
            </w:tcMar>
            <w:vAlign w:val="center"/>
            <w:hideMark/>
          </w:tcPr>
          <w:p w14:paraId="25013C13"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3B6A64AB"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7BA4BDB3"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56.283.760</w:t>
            </w:r>
          </w:p>
        </w:tc>
        <w:tc>
          <w:tcPr>
            <w:tcW w:w="1710" w:type="dxa"/>
            <w:shd w:val="clear" w:color="auto" w:fill="auto"/>
            <w:noWrap/>
            <w:tcMar>
              <w:left w:w="28" w:type="dxa"/>
              <w:right w:w="28" w:type="dxa"/>
            </w:tcMar>
            <w:vAlign w:val="center"/>
            <w:hideMark/>
          </w:tcPr>
          <w:p w14:paraId="7A0E6419"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11.121.600</w:t>
            </w:r>
          </w:p>
        </w:tc>
        <w:tc>
          <w:tcPr>
            <w:tcW w:w="1772" w:type="dxa"/>
            <w:shd w:val="clear" w:color="auto" w:fill="auto"/>
            <w:noWrap/>
            <w:tcMar>
              <w:left w:w="28" w:type="dxa"/>
              <w:right w:w="28" w:type="dxa"/>
            </w:tcMar>
            <w:vAlign w:val="center"/>
            <w:hideMark/>
          </w:tcPr>
          <w:p w14:paraId="15231ED4"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67.405.360</w:t>
            </w:r>
          </w:p>
        </w:tc>
      </w:tr>
      <w:tr w:rsidR="0028406A" w:rsidRPr="00CF77C1" w14:paraId="64135FE8" w14:textId="77777777" w:rsidTr="00276B15">
        <w:trPr>
          <w:trHeight w:val="20"/>
        </w:trPr>
        <w:tc>
          <w:tcPr>
            <w:tcW w:w="2491" w:type="dxa"/>
            <w:vMerge/>
            <w:shd w:val="clear" w:color="auto" w:fill="auto"/>
            <w:noWrap/>
            <w:tcMar>
              <w:left w:w="28" w:type="dxa"/>
              <w:right w:w="28" w:type="dxa"/>
            </w:tcMar>
            <w:vAlign w:val="center"/>
            <w:hideMark/>
          </w:tcPr>
          <w:p w14:paraId="7A712938"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62474D24"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64674B6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245.021.530</w:t>
            </w:r>
          </w:p>
        </w:tc>
        <w:tc>
          <w:tcPr>
            <w:tcW w:w="1710" w:type="dxa"/>
            <w:shd w:val="clear" w:color="auto" w:fill="auto"/>
            <w:noWrap/>
            <w:tcMar>
              <w:left w:w="28" w:type="dxa"/>
              <w:right w:w="28" w:type="dxa"/>
            </w:tcMar>
            <w:vAlign w:val="center"/>
            <w:hideMark/>
          </w:tcPr>
          <w:p w14:paraId="69C4626A"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44.675.650</w:t>
            </w:r>
          </w:p>
        </w:tc>
        <w:tc>
          <w:tcPr>
            <w:tcW w:w="1772" w:type="dxa"/>
            <w:shd w:val="clear" w:color="auto" w:fill="auto"/>
            <w:noWrap/>
            <w:tcMar>
              <w:left w:w="28" w:type="dxa"/>
              <w:right w:w="28" w:type="dxa"/>
            </w:tcMar>
            <w:vAlign w:val="center"/>
            <w:hideMark/>
          </w:tcPr>
          <w:p w14:paraId="2E007EF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289.697.180</w:t>
            </w:r>
          </w:p>
        </w:tc>
      </w:tr>
      <w:tr w:rsidR="0028406A" w:rsidRPr="00CF77C1" w14:paraId="134CD608" w14:textId="77777777" w:rsidTr="00276B15">
        <w:trPr>
          <w:trHeight w:val="20"/>
        </w:trPr>
        <w:tc>
          <w:tcPr>
            <w:tcW w:w="2491" w:type="dxa"/>
            <w:vMerge/>
            <w:shd w:val="clear" w:color="auto" w:fill="auto"/>
            <w:noWrap/>
            <w:tcMar>
              <w:left w:w="28" w:type="dxa"/>
              <w:right w:w="28" w:type="dxa"/>
            </w:tcMar>
            <w:vAlign w:val="center"/>
            <w:hideMark/>
          </w:tcPr>
          <w:p w14:paraId="56533E7E"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5291413D"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А+Б+Ц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2980965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301.305.29</w:t>
            </w:r>
          </w:p>
        </w:tc>
        <w:tc>
          <w:tcPr>
            <w:tcW w:w="1710" w:type="dxa"/>
            <w:shd w:val="clear" w:color="auto" w:fill="auto"/>
            <w:noWrap/>
            <w:tcMar>
              <w:left w:w="28" w:type="dxa"/>
              <w:right w:w="28" w:type="dxa"/>
            </w:tcMar>
            <w:vAlign w:val="center"/>
            <w:hideMark/>
          </w:tcPr>
          <w:p w14:paraId="4514E8B1"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81.945.040</w:t>
            </w:r>
          </w:p>
        </w:tc>
        <w:tc>
          <w:tcPr>
            <w:tcW w:w="1772" w:type="dxa"/>
            <w:shd w:val="clear" w:color="auto" w:fill="auto"/>
            <w:noWrap/>
            <w:tcMar>
              <w:left w:w="28" w:type="dxa"/>
              <w:right w:w="28" w:type="dxa"/>
            </w:tcMar>
            <w:vAlign w:val="center"/>
            <w:hideMark/>
          </w:tcPr>
          <w:p w14:paraId="4E2F9AA7"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383.250.330</w:t>
            </w:r>
          </w:p>
        </w:tc>
      </w:tr>
      <w:tr w:rsidR="0028406A" w:rsidRPr="00CF77C1" w14:paraId="07BC3DF2" w14:textId="77777777" w:rsidTr="00276B15">
        <w:trPr>
          <w:trHeight w:val="20"/>
        </w:trPr>
        <w:tc>
          <w:tcPr>
            <w:tcW w:w="2491" w:type="dxa"/>
            <w:vMerge w:val="restart"/>
            <w:shd w:val="clear" w:color="auto" w:fill="auto"/>
            <w:noWrap/>
            <w:tcMar>
              <w:left w:w="28" w:type="dxa"/>
              <w:right w:w="28" w:type="dxa"/>
            </w:tcMar>
            <w:vAlign w:val="center"/>
            <w:hideMark/>
          </w:tcPr>
          <w:p w14:paraId="05BBB0D3"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 Радљево</w:t>
            </w:r>
          </w:p>
        </w:tc>
        <w:tc>
          <w:tcPr>
            <w:tcW w:w="1612" w:type="dxa"/>
            <w:shd w:val="clear" w:color="auto" w:fill="auto"/>
            <w:noWrap/>
            <w:tcMar>
              <w:left w:w="28" w:type="dxa"/>
              <w:right w:w="28" w:type="dxa"/>
            </w:tcMar>
            <w:vAlign w:val="center"/>
            <w:hideMark/>
          </w:tcPr>
          <w:p w14:paraId="0C7B3FCF"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6F4BA1AB"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223.472.020</w:t>
            </w:r>
          </w:p>
        </w:tc>
        <w:tc>
          <w:tcPr>
            <w:tcW w:w="1710" w:type="dxa"/>
            <w:shd w:val="clear" w:color="auto" w:fill="auto"/>
            <w:noWrap/>
            <w:tcMar>
              <w:left w:w="28" w:type="dxa"/>
              <w:right w:w="28" w:type="dxa"/>
            </w:tcMar>
            <w:vAlign w:val="center"/>
            <w:hideMark/>
          </w:tcPr>
          <w:p w14:paraId="4386032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30.557.550</w:t>
            </w:r>
          </w:p>
        </w:tc>
        <w:tc>
          <w:tcPr>
            <w:tcW w:w="1772" w:type="dxa"/>
            <w:shd w:val="clear" w:color="auto" w:fill="auto"/>
            <w:noWrap/>
            <w:tcMar>
              <w:left w:w="28" w:type="dxa"/>
              <w:right w:w="28" w:type="dxa"/>
            </w:tcMar>
            <w:vAlign w:val="center"/>
            <w:hideMark/>
          </w:tcPr>
          <w:p w14:paraId="0734981D"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254.029.570</w:t>
            </w:r>
          </w:p>
        </w:tc>
      </w:tr>
      <w:tr w:rsidR="0028406A" w:rsidRPr="00CF77C1" w14:paraId="2C765007" w14:textId="77777777" w:rsidTr="00276B15">
        <w:trPr>
          <w:trHeight w:val="20"/>
        </w:trPr>
        <w:tc>
          <w:tcPr>
            <w:tcW w:w="2491" w:type="dxa"/>
            <w:vMerge/>
            <w:shd w:val="clear" w:color="auto" w:fill="auto"/>
            <w:noWrap/>
            <w:tcMar>
              <w:left w:w="28" w:type="dxa"/>
              <w:right w:w="28" w:type="dxa"/>
            </w:tcMar>
            <w:vAlign w:val="center"/>
            <w:hideMark/>
          </w:tcPr>
          <w:p w14:paraId="5BA1233C"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4FD1A916"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3950873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169.743.800</w:t>
            </w:r>
          </w:p>
        </w:tc>
        <w:tc>
          <w:tcPr>
            <w:tcW w:w="1710" w:type="dxa"/>
            <w:shd w:val="clear" w:color="auto" w:fill="auto"/>
            <w:noWrap/>
            <w:tcMar>
              <w:left w:w="28" w:type="dxa"/>
              <w:right w:w="28" w:type="dxa"/>
            </w:tcMar>
            <w:vAlign w:val="center"/>
            <w:hideMark/>
          </w:tcPr>
          <w:p w14:paraId="6160E542"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47.179.910</w:t>
            </w:r>
          </w:p>
        </w:tc>
        <w:tc>
          <w:tcPr>
            <w:tcW w:w="1772" w:type="dxa"/>
            <w:shd w:val="clear" w:color="auto" w:fill="auto"/>
            <w:noWrap/>
            <w:tcMar>
              <w:left w:w="28" w:type="dxa"/>
              <w:right w:w="28" w:type="dxa"/>
            </w:tcMar>
            <w:vAlign w:val="center"/>
            <w:hideMark/>
          </w:tcPr>
          <w:p w14:paraId="5D47F45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216.923.710</w:t>
            </w:r>
          </w:p>
        </w:tc>
      </w:tr>
      <w:tr w:rsidR="0028406A" w:rsidRPr="00CF77C1" w14:paraId="35DA899F" w14:textId="77777777" w:rsidTr="00276B15">
        <w:trPr>
          <w:trHeight w:val="20"/>
        </w:trPr>
        <w:tc>
          <w:tcPr>
            <w:tcW w:w="2491" w:type="dxa"/>
            <w:vMerge/>
            <w:shd w:val="clear" w:color="auto" w:fill="auto"/>
            <w:noWrap/>
            <w:tcMar>
              <w:left w:w="28" w:type="dxa"/>
              <w:right w:w="28" w:type="dxa"/>
            </w:tcMar>
            <w:vAlign w:val="center"/>
            <w:hideMark/>
          </w:tcPr>
          <w:p w14:paraId="51E8F7E1"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717A5CAF"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7E429FA1"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393.215.820</w:t>
            </w:r>
          </w:p>
        </w:tc>
        <w:tc>
          <w:tcPr>
            <w:tcW w:w="1710" w:type="dxa"/>
            <w:shd w:val="clear" w:color="auto" w:fill="auto"/>
            <w:noWrap/>
            <w:tcMar>
              <w:left w:w="28" w:type="dxa"/>
              <w:right w:w="28" w:type="dxa"/>
            </w:tcMar>
            <w:vAlign w:val="center"/>
            <w:hideMark/>
          </w:tcPr>
          <w:p w14:paraId="5CF2DFA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77.737.460</w:t>
            </w:r>
          </w:p>
        </w:tc>
        <w:tc>
          <w:tcPr>
            <w:tcW w:w="1772" w:type="dxa"/>
            <w:shd w:val="clear" w:color="auto" w:fill="auto"/>
            <w:noWrap/>
            <w:tcMar>
              <w:left w:w="28" w:type="dxa"/>
              <w:right w:w="28" w:type="dxa"/>
            </w:tcMar>
            <w:vAlign w:val="center"/>
            <w:hideMark/>
          </w:tcPr>
          <w:p w14:paraId="6C7A9607"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470.953.280</w:t>
            </w:r>
          </w:p>
        </w:tc>
      </w:tr>
      <w:tr w:rsidR="0028406A" w:rsidRPr="00CF77C1" w14:paraId="4566C03B" w14:textId="77777777" w:rsidTr="00276B15">
        <w:trPr>
          <w:trHeight w:val="20"/>
        </w:trPr>
        <w:tc>
          <w:tcPr>
            <w:tcW w:w="2491" w:type="dxa"/>
            <w:vMerge/>
            <w:shd w:val="clear" w:color="auto" w:fill="auto"/>
            <w:noWrap/>
            <w:tcMar>
              <w:left w:w="28" w:type="dxa"/>
              <w:right w:w="28" w:type="dxa"/>
            </w:tcMar>
            <w:vAlign w:val="center"/>
            <w:hideMark/>
          </w:tcPr>
          <w:p w14:paraId="1BDE7500"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403B4B7B"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2</w:t>
            </w:r>
          </w:p>
        </w:tc>
        <w:tc>
          <w:tcPr>
            <w:tcW w:w="3420" w:type="dxa"/>
            <w:gridSpan w:val="2"/>
            <w:shd w:val="clear" w:color="auto" w:fill="auto"/>
            <w:noWrap/>
            <w:tcMar>
              <w:left w:w="28" w:type="dxa"/>
              <w:right w:w="28" w:type="dxa"/>
            </w:tcMar>
            <w:vAlign w:val="center"/>
            <w:hideMark/>
          </w:tcPr>
          <w:p w14:paraId="3DCB764A" w14:textId="77777777" w:rsidR="0028406A" w:rsidRPr="00CF77C1" w:rsidRDefault="0028406A" w:rsidP="0080044B">
            <w:pPr>
              <w:framePr w:hSpace="181" w:wrap="notBeside" w:vAnchor="text" w:hAnchor="text" w:y="1"/>
              <w:spacing w:before="0" w:after="0"/>
              <w:ind w:right="57"/>
              <w:jc w:val="center"/>
              <w:rPr>
                <w:iCs/>
                <w:szCs w:val="24"/>
                <w:lang w:val="sr-Cyrl-RS"/>
              </w:rPr>
            </w:pPr>
            <w:r w:rsidRPr="00CF77C1">
              <w:rPr>
                <w:iCs/>
                <w:szCs w:val="24"/>
                <w:lang w:val="sr-Cyrl-RS"/>
              </w:rPr>
              <w:t>потенцијалне, процењене</w:t>
            </w:r>
          </w:p>
        </w:tc>
        <w:tc>
          <w:tcPr>
            <w:tcW w:w="1772" w:type="dxa"/>
            <w:shd w:val="clear" w:color="auto" w:fill="auto"/>
            <w:noWrap/>
            <w:tcMar>
              <w:left w:w="28" w:type="dxa"/>
              <w:right w:w="28" w:type="dxa"/>
            </w:tcMar>
            <w:vAlign w:val="center"/>
            <w:hideMark/>
          </w:tcPr>
          <w:p w14:paraId="4185CF19"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191.363.430</w:t>
            </w:r>
          </w:p>
        </w:tc>
      </w:tr>
      <w:tr w:rsidR="0028406A" w:rsidRPr="00CF77C1" w14:paraId="79839A32" w14:textId="77777777" w:rsidTr="00276B15">
        <w:trPr>
          <w:trHeight w:val="20"/>
        </w:trPr>
        <w:tc>
          <w:tcPr>
            <w:tcW w:w="2491" w:type="dxa"/>
            <w:vMerge w:val="restart"/>
            <w:shd w:val="clear" w:color="auto" w:fill="auto"/>
            <w:noWrap/>
            <w:tcMar>
              <w:left w:w="28" w:type="dxa"/>
              <w:right w:w="28" w:type="dxa"/>
            </w:tcMar>
            <w:vAlign w:val="center"/>
            <w:hideMark/>
          </w:tcPr>
          <w:p w14:paraId="11E98296"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w:t>
            </w:r>
            <w:r w:rsidRPr="00CF77C1">
              <w:rPr>
                <w:bCs/>
                <w:szCs w:val="24"/>
                <w:lang w:val="sr-Cyrl-RS"/>
              </w:rPr>
              <w:br/>
              <w:t>Шопић - Лазаревац</w:t>
            </w:r>
          </w:p>
        </w:tc>
        <w:tc>
          <w:tcPr>
            <w:tcW w:w="1612" w:type="dxa"/>
            <w:shd w:val="clear" w:color="auto" w:fill="auto"/>
            <w:noWrap/>
            <w:tcMar>
              <w:left w:w="28" w:type="dxa"/>
              <w:right w:w="28" w:type="dxa"/>
            </w:tcMar>
            <w:vAlign w:val="center"/>
            <w:hideMark/>
          </w:tcPr>
          <w:p w14:paraId="46435E3A"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2182B79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109.712.900</w:t>
            </w:r>
          </w:p>
        </w:tc>
        <w:tc>
          <w:tcPr>
            <w:tcW w:w="1710" w:type="dxa"/>
            <w:shd w:val="clear" w:color="auto" w:fill="auto"/>
            <w:noWrap/>
            <w:tcMar>
              <w:left w:w="28" w:type="dxa"/>
              <w:right w:w="28" w:type="dxa"/>
            </w:tcMar>
            <w:vAlign w:val="center"/>
            <w:hideMark/>
          </w:tcPr>
          <w:p w14:paraId="2EC980C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72" w:type="dxa"/>
            <w:shd w:val="clear" w:color="auto" w:fill="auto"/>
            <w:noWrap/>
            <w:tcMar>
              <w:left w:w="28" w:type="dxa"/>
              <w:right w:w="28" w:type="dxa"/>
            </w:tcMar>
            <w:vAlign w:val="center"/>
            <w:hideMark/>
          </w:tcPr>
          <w:p w14:paraId="035F4917"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109.712.900</w:t>
            </w:r>
          </w:p>
        </w:tc>
      </w:tr>
      <w:tr w:rsidR="0028406A" w:rsidRPr="00CF77C1" w14:paraId="21B30401" w14:textId="77777777" w:rsidTr="00276B15">
        <w:trPr>
          <w:trHeight w:val="20"/>
        </w:trPr>
        <w:tc>
          <w:tcPr>
            <w:tcW w:w="2491" w:type="dxa"/>
            <w:vMerge/>
            <w:shd w:val="clear" w:color="auto" w:fill="auto"/>
            <w:noWrap/>
            <w:tcMar>
              <w:left w:w="28" w:type="dxa"/>
              <w:right w:w="28" w:type="dxa"/>
            </w:tcMar>
            <w:vAlign w:val="center"/>
            <w:hideMark/>
          </w:tcPr>
          <w:p w14:paraId="48BF5BC3"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70301B62"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00976CC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10" w:type="dxa"/>
            <w:shd w:val="clear" w:color="auto" w:fill="auto"/>
            <w:noWrap/>
            <w:tcMar>
              <w:left w:w="28" w:type="dxa"/>
              <w:right w:w="28" w:type="dxa"/>
            </w:tcMar>
            <w:vAlign w:val="center"/>
            <w:hideMark/>
          </w:tcPr>
          <w:p w14:paraId="4C33B5D3"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19.331.500</w:t>
            </w:r>
          </w:p>
        </w:tc>
        <w:tc>
          <w:tcPr>
            <w:tcW w:w="1772" w:type="dxa"/>
            <w:shd w:val="clear" w:color="auto" w:fill="auto"/>
            <w:noWrap/>
            <w:tcMar>
              <w:left w:w="28" w:type="dxa"/>
              <w:right w:w="28" w:type="dxa"/>
            </w:tcMar>
            <w:vAlign w:val="center"/>
            <w:hideMark/>
          </w:tcPr>
          <w:p w14:paraId="76D342B5"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19.331.500</w:t>
            </w:r>
          </w:p>
        </w:tc>
      </w:tr>
      <w:tr w:rsidR="0028406A" w:rsidRPr="00CF77C1" w14:paraId="5A9C4406" w14:textId="77777777" w:rsidTr="00276B15">
        <w:trPr>
          <w:trHeight w:val="20"/>
        </w:trPr>
        <w:tc>
          <w:tcPr>
            <w:tcW w:w="2491" w:type="dxa"/>
            <w:vMerge/>
            <w:shd w:val="clear" w:color="auto" w:fill="auto"/>
            <w:noWrap/>
            <w:tcMar>
              <w:left w:w="28" w:type="dxa"/>
              <w:right w:w="28" w:type="dxa"/>
            </w:tcMar>
            <w:vAlign w:val="center"/>
            <w:hideMark/>
          </w:tcPr>
          <w:p w14:paraId="6BAD63B7"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75D75D03"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62182DE7"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109.712.900</w:t>
            </w:r>
          </w:p>
        </w:tc>
        <w:tc>
          <w:tcPr>
            <w:tcW w:w="1710" w:type="dxa"/>
            <w:shd w:val="clear" w:color="auto" w:fill="auto"/>
            <w:noWrap/>
            <w:tcMar>
              <w:left w:w="28" w:type="dxa"/>
              <w:right w:w="28" w:type="dxa"/>
            </w:tcMar>
            <w:vAlign w:val="center"/>
            <w:hideMark/>
          </w:tcPr>
          <w:p w14:paraId="54A5F3D3"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19.331.500</w:t>
            </w:r>
          </w:p>
        </w:tc>
        <w:tc>
          <w:tcPr>
            <w:tcW w:w="1772" w:type="dxa"/>
            <w:shd w:val="clear" w:color="auto" w:fill="auto"/>
            <w:noWrap/>
            <w:tcMar>
              <w:left w:w="28" w:type="dxa"/>
              <w:right w:w="28" w:type="dxa"/>
            </w:tcMar>
            <w:vAlign w:val="center"/>
            <w:hideMark/>
          </w:tcPr>
          <w:p w14:paraId="7D87B79F"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129.044.400</w:t>
            </w:r>
          </w:p>
        </w:tc>
      </w:tr>
      <w:tr w:rsidR="0028406A" w:rsidRPr="00CF77C1" w14:paraId="293F22DA" w14:textId="77777777" w:rsidTr="00276B15">
        <w:trPr>
          <w:trHeight w:val="20"/>
        </w:trPr>
        <w:tc>
          <w:tcPr>
            <w:tcW w:w="2491" w:type="dxa"/>
            <w:vMerge/>
            <w:shd w:val="clear" w:color="auto" w:fill="auto"/>
            <w:noWrap/>
            <w:tcMar>
              <w:left w:w="28" w:type="dxa"/>
              <w:right w:w="28" w:type="dxa"/>
            </w:tcMar>
            <w:vAlign w:val="center"/>
            <w:hideMark/>
          </w:tcPr>
          <w:p w14:paraId="37EA7E5C"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39FE63A4"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2</w:t>
            </w:r>
          </w:p>
        </w:tc>
        <w:tc>
          <w:tcPr>
            <w:tcW w:w="3420" w:type="dxa"/>
            <w:gridSpan w:val="2"/>
            <w:shd w:val="clear" w:color="auto" w:fill="auto"/>
            <w:noWrap/>
            <w:tcMar>
              <w:left w:w="28" w:type="dxa"/>
              <w:right w:w="28" w:type="dxa"/>
            </w:tcMar>
            <w:vAlign w:val="center"/>
            <w:hideMark/>
          </w:tcPr>
          <w:p w14:paraId="6F416AB5" w14:textId="77777777" w:rsidR="0028406A" w:rsidRPr="00CF77C1" w:rsidRDefault="0028406A" w:rsidP="0080044B">
            <w:pPr>
              <w:framePr w:hSpace="181" w:wrap="notBeside" w:vAnchor="text" w:hAnchor="text" w:y="1"/>
              <w:spacing w:before="0" w:after="0"/>
              <w:ind w:right="57"/>
              <w:jc w:val="center"/>
              <w:rPr>
                <w:iCs/>
                <w:szCs w:val="24"/>
                <w:lang w:val="sr-Cyrl-RS"/>
              </w:rPr>
            </w:pPr>
            <w:r w:rsidRPr="00CF77C1">
              <w:rPr>
                <w:iCs/>
                <w:szCs w:val="24"/>
                <w:lang w:val="sr-Cyrl-RS"/>
              </w:rPr>
              <w:t>потенцијалне, процењене</w:t>
            </w:r>
          </w:p>
        </w:tc>
        <w:tc>
          <w:tcPr>
            <w:tcW w:w="1772" w:type="dxa"/>
            <w:shd w:val="clear" w:color="auto" w:fill="auto"/>
            <w:noWrap/>
            <w:tcMar>
              <w:left w:w="28" w:type="dxa"/>
              <w:right w:w="28" w:type="dxa"/>
            </w:tcMar>
            <w:vAlign w:val="center"/>
            <w:hideMark/>
          </w:tcPr>
          <w:p w14:paraId="3BA7A3AE"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127.172.300</w:t>
            </w:r>
          </w:p>
        </w:tc>
      </w:tr>
      <w:tr w:rsidR="0028406A" w:rsidRPr="00CF77C1" w14:paraId="69096B3F" w14:textId="77777777" w:rsidTr="00276B15">
        <w:trPr>
          <w:trHeight w:val="20"/>
        </w:trPr>
        <w:tc>
          <w:tcPr>
            <w:tcW w:w="2491" w:type="dxa"/>
            <w:vMerge w:val="restart"/>
            <w:shd w:val="clear" w:color="auto" w:fill="auto"/>
            <w:noWrap/>
            <w:tcMar>
              <w:left w:w="28" w:type="dxa"/>
              <w:right w:w="28" w:type="dxa"/>
            </w:tcMar>
            <w:vAlign w:val="center"/>
            <w:hideMark/>
          </w:tcPr>
          <w:p w14:paraId="7628DA76"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Поље Звиздар</w:t>
            </w:r>
          </w:p>
        </w:tc>
        <w:tc>
          <w:tcPr>
            <w:tcW w:w="1612" w:type="dxa"/>
            <w:shd w:val="clear" w:color="auto" w:fill="auto"/>
            <w:noWrap/>
            <w:tcMar>
              <w:left w:w="28" w:type="dxa"/>
              <w:right w:w="28" w:type="dxa"/>
            </w:tcMar>
            <w:vAlign w:val="center"/>
            <w:hideMark/>
          </w:tcPr>
          <w:p w14:paraId="1851D5D5"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168514B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78.944.740</w:t>
            </w:r>
          </w:p>
        </w:tc>
        <w:tc>
          <w:tcPr>
            <w:tcW w:w="1710" w:type="dxa"/>
            <w:shd w:val="clear" w:color="auto" w:fill="auto"/>
            <w:noWrap/>
            <w:tcMar>
              <w:left w:w="28" w:type="dxa"/>
              <w:right w:w="28" w:type="dxa"/>
            </w:tcMar>
            <w:vAlign w:val="center"/>
            <w:hideMark/>
          </w:tcPr>
          <w:p w14:paraId="0A77624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w:t>
            </w:r>
          </w:p>
        </w:tc>
        <w:tc>
          <w:tcPr>
            <w:tcW w:w="1772" w:type="dxa"/>
            <w:shd w:val="clear" w:color="auto" w:fill="auto"/>
            <w:noWrap/>
            <w:tcMar>
              <w:left w:w="28" w:type="dxa"/>
              <w:right w:w="28" w:type="dxa"/>
            </w:tcMar>
            <w:vAlign w:val="center"/>
            <w:hideMark/>
          </w:tcPr>
          <w:p w14:paraId="21021C6E"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78.944.740</w:t>
            </w:r>
          </w:p>
        </w:tc>
      </w:tr>
      <w:tr w:rsidR="0028406A" w:rsidRPr="00CF77C1" w14:paraId="3EC4730F" w14:textId="77777777" w:rsidTr="00276B15">
        <w:trPr>
          <w:trHeight w:val="20"/>
        </w:trPr>
        <w:tc>
          <w:tcPr>
            <w:tcW w:w="2491" w:type="dxa"/>
            <w:vMerge/>
            <w:shd w:val="clear" w:color="auto" w:fill="auto"/>
            <w:noWrap/>
            <w:tcMar>
              <w:left w:w="28" w:type="dxa"/>
              <w:right w:w="28" w:type="dxa"/>
            </w:tcMar>
            <w:vAlign w:val="center"/>
            <w:hideMark/>
          </w:tcPr>
          <w:p w14:paraId="29642E13"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03484EBF"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08019F93"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165.978.170</w:t>
            </w:r>
          </w:p>
        </w:tc>
        <w:tc>
          <w:tcPr>
            <w:tcW w:w="1710" w:type="dxa"/>
            <w:shd w:val="clear" w:color="auto" w:fill="auto"/>
            <w:noWrap/>
            <w:tcMar>
              <w:left w:w="28" w:type="dxa"/>
              <w:right w:w="28" w:type="dxa"/>
            </w:tcMar>
            <w:vAlign w:val="center"/>
            <w:hideMark/>
          </w:tcPr>
          <w:p w14:paraId="415387F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22.948.320</w:t>
            </w:r>
          </w:p>
        </w:tc>
        <w:tc>
          <w:tcPr>
            <w:tcW w:w="1772" w:type="dxa"/>
            <w:shd w:val="clear" w:color="auto" w:fill="auto"/>
            <w:noWrap/>
            <w:tcMar>
              <w:left w:w="28" w:type="dxa"/>
              <w:right w:w="28" w:type="dxa"/>
            </w:tcMar>
            <w:vAlign w:val="center"/>
            <w:hideMark/>
          </w:tcPr>
          <w:p w14:paraId="3C9517F2"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188.926.500</w:t>
            </w:r>
          </w:p>
        </w:tc>
      </w:tr>
      <w:tr w:rsidR="0028406A" w:rsidRPr="00CF77C1" w14:paraId="6D3B975A" w14:textId="77777777" w:rsidTr="00276B15">
        <w:trPr>
          <w:trHeight w:val="20"/>
        </w:trPr>
        <w:tc>
          <w:tcPr>
            <w:tcW w:w="2491" w:type="dxa"/>
            <w:vMerge/>
            <w:shd w:val="clear" w:color="auto" w:fill="auto"/>
            <w:noWrap/>
            <w:tcMar>
              <w:left w:w="28" w:type="dxa"/>
              <w:right w:w="28" w:type="dxa"/>
            </w:tcMar>
            <w:vAlign w:val="center"/>
            <w:hideMark/>
          </w:tcPr>
          <w:p w14:paraId="117EDF9E"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4B5569B8"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26C58FF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244.922.910</w:t>
            </w:r>
          </w:p>
        </w:tc>
        <w:tc>
          <w:tcPr>
            <w:tcW w:w="1710" w:type="dxa"/>
            <w:shd w:val="clear" w:color="auto" w:fill="auto"/>
            <w:noWrap/>
            <w:tcMar>
              <w:left w:w="28" w:type="dxa"/>
              <w:right w:w="28" w:type="dxa"/>
            </w:tcMar>
            <w:vAlign w:val="center"/>
            <w:hideMark/>
          </w:tcPr>
          <w:p w14:paraId="04309B39"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22.948.320</w:t>
            </w:r>
          </w:p>
        </w:tc>
        <w:tc>
          <w:tcPr>
            <w:tcW w:w="1772" w:type="dxa"/>
            <w:shd w:val="clear" w:color="auto" w:fill="auto"/>
            <w:noWrap/>
            <w:tcMar>
              <w:left w:w="28" w:type="dxa"/>
              <w:right w:w="28" w:type="dxa"/>
            </w:tcMar>
            <w:vAlign w:val="center"/>
            <w:hideMark/>
          </w:tcPr>
          <w:p w14:paraId="57BF9ECA"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267.871.240</w:t>
            </w:r>
          </w:p>
        </w:tc>
      </w:tr>
      <w:tr w:rsidR="0028406A" w:rsidRPr="00CF77C1" w14:paraId="2F1C0031" w14:textId="77777777" w:rsidTr="00276B15">
        <w:trPr>
          <w:trHeight w:val="20"/>
        </w:trPr>
        <w:tc>
          <w:tcPr>
            <w:tcW w:w="2491" w:type="dxa"/>
            <w:vMerge w:val="restart"/>
            <w:shd w:val="clear" w:color="auto" w:fill="auto"/>
            <w:noWrap/>
            <w:tcMar>
              <w:left w:w="28" w:type="dxa"/>
              <w:right w:w="28" w:type="dxa"/>
            </w:tcMar>
            <w:vAlign w:val="center"/>
            <w:hideMark/>
          </w:tcPr>
          <w:p w14:paraId="222A4E16"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УКУПНО</w:t>
            </w:r>
            <w:r w:rsidRPr="00CF77C1">
              <w:rPr>
                <w:bCs/>
                <w:szCs w:val="24"/>
                <w:lang w:val="sr-Cyrl-RS"/>
              </w:rPr>
              <w:br/>
              <w:t>РБ КОЛУБАРА</w:t>
            </w:r>
          </w:p>
        </w:tc>
        <w:tc>
          <w:tcPr>
            <w:tcW w:w="1612" w:type="dxa"/>
            <w:shd w:val="clear" w:color="auto" w:fill="auto"/>
            <w:noWrap/>
            <w:tcMar>
              <w:left w:w="28" w:type="dxa"/>
              <w:right w:w="28" w:type="dxa"/>
            </w:tcMar>
            <w:vAlign w:val="center"/>
            <w:hideMark/>
          </w:tcPr>
          <w:p w14:paraId="4C02552B"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w:t>
            </w:r>
          </w:p>
        </w:tc>
        <w:tc>
          <w:tcPr>
            <w:tcW w:w="1710" w:type="dxa"/>
            <w:shd w:val="clear" w:color="auto" w:fill="auto"/>
            <w:noWrap/>
            <w:tcMar>
              <w:left w:w="28" w:type="dxa"/>
              <w:right w:w="28" w:type="dxa"/>
            </w:tcMar>
            <w:vAlign w:val="center"/>
            <w:hideMark/>
          </w:tcPr>
          <w:p w14:paraId="108A2EC9"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64.882.090</w:t>
            </w:r>
          </w:p>
        </w:tc>
        <w:tc>
          <w:tcPr>
            <w:tcW w:w="1710" w:type="dxa"/>
            <w:shd w:val="clear" w:color="auto" w:fill="auto"/>
            <w:noWrap/>
            <w:tcMar>
              <w:left w:w="28" w:type="dxa"/>
              <w:right w:w="28" w:type="dxa"/>
            </w:tcMar>
            <w:vAlign w:val="center"/>
            <w:hideMark/>
          </w:tcPr>
          <w:p w14:paraId="2031988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114.472.950</w:t>
            </w:r>
          </w:p>
        </w:tc>
        <w:tc>
          <w:tcPr>
            <w:tcW w:w="1772" w:type="dxa"/>
            <w:shd w:val="clear" w:color="auto" w:fill="auto"/>
            <w:noWrap/>
            <w:tcMar>
              <w:left w:w="28" w:type="dxa"/>
              <w:right w:w="28" w:type="dxa"/>
            </w:tcMar>
            <w:vAlign w:val="center"/>
            <w:hideMark/>
          </w:tcPr>
          <w:p w14:paraId="29B56622"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179.355.030</w:t>
            </w:r>
          </w:p>
        </w:tc>
      </w:tr>
      <w:tr w:rsidR="0028406A" w:rsidRPr="00CF77C1" w14:paraId="2B2BDD08" w14:textId="77777777" w:rsidTr="00276B15">
        <w:trPr>
          <w:trHeight w:val="20"/>
        </w:trPr>
        <w:tc>
          <w:tcPr>
            <w:tcW w:w="2491" w:type="dxa"/>
            <w:vMerge/>
            <w:shd w:val="clear" w:color="auto" w:fill="auto"/>
            <w:noWrap/>
            <w:tcMar>
              <w:left w:w="28" w:type="dxa"/>
              <w:right w:w="28" w:type="dxa"/>
            </w:tcMar>
            <w:vAlign w:val="center"/>
            <w:hideMark/>
          </w:tcPr>
          <w:p w14:paraId="60402979"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1883E059"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Б</w:t>
            </w:r>
          </w:p>
        </w:tc>
        <w:tc>
          <w:tcPr>
            <w:tcW w:w="1710" w:type="dxa"/>
            <w:shd w:val="clear" w:color="auto" w:fill="auto"/>
            <w:noWrap/>
            <w:tcMar>
              <w:left w:w="28" w:type="dxa"/>
              <w:right w:w="28" w:type="dxa"/>
            </w:tcMar>
            <w:vAlign w:val="center"/>
            <w:hideMark/>
          </w:tcPr>
          <w:p w14:paraId="1642848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1.127.278.570</w:t>
            </w:r>
          </w:p>
        </w:tc>
        <w:tc>
          <w:tcPr>
            <w:tcW w:w="1710" w:type="dxa"/>
            <w:shd w:val="clear" w:color="auto" w:fill="auto"/>
            <w:noWrap/>
            <w:tcMar>
              <w:left w:w="28" w:type="dxa"/>
              <w:right w:w="28" w:type="dxa"/>
            </w:tcMar>
            <w:vAlign w:val="center"/>
            <w:hideMark/>
          </w:tcPr>
          <w:p w14:paraId="10E42DB4"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137.417.810</w:t>
            </w:r>
          </w:p>
        </w:tc>
        <w:tc>
          <w:tcPr>
            <w:tcW w:w="1772" w:type="dxa"/>
            <w:shd w:val="clear" w:color="auto" w:fill="auto"/>
            <w:noWrap/>
            <w:tcMar>
              <w:left w:w="28" w:type="dxa"/>
              <w:right w:w="28" w:type="dxa"/>
            </w:tcMar>
            <w:vAlign w:val="center"/>
            <w:hideMark/>
          </w:tcPr>
          <w:p w14:paraId="1CBA1E5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1.264.696.421</w:t>
            </w:r>
          </w:p>
        </w:tc>
      </w:tr>
      <w:tr w:rsidR="0028406A" w:rsidRPr="00CF77C1" w14:paraId="7B080C78" w14:textId="77777777" w:rsidTr="00276B15">
        <w:trPr>
          <w:trHeight w:val="20"/>
        </w:trPr>
        <w:tc>
          <w:tcPr>
            <w:tcW w:w="2491" w:type="dxa"/>
            <w:vMerge/>
            <w:shd w:val="clear" w:color="auto" w:fill="auto"/>
            <w:noWrap/>
            <w:tcMar>
              <w:left w:w="28" w:type="dxa"/>
              <w:right w:w="28" w:type="dxa"/>
            </w:tcMar>
            <w:vAlign w:val="center"/>
            <w:hideMark/>
          </w:tcPr>
          <w:p w14:paraId="4CCB506D"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2ED93B3E"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5EC2849A"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913.064.140</w:t>
            </w:r>
          </w:p>
        </w:tc>
        <w:tc>
          <w:tcPr>
            <w:tcW w:w="1710" w:type="dxa"/>
            <w:shd w:val="clear" w:color="auto" w:fill="auto"/>
            <w:noWrap/>
            <w:tcMar>
              <w:left w:w="28" w:type="dxa"/>
              <w:right w:w="28" w:type="dxa"/>
            </w:tcMar>
            <w:vAlign w:val="center"/>
            <w:hideMark/>
          </w:tcPr>
          <w:p w14:paraId="6765E1E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288.458.480</w:t>
            </w:r>
          </w:p>
        </w:tc>
        <w:tc>
          <w:tcPr>
            <w:tcW w:w="1772" w:type="dxa"/>
            <w:shd w:val="clear" w:color="auto" w:fill="auto"/>
            <w:noWrap/>
            <w:tcMar>
              <w:left w:w="28" w:type="dxa"/>
              <w:right w:w="28" w:type="dxa"/>
            </w:tcMar>
            <w:vAlign w:val="center"/>
            <w:hideMark/>
          </w:tcPr>
          <w:p w14:paraId="4A996D6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1.201.522.630</w:t>
            </w:r>
          </w:p>
        </w:tc>
      </w:tr>
      <w:tr w:rsidR="0028406A" w:rsidRPr="00CF77C1" w14:paraId="02CDE61E" w14:textId="77777777" w:rsidTr="00276B15">
        <w:trPr>
          <w:trHeight w:val="20"/>
        </w:trPr>
        <w:tc>
          <w:tcPr>
            <w:tcW w:w="2491" w:type="dxa"/>
            <w:vMerge/>
            <w:shd w:val="clear" w:color="auto" w:fill="auto"/>
            <w:noWrap/>
            <w:tcMar>
              <w:left w:w="28" w:type="dxa"/>
              <w:right w:w="28" w:type="dxa"/>
            </w:tcMar>
            <w:vAlign w:val="center"/>
            <w:hideMark/>
          </w:tcPr>
          <w:p w14:paraId="7ED34CEE"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0B3B31B0"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А+Б+Ц</w:t>
            </w:r>
            <w:r w:rsidRPr="00CF77C1">
              <w:rPr>
                <w:bCs/>
                <w:szCs w:val="24"/>
                <w:vertAlign w:val="subscript"/>
                <w:lang w:val="sr-Cyrl-RS"/>
              </w:rPr>
              <w:t>1</w:t>
            </w:r>
          </w:p>
        </w:tc>
        <w:tc>
          <w:tcPr>
            <w:tcW w:w="1710" w:type="dxa"/>
            <w:shd w:val="clear" w:color="auto" w:fill="auto"/>
            <w:noWrap/>
            <w:tcMar>
              <w:left w:w="28" w:type="dxa"/>
              <w:right w:w="28" w:type="dxa"/>
            </w:tcMar>
            <w:vAlign w:val="center"/>
            <w:hideMark/>
          </w:tcPr>
          <w:p w14:paraId="78EDDDB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2.105.224.800</w:t>
            </w:r>
          </w:p>
        </w:tc>
        <w:tc>
          <w:tcPr>
            <w:tcW w:w="1710" w:type="dxa"/>
            <w:shd w:val="clear" w:color="auto" w:fill="auto"/>
            <w:noWrap/>
            <w:tcMar>
              <w:left w:w="28" w:type="dxa"/>
              <w:right w:w="28" w:type="dxa"/>
            </w:tcMar>
            <w:vAlign w:val="center"/>
            <w:hideMark/>
          </w:tcPr>
          <w:p w14:paraId="585F98D6"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540.349.240</w:t>
            </w:r>
          </w:p>
        </w:tc>
        <w:tc>
          <w:tcPr>
            <w:tcW w:w="1772" w:type="dxa"/>
            <w:shd w:val="clear" w:color="auto" w:fill="auto"/>
            <w:noWrap/>
            <w:tcMar>
              <w:left w:w="28" w:type="dxa"/>
              <w:right w:w="28" w:type="dxa"/>
            </w:tcMar>
            <w:vAlign w:val="center"/>
            <w:hideMark/>
          </w:tcPr>
          <w:p w14:paraId="66771E2F"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2.645.574.081</w:t>
            </w:r>
          </w:p>
        </w:tc>
      </w:tr>
      <w:tr w:rsidR="0028406A" w:rsidRPr="00CF77C1" w14:paraId="5362831C" w14:textId="77777777" w:rsidTr="00276B15">
        <w:trPr>
          <w:trHeight w:val="20"/>
        </w:trPr>
        <w:tc>
          <w:tcPr>
            <w:tcW w:w="2491" w:type="dxa"/>
            <w:vMerge/>
            <w:shd w:val="clear" w:color="auto" w:fill="auto"/>
            <w:noWrap/>
            <w:tcMar>
              <w:left w:w="28" w:type="dxa"/>
              <w:right w:w="28" w:type="dxa"/>
            </w:tcMar>
            <w:vAlign w:val="center"/>
            <w:hideMark/>
          </w:tcPr>
          <w:p w14:paraId="3001B5BC" w14:textId="77777777" w:rsidR="0028406A" w:rsidRPr="00CF77C1" w:rsidRDefault="0028406A" w:rsidP="0080044B">
            <w:pPr>
              <w:framePr w:hSpace="181" w:wrap="notBeside" w:vAnchor="text" w:hAnchor="text" w:y="1"/>
              <w:spacing w:before="0" w:after="0"/>
              <w:jc w:val="center"/>
              <w:rPr>
                <w:bCs/>
                <w:szCs w:val="24"/>
                <w:lang w:val="sr-Cyrl-RS"/>
              </w:rPr>
            </w:pPr>
          </w:p>
        </w:tc>
        <w:tc>
          <w:tcPr>
            <w:tcW w:w="1612" w:type="dxa"/>
            <w:shd w:val="clear" w:color="auto" w:fill="auto"/>
            <w:noWrap/>
            <w:tcMar>
              <w:left w:w="28" w:type="dxa"/>
              <w:right w:w="28" w:type="dxa"/>
            </w:tcMar>
            <w:vAlign w:val="center"/>
            <w:hideMark/>
          </w:tcPr>
          <w:p w14:paraId="4CA5C6EA"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Ц</w:t>
            </w:r>
            <w:r w:rsidRPr="00CF77C1">
              <w:rPr>
                <w:bCs/>
                <w:szCs w:val="24"/>
                <w:vertAlign w:val="subscript"/>
                <w:lang w:val="sr-Cyrl-RS"/>
              </w:rPr>
              <w:t>2</w:t>
            </w:r>
          </w:p>
        </w:tc>
        <w:tc>
          <w:tcPr>
            <w:tcW w:w="3420" w:type="dxa"/>
            <w:gridSpan w:val="2"/>
            <w:shd w:val="clear" w:color="auto" w:fill="auto"/>
            <w:noWrap/>
            <w:tcMar>
              <w:left w:w="28" w:type="dxa"/>
              <w:right w:w="28" w:type="dxa"/>
            </w:tcMar>
            <w:vAlign w:val="center"/>
            <w:hideMark/>
          </w:tcPr>
          <w:p w14:paraId="0ECCD2C8" w14:textId="77777777" w:rsidR="0028406A" w:rsidRPr="00CF77C1" w:rsidRDefault="0028406A" w:rsidP="0080044B">
            <w:pPr>
              <w:framePr w:hSpace="181" w:wrap="notBeside" w:vAnchor="text" w:hAnchor="text" w:y="1"/>
              <w:spacing w:before="0" w:after="0"/>
              <w:ind w:right="57"/>
              <w:jc w:val="center"/>
              <w:rPr>
                <w:iCs/>
                <w:szCs w:val="24"/>
                <w:lang w:val="sr-Cyrl-RS"/>
              </w:rPr>
            </w:pPr>
            <w:r w:rsidRPr="00CF77C1">
              <w:rPr>
                <w:iCs/>
                <w:szCs w:val="24"/>
                <w:lang w:val="sr-Cyrl-RS"/>
              </w:rPr>
              <w:t>потенцијалне, процењене</w:t>
            </w:r>
          </w:p>
        </w:tc>
        <w:tc>
          <w:tcPr>
            <w:tcW w:w="1772" w:type="dxa"/>
            <w:shd w:val="clear" w:color="auto" w:fill="auto"/>
            <w:noWrap/>
            <w:tcMar>
              <w:left w:w="28" w:type="dxa"/>
              <w:right w:w="28" w:type="dxa"/>
            </w:tcMar>
            <w:vAlign w:val="center"/>
            <w:hideMark/>
          </w:tcPr>
          <w:p w14:paraId="62BEF8FA" w14:textId="77777777" w:rsidR="0028406A" w:rsidRPr="00CF77C1" w:rsidRDefault="0028406A" w:rsidP="0080044B">
            <w:pPr>
              <w:framePr w:hSpace="181" w:wrap="notBeside" w:vAnchor="text" w:hAnchor="text" w:y="1"/>
              <w:spacing w:before="0" w:after="0"/>
              <w:ind w:right="57"/>
              <w:jc w:val="right"/>
              <w:rPr>
                <w:bCs/>
                <w:szCs w:val="24"/>
                <w:lang w:val="sr-Cyrl-RS"/>
              </w:rPr>
            </w:pPr>
            <w:r w:rsidRPr="00CF77C1">
              <w:rPr>
                <w:bCs/>
                <w:szCs w:val="24"/>
                <w:lang w:val="sr-Cyrl-RS"/>
              </w:rPr>
              <w:t>318.535.730</w:t>
            </w:r>
          </w:p>
        </w:tc>
      </w:tr>
    </w:tbl>
    <w:p w14:paraId="054C9F6B" w14:textId="77777777" w:rsidR="0028406A" w:rsidRPr="00CF77C1" w:rsidRDefault="0028406A" w:rsidP="00A968A2">
      <w:pPr>
        <w:spacing w:before="240"/>
        <w:ind w:firstLine="720"/>
        <w:rPr>
          <w:u w:val="single"/>
          <w:lang w:val="sr-Cyrl-RS"/>
        </w:rPr>
      </w:pPr>
      <w:r w:rsidRPr="00CF77C1">
        <w:rPr>
          <w:u w:val="single"/>
          <w:lang w:val="sr-Cyrl-RS"/>
        </w:rPr>
        <w:t>Костолачки угљени басен</w:t>
      </w:r>
    </w:p>
    <w:p w14:paraId="678C81F8" w14:textId="58CC8821" w:rsidR="0028406A" w:rsidRPr="00CF77C1" w:rsidRDefault="0028406A" w:rsidP="00A968A2">
      <w:pPr>
        <w:ind w:firstLine="720"/>
        <w:rPr>
          <w:lang w:val="sr-Cyrl-RS"/>
        </w:rPr>
      </w:pPr>
      <w:r w:rsidRPr="00CF77C1">
        <w:rPr>
          <w:lang w:val="sr-Cyrl-RS"/>
        </w:rPr>
        <w:t>Укупне експлоатационе резерве у костолачком угљеном басену на</w:t>
      </w:r>
      <w:r w:rsidR="006D49B3" w:rsidRPr="00CF77C1">
        <w:rPr>
          <w:lang w:val="sr-Cyrl-RS"/>
        </w:rPr>
        <w:t xml:space="preserve"> активним копу Дрмно су око 300</w:t>
      </w:r>
      <w:r w:rsidRPr="00CF77C1">
        <w:rPr>
          <w:lang w:val="sr-Cyrl-RS"/>
        </w:rPr>
        <w:t xml:space="preserve"> </w:t>
      </w:r>
      <w:r w:rsidR="004653CD" w:rsidRPr="00CF77C1">
        <w:rPr>
          <w:lang w:val="sr-Cyrl-RS"/>
        </w:rPr>
        <w:t>милиона тона</w:t>
      </w:r>
      <w:r w:rsidRPr="00CF77C1">
        <w:rPr>
          <w:lang w:val="sr-Cyrl-RS"/>
        </w:rPr>
        <w:t xml:space="preserve"> угља, док је у западном делу басена билансно око 400 </w:t>
      </w:r>
      <w:r w:rsidR="004653CD" w:rsidRPr="00CF77C1">
        <w:rPr>
          <w:lang w:val="sr-Cyrl-RS"/>
        </w:rPr>
        <w:t>милиона тона</w:t>
      </w:r>
      <w:r w:rsidRPr="00CF77C1">
        <w:rPr>
          <w:lang w:val="sr-Cyrl-RS"/>
        </w:rPr>
        <w:t xml:space="preserve"> угља.</w:t>
      </w:r>
    </w:p>
    <w:p w14:paraId="1462E67B" w14:textId="77777777" w:rsidR="0028406A" w:rsidRPr="00CF77C1" w:rsidRDefault="0028406A" w:rsidP="00A968A2">
      <w:pPr>
        <w:ind w:firstLine="720"/>
        <w:rPr>
          <w:rFonts w:eastAsia="Calibri"/>
          <w:lang w:val="sr-Cyrl-RS"/>
        </w:rPr>
      </w:pPr>
      <w:r w:rsidRPr="00CF77C1">
        <w:rPr>
          <w:rFonts w:eastAsia="Calibri"/>
          <w:lang w:val="sr-Cyrl-RS"/>
        </w:rPr>
        <w:t>О ефективности истраживања лежишта угља Дрмно најбоље говоре истражене резерве угља (Б и Ц1 категорије) од око 643</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xml:space="preserve"> (од чега билансне око 398</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xml:space="preserve"> и ванбилансне око 245</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као и потенцијалне резерве Ц</w:t>
      </w:r>
      <w:r w:rsidRPr="00CF77C1">
        <w:rPr>
          <w:rFonts w:eastAsia="Calibri"/>
          <w:vertAlign w:val="subscript"/>
          <w:lang w:val="sr-Cyrl-RS"/>
        </w:rPr>
        <w:t>2</w:t>
      </w:r>
      <w:r w:rsidRPr="00CF77C1">
        <w:rPr>
          <w:rFonts w:eastAsia="Calibri"/>
          <w:lang w:val="sr-Cyrl-RS"/>
        </w:rPr>
        <w:t xml:space="preserve"> категорије процењене на 164</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Резерве Б категорије обухватају око 55% од укупних истражених резерви, а резерве Ц</w:t>
      </w:r>
      <w:r w:rsidRPr="00CF77C1">
        <w:rPr>
          <w:rFonts w:eastAsia="Calibri"/>
          <w:vertAlign w:val="subscript"/>
          <w:lang w:val="sr-Cyrl-RS"/>
        </w:rPr>
        <w:t>1</w:t>
      </w:r>
      <w:r w:rsidRPr="00CF77C1">
        <w:rPr>
          <w:rFonts w:eastAsia="Calibri"/>
          <w:lang w:val="sr-Cyrl-RS"/>
        </w:rPr>
        <w:t xml:space="preserve"> категорије чине око 45%. Билансне резерве чине око 61% од укупних истражених резерви, а ванбилансне око 39%. Од укупно око 293</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xml:space="preserve"> експлоатационих резерви, резерве Б категорије чине око 190</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xml:space="preserve"> што је 65%, а Ц</w:t>
      </w:r>
      <w:r w:rsidRPr="00CF77C1">
        <w:rPr>
          <w:rFonts w:eastAsia="Calibri"/>
          <w:vertAlign w:val="subscript"/>
          <w:lang w:val="sr-Cyrl-RS"/>
        </w:rPr>
        <w:t>1</w:t>
      </w:r>
      <w:r w:rsidRPr="00CF77C1">
        <w:rPr>
          <w:rFonts w:eastAsia="Calibri"/>
          <w:lang w:val="sr-Cyrl-RS"/>
        </w:rPr>
        <w:t xml:space="preserve"> категорије око 103</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xml:space="preserve"> односно 35%.</w:t>
      </w:r>
    </w:p>
    <w:p w14:paraId="3130B8ED" w14:textId="77777777" w:rsidR="00E46C90" w:rsidRPr="00CF77C1" w:rsidRDefault="0028406A" w:rsidP="00A968A2">
      <w:pPr>
        <w:ind w:firstLine="720"/>
        <w:rPr>
          <w:rFonts w:eastAsia="Calibri"/>
          <w:lang w:val="sr-Cyrl-RS"/>
        </w:rPr>
      </w:pPr>
      <w:r w:rsidRPr="00CF77C1">
        <w:rPr>
          <w:rFonts w:eastAsia="Calibri"/>
          <w:lang w:val="sr-Cyrl-RS"/>
        </w:rPr>
        <w:t>О ефективности истраживања лежишта угља западни део костолачког басена говоре истражене резерве угља (Б и Ц</w:t>
      </w:r>
      <w:r w:rsidRPr="00CF77C1">
        <w:rPr>
          <w:rFonts w:eastAsia="Calibri"/>
          <w:vertAlign w:val="subscript"/>
          <w:lang w:val="sr-Cyrl-RS"/>
        </w:rPr>
        <w:t>1</w:t>
      </w:r>
      <w:r w:rsidRPr="00CF77C1">
        <w:rPr>
          <w:rFonts w:eastAsia="Calibri"/>
          <w:lang w:val="sr-Cyrl-RS"/>
        </w:rPr>
        <w:t xml:space="preserve"> категорије) од око 603</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xml:space="preserve"> (од чега билансне око 408</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xml:space="preserve"> и ванбилансне око 195</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као и потенцијалне резерве Ц</w:t>
      </w:r>
      <w:r w:rsidRPr="00CF77C1">
        <w:rPr>
          <w:rFonts w:eastAsia="Calibri"/>
          <w:vertAlign w:val="subscript"/>
          <w:lang w:val="sr-Cyrl-RS"/>
        </w:rPr>
        <w:t>2</w:t>
      </w:r>
      <w:r w:rsidRPr="00CF77C1">
        <w:rPr>
          <w:rFonts w:eastAsia="Calibri"/>
          <w:lang w:val="sr-Cyrl-RS"/>
        </w:rPr>
        <w:t xml:space="preserve"> категорије процењене на 36</w:t>
      </w:r>
      <w:r w:rsidR="00A84557" w:rsidRPr="00CF77C1">
        <w:rPr>
          <w:rFonts w:eastAsia="Calibri"/>
          <w:lang w:val="sr-Cyrl-RS"/>
        </w:rPr>
        <w:t>∙</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 Билансне резерве Б категорије обухватају око 25% од укупних истражених резерви, а билансне резерве Ц</w:t>
      </w:r>
      <w:r w:rsidRPr="00CF77C1">
        <w:rPr>
          <w:rFonts w:eastAsia="Calibri"/>
          <w:vertAlign w:val="subscript"/>
          <w:lang w:val="sr-Cyrl-RS"/>
        </w:rPr>
        <w:t>1</w:t>
      </w:r>
      <w:r w:rsidRPr="00CF77C1">
        <w:rPr>
          <w:rFonts w:eastAsia="Calibri"/>
          <w:lang w:val="sr-Cyrl-RS"/>
        </w:rPr>
        <w:t xml:space="preserve"> категорије чине око 39% од укупно истражених резерви. Билансне резерве чине око 63% од укупних истражених резерви, а ванбилансне око 37%. У идејним контурама површинског копа укупне експлоатационе</w:t>
      </w:r>
      <w:r w:rsidR="00A84557" w:rsidRPr="00CF77C1">
        <w:rPr>
          <w:rFonts w:eastAsia="Calibri"/>
          <w:lang w:val="sr-Cyrl-RS"/>
        </w:rPr>
        <w:t xml:space="preserve"> резерве угља износе око 355∙</w:t>
      </w:r>
      <w:r w:rsidRPr="00CF77C1">
        <w:rPr>
          <w:rFonts w:eastAsia="Calibri"/>
          <w:lang w:val="sr-Cyrl-RS"/>
        </w:rPr>
        <w:t>10</w:t>
      </w:r>
      <w:r w:rsidRPr="00CF77C1">
        <w:rPr>
          <w:rFonts w:eastAsia="Calibri"/>
          <w:vertAlign w:val="superscript"/>
          <w:lang w:val="sr-Cyrl-RS"/>
        </w:rPr>
        <w:t>6</w:t>
      </w:r>
      <w:r w:rsidRPr="00CF77C1">
        <w:rPr>
          <w:rFonts w:eastAsia="Calibri"/>
          <w:lang w:val="sr-Cyrl-RS"/>
        </w:rPr>
        <w:t xml:space="preserve"> </w:t>
      </w:r>
      <w:r w:rsidRPr="00CF77C1">
        <w:rPr>
          <w:szCs w:val="24"/>
          <w:lang w:val="sr-Cyrl-RS"/>
        </w:rPr>
        <w:t>t</w:t>
      </w:r>
      <w:r w:rsidRPr="00CF77C1">
        <w:rPr>
          <w:rFonts w:eastAsia="Calibri"/>
          <w:lang w:val="sr-Cyrl-RS"/>
        </w:rPr>
        <w:t>.</w:t>
      </w:r>
    </w:p>
    <w:p w14:paraId="35333770" w14:textId="77777777" w:rsidR="0028406A" w:rsidRPr="00CF77C1" w:rsidRDefault="0028406A" w:rsidP="005621E0">
      <w:pPr>
        <w:ind w:firstLine="720"/>
        <w:rPr>
          <w:rFonts w:eastAsia="Calibri"/>
          <w:lang w:val="sr-Cyrl-RS"/>
        </w:rPr>
      </w:pPr>
      <w:r w:rsidRPr="00CF77C1">
        <w:rPr>
          <w:rFonts w:eastAsia="Calibri"/>
          <w:lang w:val="sr-Cyrl-RS"/>
        </w:rPr>
        <w:t>Укупне геолошке резерве костолачког басена износе</w:t>
      </w:r>
      <w:r w:rsidR="00EC7E28" w:rsidRPr="00CF77C1">
        <w:rPr>
          <w:rFonts w:eastAsia="Calibri"/>
          <w:lang w:val="sr-Cyrl-RS"/>
        </w:rPr>
        <w:t xml:space="preserve"> </w:t>
      </w:r>
      <w:r w:rsidRPr="00CF77C1">
        <w:rPr>
          <w:rFonts w:eastAsia="Calibri"/>
          <w:lang w:val="sr-Cyrl-RS"/>
        </w:rPr>
        <w:t>1.643.802.637 t при чему су билансне Б+Ц1 категорије 881.702.050 t, ванбилансне Б+Ц1 категорије 522.298.897 t и потенцијалне резерве Ц2 категорије 239.801.690 t угља.</w:t>
      </w:r>
    </w:p>
    <w:p w14:paraId="08E28747" w14:textId="4B49F9A0" w:rsidR="0028406A" w:rsidRPr="00CF77C1" w:rsidRDefault="0028406A" w:rsidP="005621E0">
      <w:pPr>
        <w:ind w:firstLine="720"/>
        <w:rPr>
          <w:rFonts w:eastAsia="Calibri"/>
          <w:lang w:val="sr-Cyrl-RS"/>
        </w:rPr>
      </w:pPr>
      <w:bookmarkStart w:id="173" w:name="_Toc438815282"/>
      <w:bookmarkStart w:id="174" w:name="_Toc439176732"/>
      <w:r w:rsidRPr="00CF77C1">
        <w:rPr>
          <w:rFonts w:eastAsia="Calibri"/>
          <w:lang w:val="sr-Cyrl-RS"/>
        </w:rPr>
        <w:t xml:space="preserve">Активни </w:t>
      </w:r>
      <w:bookmarkEnd w:id="173"/>
      <w:bookmarkEnd w:id="174"/>
      <w:r w:rsidRPr="00CF77C1">
        <w:rPr>
          <w:rFonts w:eastAsia="Calibri"/>
          <w:lang w:val="sr-Cyrl-RS"/>
        </w:rPr>
        <w:t>површински копови</w:t>
      </w:r>
    </w:p>
    <w:p w14:paraId="756C5C1F" w14:textId="1D3D9371" w:rsidR="0028406A" w:rsidRPr="00CF77C1" w:rsidRDefault="0028406A" w:rsidP="005621E0">
      <w:pPr>
        <w:ind w:firstLine="720"/>
        <w:rPr>
          <w:rFonts w:eastAsia="Calibri"/>
          <w:lang w:val="sr-Cyrl-RS"/>
        </w:rPr>
      </w:pPr>
      <w:r w:rsidRPr="00CF77C1">
        <w:rPr>
          <w:rFonts w:eastAsia="Calibri"/>
          <w:lang w:val="sr-Cyrl-RS"/>
        </w:rPr>
        <w:t>Билансне резерве Б+Ц1 категорије лежишта Дрмно према Елаборату о резервама угља лежишта Дрмно (2013.) са стањем на дан 31.</w:t>
      </w:r>
      <w:r w:rsidR="005E0737" w:rsidRPr="00CF77C1">
        <w:rPr>
          <w:rFonts w:eastAsia="Calibri"/>
          <w:lang w:val="sr-Cyrl-RS"/>
        </w:rPr>
        <w:t> </w:t>
      </w:r>
      <w:r w:rsidR="004170FA">
        <w:rPr>
          <w:rFonts w:eastAsia="Calibri"/>
          <w:lang w:val="sr-Cyrl-RS"/>
        </w:rPr>
        <w:t xml:space="preserve">март </w:t>
      </w:r>
      <w:r w:rsidRPr="00CF77C1">
        <w:rPr>
          <w:rFonts w:eastAsia="Calibri"/>
          <w:lang w:val="sr-Cyrl-RS"/>
        </w:rPr>
        <w:t>2013. износе 397.985.545 t Б+Ц1 категорије. Према истом Елаборату, у лежишту Дрмно издвојено је и 245.271.819 t Б+Ц1 категорије ванбилансних резерви.</w:t>
      </w:r>
    </w:p>
    <w:p w14:paraId="59170D57" w14:textId="1BC96DBD" w:rsidR="0028406A" w:rsidRPr="00CF77C1" w:rsidRDefault="0028406A" w:rsidP="005621E0">
      <w:pPr>
        <w:ind w:firstLine="720"/>
        <w:rPr>
          <w:rFonts w:eastAsia="Calibri"/>
          <w:lang w:val="sr-Cyrl-RS"/>
        </w:rPr>
      </w:pPr>
      <w:bookmarkStart w:id="175" w:name="_Toc438815283"/>
      <w:bookmarkStart w:id="176" w:name="_Toc439176733"/>
      <w:r w:rsidRPr="00CF77C1">
        <w:rPr>
          <w:rFonts w:eastAsia="Calibri"/>
          <w:lang w:val="sr-Cyrl-RS"/>
        </w:rPr>
        <w:t xml:space="preserve">Пројектовани </w:t>
      </w:r>
      <w:bookmarkEnd w:id="175"/>
      <w:bookmarkEnd w:id="176"/>
      <w:r w:rsidRPr="00CF77C1">
        <w:rPr>
          <w:rFonts w:eastAsia="Calibri"/>
          <w:lang w:val="sr-Cyrl-RS"/>
        </w:rPr>
        <w:t>површински копови</w:t>
      </w:r>
    </w:p>
    <w:p w14:paraId="6467BB03" w14:textId="76318AC9" w:rsidR="0028406A" w:rsidRPr="00CF77C1" w:rsidRDefault="0028406A" w:rsidP="005621E0">
      <w:pPr>
        <w:ind w:firstLine="720"/>
        <w:rPr>
          <w:rFonts w:eastAsia="Calibri"/>
          <w:lang w:val="sr-Cyrl-RS"/>
        </w:rPr>
      </w:pPr>
      <w:r w:rsidRPr="00CF77C1">
        <w:rPr>
          <w:rFonts w:eastAsia="Calibri"/>
          <w:lang w:val="sr-Cyrl-RS"/>
        </w:rPr>
        <w:t>Геолошке резерве угља лежишта Кленовник према Елаборату о резервама</w:t>
      </w:r>
      <w:r w:rsidR="00537E82" w:rsidRPr="00CF77C1">
        <w:rPr>
          <w:rFonts w:eastAsia="Calibri"/>
          <w:lang w:val="sr-Cyrl-RS"/>
        </w:rPr>
        <w:t xml:space="preserve"> (2010. година</w:t>
      </w:r>
      <w:r w:rsidRPr="00CF77C1">
        <w:rPr>
          <w:rFonts w:eastAsia="Calibri"/>
          <w:lang w:val="sr-Cyrl-RS"/>
        </w:rPr>
        <w:t>) са стањем на дан</w:t>
      </w:r>
      <w:r w:rsidR="005E0737" w:rsidRPr="00CF77C1">
        <w:rPr>
          <w:rFonts w:eastAsia="Calibri"/>
          <w:lang w:val="sr-Cyrl-RS"/>
        </w:rPr>
        <w:t xml:space="preserve"> 31. </w:t>
      </w:r>
      <w:r w:rsidR="004C1784">
        <w:rPr>
          <w:rFonts w:eastAsia="Calibri"/>
          <w:lang w:val="sr-Cyrl-RS"/>
        </w:rPr>
        <w:t>децембра</w:t>
      </w:r>
      <w:r w:rsidR="005E0737" w:rsidRPr="00CF77C1">
        <w:rPr>
          <w:rFonts w:eastAsia="Calibri"/>
          <w:lang w:val="sr-Cyrl-RS"/>
        </w:rPr>
        <w:t> </w:t>
      </w:r>
      <w:r w:rsidRPr="00CF77C1">
        <w:rPr>
          <w:rFonts w:eastAsia="Calibri"/>
          <w:lang w:val="sr-Cyrl-RS"/>
        </w:rPr>
        <w:t>2010. године износе 8.595.000 t Б категорије и све резерве су сврстане у ванбилансне. Билансне резерве Б+Ц1 категорије лежишта Ћириковац према Елаборату о резервама (2010.</w:t>
      </w:r>
      <w:r w:rsidR="00537E82" w:rsidRPr="00CF77C1">
        <w:rPr>
          <w:rFonts w:eastAsia="Calibri"/>
          <w:lang w:val="sr-Cyrl-RS"/>
        </w:rPr>
        <w:t xml:space="preserve"> година</w:t>
      </w:r>
      <w:r w:rsidRPr="00CF77C1">
        <w:rPr>
          <w:rFonts w:eastAsia="Calibri"/>
          <w:lang w:val="sr-Cyrl-RS"/>
        </w:rPr>
        <w:t>) стањем на дан 30.</w:t>
      </w:r>
      <w:r w:rsidR="005E0737" w:rsidRPr="00CF77C1">
        <w:rPr>
          <w:rFonts w:eastAsia="Calibri"/>
          <w:lang w:val="sr-Cyrl-RS"/>
        </w:rPr>
        <w:t> </w:t>
      </w:r>
      <w:r w:rsidR="004170FA">
        <w:rPr>
          <w:rFonts w:eastAsia="Calibri"/>
          <w:lang w:val="sr-Cyrl-RS"/>
        </w:rPr>
        <w:t xml:space="preserve">јун </w:t>
      </w:r>
      <w:r w:rsidRPr="00CF77C1">
        <w:rPr>
          <w:rFonts w:eastAsia="Calibri"/>
          <w:lang w:val="sr-Cyrl-RS"/>
        </w:rPr>
        <w:t>2010. године износе 75.505.300 t. Према истом Елаборату, у лежишту Ћириковац издвојено је и 74.012.568 t Б+Ц1 категорије ванбилансних резерви као и процењених, потенцијалних Ц2 резерви у количини од 162.414.100 t</w:t>
      </w:r>
      <w:r w:rsidR="00EC7E28" w:rsidRPr="00CF77C1">
        <w:rPr>
          <w:rFonts w:eastAsia="Calibri"/>
          <w:lang w:val="sr-Cyrl-RS"/>
        </w:rPr>
        <w:t xml:space="preserve"> угља.</w:t>
      </w:r>
    </w:p>
    <w:p w14:paraId="7A7E5E51" w14:textId="4FB7B4F1" w:rsidR="0028406A" w:rsidRPr="00CF77C1" w:rsidRDefault="0028406A" w:rsidP="005621E0">
      <w:pPr>
        <w:ind w:firstLine="720"/>
        <w:rPr>
          <w:rFonts w:eastAsia="Calibri"/>
          <w:lang w:val="sr-Cyrl-RS"/>
        </w:rPr>
      </w:pPr>
      <w:bookmarkStart w:id="177" w:name="_Toc438815284"/>
      <w:bookmarkStart w:id="178" w:name="_Toc439176734"/>
      <w:r w:rsidRPr="00CF77C1">
        <w:rPr>
          <w:rFonts w:eastAsia="Calibri"/>
          <w:lang w:val="sr-Cyrl-RS"/>
        </w:rPr>
        <w:t xml:space="preserve">Потенцијални </w:t>
      </w:r>
      <w:bookmarkEnd w:id="177"/>
      <w:bookmarkEnd w:id="178"/>
      <w:r w:rsidRPr="00CF77C1">
        <w:rPr>
          <w:rFonts w:eastAsia="Calibri"/>
          <w:lang w:val="sr-Cyrl-RS"/>
        </w:rPr>
        <w:t>површински копови</w:t>
      </w:r>
    </w:p>
    <w:p w14:paraId="5CF54FC5" w14:textId="2103B688" w:rsidR="0028406A" w:rsidRPr="00CF77C1" w:rsidRDefault="0028406A" w:rsidP="005621E0">
      <w:pPr>
        <w:ind w:firstLine="720"/>
        <w:rPr>
          <w:rFonts w:eastAsia="Calibri"/>
          <w:lang w:val="sr-Cyrl-RS"/>
        </w:rPr>
      </w:pPr>
      <w:r w:rsidRPr="00CF77C1">
        <w:rPr>
          <w:rFonts w:eastAsia="Calibri"/>
          <w:lang w:val="sr-Cyrl-RS"/>
        </w:rPr>
        <w:t xml:space="preserve">Билансне резерве Б+Ц1 категорије лежишта западни део костолачког басена према Елаборату о резервама (2014.) (неоверене резерве) износе 408.211.206 t Б+Ц1 категорије. Према истом Елаборату, у овом лежишту издвојено је и 194.419.510 t Б+Ц1 категорије ванбилансних резерви као и 35.886.110 t потенцијалних Ц2 резерви у идејној контури пројектованих површинских копова и 208.671.468 t ван контуре пројектованих површинских копова. Поменуте резерве су билансиране Елаборатом о ресурсима и резервама док угаљ из трећег слоја није био предмет билансирања овим </w:t>
      </w:r>
      <w:r w:rsidR="000E6ACA" w:rsidRPr="00CF77C1">
        <w:rPr>
          <w:rFonts w:eastAsia="Calibri"/>
          <w:lang w:val="sr-Cyrl-RS"/>
        </w:rPr>
        <w:t>елаборатом</w:t>
      </w:r>
      <w:r w:rsidRPr="00CF77C1">
        <w:rPr>
          <w:rFonts w:eastAsia="Calibri"/>
          <w:lang w:val="sr-Cyrl-RS"/>
        </w:rPr>
        <w:t xml:space="preserve">. Међутим, треба истаћи да су резерве трећег слоја процењене у овом </w:t>
      </w:r>
      <w:r w:rsidR="000E6ACA" w:rsidRPr="00CF77C1">
        <w:rPr>
          <w:rFonts w:eastAsia="Calibri"/>
          <w:lang w:val="sr-Cyrl-RS"/>
        </w:rPr>
        <w:t xml:space="preserve">елаборату </w:t>
      </w:r>
      <w:r w:rsidRPr="00CF77C1">
        <w:rPr>
          <w:rFonts w:eastAsia="Calibri"/>
          <w:lang w:val="sr-Cyrl-RS"/>
        </w:rPr>
        <w:t>на око 1.024.000.000 t.</w:t>
      </w:r>
    </w:p>
    <w:p w14:paraId="4A022CA1" w14:textId="77777777" w:rsidR="0028406A" w:rsidRPr="00CF77C1" w:rsidRDefault="0028406A" w:rsidP="005621E0">
      <w:pPr>
        <w:ind w:firstLine="720"/>
        <w:rPr>
          <w:rFonts w:eastAsia="Calibri"/>
          <w:lang w:val="sr-Cyrl-RS"/>
        </w:rPr>
      </w:pPr>
      <w:r w:rsidRPr="00CF77C1">
        <w:rPr>
          <w:rFonts w:eastAsia="Calibri"/>
          <w:lang w:val="sr-Cyrl-RS"/>
        </w:rPr>
        <w:t>Рекапитулација геолошких и експлоатационих резерви према валидној документацији</w:t>
      </w:r>
    </w:p>
    <w:p w14:paraId="50770430" w14:textId="0E29BCF7" w:rsidR="00E46C90" w:rsidRPr="00CF77C1" w:rsidRDefault="0028406A" w:rsidP="005621E0">
      <w:pPr>
        <w:ind w:firstLine="720"/>
        <w:rPr>
          <w:rFonts w:eastAsia="Calibri"/>
          <w:lang w:val="sr-Cyrl-RS"/>
        </w:rPr>
      </w:pPr>
      <w:r w:rsidRPr="00CF77C1">
        <w:rPr>
          <w:rFonts w:eastAsia="Calibri"/>
          <w:lang w:val="sr-Cyrl-RS"/>
        </w:rPr>
        <w:t xml:space="preserve">У </w:t>
      </w:r>
      <w:r w:rsidR="000642D2" w:rsidRPr="00CF77C1">
        <w:rPr>
          <w:rFonts w:eastAsia="Calibri"/>
          <w:lang w:val="sr-Cyrl-RS"/>
        </w:rPr>
        <w:fldChar w:fldCharType="begin"/>
      </w:r>
      <w:r w:rsidR="000642D2" w:rsidRPr="00CF77C1">
        <w:rPr>
          <w:rFonts w:eastAsia="Calibri"/>
          <w:lang w:val="sr-Cyrl-RS"/>
        </w:rPr>
        <w:instrText xml:space="preserve"> REF _Ref469245578 \h  \* MERGEFORMAT </w:instrText>
      </w:r>
      <w:r w:rsidR="000642D2" w:rsidRPr="00CF77C1">
        <w:rPr>
          <w:rFonts w:eastAsia="Calibri"/>
          <w:lang w:val="sr-Cyrl-RS"/>
        </w:rPr>
      </w:r>
      <w:r w:rsidR="000642D2" w:rsidRPr="00CF77C1">
        <w:rPr>
          <w:rFonts w:eastAsia="Calibri"/>
          <w:lang w:val="sr-Cyrl-RS"/>
        </w:rPr>
        <w:fldChar w:fldCharType="separate"/>
      </w:r>
      <w:r w:rsidR="002D5918" w:rsidRPr="002D5918">
        <w:rPr>
          <w:rFonts w:eastAsia="Calibri"/>
          <w:lang w:val="sr-Cyrl-RS"/>
        </w:rPr>
        <w:t>таб. 104</w:t>
      </w:r>
      <w:r w:rsidR="000642D2" w:rsidRPr="00CF77C1">
        <w:rPr>
          <w:rFonts w:eastAsia="Calibri"/>
          <w:lang w:val="sr-Cyrl-RS"/>
        </w:rPr>
        <w:fldChar w:fldCharType="end"/>
      </w:r>
      <w:r w:rsidRPr="00CF77C1">
        <w:rPr>
          <w:rFonts w:eastAsia="Calibri"/>
          <w:lang w:val="sr-Cyrl-RS"/>
        </w:rPr>
        <w:t xml:space="preserve"> дата је рекапитулација геолошких и експлоатационих резерви угља према валидној документацији и то за активне, пројектоване и потенцијалне површинске копове.</w:t>
      </w:r>
    </w:p>
    <w:p w14:paraId="00E88E44" w14:textId="77777777" w:rsidR="0028406A" w:rsidRPr="00CF77C1" w:rsidRDefault="0028406A" w:rsidP="005621E0">
      <w:pPr>
        <w:ind w:firstLine="720"/>
        <w:rPr>
          <w:rFonts w:eastAsia="Calibri"/>
          <w:lang w:val="sr-Cyrl-RS"/>
        </w:rPr>
      </w:pPr>
      <w:r w:rsidRPr="00CF77C1">
        <w:rPr>
          <w:rFonts w:eastAsia="Calibri"/>
          <w:lang w:val="sr-Cyrl-RS"/>
        </w:rPr>
        <w:t>Како је већ поменуто, у костолачком басену активан површински коп је на лежишту Дрмно, пројектовани површински копови су на лежиштима Кленовник и Ћириковац док су потенцијални површински копови Дубравица и Јагодица на лежишту Западни део костолачког басена.</w:t>
      </w:r>
    </w:p>
    <w:p w14:paraId="74A67E99" w14:textId="43B0D229" w:rsidR="00E46C90" w:rsidRPr="00CF77C1" w:rsidRDefault="0028406A" w:rsidP="005621E0">
      <w:pPr>
        <w:ind w:firstLine="720"/>
        <w:rPr>
          <w:rFonts w:eastAsia="Calibri"/>
          <w:lang w:val="sr-Cyrl-RS"/>
        </w:rPr>
      </w:pPr>
      <w:r w:rsidRPr="00CF77C1">
        <w:rPr>
          <w:rFonts w:eastAsia="Calibri"/>
          <w:lang w:val="sr-Cyrl-RS"/>
        </w:rPr>
        <w:t xml:space="preserve">Са аспекта анализе билансности резерви у </w:t>
      </w:r>
      <w:r w:rsidR="000E6ACA" w:rsidRPr="00CF77C1">
        <w:rPr>
          <w:rFonts w:eastAsia="Calibri"/>
          <w:lang w:val="sr-Cyrl-RS"/>
        </w:rPr>
        <w:t xml:space="preserve">елаборатима </w:t>
      </w:r>
      <w:r w:rsidRPr="00CF77C1">
        <w:rPr>
          <w:rFonts w:eastAsia="Calibri"/>
          <w:lang w:val="sr-Cyrl-RS"/>
        </w:rPr>
        <w:t>о резервама за сва четири лежишта костолачког басена, билансне резерве су део геолошких резерви Б и Ц1 категорије које задовољавају граничне услове експлоатације (минимална дебљина, минимални квалитет итд.) изнад којих се не налазе објекти и вредности већег значаја и чија је експлоатација економски оправдана док су ванбилансне резерве оне чија експлоатација није економски оправдана у функцији задовољења поменутих граничних услова експлоатације.</w:t>
      </w:r>
    </w:p>
    <w:p w14:paraId="3253A0C1" w14:textId="77777777" w:rsidR="00E46C90" w:rsidRPr="00CF77C1" w:rsidRDefault="0028406A" w:rsidP="005621E0">
      <w:pPr>
        <w:ind w:firstLine="720"/>
        <w:rPr>
          <w:rFonts w:eastAsia="Calibri"/>
          <w:lang w:val="sr-Cyrl-RS"/>
        </w:rPr>
      </w:pPr>
      <w:r w:rsidRPr="00CF77C1">
        <w:rPr>
          <w:rFonts w:eastAsia="Calibri"/>
          <w:lang w:val="sr-Cyrl-RS"/>
        </w:rPr>
        <w:t>Потенцијалне резерве су резерве које су недовољно истражене и категорисане су као Ц2 и Д1 категорија. Експлоатационе резерве су билансне резерве умањене за експлоатационе губитке.</w:t>
      </w:r>
    </w:p>
    <w:p w14:paraId="4D4AE427" w14:textId="2654E251" w:rsidR="0028406A" w:rsidRPr="00CF77C1" w:rsidRDefault="00D61BC9" w:rsidP="005621E0">
      <w:pPr>
        <w:pStyle w:val="Caption"/>
        <w:ind w:firstLine="720"/>
        <w:rPr>
          <w:b w:val="0"/>
          <w:lang w:val="sr-Cyrl-RS"/>
        </w:rPr>
      </w:pPr>
      <w:bookmarkStart w:id="179" w:name="_Ref469245578"/>
      <w:r w:rsidRPr="00CF77C1">
        <w:rPr>
          <w:b w:val="0"/>
          <w:lang w:val="sr-Cyrl-RS"/>
        </w:rPr>
        <w:t>таб.</w:t>
      </w:r>
      <w:r w:rsidR="0028406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104</w:t>
      </w:r>
      <w:r w:rsidR="0092145E" w:rsidRPr="00CF77C1">
        <w:rPr>
          <w:b w:val="0"/>
          <w:lang w:val="sr-Cyrl-RS"/>
        </w:rPr>
        <w:fldChar w:fldCharType="end"/>
      </w:r>
      <w:bookmarkEnd w:id="179"/>
      <w:r w:rsidR="0028406A" w:rsidRPr="00CF77C1">
        <w:rPr>
          <w:b w:val="0"/>
          <w:lang w:val="sr-Cyrl-RS"/>
        </w:rPr>
        <w:t>: Табеларни приказ резерви угља у Костолачком угљ</w:t>
      </w:r>
      <w:r w:rsidR="00F97410">
        <w:rPr>
          <w:b w:val="0"/>
          <w:lang w:val="sr-Cyrl-RS"/>
        </w:rPr>
        <w:t xml:space="preserve">еном </w:t>
      </w:r>
      <w:r w:rsidR="0028406A" w:rsidRPr="00CF77C1">
        <w:rPr>
          <w:b w:val="0"/>
          <w:lang w:val="sr-Cyrl-RS"/>
        </w:rPr>
        <w:t>басену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559"/>
        <w:gridCol w:w="1665"/>
        <w:gridCol w:w="1613"/>
        <w:gridCol w:w="1825"/>
      </w:tblGrid>
      <w:tr w:rsidR="0028406A" w:rsidRPr="00CF77C1" w14:paraId="70CBB95D" w14:textId="77777777" w:rsidTr="00276B15">
        <w:trPr>
          <w:trHeight w:val="113"/>
        </w:trPr>
        <w:tc>
          <w:tcPr>
            <w:tcW w:w="2660" w:type="dxa"/>
            <w:shd w:val="clear" w:color="auto" w:fill="auto"/>
            <w:noWrap/>
            <w:tcMar>
              <w:left w:w="28" w:type="dxa"/>
              <w:right w:w="28" w:type="dxa"/>
            </w:tcMar>
            <w:vAlign w:val="center"/>
            <w:hideMark/>
          </w:tcPr>
          <w:p w14:paraId="4D1F966A" w14:textId="77777777" w:rsidR="0028406A" w:rsidRPr="00CF77C1" w:rsidRDefault="0028406A" w:rsidP="0080044B">
            <w:pPr>
              <w:framePr w:hSpace="181" w:wrap="notBeside" w:vAnchor="text" w:hAnchor="text" w:y="1"/>
              <w:spacing w:before="0" w:after="0"/>
              <w:jc w:val="center"/>
              <w:rPr>
                <w:szCs w:val="24"/>
                <w:lang w:val="sr-Cyrl-RS"/>
              </w:rPr>
            </w:pPr>
            <w:r w:rsidRPr="00CF77C1">
              <w:rPr>
                <w:szCs w:val="24"/>
                <w:lang w:val="sr-Cyrl-RS"/>
              </w:rPr>
              <w:t>Лежиште</w:t>
            </w:r>
          </w:p>
        </w:tc>
        <w:tc>
          <w:tcPr>
            <w:tcW w:w="1559" w:type="dxa"/>
            <w:shd w:val="clear" w:color="auto" w:fill="auto"/>
            <w:noWrap/>
            <w:tcMar>
              <w:left w:w="28" w:type="dxa"/>
              <w:right w:w="28" w:type="dxa"/>
            </w:tcMar>
            <w:vAlign w:val="center"/>
            <w:hideMark/>
          </w:tcPr>
          <w:p w14:paraId="4FDA5013" w14:textId="77777777" w:rsidR="0028406A" w:rsidRPr="00CF77C1" w:rsidRDefault="0028406A" w:rsidP="0080044B">
            <w:pPr>
              <w:framePr w:hSpace="181" w:wrap="notBeside" w:vAnchor="text" w:hAnchor="text" w:y="1"/>
              <w:spacing w:before="0" w:after="0"/>
              <w:jc w:val="center"/>
              <w:rPr>
                <w:szCs w:val="24"/>
                <w:lang w:val="sr-Cyrl-RS"/>
              </w:rPr>
            </w:pPr>
            <w:r w:rsidRPr="00CF77C1">
              <w:rPr>
                <w:szCs w:val="24"/>
                <w:lang w:val="sr-Cyrl-RS"/>
              </w:rPr>
              <w:t>Категорија</w:t>
            </w:r>
          </w:p>
        </w:tc>
        <w:tc>
          <w:tcPr>
            <w:tcW w:w="1665" w:type="dxa"/>
            <w:shd w:val="clear" w:color="auto" w:fill="auto"/>
            <w:noWrap/>
            <w:tcMar>
              <w:left w:w="28" w:type="dxa"/>
              <w:right w:w="28" w:type="dxa"/>
            </w:tcMar>
            <w:vAlign w:val="center"/>
            <w:hideMark/>
          </w:tcPr>
          <w:p w14:paraId="053ED481" w14:textId="77777777" w:rsidR="0028406A" w:rsidRPr="00CF77C1" w:rsidRDefault="0028406A" w:rsidP="0080044B">
            <w:pPr>
              <w:framePr w:hSpace="181" w:wrap="notBeside" w:vAnchor="text" w:hAnchor="text" w:y="1"/>
              <w:spacing w:before="0" w:after="0"/>
              <w:ind w:right="57"/>
              <w:jc w:val="center"/>
              <w:rPr>
                <w:szCs w:val="24"/>
                <w:lang w:val="sr-Cyrl-RS"/>
              </w:rPr>
            </w:pPr>
            <w:r w:rsidRPr="00CF77C1">
              <w:rPr>
                <w:szCs w:val="24"/>
                <w:lang w:val="sr-Cyrl-RS"/>
              </w:rPr>
              <w:t>Билансне резерве (t)</w:t>
            </w:r>
          </w:p>
        </w:tc>
        <w:tc>
          <w:tcPr>
            <w:tcW w:w="1613" w:type="dxa"/>
            <w:shd w:val="clear" w:color="auto" w:fill="auto"/>
            <w:noWrap/>
            <w:tcMar>
              <w:left w:w="28" w:type="dxa"/>
              <w:right w:w="28" w:type="dxa"/>
            </w:tcMar>
            <w:vAlign w:val="center"/>
            <w:hideMark/>
          </w:tcPr>
          <w:p w14:paraId="566B060B" w14:textId="77777777" w:rsidR="0028406A" w:rsidRPr="00CF77C1" w:rsidRDefault="0028406A" w:rsidP="0080044B">
            <w:pPr>
              <w:framePr w:hSpace="181" w:wrap="notBeside" w:vAnchor="text" w:hAnchor="text" w:y="1"/>
              <w:spacing w:before="0" w:after="0"/>
              <w:ind w:right="57"/>
              <w:jc w:val="center"/>
              <w:rPr>
                <w:szCs w:val="24"/>
                <w:lang w:val="sr-Cyrl-RS"/>
              </w:rPr>
            </w:pPr>
            <w:r w:rsidRPr="00CF77C1">
              <w:rPr>
                <w:szCs w:val="24"/>
                <w:lang w:val="sr-Cyrl-RS"/>
              </w:rPr>
              <w:t>Ванбилансне резерве (t)</w:t>
            </w:r>
          </w:p>
        </w:tc>
        <w:tc>
          <w:tcPr>
            <w:tcW w:w="1825" w:type="dxa"/>
            <w:shd w:val="clear" w:color="auto" w:fill="auto"/>
            <w:noWrap/>
            <w:tcMar>
              <w:left w:w="28" w:type="dxa"/>
              <w:right w:w="28" w:type="dxa"/>
            </w:tcMar>
            <w:vAlign w:val="center"/>
            <w:hideMark/>
          </w:tcPr>
          <w:p w14:paraId="62D3C224" w14:textId="77777777" w:rsidR="0028406A" w:rsidRPr="00CF77C1" w:rsidRDefault="0028406A" w:rsidP="0080044B">
            <w:pPr>
              <w:framePr w:hSpace="181" w:wrap="notBeside" w:vAnchor="text" w:hAnchor="text" w:y="1"/>
              <w:spacing w:before="0" w:after="0"/>
              <w:ind w:right="57"/>
              <w:jc w:val="center"/>
              <w:rPr>
                <w:szCs w:val="24"/>
                <w:lang w:val="sr-Cyrl-RS"/>
              </w:rPr>
            </w:pPr>
            <w:r w:rsidRPr="00CF77C1">
              <w:rPr>
                <w:szCs w:val="24"/>
                <w:lang w:val="sr-Cyrl-RS"/>
              </w:rPr>
              <w:t>Геолошке резерве (t)</w:t>
            </w:r>
          </w:p>
        </w:tc>
      </w:tr>
      <w:tr w:rsidR="0028406A" w:rsidRPr="00CF77C1" w14:paraId="4B175C0D" w14:textId="77777777" w:rsidTr="00276B15">
        <w:trPr>
          <w:trHeight w:val="113"/>
        </w:trPr>
        <w:tc>
          <w:tcPr>
            <w:tcW w:w="2660" w:type="dxa"/>
            <w:vMerge w:val="restart"/>
            <w:shd w:val="clear" w:color="auto" w:fill="auto"/>
            <w:noWrap/>
            <w:tcMar>
              <w:left w:w="28" w:type="dxa"/>
              <w:right w:w="28" w:type="dxa"/>
            </w:tcMar>
            <w:vAlign w:val="center"/>
            <w:hideMark/>
          </w:tcPr>
          <w:p w14:paraId="52932044"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Дрмно</w:t>
            </w:r>
          </w:p>
        </w:tc>
        <w:tc>
          <w:tcPr>
            <w:tcW w:w="1559" w:type="dxa"/>
            <w:shd w:val="clear" w:color="auto" w:fill="auto"/>
            <w:noWrap/>
            <w:tcMar>
              <w:left w:w="28" w:type="dxa"/>
              <w:right w:w="28" w:type="dxa"/>
            </w:tcMar>
            <w:vAlign w:val="center"/>
            <w:hideMark/>
          </w:tcPr>
          <w:p w14:paraId="7149B7BA"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А</w:t>
            </w:r>
          </w:p>
        </w:tc>
        <w:tc>
          <w:tcPr>
            <w:tcW w:w="1665" w:type="dxa"/>
            <w:shd w:val="clear" w:color="auto" w:fill="auto"/>
            <w:noWrap/>
            <w:tcMar>
              <w:left w:w="28" w:type="dxa"/>
              <w:right w:w="28" w:type="dxa"/>
            </w:tcMar>
            <w:vAlign w:val="center"/>
            <w:hideMark/>
          </w:tcPr>
          <w:p w14:paraId="341A5168" w14:textId="77777777" w:rsidR="0028406A" w:rsidRPr="00CF77C1" w:rsidRDefault="0028406A" w:rsidP="0080044B">
            <w:pPr>
              <w:framePr w:hSpace="181" w:wrap="notBeside" w:vAnchor="text" w:hAnchor="text" w:y="1"/>
              <w:spacing w:before="0" w:after="0"/>
              <w:ind w:left="210" w:right="57"/>
              <w:jc w:val="right"/>
              <w:rPr>
                <w:rFonts w:eastAsia="Arial Narrow"/>
                <w:szCs w:val="24"/>
                <w:lang w:val="sr-Cyrl-RS"/>
              </w:rPr>
            </w:pPr>
          </w:p>
        </w:tc>
        <w:tc>
          <w:tcPr>
            <w:tcW w:w="1613" w:type="dxa"/>
            <w:shd w:val="clear" w:color="auto" w:fill="auto"/>
            <w:noWrap/>
            <w:tcMar>
              <w:left w:w="28" w:type="dxa"/>
              <w:right w:w="28" w:type="dxa"/>
            </w:tcMar>
            <w:vAlign w:val="center"/>
            <w:hideMark/>
          </w:tcPr>
          <w:p w14:paraId="70B1DFEA" w14:textId="77777777" w:rsidR="0028406A" w:rsidRPr="00CF77C1" w:rsidRDefault="0028406A" w:rsidP="0080044B">
            <w:pPr>
              <w:framePr w:hSpace="181" w:wrap="notBeside" w:vAnchor="text" w:hAnchor="text" w:y="1"/>
              <w:spacing w:before="0" w:after="0"/>
              <w:ind w:left="164" w:right="57"/>
              <w:jc w:val="right"/>
              <w:rPr>
                <w:rFonts w:eastAsia="Arial Narrow"/>
                <w:szCs w:val="24"/>
                <w:lang w:val="sr-Cyrl-RS"/>
              </w:rPr>
            </w:pPr>
          </w:p>
        </w:tc>
        <w:tc>
          <w:tcPr>
            <w:tcW w:w="1825" w:type="dxa"/>
            <w:shd w:val="clear" w:color="auto" w:fill="auto"/>
            <w:noWrap/>
            <w:tcMar>
              <w:left w:w="28" w:type="dxa"/>
              <w:right w:w="28" w:type="dxa"/>
            </w:tcMar>
            <w:vAlign w:val="center"/>
            <w:hideMark/>
          </w:tcPr>
          <w:p w14:paraId="72E80BBE" w14:textId="77777777" w:rsidR="0028406A" w:rsidRPr="00CF77C1" w:rsidRDefault="0028406A" w:rsidP="0080044B">
            <w:pPr>
              <w:framePr w:hSpace="181" w:wrap="notBeside" w:vAnchor="text" w:hAnchor="text" w:y="1"/>
              <w:spacing w:before="0" w:after="0"/>
              <w:ind w:left="304" w:right="57"/>
              <w:jc w:val="right"/>
              <w:rPr>
                <w:rFonts w:eastAsia="Arial Narrow"/>
                <w:szCs w:val="24"/>
                <w:lang w:val="sr-Cyrl-RS"/>
              </w:rPr>
            </w:pPr>
          </w:p>
        </w:tc>
      </w:tr>
      <w:tr w:rsidR="0028406A" w:rsidRPr="00CF77C1" w14:paraId="312158A2" w14:textId="77777777" w:rsidTr="00276B15">
        <w:trPr>
          <w:trHeight w:val="113"/>
        </w:trPr>
        <w:tc>
          <w:tcPr>
            <w:tcW w:w="2660" w:type="dxa"/>
            <w:vMerge/>
            <w:shd w:val="clear" w:color="auto" w:fill="auto"/>
            <w:noWrap/>
            <w:tcMar>
              <w:left w:w="28" w:type="dxa"/>
              <w:right w:w="28" w:type="dxa"/>
            </w:tcMar>
            <w:vAlign w:val="center"/>
            <w:hideMark/>
          </w:tcPr>
          <w:p w14:paraId="5A334B71"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7CE21D64"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Б</w:t>
            </w:r>
          </w:p>
        </w:tc>
        <w:tc>
          <w:tcPr>
            <w:tcW w:w="1665" w:type="dxa"/>
            <w:shd w:val="clear" w:color="auto" w:fill="auto"/>
            <w:noWrap/>
            <w:tcMar>
              <w:left w:w="28" w:type="dxa"/>
              <w:right w:w="28" w:type="dxa"/>
            </w:tcMar>
            <w:vAlign w:val="center"/>
            <w:hideMark/>
          </w:tcPr>
          <w:p w14:paraId="098E8263"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238.675.082</w:t>
            </w:r>
          </w:p>
        </w:tc>
        <w:tc>
          <w:tcPr>
            <w:tcW w:w="1613" w:type="dxa"/>
            <w:shd w:val="clear" w:color="auto" w:fill="auto"/>
            <w:noWrap/>
            <w:tcMar>
              <w:left w:w="28" w:type="dxa"/>
              <w:right w:w="28" w:type="dxa"/>
            </w:tcMar>
            <w:vAlign w:val="center"/>
            <w:hideMark/>
          </w:tcPr>
          <w:p w14:paraId="3B2CC996" w14:textId="77777777" w:rsidR="0028406A" w:rsidRPr="00CF77C1" w:rsidRDefault="0028406A" w:rsidP="0080044B">
            <w:pPr>
              <w:framePr w:hSpace="181" w:wrap="notBeside" w:vAnchor="text" w:hAnchor="text" w:y="1"/>
              <w:spacing w:before="0" w:after="0"/>
              <w:ind w:left="164" w:right="57"/>
              <w:jc w:val="right"/>
              <w:rPr>
                <w:rFonts w:eastAsia="Arial Narrow"/>
                <w:szCs w:val="24"/>
                <w:lang w:val="sr-Cyrl-RS"/>
              </w:rPr>
            </w:pPr>
            <w:r w:rsidRPr="00CF77C1">
              <w:rPr>
                <w:rFonts w:eastAsia="Arial Narrow"/>
                <w:szCs w:val="24"/>
                <w:lang w:val="sr-Cyrl-RS"/>
              </w:rPr>
              <w:t>112.382.957</w:t>
            </w:r>
          </w:p>
        </w:tc>
        <w:tc>
          <w:tcPr>
            <w:tcW w:w="1825" w:type="dxa"/>
            <w:shd w:val="clear" w:color="auto" w:fill="auto"/>
            <w:noWrap/>
            <w:tcMar>
              <w:left w:w="28" w:type="dxa"/>
              <w:right w:w="28" w:type="dxa"/>
            </w:tcMar>
            <w:vAlign w:val="center"/>
            <w:hideMark/>
          </w:tcPr>
          <w:p w14:paraId="403E4D1E"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351.058.039</w:t>
            </w:r>
          </w:p>
        </w:tc>
      </w:tr>
      <w:tr w:rsidR="0028406A" w:rsidRPr="00CF77C1" w14:paraId="5923A1E9" w14:textId="77777777" w:rsidTr="00276B15">
        <w:trPr>
          <w:trHeight w:val="113"/>
        </w:trPr>
        <w:tc>
          <w:tcPr>
            <w:tcW w:w="2660" w:type="dxa"/>
            <w:vMerge/>
            <w:shd w:val="clear" w:color="auto" w:fill="auto"/>
            <w:noWrap/>
            <w:tcMar>
              <w:left w:w="28" w:type="dxa"/>
              <w:right w:w="28" w:type="dxa"/>
            </w:tcMar>
            <w:vAlign w:val="center"/>
            <w:hideMark/>
          </w:tcPr>
          <w:p w14:paraId="6752056F"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50A75135"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3DE34EF2"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159.310.462</w:t>
            </w:r>
          </w:p>
        </w:tc>
        <w:tc>
          <w:tcPr>
            <w:tcW w:w="1613" w:type="dxa"/>
            <w:shd w:val="clear" w:color="auto" w:fill="auto"/>
            <w:noWrap/>
            <w:tcMar>
              <w:left w:w="28" w:type="dxa"/>
              <w:right w:w="28" w:type="dxa"/>
            </w:tcMar>
            <w:vAlign w:val="center"/>
            <w:hideMark/>
          </w:tcPr>
          <w:p w14:paraId="54587AF2" w14:textId="77777777" w:rsidR="0028406A" w:rsidRPr="00CF77C1" w:rsidRDefault="0028406A" w:rsidP="0080044B">
            <w:pPr>
              <w:framePr w:hSpace="181" w:wrap="notBeside" w:vAnchor="text" w:hAnchor="text" w:y="1"/>
              <w:spacing w:before="0" w:after="0"/>
              <w:ind w:left="119" w:right="57"/>
              <w:jc w:val="right"/>
              <w:rPr>
                <w:rFonts w:eastAsia="Arial Narrow"/>
                <w:szCs w:val="24"/>
                <w:lang w:val="sr-Cyrl-RS"/>
              </w:rPr>
            </w:pPr>
            <w:r w:rsidRPr="00CF77C1">
              <w:rPr>
                <w:rFonts w:eastAsia="Arial Narrow"/>
                <w:szCs w:val="24"/>
                <w:lang w:val="sr-Cyrl-RS"/>
              </w:rPr>
              <w:t>132.888.861</w:t>
            </w:r>
          </w:p>
        </w:tc>
        <w:tc>
          <w:tcPr>
            <w:tcW w:w="1825" w:type="dxa"/>
            <w:shd w:val="clear" w:color="auto" w:fill="auto"/>
            <w:noWrap/>
            <w:tcMar>
              <w:left w:w="28" w:type="dxa"/>
              <w:right w:w="28" w:type="dxa"/>
            </w:tcMar>
            <w:vAlign w:val="center"/>
            <w:hideMark/>
          </w:tcPr>
          <w:p w14:paraId="6171785E"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292.199.323</w:t>
            </w:r>
          </w:p>
        </w:tc>
      </w:tr>
      <w:tr w:rsidR="0028406A" w:rsidRPr="00CF77C1" w14:paraId="5D50BDDB" w14:textId="77777777" w:rsidTr="00276B15">
        <w:trPr>
          <w:trHeight w:val="113"/>
        </w:trPr>
        <w:tc>
          <w:tcPr>
            <w:tcW w:w="2660" w:type="dxa"/>
            <w:vMerge/>
            <w:shd w:val="clear" w:color="auto" w:fill="auto"/>
            <w:noWrap/>
            <w:tcMar>
              <w:left w:w="28" w:type="dxa"/>
              <w:right w:w="28" w:type="dxa"/>
            </w:tcMar>
            <w:vAlign w:val="center"/>
            <w:hideMark/>
          </w:tcPr>
          <w:p w14:paraId="470759D6"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000E39B1" w14:textId="77777777" w:rsidR="0028406A" w:rsidRPr="00CF77C1" w:rsidRDefault="0028406A" w:rsidP="0080044B">
            <w:pPr>
              <w:framePr w:hSpace="181" w:wrap="notBeside" w:vAnchor="text" w:hAnchor="text" w:y="1"/>
              <w:spacing w:before="0" w:after="0"/>
              <w:ind w:left="287" w:right="123" w:hanging="139"/>
              <w:jc w:val="center"/>
              <w:rPr>
                <w:rFonts w:eastAsia="Arial Narrow"/>
                <w:szCs w:val="24"/>
                <w:lang w:val="sr-Cyrl-RS"/>
              </w:rPr>
            </w:pPr>
            <w:r w:rsidRPr="00CF77C1">
              <w:rPr>
                <w:rFonts w:eastAsia="Arial Narrow"/>
                <w:szCs w:val="24"/>
                <w:lang w:val="sr-Cyrl-RS"/>
              </w:rPr>
              <w:t>А +Б+</w:t>
            </w: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3CC7F1B3"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397.985.544</w:t>
            </w:r>
          </w:p>
        </w:tc>
        <w:tc>
          <w:tcPr>
            <w:tcW w:w="1613" w:type="dxa"/>
            <w:shd w:val="clear" w:color="auto" w:fill="auto"/>
            <w:noWrap/>
            <w:tcMar>
              <w:left w:w="28" w:type="dxa"/>
              <w:right w:w="28" w:type="dxa"/>
            </w:tcMar>
            <w:vAlign w:val="center"/>
            <w:hideMark/>
          </w:tcPr>
          <w:p w14:paraId="5D9034EC" w14:textId="77777777" w:rsidR="0028406A" w:rsidRPr="00CF77C1" w:rsidRDefault="0028406A" w:rsidP="0080044B">
            <w:pPr>
              <w:framePr w:hSpace="181" w:wrap="notBeside" w:vAnchor="text" w:hAnchor="text" w:y="1"/>
              <w:spacing w:before="0" w:after="0"/>
              <w:ind w:left="118" w:right="57"/>
              <w:jc w:val="right"/>
              <w:rPr>
                <w:rFonts w:eastAsia="Arial Narrow"/>
                <w:szCs w:val="24"/>
                <w:lang w:val="sr-Cyrl-RS"/>
              </w:rPr>
            </w:pPr>
            <w:r w:rsidRPr="00CF77C1">
              <w:rPr>
                <w:rFonts w:eastAsia="Arial Narrow"/>
                <w:szCs w:val="24"/>
                <w:lang w:val="sr-Cyrl-RS"/>
              </w:rPr>
              <w:t>245.271.818</w:t>
            </w:r>
          </w:p>
        </w:tc>
        <w:tc>
          <w:tcPr>
            <w:tcW w:w="1825" w:type="dxa"/>
            <w:shd w:val="clear" w:color="auto" w:fill="auto"/>
            <w:noWrap/>
            <w:tcMar>
              <w:left w:w="28" w:type="dxa"/>
              <w:right w:w="28" w:type="dxa"/>
            </w:tcMar>
            <w:vAlign w:val="center"/>
            <w:hideMark/>
          </w:tcPr>
          <w:p w14:paraId="004B217F"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643.257.364</w:t>
            </w:r>
          </w:p>
        </w:tc>
      </w:tr>
      <w:tr w:rsidR="0028406A" w:rsidRPr="00CF77C1" w14:paraId="07E00171" w14:textId="77777777" w:rsidTr="00276B15">
        <w:trPr>
          <w:trHeight w:val="113"/>
        </w:trPr>
        <w:tc>
          <w:tcPr>
            <w:tcW w:w="2660" w:type="dxa"/>
            <w:vMerge/>
            <w:shd w:val="clear" w:color="auto" w:fill="auto"/>
            <w:noWrap/>
            <w:tcMar>
              <w:left w:w="28" w:type="dxa"/>
              <w:right w:w="28" w:type="dxa"/>
            </w:tcMar>
            <w:vAlign w:val="center"/>
            <w:hideMark/>
          </w:tcPr>
          <w:p w14:paraId="7D9067A7"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27E56BE1"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2</w:t>
            </w:r>
          </w:p>
        </w:tc>
        <w:tc>
          <w:tcPr>
            <w:tcW w:w="1665" w:type="dxa"/>
            <w:shd w:val="clear" w:color="auto" w:fill="auto"/>
            <w:noWrap/>
            <w:tcMar>
              <w:left w:w="28" w:type="dxa"/>
              <w:right w:w="28" w:type="dxa"/>
            </w:tcMar>
            <w:vAlign w:val="center"/>
            <w:hideMark/>
          </w:tcPr>
          <w:p w14:paraId="2768541B"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p>
        </w:tc>
        <w:tc>
          <w:tcPr>
            <w:tcW w:w="1613" w:type="dxa"/>
            <w:shd w:val="clear" w:color="auto" w:fill="auto"/>
            <w:noWrap/>
            <w:tcMar>
              <w:left w:w="28" w:type="dxa"/>
              <w:right w:w="28" w:type="dxa"/>
            </w:tcMar>
            <w:vAlign w:val="center"/>
            <w:hideMark/>
          </w:tcPr>
          <w:p w14:paraId="686F6094" w14:textId="77777777" w:rsidR="0028406A" w:rsidRPr="00CF77C1" w:rsidRDefault="0028406A" w:rsidP="0080044B">
            <w:pPr>
              <w:framePr w:hSpace="181" w:wrap="notBeside" w:vAnchor="text" w:hAnchor="text" w:y="1"/>
              <w:spacing w:before="0" w:after="0"/>
              <w:ind w:left="118" w:right="57"/>
              <w:jc w:val="right"/>
              <w:rPr>
                <w:rFonts w:eastAsia="Arial Narrow"/>
                <w:szCs w:val="24"/>
                <w:lang w:val="sr-Cyrl-RS"/>
              </w:rPr>
            </w:pPr>
          </w:p>
        </w:tc>
        <w:tc>
          <w:tcPr>
            <w:tcW w:w="1825" w:type="dxa"/>
            <w:shd w:val="clear" w:color="auto" w:fill="auto"/>
            <w:noWrap/>
            <w:tcMar>
              <w:left w:w="28" w:type="dxa"/>
              <w:right w:w="28" w:type="dxa"/>
            </w:tcMar>
            <w:vAlign w:val="center"/>
            <w:hideMark/>
          </w:tcPr>
          <w:p w14:paraId="13D906A1"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p>
        </w:tc>
      </w:tr>
      <w:tr w:rsidR="0028406A" w:rsidRPr="00CF77C1" w14:paraId="62FA66C4" w14:textId="77777777" w:rsidTr="00276B15">
        <w:trPr>
          <w:trHeight w:val="113"/>
        </w:trPr>
        <w:tc>
          <w:tcPr>
            <w:tcW w:w="2660" w:type="dxa"/>
            <w:vMerge/>
            <w:shd w:val="clear" w:color="auto" w:fill="auto"/>
            <w:noWrap/>
            <w:tcMar>
              <w:left w:w="28" w:type="dxa"/>
              <w:right w:w="28" w:type="dxa"/>
            </w:tcMar>
            <w:vAlign w:val="center"/>
            <w:hideMark/>
          </w:tcPr>
          <w:p w14:paraId="37A4134F"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val="restart"/>
            <w:shd w:val="clear" w:color="auto" w:fill="auto"/>
            <w:noWrap/>
            <w:tcMar>
              <w:left w:w="28" w:type="dxa"/>
              <w:right w:w="28" w:type="dxa"/>
            </w:tcMar>
            <w:vAlign w:val="center"/>
            <w:hideMark/>
          </w:tcPr>
          <w:p w14:paraId="2C858D93" w14:textId="77777777" w:rsidR="0028406A" w:rsidRPr="00CF77C1" w:rsidRDefault="0028406A" w:rsidP="0080044B">
            <w:pPr>
              <w:framePr w:hSpace="181" w:wrap="notBeside" w:vAnchor="text" w:hAnchor="text" w:y="1"/>
              <w:spacing w:before="0" w:after="0"/>
              <w:ind w:left="252" w:right="261"/>
              <w:jc w:val="center"/>
              <w:rPr>
                <w:rFonts w:eastAsia="Arial Narrow"/>
                <w:position w:val="1"/>
                <w:szCs w:val="24"/>
                <w:lang w:val="sr-Cyrl-RS"/>
              </w:rPr>
            </w:pPr>
            <w:r w:rsidRPr="00CF77C1">
              <w:rPr>
                <w:rFonts w:eastAsia="Arial Narrow"/>
                <w:position w:val="1"/>
                <w:szCs w:val="24"/>
                <w:lang w:val="sr-Cyrl-RS"/>
              </w:rPr>
              <w:t>Укупно</w:t>
            </w:r>
          </w:p>
        </w:tc>
        <w:tc>
          <w:tcPr>
            <w:tcW w:w="5103" w:type="dxa"/>
            <w:gridSpan w:val="3"/>
            <w:shd w:val="clear" w:color="auto" w:fill="auto"/>
            <w:noWrap/>
            <w:tcMar>
              <w:left w:w="28" w:type="dxa"/>
              <w:right w:w="28" w:type="dxa"/>
            </w:tcMar>
            <w:hideMark/>
          </w:tcPr>
          <w:p w14:paraId="1A950C02" w14:textId="77777777" w:rsidR="0028406A" w:rsidRPr="00CF77C1" w:rsidRDefault="0028406A" w:rsidP="0080044B">
            <w:pPr>
              <w:framePr w:hSpace="181" w:wrap="notBeside" w:vAnchor="text" w:hAnchor="text" w:y="1"/>
              <w:spacing w:before="0" w:after="0"/>
              <w:jc w:val="center"/>
              <w:rPr>
                <w:rFonts w:eastAsia="Arial Narrow"/>
                <w:lang w:val="sr-Cyrl-RS"/>
              </w:rPr>
            </w:pPr>
            <w:r w:rsidRPr="00CF77C1">
              <w:rPr>
                <w:rFonts w:eastAsia="Arial Narrow"/>
                <w:lang w:val="sr-Cyrl-RS"/>
              </w:rPr>
              <w:t>643.257.364</w:t>
            </w:r>
          </w:p>
        </w:tc>
      </w:tr>
      <w:tr w:rsidR="0028406A" w:rsidRPr="00CF77C1" w14:paraId="50E92041" w14:textId="77777777" w:rsidTr="00276B15">
        <w:trPr>
          <w:trHeight w:val="113"/>
        </w:trPr>
        <w:tc>
          <w:tcPr>
            <w:tcW w:w="2660" w:type="dxa"/>
            <w:vMerge/>
            <w:shd w:val="clear" w:color="auto" w:fill="auto"/>
            <w:noWrap/>
            <w:tcMar>
              <w:left w:w="28" w:type="dxa"/>
              <w:right w:w="28" w:type="dxa"/>
            </w:tcMar>
            <w:vAlign w:val="center"/>
            <w:hideMark/>
          </w:tcPr>
          <w:p w14:paraId="3B455654"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shd w:val="clear" w:color="auto" w:fill="auto"/>
            <w:noWrap/>
            <w:tcMar>
              <w:left w:w="28" w:type="dxa"/>
              <w:right w:w="28" w:type="dxa"/>
            </w:tcMar>
            <w:vAlign w:val="center"/>
            <w:hideMark/>
          </w:tcPr>
          <w:p w14:paraId="6E0DA848" w14:textId="77777777" w:rsidR="0028406A" w:rsidRPr="00CF77C1" w:rsidRDefault="0028406A" w:rsidP="0080044B">
            <w:pPr>
              <w:framePr w:hSpace="181" w:wrap="notBeside" w:vAnchor="text" w:hAnchor="text" w:y="1"/>
              <w:spacing w:before="0" w:after="0"/>
              <w:jc w:val="center"/>
              <w:rPr>
                <w:rFonts w:eastAsia="Arial Narrow"/>
                <w:szCs w:val="24"/>
                <w:lang w:val="sr-Cyrl-RS"/>
              </w:rPr>
            </w:pPr>
          </w:p>
        </w:tc>
        <w:tc>
          <w:tcPr>
            <w:tcW w:w="5103" w:type="dxa"/>
            <w:gridSpan w:val="3"/>
            <w:shd w:val="clear" w:color="auto" w:fill="auto"/>
          </w:tcPr>
          <w:p w14:paraId="1CFDD535" w14:textId="77777777" w:rsidR="0028406A" w:rsidRPr="00CF77C1" w:rsidRDefault="0028406A" w:rsidP="0080044B">
            <w:pPr>
              <w:framePr w:hSpace="181" w:wrap="notBeside" w:vAnchor="text" w:hAnchor="text" w:y="1"/>
              <w:spacing w:before="0" w:after="0"/>
              <w:ind w:right="57"/>
              <w:jc w:val="center"/>
              <w:rPr>
                <w:rFonts w:eastAsia="Arial Narrow"/>
                <w:szCs w:val="24"/>
                <w:lang w:val="sr-Cyrl-RS"/>
              </w:rPr>
            </w:pPr>
            <w:r w:rsidRPr="00CF77C1">
              <w:rPr>
                <w:rFonts w:eastAsia="Arial Narrow"/>
                <w:szCs w:val="24"/>
                <w:lang w:val="sr-Cyrl-RS"/>
              </w:rPr>
              <w:t>Експлоатационе резерве: 292.938.852</w:t>
            </w:r>
          </w:p>
        </w:tc>
      </w:tr>
      <w:tr w:rsidR="0028406A" w:rsidRPr="00CF77C1" w14:paraId="18153E30" w14:textId="77777777" w:rsidTr="00276B15">
        <w:trPr>
          <w:trHeight w:val="113"/>
        </w:trPr>
        <w:tc>
          <w:tcPr>
            <w:tcW w:w="2660" w:type="dxa"/>
            <w:vMerge w:val="restart"/>
            <w:shd w:val="clear" w:color="auto" w:fill="auto"/>
            <w:noWrap/>
            <w:tcMar>
              <w:left w:w="28" w:type="dxa"/>
              <w:right w:w="28" w:type="dxa"/>
            </w:tcMar>
            <w:vAlign w:val="center"/>
            <w:hideMark/>
          </w:tcPr>
          <w:p w14:paraId="1A873AD4"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 xml:space="preserve">Кленовник </w:t>
            </w:r>
          </w:p>
        </w:tc>
        <w:tc>
          <w:tcPr>
            <w:tcW w:w="1559" w:type="dxa"/>
            <w:shd w:val="clear" w:color="auto" w:fill="auto"/>
            <w:noWrap/>
            <w:tcMar>
              <w:left w:w="28" w:type="dxa"/>
              <w:right w:w="28" w:type="dxa"/>
            </w:tcMar>
            <w:vAlign w:val="center"/>
            <w:hideMark/>
          </w:tcPr>
          <w:p w14:paraId="50E888FE"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А</w:t>
            </w:r>
          </w:p>
        </w:tc>
        <w:tc>
          <w:tcPr>
            <w:tcW w:w="1665" w:type="dxa"/>
            <w:shd w:val="clear" w:color="auto" w:fill="auto"/>
            <w:noWrap/>
            <w:tcMar>
              <w:left w:w="28" w:type="dxa"/>
              <w:right w:w="28" w:type="dxa"/>
            </w:tcMar>
            <w:vAlign w:val="center"/>
            <w:hideMark/>
          </w:tcPr>
          <w:p w14:paraId="03DC5809" w14:textId="77777777" w:rsidR="0028406A" w:rsidRPr="00CF77C1" w:rsidRDefault="0028406A" w:rsidP="0080044B">
            <w:pPr>
              <w:framePr w:hSpace="181" w:wrap="notBeside" w:vAnchor="text" w:hAnchor="text" w:y="1"/>
              <w:spacing w:before="0" w:after="0"/>
              <w:ind w:left="210" w:right="57"/>
              <w:jc w:val="right"/>
              <w:rPr>
                <w:rFonts w:eastAsia="Arial Narrow"/>
                <w:szCs w:val="24"/>
                <w:lang w:val="sr-Cyrl-RS"/>
              </w:rPr>
            </w:pPr>
          </w:p>
        </w:tc>
        <w:tc>
          <w:tcPr>
            <w:tcW w:w="1613" w:type="dxa"/>
            <w:shd w:val="clear" w:color="auto" w:fill="auto"/>
            <w:noWrap/>
            <w:tcMar>
              <w:left w:w="28" w:type="dxa"/>
              <w:right w:w="28" w:type="dxa"/>
            </w:tcMar>
            <w:vAlign w:val="center"/>
            <w:hideMark/>
          </w:tcPr>
          <w:p w14:paraId="372A09FE" w14:textId="77777777" w:rsidR="0028406A" w:rsidRPr="00CF77C1" w:rsidRDefault="0028406A" w:rsidP="0080044B">
            <w:pPr>
              <w:framePr w:hSpace="181" w:wrap="notBeside" w:vAnchor="text" w:hAnchor="text" w:y="1"/>
              <w:spacing w:before="0" w:after="0"/>
              <w:ind w:left="164" w:right="57"/>
              <w:jc w:val="right"/>
              <w:rPr>
                <w:rFonts w:eastAsia="Arial Narrow"/>
                <w:szCs w:val="24"/>
                <w:lang w:val="sr-Cyrl-RS"/>
              </w:rPr>
            </w:pPr>
          </w:p>
        </w:tc>
        <w:tc>
          <w:tcPr>
            <w:tcW w:w="1825" w:type="dxa"/>
            <w:shd w:val="clear" w:color="auto" w:fill="auto"/>
            <w:noWrap/>
            <w:tcMar>
              <w:left w:w="28" w:type="dxa"/>
              <w:right w:w="28" w:type="dxa"/>
            </w:tcMar>
            <w:vAlign w:val="center"/>
            <w:hideMark/>
          </w:tcPr>
          <w:p w14:paraId="62CE1C01" w14:textId="77777777" w:rsidR="0028406A" w:rsidRPr="00CF77C1" w:rsidRDefault="0028406A" w:rsidP="0080044B">
            <w:pPr>
              <w:framePr w:hSpace="181" w:wrap="notBeside" w:vAnchor="text" w:hAnchor="text" w:y="1"/>
              <w:spacing w:before="0" w:after="0"/>
              <w:ind w:left="304" w:right="57"/>
              <w:jc w:val="right"/>
              <w:rPr>
                <w:rFonts w:eastAsia="Arial Narrow"/>
                <w:szCs w:val="24"/>
                <w:lang w:val="sr-Cyrl-RS"/>
              </w:rPr>
            </w:pPr>
          </w:p>
        </w:tc>
      </w:tr>
      <w:tr w:rsidR="0028406A" w:rsidRPr="00CF77C1" w14:paraId="42B7BAD4" w14:textId="77777777" w:rsidTr="00276B15">
        <w:trPr>
          <w:trHeight w:val="113"/>
        </w:trPr>
        <w:tc>
          <w:tcPr>
            <w:tcW w:w="2660" w:type="dxa"/>
            <w:vMerge/>
            <w:shd w:val="clear" w:color="auto" w:fill="auto"/>
            <w:noWrap/>
            <w:tcMar>
              <w:left w:w="28" w:type="dxa"/>
              <w:right w:w="28" w:type="dxa"/>
            </w:tcMar>
            <w:vAlign w:val="center"/>
            <w:hideMark/>
          </w:tcPr>
          <w:p w14:paraId="01FF7987"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40E5EB76"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Б</w:t>
            </w:r>
          </w:p>
        </w:tc>
        <w:tc>
          <w:tcPr>
            <w:tcW w:w="1665" w:type="dxa"/>
            <w:shd w:val="clear" w:color="auto" w:fill="auto"/>
            <w:noWrap/>
            <w:tcMar>
              <w:left w:w="28" w:type="dxa"/>
              <w:right w:w="28" w:type="dxa"/>
            </w:tcMar>
            <w:vAlign w:val="center"/>
            <w:hideMark/>
          </w:tcPr>
          <w:p w14:paraId="4F86E948"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vAlign w:val="center"/>
            <w:hideMark/>
          </w:tcPr>
          <w:p w14:paraId="05B050B7" w14:textId="77777777" w:rsidR="0028406A" w:rsidRPr="00CF77C1" w:rsidRDefault="0028406A" w:rsidP="0080044B">
            <w:pPr>
              <w:framePr w:hSpace="181" w:wrap="notBeside" w:vAnchor="text" w:hAnchor="text" w:y="1"/>
              <w:spacing w:before="0" w:after="0"/>
              <w:ind w:left="164" w:right="57"/>
              <w:jc w:val="right"/>
              <w:rPr>
                <w:rFonts w:eastAsia="Arial Narrow"/>
                <w:szCs w:val="24"/>
                <w:lang w:val="sr-Cyrl-RS"/>
              </w:rPr>
            </w:pPr>
            <w:r w:rsidRPr="00CF77C1">
              <w:rPr>
                <w:rFonts w:eastAsia="Arial Narrow"/>
                <w:szCs w:val="24"/>
                <w:lang w:val="sr-Cyrl-RS"/>
              </w:rPr>
              <w:t>8.595.000</w:t>
            </w:r>
          </w:p>
        </w:tc>
        <w:tc>
          <w:tcPr>
            <w:tcW w:w="1825" w:type="dxa"/>
            <w:shd w:val="clear" w:color="auto" w:fill="auto"/>
            <w:noWrap/>
            <w:tcMar>
              <w:left w:w="28" w:type="dxa"/>
              <w:right w:w="28" w:type="dxa"/>
            </w:tcMar>
            <w:vAlign w:val="center"/>
            <w:hideMark/>
          </w:tcPr>
          <w:p w14:paraId="581542FD"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p>
        </w:tc>
      </w:tr>
      <w:tr w:rsidR="0028406A" w:rsidRPr="00CF77C1" w14:paraId="4E8749F9" w14:textId="77777777" w:rsidTr="00276B15">
        <w:trPr>
          <w:trHeight w:val="113"/>
        </w:trPr>
        <w:tc>
          <w:tcPr>
            <w:tcW w:w="2660" w:type="dxa"/>
            <w:vMerge/>
            <w:shd w:val="clear" w:color="auto" w:fill="auto"/>
            <w:noWrap/>
            <w:tcMar>
              <w:left w:w="28" w:type="dxa"/>
              <w:right w:w="28" w:type="dxa"/>
            </w:tcMar>
            <w:vAlign w:val="center"/>
            <w:hideMark/>
          </w:tcPr>
          <w:p w14:paraId="1D872578"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64B526E3"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14A1B872"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vAlign w:val="center"/>
            <w:hideMark/>
          </w:tcPr>
          <w:p w14:paraId="1B2DA90F" w14:textId="77777777" w:rsidR="0028406A" w:rsidRPr="00CF77C1" w:rsidRDefault="0028406A" w:rsidP="0080044B">
            <w:pPr>
              <w:framePr w:hSpace="181" w:wrap="notBeside" w:vAnchor="text" w:hAnchor="text" w:y="1"/>
              <w:spacing w:before="0" w:after="0"/>
              <w:ind w:left="119" w:right="57"/>
              <w:jc w:val="right"/>
              <w:rPr>
                <w:rFonts w:eastAsia="Arial Narrow"/>
                <w:szCs w:val="24"/>
                <w:lang w:val="sr-Cyrl-RS"/>
              </w:rPr>
            </w:pPr>
          </w:p>
        </w:tc>
        <w:tc>
          <w:tcPr>
            <w:tcW w:w="1825" w:type="dxa"/>
            <w:shd w:val="clear" w:color="auto" w:fill="auto"/>
            <w:noWrap/>
            <w:tcMar>
              <w:left w:w="28" w:type="dxa"/>
              <w:right w:w="28" w:type="dxa"/>
            </w:tcMar>
            <w:vAlign w:val="center"/>
            <w:hideMark/>
          </w:tcPr>
          <w:p w14:paraId="41BB6E67"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p>
        </w:tc>
      </w:tr>
      <w:tr w:rsidR="0028406A" w:rsidRPr="00CF77C1" w14:paraId="5E9595AB" w14:textId="77777777" w:rsidTr="00276B15">
        <w:trPr>
          <w:trHeight w:val="113"/>
        </w:trPr>
        <w:tc>
          <w:tcPr>
            <w:tcW w:w="2660" w:type="dxa"/>
            <w:vMerge/>
            <w:shd w:val="clear" w:color="auto" w:fill="auto"/>
            <w:noWrap/>
            <w:tcMar>
              <w:left w:w="28" w:type="dxa"/>
              <w:right w:w="28" w:type="dxa"/>
            </w:tcMar>
            <w:vAlign w:val="center"/>
            <w:hideMark/>
          </w:tcPr>
          <w:p w14:paraId="372DA628"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6D4C180E" w14:textId="77777777" w:rsidR="0028406A" w:rsidRPr="00CF77C1" w:rsidRDefault="0028406A" w:rsidP="0080044B">
            <w:pPr>
              <w:framePr w:hSpace="181" w:wrap="notBeside" w:vAnchor="text" w:hAnchor="text" w:y="1"/>
              <w:spacing w:before="0" w:after="0"/>
              <w:ind w:left="287" w:right="123" w:hanging="139"/>
              <w:jc w:val="center"/>
              <w:rPr>
                <w:rFonts w:eastAsia="Arial Narrow"/>
                <w:szCs w:val="24"/>
                <w:lang w:val="sr-Cyrl-RS"/>
              </w:rPr>
            </w:pPr>
            <w:r w:rsidRPr="00CF77C1">
              <w:rPr>
                <w:rFonts w:eastAsia="Arial Narrow"/>
                <w:szCs w:val="24"/>
                <w:lang w:val="sr-Cyrl-RS"/>
              </w:rPr>
              <w:t>А +Б+</w:t>
            </w: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1B43D4E3"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vAlign w:val="center"/>
            <w:hideMark/>
          </w:tcPr>
          <w:p w14:paraId="144ACF6D"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825" w:type="dxa"/>
            <w:shd w:val="clear" w:color="auto" w:fill="auto"/>
            <w:noWrap/>
            <w:tcMar>
              <w:left w:w="28" w:type="dxa"/>
              <w:right w:w="28" w:type="dxa"/>
            </w:tcMar>
            <w:vAlign w:val="center"/>
            <w:hideMark/>
          </w:tcPr>
          <w:p w14:paraId="15043C9A" w14:textId="77777777" w:rsidR="0028406A" w:rsidRPr="00CF77C1" w:rsidRDefault="0028406A" w:rsidP="0080044B">
            <w:pPr>
              <w:framePr w:hSpace="181" w:wrap="notBeside" w:vAnchor="text" w:hAnchor="text" w:y="1"/>
              <w:spacing w:before="0" w:after="0"/>
              <w:ind w:right="57"/>
              <w:jc w:val="right"/>
              <w:rPr>
                <w:szCs w:val="24"/>
                <w:lang w:val="sr-Cyrl-RS"/>
              </w:rPr>
            </w:pPr>
          </w:p>
        </w:tc>
      </w:tr>
      <w:tr w:rsidR="0028406A" w:rsidRPr="00CF77C1" w14:paraId="03C3924D" w14:textId="77777777" w:rsidTr="00276B15">
        <w:trPr>
          <w:trHeight w:val="113"/>
        </w:trPr>
        <w:tc>
          <w:tcPr>
            <w:tcW w:w="2660" w:type="dxa"/>
            <w:vMerge/>
            <w:shd w:val="clear" w:color="auto" w:fill="auto"/>
            <w:noWrap/>
            <w:tcMar>
              <w:left w:w="28" w:type="dxa"/>
              <w:right w:w="28" w:type="dxa"/>
            </w:tcMar>
            <w:vAlign w:val="center"/>
            <w:hideMark/>
          </w:tcPr>
          <w:p w14:paraId="2B9BA407"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0CF07165"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2</w:t>
            </w:r>
          </w:p>
        </w:tc>
        <w:tc>
          <w:tcPr>
            <w:tcW w:w="1665" w:type="dxa"/>
            <w:shd w:val="clear" w:color="auto" w:fill="auto"/>
            <w:noWrap/>
            <w:tcMar>
              <w:left w:w="28" w:type="dxa"/>
              <w:right w:w="28" w:type="dxa"/>
            </w:tcMar>
            <w:vAlign w:val="center"/>
            <w:hideMark/>
          </w:tcPr>
          <w:p w14:paraId="7F3AE2CA"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vAlign w:val="center"/>
            <w:hideMark/>
          </w:tcPr>
          <w:p w14:paraId="111B5AF1"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825" w:type="dxa"/>
            <w:shd w:val="clear" w:color="auto" w:fill="auto"/>
            <w:noWrap/>
            <w:tcMar>
              <w:left w:w="28" w:type="dxa"/>
              <w:right w:w="28" w:type="dxa"/>
            </w:tcMar>
            <w:vAlign w:val="center"/>
            <w:hideMark/>
          </w:tcPr>
          <w:p w14:paraId="617C9741" w14:textId="77777777" w:rsidR="0028406A" w:rsidRPr="00CF77C1" w:rsidRDefault="0028406A" w:rsidP="0080044B">
            <w:pPr>
              <w:framePr w:hSpace="181" w:wrap="notBeside" w:vAnchor="text" w:hAnchor="text" w:y="1"/>
              <w:spacing w:before="0" w:after="0"/>
              <w:ind w:right="57"/>
              <w:jc w:val="right"/>
              <w:rPr>
                <w:szCs w:val="24"/>
                <w:lang w:val="sr-Cyrl-RS"/>
              </w:rPr>
            </w:pPr>
          </w:p>
        </w:tc>
      </w:tr>
      <w:tr w:rsidR="0028406A" w:rsidRPr="00CF77C1" w14:paraId="3F7702B0" w14:textId="77777777" w:rsidTr="00276B15">
        <w:trPr>
          <w:trHeight w:val="113"/>
        </w:trPr>
        <w:tc>
          <w:tcPr>
            <w:tcW w:w="2660" w:type="dxa"/>
            <w:vMerge/>
            <w:shd w:val="clear" w:color="auto" w:fill="auto"/>
            <w:noWrap/>
            <w:tcMar>
              <w:left w:w="28" w:type="dxa"/>
              <w:right w:w="28" w:type="dxa"/>
            </w:tcMar>
            <w:vAlign w:val="center"/>
            <w:hideMark/>
          </w:tcPr>
          <w:p w14:paraId="00D046DA"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val="restart"/>
            <w:shd w:val="clear" w:color="auto" w:fill="auto"/>
            <w:noWrap/>
            <w:tcMar>
              <w:left w:w="28" w:type="dxa"/>
              <w:right w:w="28" w:type="dxa"/>
            </w:tcMar>
            <w:vAlign w:val="center"/>
            <w:hideMark/>
          </w:tcPr>
          <w:p w14:paraId="513AD97C" w14:textId="77777777" w:rsidR="0028406A" w:rsidRPr="00CF77C1" w:rsidRDefault="0028406A" w:rsidP="0080044B">
            <w:pPr>
              <w:framePr w:hSpace="181" w:wrap="notBeside" w:vAnchor="text" w:hAnchor="text" w:y="1"/>
              <w:spacing w:before="0" w:after="0"/>
              <w:ind w:left="252" w:right="261"/>
              <w:jc w:val="center"/>
              <w:rPr>
                <w:rFonts w:eastAsia="Arial Narrow"/>
                <w:position w:val="1"/>
                <w:szCs w:val="24"/>
                <w:lang w:val="sr-Cyrl-RS"/>
              </w:rPr>
            </w:pPr>
            <w:r w:rsidRPr="00CF77C1">
              <w:rPr>
                <w:rFonts w:eastAsia="Arial Narrow"/>
                <w:position w:val="1"/>
                <w:szCs w:val="24"/>
                <w:lang w:val="sr-Cyrl-RS"/>
              </w:rPr>
              <w:t>Укупно</w:t>
            </w:r>
          </w:p>
        </w:tc>
        <w:tc>
          <w:tcPr>
            <w:tcW w:w="5103" w:type="dxa"/>
            <w:gridSpan w:val="3"/>
            <w:shd w:val="clear" w:color="auto" w:fill="auto"/>
            <w:noWrap/>
            <w:tcMar>
              <w:left w:w="28" w:type="dxa"/>
              <w:right w:w="28" w:type="dxa"/>
            </w:tcMar>
            <w:hideMark/>
          </w:tcPr>
          <w:p w14:paraId="59B63E0B" w14:textId="77777777" w:rsidR="0028406A" w:rsidRPr="00CF77C1" w:rsidRDefault="0028406A" w:rsidP="0080044B">
            <w:pPr>
              <w:framePr w:hSpace="181" w:wrap="notBeside" w:vAnchor="text" w:hAnchor="text" w:y="1"/>
              <w:spacing w:before="0" w:after="0"/>
              <w:jc w:val="center"/>
              <w:rPr>
                <w:rFonts w:eastAsia="Arial Narrow"/>
                <w:lang w:val="sr-Cyrl-RS"/>
              </w:rPr>
            </w:pPr>
            <w:r w:rsidRPr="00CF77C1">
              <w:rPr>
                <w:rFonts w:eastAsia="Arial Narrow"/>
                <w:lang w:val="sr-Cyrl-RS"/>
              </w:rPr>
              <w:t>8.595.000</w:t>
            </w:r>
          </w:p>
        </w:tc>
      </w:tr>
      <w:tr w:rsidR="0028406A" w:rsidRPr="00CF77C1" w14:paraId="7335D70F" w14:textId="77777777" w:rsidTr="00276B15">
        <w:trPr>
          <w:trHeight w:val="113"/>
        </w:trPr>
        <w:tc>
          <w:tcPr>
            <w:tcW w:w="2660" w:type="dxa"/>
            <w:vMerge/>
            <w:shd w:val="clear" w:color="auto" w:fill="auto"/>
            <w:noWrap/>
            <w:tcMar>
              <w:left w:w="28" w:type="dxa"/>
              <w:right w:w="28" w:type="dxa"/>
            </w:tcMar>
            <w:vAlign w:val="center"/>
            <w:hideMark/>
          </w:tcPr>
          <w:p w14:paraId="53AEF9D8"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shd w:val="clear" w:color="auto" w:fill="auto"/>
            <w:noWrap/>
            <w:tcMar>
              <w:left w:w="28" w:type="dxa"/>
              <w:right w:w="28" w:type="dxa"/>
            </w:tcMar>
            <w:vAlign w:val="center"/>
            <w:hideMark/>
          </w:tcPr>
          <w:p w14:paraId="7AB3C07C" w14:textId="77777777" w:rsidR="0028406A" w:rsidRPr="00CF77C1" w:rsidRDefault="0028406A" w:rsidP="0080044B">
            <w:pPr>
              <w:framePr w:hSpace="181" w:wrap="notBeside" w:vAnchor="text" w:hAnchor="text" w:y="1"/>
              <w:spacing w:before="0" w:after="0"/>
              <w:jc w:val="center"/>
              <w:rPr>
                <w:bCs/>
                <w:szCs w:val="24"/>
                <w:lang w:val="sr-Cyrl-RS"/>
              </w:rPr>
            </w:pPr>
          </w:p>
        </w:tc>
        <w:tc>
          <w:tcPr>
            <w:tcW w:w="5103" w:type="dxa"/>
            <w:gridSpan w:val="3"/>
            <w:shd w:val="clear" w:color="auto" w:fill="auto"/>
          </w:tcPr>
          <w:p w14:paraId="5CEC6043" w14:textId="77777777" w:rsidR="0028406A" w:rsidRPr="00CF77C1" w:rsidRDefault="0028406A" w:rsidP="0080044B">
            <w:pPr>
              <w:framePr w:hSpace="181" w:wrap="notBeside" w:vAnchor="text" w:hAnchor="text" w:y="1"/>
              <w:spacing w:before="0" w:after="0"/>
              <w:ind w:right="57"/>
              <w:jc w:val="center"/>
              <w:rPr>
                <w:rFonts w:eastAsia="Arial Narrow"/>
                <w:szCs w:val="24"/>
                <w:lang w:val="sr-Cyrl-RS"/>
              </w:rPr>
            </w:pPr>
            <w:r w:rsidRPr="00CF77C1">
              <w:rPr>
                <w:rFonts w:eastAsia="Arial Narrow"/>
                <w:szCs w:val="24"/>
                <w:lang w:val="sr-Cyrl-RS"/>
              </w:rPr>
              <w:t>Експлоатационе резерве: 0</w:t>
            </w:r>
          </w:p>
        </w:tc>
      </w:tr>
      <w:tr w:rsidR="0028406A" w:rsidRPr="00CF77C1" w14:paraId="6859B699" w14:textId="77777777" w:rsidTr="00276B15">
        <w:trPr>
          <w:trHeight w:val="113"/>
        </w:trPr>
        <w:tc>
          <w:tcPr>
            <w:tcW w:w="2660" w:type="dxa"/>
            <w:vMerge w:val="restart"/>
            <w:shd w:val="clear" w:color="auto" w:fill="auto"/>
            <w:noWrap/>
            <w:tcMar>
              <w:left w:w="28" w:type="dxa"/>
              <w:right w:w="28" w:type="dxa"/>
            </w:tcMar>
            <w:vAlign w:val="center"/>
            <w:hideMark/>
          </w:tcPr>
          <w:p w14:paraId="738849CA" w14:textId="77777777" w:rsidR="0028406A" w:rsidRPr="00CF77C1" w:rsidRDefault="0028406A" w:rsidP="0080044B">
            <w:pPr>
              <w:framePr w:hSpace="181" w:wrap="notBeside" w:vAnchor="text" w:hAnchor="text" w:y="1"/>
              <w:spacing w:before="0" w:after="0"/>
              <w:jc w:val="center"/>
              <w:rPr>
                <w:bCs/>
                <w:szCs w:val="24"/>
                <w:lang w:val="sr-Cyrl-RS"/>
              </w:rPr>
            </w:pPr>
            <w:r w:rsidRPr="00CF77C1">
              <w:rPr>
                <w:bCs/>
                <w:szCs w:val="24"/>
                <w:lang w:val="sr-Cyrl-RS"/>
              </w:rPr>
              <w:t>Ћириковац</w:t>
            </w:r>
          </w:p>
        </w:tc>
        <w:tc>
          <w:tcPr>
            <w:tcW w:w="1559" w:type="dxa"/>
            <w:shd w:val="clear" w:color="auto" w:fill="auto"/>
            <w:noWrap/>
            <w:tcMar>
              <w:left w:w="28" w:type="dxa"/>
              <w:right w:w="28" w:type="dxa"/>
            </w:tcMar>
            <w:vAlign w:val="center"/>
            <w:hideMark/>
          </w:tcPr>
          <w:p w14:paraId="4E83C796"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А</w:t>
            </w:r>
          </w:p>
        </w:tc>
        <w:tc>
          <w:tcPr>
            <w:tcW w:w="1665" w:type="dxa"/>
            <w:shd w:val="clear" w:color="auto" w:fill="auto"/>
            <w:noWrap/>
            <w:tcMar>
              <w:left w:w="28" w:type="dxa"/>
              <w:right w:w="28" w:type="dxa"/>
            </w:tcMar>
            <w:vAlign w:val="center"/>
            <w:hideMark/>
          </w:tcPr>
          <w:p w14:paraId="308CB36A"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vAlign w:val="center"/>
            <w:hideMark/>
          </w:tcPr>
          <w:p w14:paraId="20CBAEE5"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825" w:type="dxa"/>
            <w:shd w:val="clear" w:color="auto" w:fill="auto"/>
            <w:noWrap/>
            <w:tcMar>
              <w:left w:w="28" w:type="dxa"/>
              <w:right w:w="28" w:type="dxa"/>
            </w:tcMar>
            <w:vAlign w:val="center"/>
            <w:hideMark/>
          </w:tcPr>
          <w:p w14:paraId="4101424F" w14:textId="77777777" w:rsidR="0028406A" w:rsidRPr="00CF77C1" w:rsidRDefault="0028406A" w:rsidP="0080044B">
            <w:pPr>
              <w:framePr w:hSpace="181" w:wrap="notBeside" w:vAnchor="text" w:hAnchor="text" w:y="1"/>
              <w:spacing w:before="0" w:after="0"/>
              <w:ind w:right="57"/>
              <w:jc w:val="right"/>
              <w:rPr>
                <w:szCs w:val="24"/>
                <w:lang w:val="sr-Cyrl-RS"/>
              </w:rPr>
            </w:pPr>
          </w:p>
        </w:tc>
      </w:tr>
      <w:tr w:rsidR="0028406A" w:rsidRPr="00CF77C1" w14:paraId="30E3A897" w14:textId="77777777" w:rsidTr="00276B15">
        <w:trPr>
          <w:trHeight w:val="113"/>
        </w:trPr>
        <w:tc>
          <w:tcPr>
            <w:tcW w:w="2660" w:type="dxa"/>
            <w:vMerge/>
            <w:shd w:val="clear" w:color="auto" w:fill="auto"/>
            <w:noWrap/>
            <w:tcMar>
              <w:left w:w="28" w:type="dxa"/>
              <w:right w:w="28" w:type="dxa"/>
            </w:tcMar>
            <w:vAlign w:val="center"/>
            <w:hideMark/>
          </w:tcPr>
          <w:p w14:paraId="54BF0CFB"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4061ED9F"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Б</w:t>
            </w:r>
          </w:p>
        </w:tc>
        <w:tc>
          <w:tcPr>
            <w:tcW w:w="1665" w:type="dxa"/>
            <w:shd w:val="clear" w:color="auto" w:fill="auto"/>
            <w:noWrap/>
            <w:tcMar>
              <w:left w:w="28" w:type="dxa"/>
              <w:right w:w="28" w:type="dxa"/>
            </w:tcMar>
            <w:vAlign w:val="center"/>
            <w:hideMark/>
          </w:tcPr>
          <w:p w14:paraId="07E5D0F2"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54.403.038</w:t>
            </w:r>
          </w:p>
        </w:tc>
        <w:tc>
          <w:tcPr>
            <w:tcW w:w="1613" w:type="dxa"/>
            <w:shd w:val="clear" w:color="auto" w:fill="auto"/>
            <w:noWrap/>
            <w:tcMar>
              <w:left w:w="28" w:type="dxa"/>
              <w:right w:w="28" w:type="dxa"/>
            </w:tcMar>
            <w:vAlign w:val="center"/>
            <w:hideMark/>
          </w:tcPr>
          <w:p w14:paraId="168D81C6" w14:textId="77777777" w:rsidR="0028406A" w:rsidRPr="00CF77C1" w:rsidRDefault="0028406A" w:rsidP="0080044B">
            <w:pPr>
              <w:framePr w:hSpace="181" w:wrap="notBeside" w:vAnchor="text" w:hAnchor="text" w:y="1"/>
              <w:spacing w:before="0" w:after="0"/>
              <w:ind w:left="164" w:right="57"/>
              <w:jc w:val="right"/>
              <w:rPr>
                <w:rFonts w:eastAsia="Arial Narrow"/>
                <w:szCs w:val="24"/>
                <w:lang w:val="sr-Cyrl-RS"/>
              </w:rPr>
            </w:pPr>
            <w:r w:rsidRPr="00CF77C1">
              <w:rPr>
                <w:rFonts w:eastAsia="Arial Narrow"/>
                <w:szCs w:val="24"/>
                <w:lang w:val="sr-Cyrl-RS"/>
              </w:rPr>
              <w:t>63.233.168</w:t>
            </w:r>
          </w:p>
        </w:tc>
        <w:tc>
          <w:tcPr>
            <w:tcW w:w="1825" w:type="dxa"/>
            <w:shd w:val="clear" w:color="auto" w:fill="auto"/>
            <w:noWrap/>
            <w:tcMar>
              <w:left w:w="28" w:type="dxa"/>
              <w:right w:w="28" w:type="dxa"/>
            </w:tcMar>
            <w:vAlign w:val="center"/>
            <w:hideMark/>
          </w:tcPr>
          <w:p w14:paraId="4DB842B3"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121.636.207</w:t>
            </w:r>
          </w:p>
        </w:tc>
      </w:tr>
      <w:tr w:rsidR="0028406A" w:rsidRPr="00CF77C1" w14:paraId="11D5F77B" w14:textId="77777777" w:rsidTr="00276B15">
        <w:trPr>
          <w:trHeight w:val="113"/>
        </w:trPr>
        <w:tc>
          <w:tcPr>
            <w:tcW w:w="2660" w:type="dxa"/>
            <w:vMerge/>
            <w:shd w:val="clear" w:color="auto" w:fill="auto"/>
            <w:noWrap/>
            <w:tcMar>
              <w:left w:w="28" w:type="dxa"/>
              <w:right w:w="28" w:type="dxa"/>
            </w:tcMar>
            <w:vAlign w:val="center"/>
            <w:hideMark/>
          </w:tcPr>
          <w:p w14:paraId="28C78159"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08B9FAAB"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61D22299"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19.102.261</w:t>
            </w:r>
          </w:p>
        </w:tc>
        <w:tc>
          <w:tcPr>
            <w:tcW w:w="1613" w:type="dxa"/>
            <w:shd w:val="clear" w:color="auto" w:fill="auto"/>
            <w:noWrap/>
            <w:tcMar>
              <w:left w:w="28" w:type="dxa"/>
              <w:right w:w="28" w:type="dxa"/>
            </w:tcMar>
            <w:vAlign w:val="center"/>
            <w:hideMark/>
          </w:tcPr>
          <w:p w14:paraId="5586356D" w14:textId="77777777" w:rsidR="0028406A" w:rsidRPr="00CF77C1" w:rsidRDefault="0028406A" w:rsidP="0080044B">
            <w:pPr>
              <w:framePr w:hSpace="181" w:wrap="notBeside" w:vAnchor="text" w:hAnchor="text" w:y="1"/>
              <w:spacing w:before="0" w:after="0"/>
              <w:ind w:left="119" w:right="57"/>
              <w:jc w:val="right"/>
              <w:rPr>
                <w:rFonts w:eastAsia="Arial Narrow"/>
                <w:szCs w:val="24"/>
                <w:lang w:val="sr-Cyrl-RS"/>
              </w:rPr>
            </w:pPr>
            <w:r w:rsidRPr="00CF77C1">
              <w:rPr>
                <w:rFonts w:eastAsia="Arial Narrow"/>
                <w:szCs w:val="24"/>
                <w:lang w:val="sr-Cyrl-RS"/>
              </w:rPr>
              <w:t>8.779.400</w:t>
            </w:r>
          </w:p>
        </w:tc>
        <w:tc>
          <w:tcPr>
            <w:tcW w:w="1825" w:type="dxa"/>
            <w:shd w:val="clear" w:color="auto" w:fill="auto"/>
            <w:noWrap/>
            <w:tcMar>
              <w:left w:w="28" w:type="dxa"/>
              <w:right w:w="28" w:type="dxa"/>
            </w:tcMar>
            <w:vAlign w:val="center"/>
            <w:hideMark/>
          </w:tcPr>
          <w:p w14:paraId="18BC7B61"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27.881.661</w:t>
            </w:r>
          </w:p>
        </w:tc>
      </w:tr>
      <w:tr w:rsidR="0028406A" w:rsidRPr="00CF77C1" w14:paraId="7F08955D" w14:textId="77777777" w:rsidTr="00276B15">
        <w:trPr>
          <w:trHeight w:val="113"/>
        </w:trPr>
        <w:tc>
          <w:tcPr>
            <w:tcW w:w="2660" w:type="dxa"/>
            <w:vMerge/>
            <w:shd w:val="clear" w:color="auto" w:fill="auto"/>
            <w:noWrap/>
            <w:tcMar>
              <w:left w:w="28" w:type="dxa"/>
              <w:right w:w="28" w:type="dxa"/>
            </w:tcMar>
            <w:vAlign w:val="center"/>
            <w:hideMark/>
          </w:tcPr>
          <w:p w14:paraId="5883E8D9"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5788AB64" w14:textId="77777777" w:rsidR="0028406A" w:rsidRPr="00CF77C1" w:rsidRDefault="0028406A" w:rsidP="0080044B">
            <w:pPr>
              <w:framePr w:hSpace="181" w:wrap="notBeside" w:vAnchor="text" w:hAnchor="text" w:y="1"/>
              <w:spacing w:before="0" w:after="0"/>
              <w:ind w:left="287" w:right="123" w:hanging="139"/>
              <w:jc w:val="center"/>
              <w:rPr>
                <w:rFonts w:eastAsia="Arial Narrow"/>
                <w:szCs w:val="24"/>
                <w:lang w:val="sr-Cyrl-RS"/>
              </w:rPr>
            </w:pPr>
            <w:r w:rsidRPr="00CF77C1">
              <w:rPr>
                <w:rFonts w:eastAsia="Arial Narrow"/>
                <w:szCs w:val="24"/>
                <w:lang w:val="sr-Cyrl-RS"/>
              </w:rPr>
              <w:t>А +Б+</w:t>
            </w: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3123FE03"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75.505.299</w:t>
            </w:r>
          </w:p>
        </w:tc>
        <w:tc>
          <w:tcPr>
            <w:tcW w:w="1613" w:type="dxa"/>
            <w:shd w:val="clear" w:color="auto" w:fill="auto"/>
            <w:noWrap/>
            <w:tcMar>
              <w:left w:w="28" w:type="dxa"/>
              <w:right w:w="28" w:type="dxa"/>
            </w:tcMar>
            <w:vAlign w:val="center"/>
            <w:hideMark/>
          </w:tcPr>
          <w:p w14:paraId="4CD47508" w14:textId="77777777" w:rsidR="0028406A" w:rsidRPr="00CF77C1" w:rsidRDefault="0028406A" w:rsidP="0080044B">
            <w:pPr>
              <w:framePr w:hSpace="181" w:wrap="notBeside" w:vAnchor="text" w:hAnchor="text" w:y="1"/>
              <w:spacing w:before="0" w:after="0"/>
              <w:ind w:left="118" w:right="57"/>
              <w:jc w:val="right"/>
              <w:rPr>
                <w:rFonts w:eastAsia="Arial Narrow"/>
                <w:szCs w:val="24"/>
                <w:lang w:val="sr-Cyrl-RS"/>
              </w:rPr>
            </w:pPr>
            <w:r w:rsidRPr="00CF77C1">
              <w:rPr>
                <w:rFonts w:eastAsia="Arial Narrow"/>
                <w:szCs w:val="24"/>
                <w:lang w:val="sr-Cyrl-RS"/>
              </w:rPr>
              <w:t>74.012.568</w:t>
            </w:r>
          </w:p>
        </w:tc>
        <w:tc>
          <w:tcPr>
            <w:tcW w:w="1825" w:type="dxa"/>
            <w:shd w:val="clear" w:color="auto" w:fill="auto"/>
            <w:noWrap/>
            <w:tcMar>
              <w:left w:w="28" w:type="dxa"/>
              <w:right w:w="28" w:type="dxa"/>
            </w:tcMar>
            <w:vAlign w:val="center"/>
            <w:hideMark/>
          </w:tcPr>
          <w:p w14:paraId="0D9A99BD"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149.517.868</w:t>
            </w:r>
          </w:p>
        </w:tc>
      </w:tr>
      <w:tr w:rsidR="0028406A" w:rsidRPr="00CF77C1" w14:paraId="1048AA4B" w14:textId="77777777" w:rsidTr="00276B15">
        <w:trPr>
          <w:trHeight w:val="113"/>
        </w:trPr>
        <w:tc>
          <w:tcPr>
            <w:tcW w:w="2660" w:type="dxa"/>
            <w:vMerge/>
            <w:shd w:val="clear" w:color="auto" w:fill="auto"/>
            <w:noWrap/>
            <w:tcMar>
              <w:left w:w="28" w:type="dxa"/>
              <w:right w:w="28" w:type="dxa"/>
            </w:tcMar>
            <w:vAlign w:val="center"/>
            <w:hideMark/>
          </w:tcPr>
          <w:p w14:paraId="07570959"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310E58D9"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2</w:t>
            </w:r>
          </w:p>
        </w:tc>
        <w:tc>
          <w:tcPr>
            <w:tcW w:w="1665" w:type="dxa"/>
            <w:shd w:val="clear" w:color="auto" w:fill="auto"/>
            <w:noWrap/>
            <w:tcMar>
              <w:left w:w="28" w:type="dxa"/>
              <w:right w:w="28" w:type="dxa"/>
            </w:tcMar>
            <w:vAlign w:val="center"/>
            <w:hideMark/>
          </w:tcPr>
          <w:p w14:paraId="0E735B8B"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vAlign w:val="center"/>
            <w:hideMark/>
          </w:tcPr>
          <w:p w14:paraId="7A8BADBF"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825" w:type="dxa"/>
            <w:shd w:val="clear" w:color="auto" w:fill="auto"/>
            <w:noWrap/>
            <w:tcMar>
              <w:left w:w="28" w:type="dxa"/>
              <w:right w:w="28" w:type="dxa"/>
            </w:tcMar>
            <w:vAlign w:val="center"/>
            <w:hideMark/>
          </w:tcPr>
          <w:p w14:paraId="5B9578D0"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162.414.100</w:t>
            </w:r>
          </w:p>
        </w:tc>
      </w:tr>
      <w:tr w:rsidR="0028406A" w:rsidRPr="00CF77C1" w14:paraId="1F61F442" w14:textId="77777777" w:rsidTr="00276B15">
        <w:trPr>
          <w:trHeight w:val="113"/>
        </w:trPr>
        <w:tc>
          <w:tcPr>
            <w:tcW w:w="2660" w:type="dxa"/>
            <w:vMerge/>
            <w:shd w:val="clear" w:color="auto" w:fill="auto"/>
            <w:noWrap/>
            <w:tcMar>
              <w:left w:w="28" w:type="dxa"/>
              <w:right w:w="28" w:type="dxa"/>
            </w:tcMar>
            <w:vAlign w:val="center"/>
            <w:hideMark/>
          </w:tcPr>
          <w:p w14:paraId="4EB9B3D8"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val="restart"/>
            <w:shd w:val="clear" w:color="auto" w:fill="auto"/>
            <w:noWrap/>
            <w:tcMar>
              <w:left w:w="28" w:type="dxa"/>
              <w:right w:w="28" w:type="dxa"/>
            </w:tcMar>
            <w:vAlign w:val="center"/>
            <w:hideMark/>
          </w:tcPr>
          <w:p w14:paraId="453552F0" w14:textId="77777777" w:rsidR="0028406A" w:rsidRPr="00CF77C1" w:rsidRDefault="0028406A" w:rsidP="0080044B">
            <w:pPr>
              <w:framePr w:hSpace="181" w:wrap="notBeside" w:vAnchor="text" w:hAnchor="text" w:y="1"/>
              <w:spacing w:before="0" w:after="0"/>
              <w:ind w:left="252" w:right="261"/>
              <w:jc w:val="center"/>
              <w:rPr>
                <w:rFonts w:eastAsia="Arial Narrow"/>
                <w:position w:val="1"/>
                <w:szCs w:val="24"/>
                <w:lang w:val="sr-Cyrl-RS"/>
              </w:rPr>
            </w:pPr>
            <w:r w:rsidRPr="00CF77C1">
              <w:rPr>
                <w:rFonts w:eastAsia="Arial Narrow"/>
                <w:position w:val="1"/>
                <w:szCs w:val="24"/>
                <w:lang w:val="sr-Cyrl-RS"/>
              </w:rPr>
              <w:t>Укупно</w:t>
            </w:r>
          </w:p>
        </w:tc>
        <w:tc>
          <w:tcPr>
            <w:tcW w:w="5103" w:type="dxa"/>
            <w:gridSpan w:val="3"/>
            <w:shd w:val="clear" w:color="auto" w:fill="auto"/>
            <w:noWrap/>
            <w:tcMar>
              <w:left w:w="28" w:type="dxa"/>
              <w:right w:w="28" w:type="dxa"/>
            </w:tcMar>
            <w:hideMark/>
          </w:tcPr>
          <w:p w14:paraId="29BBA97D" w14:textId="77777777" w:rsidR="0028406A" w:rsidRPr="00CF77C1" w:rsidRDefault="0028406A" w:rsidP="0080044B">
            <w:pPr>
              <w:framePr w:hSpace="181" w:wrap="notBeside" w:vAnchor="text" w:hAnchor="text" w:y="1"/>
              <w:spacing w:before="0" w:after="0"/>
              <w:jc w:val="center"/>
              <w:rPr>
                <w:rFonts w:eastAsia="Arial Narrow"/>
                <w:lang w:val="sr-Cyrl-RS"/>
              </w:rPr>
            </w:pPr>
            <w:r w:rsidRPr="00CF77C1">
              <w:rPr>
                <w:rFonts w:eastAsia="Arial Narrow"/>
                <w:lang w:val="sr-Cyrl-RS"/>
              </w:rPr>
              <w:t>461.449.836</w:t>
            </w:r>
          </w:p>
        </w:tc>
      </w:tr>
      <w:tr w:rsidR="0028406A" w:rsidRPr="00CF77C1" w14:paraId="00BE0F6F" w14:textId="77777777" w:rsidTr="00276B15">
        <w:trPr>
          <w:trHeight w:val="113"/>
        </w:trPr>
        <w:tc>
          <w:tcPr>
            <w:tcW w:w="2660" w:type="dxa"/>
            <w:vMerge/>
            <w:shd w:val="clear" w:color="auto" w:fill="auto"/>
            <w:noWrap/>
            <w:tcMar>
              <w:left w:w="28" w:type="dxa"/>
              <w:right w:w="28" w:type="dxa"/>
            </w:tcMar>
            <w:vAlign w:val="center"/>
            <w:hideMark/>
          </w:tcPr>
          <w:p w14:paraId="0BE44545"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shd w:val="clear" w:color="auto" w:fill="auto"/>
            <w:noWrap/>
            <w:tcMar>
              <w:left w:w="28" w:type="dxa"/>
              <w:right w:w="28" w:type="dxa"/>
            </w:tcMar>
            <w:vAlign w:val="center"/>
            <w:hideMark/>
          </w:tcPr>
          <w:p w14:paraId="4F4231DF" w14:textId="77777777" w:rsidR="0028406A" w:rsidRPr="00CF77C1" w:rsidRDefault="0028406A" w:rsidP="0080044B">
            <w:pPr>
              <w:framePr w:hSpace="181" w:wrap="notBeside" w:vAnchor="text" w:hAnchor="text" w:y="1"/>
              <w:spacing w:before="0" w:after="0"/>
              <w:jc w:val="center"/>
              <w:rPr>
                <w:bCs/>
                <w:szCs w:val="24"/>
                <w:lang w:val="sr-Cyrl-RS"/>
              </w:rPr>
            </w:pPr>
          </w:p>
        </w:tc>
        <w:tc>
          <w:tcPr>
            <w:tcW w:w="5103" w:type="dxa"/>
            <w:gridSpan w:val="3"/>
            <w:shd w:val="clear" w:color="auto" w:fill="auto"/>
          </w:tcPr>
          <w:p w14:paraId="39800EA1" w14:textId="77777777" w:rsidR="0028406A" w:rsidRPr="00CF77C1" w:rsidRDefault="0028406A" w:rsidP="0080044B">
            <w:pPr>
              <w:framePr w:hSpace="181" w:wrap="notBeside" w:vAnchor="text" w:hAnchor="text" w:y="1"/>
              <w:spacing w:before="0" w:after="0"/>
              <w:ind w:right="57"/>
              <w:jc w:val="center"/>
              <w:rPr>
                <w:rFonts w:eastAsia="Arial Narrow"/>
                <w:szCs w:val="24"/>
                <w:lang w:val="sr-Cyrl-RS"/>
              </w:rPr>
            </w:pPr>
            <w:r w:rsidRPr="00CF77C1">
              <w:rPr>
                <w:rFonts w:eastAsia="Arial Narrow"/>
                <w:szCs w:val="24"/>
                <w:lang w:val="sr-Cyrl-RS"/>
              </w:rPr>
              <w:t>Експлоатационе резерве: 0</w:t>
            </w:r>
          </w:p>
        </w:tc>
      </w:tr>
      <w:tr w:rsidR="0028406A" w:rsidRPr="00CF77C1" w14:paraId="5570C0D9" w14:textId="77777777" w:rsidTr="00276B15">
        <w:trPr>
          <w:trHeight w:val="113"/>
        </w:trPr>
        <w:tc>
          <w:tcPr>
            <w:tcW w:w="2660" w:type="dxa"/>
            <w:vMerge w:val="restart"/>
            <w:shd w:val="clear" w:color="auto" w:fill="auto"/>
            <w:noWrap/>
            <w:tcMar>
              <w:left w:w="28" w:type="dxa"/>
              <w:right w:w="28" w:type="dxa"/>
            </w:tcMar>
            <w:vAlign w:val="center"/>
            <w:hideMark/>
          </w:tcPr>
          <w:p w14:paraId="1662B9BE" w14:textId="77777777" w:rsidR="0028406A" w:rsidRPr="00CF77C1" w:rsidRDefault="00A84557" w:rsidP="0080044B">
            <w:pPr>
              <w:framePr w:hSpace="181" w:wrap="notBeside" w:vAnchor="text" w:hAnchor="text" w:y="1"/>
              <w:spacing w:before="0" w:after="0"/>
              <w:jc w:val="center"/>
              <w:rPr>
                <w:bCs/>
                <w:szCs w:val="24"/>
                <w:lang w:val="sr-Cyrl-RS"/>
              </w:rPr>
            </w:pPr>
            <w:r w:rsidRPr="00CF77C1">
              <w:rPr>
                <w:bCs/>
                <w:szCs w:val="24"/>
                <w:lang w:val="sr-Cyrl-RS"/>
              </w:rPr>
              <w:t>Западни К</w:t>
            </w:r>
            <w:r w:rsidR="0028406A" w:rsidRPr="00CF77C1">
              <w:rPr>
                <w:bCs/>
                <w:szCs w:val="24"/>
                <w:lang w:val="sr-Cyrl-RS"/>
              </w:rPr>
              <w:t>остолац</w:t>
            </w:r>
          </w:p>
        </w:tc>
        <w:tc>
          <w:tcPr>
            <w:tcW w:w="1559" w:type="dxa"/>
            <w:shd w:val="clear" w:color="auto" w:fill="auto"/>
            <w:noWrap/>
            <w:tcMar>
              <w:left w:w="28" w:type="dxa"/>
              <w:right w:w="28" w:type="dxa"/>
            </w:tcMar>
            <w:vAlign w:val="center"/>
            <w:hideMark/>
          </w:tcPr>
          <w:p w14:paraId="647C6C23"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А</w:t>
            </w:r>
          </w:p>
        </w:tc>
        <w:tc>
          <w:tcPr>
            <w:tcW w:w="1665" w:type="dxa"/>
            <w:shd w:val="clear" w:color="auto" w:fill="auto"/>
            <w:noWrap/>
            <w:tcMar>
              <w:left w:w="28" w:type="dxa"/>
              <w:right w:w="28" w:type="dxa"/>
            </w:tcMar>
            <w:vAlign w:val="center"/>
            <w:hideMark/>
          </w:tcPr>
          <w:p w14:paraId="144D7650" w14:textId="77777777" w:rsidR="0028406A" w:rsidRPr="00CF77C1" w:rsidRDefault="0028406A" w:rsidP="0080044B">
            <w:pPr>
              <w:framePr w:hSpace="181" w:wrap="notBeside" w:vAnchor="text" w:hAnchor="text" w:y="1"/>
              <w:spacing w:before="0" w:after="0"/>
              <w:ind w:left="210" w:right="57"/>
              <w:jc w:val="right"/>
              <w:rPr>
                <w:rFonts w:eastAsia="Arial Narrow"/>
                <w:szCs w:val="24"/>
                <w:lang w:val="sr-Cyrl-RS"/>
              </w:rPr>
            </w:pPr>
          </w:p>
        </w:tc>
        <w:tc>
          <w:tcPr>
            <w:tcW w:w="1613" w:type="dxa"/>
            <w:shd w:val="clear" w:color="auto" w:fill="auto"/>
            <w:noWrap/>
            <w:tcMar>
              <w:left w:w="28" w:type="dxa"/>
              <w:right w:w="28" w:type="dxa"/>
            </w:tcMar>
            <w:vAlign w:val="center"/>
          </w:tcPr>
          <w:p w14:paraId="7AC092F5" w14:textId="77777777" w:rsidR="0028406A" w:rsidRPr="00CF77C1" w:rsidRDefault="0028406A" w:rsidP="0080044B">
            <w:pPr>
              <w:framePr w:hSpace="181" w:wrap="notBeside" w:vAnchor="text" w:hAnchor="text" w:y="1"/>
              <w:spacing w:before="0" w:after="0"/>
              <w:ind w:left="164" w:right="57"/>
              <w:jc w:val="right"/>
              <w:rPr>
                <w:rFonts w:eastAsia="Arial Narrow"/>
                <w:szCs w:val="24"/>
                <w:lang w:val="sr-Cyrl-RS"/>
              </w:rPr>
            </w:pPr>
          </w:p>
        </w:tc>
        <w:tc>
          <w:tcPr>
            <w:tcW w:w="1825" w:type="dxa"/>
            <w:shd w:val="clear" w:color="auto" w:fill="auto"/>
            <w:noWrap/>
            <w:tcMar>
              <w:left w:w="28" w:type="dxa"/>
              <w:right w:w="28" w:type="dxa"/>
            </w:tcMar>
            <w:vAlign w:val="center"/>
            <w:hideMark/>
          </w:tcPr>
          <w:p w14:paraId="48D2AE2D" w14:textId="77777777" w:rsidR="0028406A" w:rsidRPr="00CF77C1" w:rsidRDefault="0028406A" w:rsidP="0080044B">
            <w:pPr>
              <w:framePr w:hSpace="181" w:wrap="notBeside" w:vAnchor="text" w:hAnchor="text" w:y="1"/>
              <w:spacing w:before="0" w:after="0"/>
              <w:ind w:left="304" w:right="57"/>
              <w:jc w:val="right"/>
              <w:rPr>
                <w:rFonts w:eastAsia="Arial Narrow"/>
                <w:szCs w:val="24"/>
                <w:lang w:val="sr-Cyrl-RS"/>
              </w:rPr>
            </w:pPr>
          </w:p>
        </w:tc>
      </w:tr>
      <w:tr w:rsidR="0028406A" w:rsidRPr="00CF77C1" w14:paraId="75E08F70" w14:textId="77777777" w:rsidTr="00276B15">
        <w:trPr>
          <w:trHeight w:val="113"/>
        </w:trPr>
        <w:tc>
          <w:tcPr>
            <w:tcW w:w="2660" w:type="dxa"/>
            <w:vMerge/>
            <w:shd w:val="clear" w:color="auto" w:fill="auto"/>
            <w:noWrap/>
            <w:tcMar>
              <w:left w:w="28" w:type="dxa"/>
              <w:right w:w="28" w:type="dxa"/>
            </w:tcMar>
            <w:vAlign w:val="center"/>
            <w:hideMark/>
          </w:tcPr>
          <w:p w14:paraId="61A33021"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4C7A4006" w14:textId="77777777" w:rsidR="0028406A" w:rsidRPr="00CF77C1" w:rsidRDefault="0028406A"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Б</w:t>
            </w:r>
          </w:p>
        </w:tc>
        <w:tc>
          <w:tcPr>
            <w:tcW w:w="1665" w:type="dxa"/>
            <w:shd w:val="clear" w:color="auto" w:fill="auto"/>
            <w:noWrap/>
            <w:tcMar>
              <w:left w:w="28" w:type="dxa"/>
              <w:right w:w="28" w:type="dxa"/>
            </w:tcMar>
            <w:vAlign w:val="center"/>
            <w:hideMark/>
          </w:tcPr>
          <w:p w14:paraId="08F6FE73"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161.576.217</w:t>
            </w:r>
          </w:p>
        </w:tc>
        <w:tc>
          <w:tcPr>
            <w:tcW w:w="1613" w:type="dxa"/>
            <w:shd w:val="clear" w:color="auto" w:fill="auto"/>
            <w:noWrap/>
            <w:tcMar>
              <w:left w:w="28" w:type="dxa"/>
              <w:right w:w="28" w:type="dxa"/>
            </w:tcMar>
            <w:vAlign w:val="center"/>
          </w:tcPr>
          <w:p w14:paraId="068C3435" w14:textId="77777777" w:rsidR="0028406A" w:rsidRPr="00CF77C1" w:rsidRDefault="0028406A" w:rsidP="0080044B">
            <w:pPr>
              <w:framePr w:hSpace="181" w:wrap="notBeside" w:vAnchor="text" w:hAnchor="text" w:y="1"/>
              <w:spacing w:before="0" w:after="0"/>
              <w:ind w:left="164" w:right="57"/>
              <w:jc w:val="right"/>
              <w:rPr>
                <w:rFonts w:eastAsia="Arial Narrow"/>
                <w:szCs w:val="24"/>
                <w:lang w:val="sr-Cyrl-RS"/>
              </w:rPr>
            </w:pPr>
            <w:r w:rsidRPr="00CF77C1">
              <w:rPr>
                <w:rFonts w:eastAsia="Arial Narrow"/>
                <w:szCs w:val="24"/>
                <w:lang w:val="sr-Cyrl-RS"/>
              </w:rPr>
              <w:t>13.742.976</w:t>
            </w:r>
          </w:p>
        </w:tc>
        <w:tc>
          <w:tcPr>
            <w:tcW w:w="1825" w:type="dxa"/>
            <w:shd w:val="clear" w:color="auto" w:fill="auto"/>
            <w:noWrap/>
            <w:tcMar>
              <w:left w:w="28" w:type="dxa"/>
              <w:right w:w="28" w:type="dxa"/>
            </w:tcMar>
            <w:vAlign w:val="center"/>
            <w:hideMark/>
          </w:tcPr>
          <w:p w14:paraId="4BBB9218"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175.319.193</w:t>
            </w:r>
          </w:p>
        </w:tc>
      </w:tr>
      <w:tr w:rsidR="0028406A" w:rsidRPr="00CF77C1" w14:paraId="73ED37DE" w14:textId="77777777" w:rsidTr="00276B15">
        <w:trPr>
          <w:trHeight w:val="113"/>
        </w:trPr>
        <w:tc>
          <w:tcPr>
            <w:tcW w:w="2660" w:type="dxa"/>
            <w:vMerge/>
            <w:shd w:val="clear" w:color="auto" w:fill="auto"/>
            <w:noWrap/>
            <w:tcMar>
              <w:left w:w="28" w:type="dxa"/>
              <w:right w:w="28" w:type="dxa"/>
            </w:tcMar>
            <w:vAlign w:val="center"/>
            <w:hideMark/>
          </w:tcPr>
          <w:p w14:paraId="42EBAB08"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660D28BF"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21E1153C"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rFonts w:eastAsia="Arial Narrow"/>
                <w:szCs w:val="24"/>
                <w:lang w:val="sr-Cyrl-RS"/>
              </w:rPr>
              <w:t>246.634.989</w:t>
            </w:r>
          </w:p>
        </w:tc>
        <w:tc>
          <w:tcPr>
            <w:tcW w:w="1613" w:type="dxa"/>
            <w:shd w:val="clear" w:color="auto" w:fill="auto"/>
            <w:noWrap/>
            <w:tcMar>
              <w:left w:w="28" w:type="dxa"/>
              <w:right w:w="28" w:type="dxa"/>
            </w:tcMar>
            <w:vAlign w:val="center"/>
          </w:tcPr>
          <w:p w14:paraId="52F85D36" w14:textId="77777777" w:rsidR="0028406A" w:rsidRPr="00CF77C1" w:rsidRDefault="0028406A" w:rsidP="0080044B">
            <w:pPr>
              <w:framePr w:hSpace="181" w:wrap="notBeside" w:vAnchor="text" w:hAnchor="text" w:y="1"/>
              <w:spacing w:before="0" w:after="0"/>
              <w:ind w:left="119" w:right="57"/>
              <w:jc w:val="right"/>
              <w:rPr>
                <w:rFonts w:eastAsia="Arial Narrow"/>
                <w:szCs w:val="24"/>
                <w:lang w:val="sr-Cyrl-RS"/>
              </w:rPr>
            </w:pPr>
            <w:r w:rsidRPr="00CF77C1">
              <w:rPr>
                <w:rFonts w:eastAsia="Arial Narrow"/>
                <w:szCs w:val="24"/>
                <w:lang w:val="sr-Cyrl-RS"/>
              </w:rPr>
              <w:t>180.506.190</w:t>
            </w:r>
          </w:p>
        </w:tc>
        <w:tc>
          <w:tcPr>
            <w:tcW w:w="1825" w:type="dxa"/>
            <w:shd w:val="clear" w:color="auto" w:fill="auto"/>
            <w:noWrap/>
            <w:tcMar>
              <w:left w:w="28" w:type="dxa"/>
              <w:right w:w="28" w:type="dxa"/>
            </w:tcMar>
            <w:vAlign w:val="center"/>
            <w:hideMark/>
          </w:tcPr>
          <w:p w14:paraId="1D1CC639"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427.141.179</w:t>
            </w:r>
          </w:p>
        </w:tc>
      </w:tr>
      <w:tr w:rsidR="0028406A" w:rsidRPr="00CF77C1" w14:paraId="2B809FDF" w14:textId="77777777" w:rsidTr="00276B15">
        <w:trPr>
          <w:trHeight w:val="113"/>
        </w:trPr>
        <w:tc>
          <w:tcPr>
            <w:tcW w:w="2660" w:type="dxa"/>
            <w:vMerge/>
            <w:shd w:val="clear" w:color="auto" w:fill="auto"/>
            <w:noWrap/>
            <w:tcMar>
              <w:left w:w="28" w:type="dxa"/>
              <w:right w:w="28" w:type="dxa"/>
            </w:tcMar>
            <w:vAlign w:val="center"/>
            <w:hideMark/>
          </w:tcPr>
          <w:p w14:paraId="6E854492"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09A477E0" w14:textId="77777777" w:rsidR="0028406A" w:rsidRPr="00CF77C1" w:rsidRDefault="0028406A" w:rsidP="0080044B">
            <w:pPr>
              <w:framePr w:hSpace="181" w:wrap="notBeside" w:vAnchor="text" w:hAnchor="text" w:y="1"/>
              <w:spacing w:before="0" w:after="0"/>
              <w:ind w:left="287" w:right="123" w:hanging="139"/>
              <w:jc w:val="center"/>
              <w:rPr>
                <w:rFonts w:eastAsia="Arial Narrow"/>
                <w:szCs w:val="24"/>
                <w:lang w:val="sr-Cyrl-RS"/>
              </w:rPr>
            </w:pPr>
            <w:r w:rsidRPr="00CF77C1">
              <w:rPr>
                <w:rFonts w:eastAsia="Arial Narrow"/>
                <w:szCs w:val="24"/>
                <w:lang w:val="sr-Cyrl-RS"/>
              </w:rPr>
              <w:t>А +Б+</w:t>
            </w: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vAlign w:val="center"/>
            <w:hideMark/>
          </w:tcPr>
          <w:p w14:paraId="05976FF8"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408.211.206</w:t>
            </w:r>
          </w:p>
        </w:tc>
        <w:tc>
          <w:tcPr>
            <w:tcW w:w="1613" w:type="dxa"/>
            <w:shd w:val="clear" w:color="auto" w:fill="auto"/>
            <w:noWrap/>
            <w:tcMar>
              <w:left w:w="28" w:type="dxa"/>
              <w:right w:w="28" w:type="dxa"/>
            </w:tcMar>
            <w:vAlign w:val="center"/>
          </w:tcPr>
          <w:p w14:paraId="1DAF3B49" w14:textId="77777777" w:rsidR="0028406A" w:rsidRPr="00CF77C1" w:rsidRDefault="0028406A" w:rsidP="0080044B">
            <w:pPr>
              <w:framePr w:hSpace="181" w:wrap="notBeside" w:vAnchor="text" w:hAnchor="text" w:y="1"/>
              <w:spacing w:before="0" w:after="0"/>
              <w:ind w:left="118" w:right="57"/>
              <w:jc w:val="right"/>
              <w:rPr>
                <w:rFonts w:eastAsia="Arial Narrow"/>
                <w:szCs w:val="24"/>
                <w:lang w:val="sr-Cyrl-RS"/>
              </w:rPr>
            </w:pPr>
            <w:r w:rsidRPr="00CF77C1">
              <w:rPr>
                <w:rFonts w:eastAsia="Arial Narrow"/>
                <w:szCs w:val="24"/>
                <w:lang w:val="sr-Cyrl-RS"/>
              </w:rPr>
              <w:t>194.249.166</w:t>
            </w:r>
          </w:p>
        </w:tc>
        <w:tc>
          <w:tcPr>
            <w:tcW w:w="1825" w:type="dxa"/>
            <w:shd w:val="clear" w:color="auto" w:fill="auto"/>
            <w:noWrap/>
            <w:tcMar>
              <w:left w:w="28" w:type="dxa"/>
              <w:right w:w="28" w:type="dxa"/>
            </w:tcMar>
            <w:vAlign w:val="center"/>
            <w:hideMark/>
          </w:tcPr>
          <w:p w14:paraId="66823037" w14:textId="77777777" w:rsidR="0028406A" w:rsidRPr="00CF77C1" w:rsidRDefault="0028406A" w:rsidP="0080044B">
            <w:pPr>
              <w:framePr w:hSpace="181" w:wrap="notBeside" w:vAnchor="text" w:hAnchor="text" w:y="1"/>
              <w:spacing w:before="0" w:after="0"/>
              <w:ind w:right="57"/>
              <w:jc w:val="right"/>
              <w:rPr>
                <w:rFonts w:eastAsia="Arial Narrow"/>
                <w:szCs w:val="24"/>
                <w:lang w:val="sr-Cyrl-RS"/>
              </w:rPr>
            </w:pPr>
            <w:r w:rsidRPr="00CF77C1">
              <w:rPr>
                <w:rFonts w:eastAsia="Arial Narrow"/>
                <w:szCs w:val="24"/>
                <w:lang w:val="sr-Cyrl-RS"/>
              </w:rPr>
              <w:t>602.460.372</w:t>
            </w:r>
          </w:p>
        </w:tc>
      </w:tr>
      <w:tr w:rsidR="0028406A" w:rsidRPr="00CF77C1" w14:paraId="36125B97" w14:textId="77777777" w:rsidTr="00276B15">
        <w:trPr>
          <w:trHeight w:val="113"/>
        </w:trPr>
        <w:tc>
          <w:tcPr>
            <w:tcW w:w="2660" w:type="dxa"/>
            <w:vMerge/>
            <w:shd w:val="clear" w:color="auto" w:fill="auto"/>
            <w:noWrap/>
            <w:tcMar>
              <w:left w:w="28" w:type="dxa"/>
              <w:right w:w="28" w:type="dxa"/>
            </w:tcMar>
            <w:vAlign w:val="center"/>
            <w:hideMark/>
          </w:tcPr>
          <w:p w14:paraId="00820B74"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17FE01AA" w14:textId="77777777" w:rsidR="0028406A" w:rsidRPr="00CF77C1" w:rsidRDefault="0028406A"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2</w:t>
            </w:r>
          </w:p>
        </w:tc>
        <w:tc>
          <w:tcPr>
            <w:tcW w:w="1665" w:type="dxa"/>
            <w:shd w:val="clear" w:color="auto" w:fill="auto"/>
            <w:noWrap/>
            <w:tcMar>
              <w:left w:w="28" w:type="dxa"/>
              <w:right w:w="28" w:type="dxa"/>
            </w:tcMar>
            <w:vAlign w:val="center"/>
            <w:hideMark/>
          </w:tcPr>
          <w:p w14:paraId="069283CB"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vAlign w:val="center"/>
          </w:tcPr>
          <w:p w14:paraId="3DD6C818" w14:textId="77777777" w:rsidR="0028406A" w:rsidRPr="00CF77C1" w:rsidRDefault="0028406A" w:rsidP="0080044B">
            <w:pPr>
              <w:framePr w:hSpace="181" w:wrap="notBeside" w:vAnchor="text" w:hAnchor="text" w:y="1"/>
              <w:spacing w:before="0" w:after="0"/>
              <w:ind w:right="57"/>
              <w:jc w:val="right"/>
              <w:rPr>
                <w:szCs w:val="24"/>
                <w:lang w:val="sr-Cyrl-RS"/>
              </w:rPr>
            </w:pPr>
          </w:p>
        </w:tc>
        <w:tc>
          <w:tcPr>
            <w:tcW w:w="1825" w:type="dxa"/>
            <w:shd w:val="clear" w:color="auto" w:fill="auto"/>
            <w:noWrap/>
            <w:tcMar>
              <w:left w:w="28" w:type="dxa"/>
              <w:right w:w="28" w:type="dxa"/>
            </w:tcMar>
            <w:vAlign w:val="center"/>
            <w:hideMark/>
          </w:tcPr>
          <w:p w14:paraId="73C70B88" w14:textId="77777777" w:rsidR="0028406A" w:rsidRPr="00CF77C1" w:rsidRDefault="0028406A" w:rsidP="0080044B">
            <w:pPr>
              <w:framePr w:hSpace="181" w:wrap="notBeside" w:vAnchor="text" w:hAnchor="text" w:y="1"/>
              <w:spacing w:before="0" w:after="0"/>
              <w:ind w:right="57"/>
              <w:jc w:val="right"/>
              <w:rPr>
                <w:szCs w:val="24"/>
                <w:lang w:val="sr-Cyrl-RS"/>
              </w:rPr>
            </w:pPr>
            <w:r w:rsidRPr="00CF77C1">
              <w:rPr>
                <w:szCs w:val="24"/>
                <w:lang w:val="sr-Cyrl-RS"/>
              </w:rPr>
              <w:t>208.671.468</w:t>
            </w:r>
          </w:p>
        </w:tc>
      </w:tr>
      <w:tr w:rsidR="0028406A" w:rsidRPr="00CF77C1" w14:paraId="6FA15413" w14:textId="77777777" w:rsidTr="00276B15">
        <w:trPr>
          <w:trHeight w:val="113"/>
        </w:trPr>
        <w:tc>
          <w:tcPr>
            <w:tcW w:w="2660" w:type="dxa"/>
            <w:vMerge/>
            <w:shd w:val="clear" w:color="auto" w:fill="auto"/>
            <w:noWrap/>
            <w:tcMar>
              <w:left w:w="28" w:type="dxa"/>
              <w:right w:w="28" w:type="dxa"/>
            </w:tcMar>
            <w:vAlign w:val="center"/>
            <w:hideMark/>
          </w:tcPr>
          <w:p w14:paraId="79507B01"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val="restart"/>
            <w:shd w:val="clear" w:color="auto" w:fill="auto"/>
            <w:noWrap/>
            <w:tcMar>
              <w:left w:w="28" w:type="dxa"/>
              <w:right w:w="28" w:type="dxa"/>
            </w:tcMar>
            <w:vAlign w:val="center"/>
            <w:hideMark/>
          </w:tcPr>
          <w:p w14:paraId="1F8BDCB0" w14:textId="77777777" w:rsidR="0028406A" w:rsidRPr="00CF77C1" w:rsidRDefault="0028406A" w:rsidP="0080044B">
            <w:pPr>
              <w:framePr w:hSpace="181" w:wrap="notBeside" w:vAnchor="text" w:hAnchor="text" w:y="1"/>
              <w:spacing w:before="0" w:after="0"/>
              <w:ind w:left="252" w:right="261"/>
              <w:jc w:val="center"/>
              <w:rPr>
                <w:rFonts w:eastAsia="Arial Narrow"/>
                <w:position w:val="1"/>
                <w:szCs w:val="24"/>
                <w:lang w:val="sr-Cyrl-RS"/>
              </w:rPr>
            </w:pPr>
            <w:r w:rsidRPr="00CF77C1">
              <w:rPr>
                <w:rFonts w:eastAsia="Arial Narrow"/>
                <w:position w:val="1"/>
                <w:szCs w:val="24"/>
                <w:lang w:val="sr-Cyrl-RS"/>
              </w:rPr>
              <w:t>Укупно</w:t>
            </w:r>
          </w:p>
        </w:tc>
        <w:tc>
          <w:tcPr>
            <w:tcW w:w="5103" w:type="dxa"/>
            <w:gridSpan w:val="3"/>
            <w:shd w:val="clear" w:color="auto" w:fill="auto"/>
            <w:noWrap/>
            <w:tcMar>
              <w:left w:w="28" w:type="dxa"/>
              <w:right w:w="28" w:type="dxa"/>
            </w:tcMar>
            <w:hideMark/>
          </w:tcPr>
          <w:p w14:paraId="539E0136" w14:textId="77777777" w:rsidR="0028406A" w:rsidRPr="00CF77C1" w:rsidRDefault="0028406A" w:rsidP="0080044B">
            <w:pPr>
              <w:framePr w:hSpace="181" w:wrap="notBeside" w:vAnchor="text" w:hAnchor="text" w:y="1"/>
              <w:spacing w:before="0" w:after="0"/>
              <w:jc w:val="center"/>
              <w:rPr>
                <w:rFonts w:eastAsia="Arial Narrow"/>
                <w:lang w:val="sr-Cyrl-RS"/>
              </w:rPr>
            </w:pPr>
            <w:r w:rsidRPr="00CF77C1">
              <w:rPr>
                <w:rFonts w:eastAsia="Arial Narrow"/>
                <w:lang w:val="sr-Cyrl-RS"/>
              </w:rPr>
              <w:t>811.131.840</w:t>
            </w:r>
          </w:p>
        </w:tc>
      </w:tr>
      <w:tr w:rsidR="0028406A" w:rsidRPr="00CF77C1" w14:paraId="0A1BF1C9" w14:textId="77777777" w:rsidTr="00276B15">
        <w:trPr>
          <w:trHeight w:val="113"/>
        </w:trPr>
        <w:tc>
          <w:tcPr>
            <w:tcW w:w="2660" w:type="dxa"/>
            <w:vMerge/>
            <w:shd w:val="clear" w:color="auto" w:fill="auto"/>
            <w:noWrap/>
            <w:tcMar>
              <w:left w:w="28" w:type="dxa"/>
              <w:right w:w="28" w:type="dxa"/>
            </w:tcMar>
            <w:vAlign w:val="center"/>
            <w:hideMark/>
          </w:tcPr>
          <w:p w14:paraId="1B23467B" w14:textId="77777777" w:rsidR="0028406A" w:rsidRPr="00CF77C1" w:rsidRDefault="0028406A" w:rsidP="0080044B">
            <w:pPr>
              <w:framePr w:hSpace="181" w:wrap="notBeside" w:vAnchor="text" w:hAnchor="text" w:y="1"/>
              <w:spacing w:before="0" w:after="0"/>
              <w:jc w:val="center"/>
              <w:rPr>
                <w:bCs/>
                <w:szCs w:val="24"/>
                <w:lang w:val="sr-Cyrl-RS"/>
              </w:rPr>
            </w:pPr>
          </w:p>
        </w:tc>
        <w:tc>
          <w:tcPr>
            <w:tcW w:w="1559" w:type="dxa"/>
            <w:vMerge/>
            <w:shd w:val="clear" w:color="auto" w:fill="auto"/>
            <w:noWrap/>
            <w:tcMar>
              <w:left w:w="28" w:type="dxa"/>
              <w:right w:w="28" w:type="dxa"/>
            </w:tcMar>
            <w:vAlign w:val="center"/>
            <w:hideMark/>
          </w:tcPr>
          <w:p w14:paraId="33538D9D" w14:textId="77777777" w:rsidR="0028406A" w:rsidRPr="00CF77C1" w:rsidRDefault="0028406A" w:rsidP="0080044B">
            <w:pPr>
              <w:framePr w:hSpace="181" w:wrap="notBeside" w:vAnchor="text" w:hAnchor="text" w:y="1"/>
              <w:spacing w:before="0" w:after="0"/>
              <w:jc w:val="center"/>
              <w:rPr>
                <w:bCs/>
                <w:szCs w:val="24"/>
                <w:lang w:val="sr-Cyrl-RS"/>
              </w:rPr>
            </w:pPr>
          </w:p>
        </w:tc>
        <w:tc>
          <w:tcPr>
            <w:tcW w:w="5103" w:type="dxa"/>
            <w:gridSpan w:val="3"/>
            <w:shd w:val="clear" w:color="auto" w:fill="auto"/>
          </w:tcPr>
          <w:p w14:paraId="276C8AF7" w14:textId="77777777" w:rsidR="0028406A" w:rsidRPr="00CF77C1" w:rsidRDefault="0028406A" w:rsidP="0080044B">
            <w:pPr>
              <w:framePr w:hSpace="181" w:wrap="notBeside" w:vAnchor="text" w:hAnchor="text" w:y="1"/>
              <w:spacing w:before="0" w:after="0"/>
              <w:ind w:right="57"/>
              <w:jc w:val="center"/>
              <w:rPr>
                <w:rFonts w:eastAsia="Arial Narrow"/>
                <w:szCs w:val="24"/>
                <w:lang w:val="sr-Cyrl-RS"/>
              </w:rPr>
            </w:pPr>
            <w:r w:rsidRPr="00CF77C1">
              <w:rPr>
                <w:rFonts w:eastAsia="Arial Narrow"/>
                <w:szCs w:val="24"/>
                <w:lang w:val="sr-Cyrl-RS"/>
              </w:rPr>
              <w:t>Експлоатационе резерве: 408.211.206</w:t>
            </w:r>
          </w:p>
        </w:tc>
      </w:tr>
      <w:tr w:rsidR="00AF4B28" w:rsidRPr="00CF77C1" w14:paraId="1371D14A" w14:textId="77777777" w:rsidTr="00276B15">
        <w:trPr>
          <w:trHeight w:val="113"/>
        </w:trPr>
        <w:tc>
          <w:tcPr>
            <w:tcW w:w="2660" w:type="dxa"/>
            <w:vMerge w:val="restart"/>
            <w:shd w:val="clear" w:color="auto" w:fill="auto"/>
            <w:noWrap/>
            <w:tcMar>
              <w:left w:w="28" w:type="dxa"/>
              <w:right w:w="28" w:type="dxa"/>
            </w:tcMar>
            <w:vAlign w:val="center"/>
            <w:hideMark/>
          </w:tcPr>
          <w:p w14:paraId="6D176D81" w14:textId="77777777" w:rsidR="00AF4B28" w:rsidRPr="00CF77C1" w:rsidRDefault="00AF4B28" w:rsidP="0080044B">
            <w:pPr>
              <w:framePr w:hSpace="181" w:wrap="notBeside" w:vAnchor="text" w:hAnchor="text" w:y="1"/>
              <w:spacing w:before="0" w:after="0"/>
              <w:jc w:val="center"/>
              <w:rPr>
                <w:bCs/>
                <w:szCs w:val="24"/>
                <w:lang w:val="sr-Cyrl-RS"/>
              </w:rPr>
            </w:pPr>
            <w:r w:rsidRPr="00CF77C1">
              <w:rPr>
                <w:bCs/>
                <w:szCs w:val="24"/>
                <w:lang w:val="sr-Cyrl-RS"/>
              </w:rPr>
              <w:t>УКУПНО</w:t>
            </w:r>
            <w:r w:rsidRPr="00CF77C1">
              <w:rPr>
                <w:bCs/>
                <w:szCs w:val="24"/>
                <w:lang w:val="sr-Cyrl-RS"/>
              </w:rPr>
              <w:br/>
              <w:t>КОСТОЛАЦ</w:t>
            </w:r>
          </w:p>
        </w:tc>
        <w:tc>
          <w:tcPr>
            <w:tcW w:w="1559" w:type="dxa"/>
            <w:shd w:val="clear" w:color="auto" w:fill="auto"/>
            <w:noWrap/>
            <w:tcMar>
              <w:left w:w="28" w:type="dxa"/>
              <w:right w:w="28" w:type="dxa"/>
            </w:tcMar>
            <w:vAlign w:val="center"/>
            <w:hideMark/>
          </w:tcPr>
          <w:p w14:paraId="36D0E4A0" w14:textId="77777777" w:rsidR="00AF4B28" w:rsidRPr="00CF77C1" w:rsidRDefault="00AF4B28"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А</w:t>
            </w:r>
          </w:p>
        </w:tc>
        <w:tc>
          <w:tcPr>
            <w:tcW w:w="1665" w:type="dxa"/>
            <w:shd w:val="clear" w:color="auto" w:fill="auto"/>
            <w:noWrap/>
            <w:tcMar>
              <w:left w:w="28" w:type="dxa"/>
              <w:right w:w="28" w:type="dxa"/>
            </w:tcMar>
            <w:hideMark/>
          </w:tcPr>
          <w:p w14:paraId="06DFA439"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454.654.337</w:t>
            </w:r>
          </w:p>
        </w:tc>
        <w:tc>
          <w:tcPr>
            <w:tcW w:w="1613" w:type="dxa"/>
            <w:shd w:val="clear" w:color="auto" w:fill="auto"/>
            <w:noWrap/>
            <w:tcMar>
              <w:left w:w="28" w:type="dxa"/>
              <w:right w:w="28" w:type="dxa"/>
            </w:tcMar>
            <w:hideMark/>
          </w:tcPr>
          <w:p w14:paraId="4CABC6DE"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197.954.101</w:t>
            </w:r>
          </w:p>
        </w:tc>
        <w:tc>
          <w:tcPr>
            <w:tcW w:w="1825" w:type="dxa"/>
            <w:shd w:val="clear" w:color="auto" w:fill="auto"/>
            <w:noWrap/>
            <w:tcMar>
              <w:left w:w="28" w:type="dxa"/>
              <w:right w:w="28" w:type="dxa"/>
            </w:tcMar>
            <w:hideMark/>
          </w:tcPr>
          <w:p w14:paraId="74F91A45"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648.013.439</w:t>
            </w:r>
          </w:p>
        </w:tc>
      </w:tr>
      <w:tr w:rsidR="00AF4B28" w:rsidRPr="00CF77C1" w14:paraId="14C99654" w14:textId="77777777" w:rsidTr="00276B15">
        <w:trPr>
          <w:trHeight w:val="113"/>
        </w:trPr>
        <w:tc>
          <w:tcPr>
            <w:tcW w:w="2660" w:type="dxa"/>
            <w:vMerge/>
            <w:shd w:val="clear" w:color="auto" w:fill="auto"/>
            <w:noWrap/>
            <w:tcMar>
              <w:left w:w="28" w:type="dxa"/>
              <w:right w:w="28" w:type="dxa"/>
            </w:tcMar>
            <w:vAlign w:val="center"/>
            <w:hideMark/>
          </w:tcPr>
          <w:p w14:paraId="1076C00E" w14:textId="77777777" w:rsidR="00AF4B28" w:rsidRPr="00CF77C1" w:rsidRDefault="00AF4B28"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36B28718" w14:textId="77777777" w:rsidR="00AF4B28" w:rsidRPr="00CF77C1" w:rsidRDefault="00AF4B28" w:rsidP="0080044B">
            <w:pPr>
              <w:framePr w:hSpace="181" w:wrap="notBeside" w:vAnchor="text" w:hAnchor="text" w:y="1"/>
              <w:spacing w:before="0" w:after="0"/>
              <w:ind w:left="286" w:right="296"/>
              <w:jc w:val="center"/>
              <w:rPr>
                <w:rFonts w:eastAsia="Arial Narrow"/>
                <w:szCs w:val="24"/>
                <w:lang w:val="sr-Cyrl-RS"/>
              </w:rPr>
            </w:pPr>
            <w:r w:rsidRPr="00CF77C1">
              <w:rPr>
                <w:rFonts w:eastAsia="Arial Narrow"/>
                <w:szCs w:val="24"/>
                <w:lang w:val="sr-Cyrl-RS"/>
              </w:rPr>
              <w:t>Б</w:t>
            </w:r>
          </w:p>
        </w:tc>
        <w:tc>
          <w:tcPr>
            <w:tcW w:w="1665" w:type="dxa"/>
            <w:shd w:val="clear" w:color="auto" w:fill="auto"/>
            <w:noWrap/>
            <w:tcMar>
              <w:left w:w="28" w:type="dxa"/>
              <w:right w:w="28" w:type="dxa"/>
            </w:tcMar>
            <w:hideMark/>
          </w:tcPr>
          <w:p w14:paraId="79F56B6C"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425.047.712</w:t>
            </w:r>
          </w:p>
        </w:tc>
        <w:tc>
          <w:tcPr>
            <w:tcW w:w="1613" w:type="dxa"/>
            <w:shd w:val="clear" w:color="auto" w:fill="auto"/>
            <w:noWrap/>
            <w:tcMar>
              <w:left w:w="28" w:type="dxa"/>
              <w:right w:w="28" w:type="dxa"/>
            </w:tcMar>
            <w:hideMark/>
          </w:tcPr>
          <w:p w14:paraId="572707EB"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322.174.451</w:t>
            </w:r>
          </w:p>
        </w:tc>
        <w:tc>
          <w:tcPr>
            <w:tcW w:w="1825" w:type="dxa"/>
            <w:shd w:val="clear" w:color="auto" w:fill="auto"/>
            <w:noWrap/>
            <w:tcMar>
              <w:left w:w="28" w:type="dxa"/>
              <w:right w:w="28" w:type="dxa"/>
            </w:tcMar>
            <w:hideMark/>
          </w:tcPr>
          <w:p w14:paraId="0F679B9D"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747.222.073</w:t>
            </w:r>
          </w:p>
        </w:tc>
      </w:tr>
      <w:tr w:rsidR="00AF4B28" w:rsidRPr="00CF77C1" w14:paraId="7F274072" w14:textId="77777777" w:rsidTr="00276B15">
        <w:trPr>
          <w:trHeight w:val="113"/>
        </w:trPr>
        <w:tc>
          <w:tcPr>
            <w:tcW w:w="2660" w:type="dxa"/>
            <w:vMerge/>
            <w:shd w:val="clear" w:color="auto" w:fill="auto"/>
            <w:noWrap/>
            <w:tcMar>
              <w:left w:w="28" w:type="dxa"/>
              <w:right w:w="28" w:type="dxa"/>
            </w:tcMar>
            <w:vAlign w:val="center"/>
            <w:hideMark/>
          </w:tcPr>
          <w:p w14:paraId="1498C226" w14:textId="77777777" w:rsidR="00AF4B28" w:rsidRPr="00CF77C1" w:rsidRDefault="00AF4B28"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hideMark/>
          </w:tcPr>
          <w:p w14:paraId="435CF708" w14:textId="77777777" w:rsidR="00AF4B28" w:rsidRPr="00CF77C1" w:rsidRDefault="00AF4B28"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hideMark/>
          </w:tcPr>
          <w:p w14:paraId="607DD5D5"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879.702.049</w:t>
            </w:r>
          </w:p>
        </w:tc>
        <w:tc>
          <w:tcPr>
            <w:tcW w:w="1613" w:type="dxa"/>
            <w:shd w:val="clear" w:color="auto" w:fill="auto"/>
            <w:noWrap/>
            <w:tcMar>
              <w:left w:w="28" w:type="dxa"/>
              <w:right w:w="28" w:type="dxa"/>
            </w:tcMar>
            <w:hideMark/>
          </w:tcPr>
          <w:p w14:paraId="568123BF"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520.128.552</w:t>
            </w:r>
          </w:p>
        </w:tc>
        <w:tc>
          <w:tcPr>
            <w:tcW w:w="1825" w:type="dxa"/>
            <w:shd w:val="clear" w:color="auto" w:fill="auto"/>
            <w:noWrap/>
            <w:tcMar>
              <w:left w:w="28" w:type="dxa"/>
              <w:right w:w="28" w:type="dxa"/>
            </w:tcMar>
            <w:hideMark/>
          </w:tcPr>
          <w:p w14:paraId="33452849"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1.395.235.604</w:t>
            </w:r>
          </w:p>
        </w:tc>
      </w:tr>
      <w:tr w:rsidR="00AF4B28" w:rsidRPr="00CF77C1" w14:paraId="1E2F1978" w14:textId="77777777" w:rsidTr="00276B15">
        <w:trPr>
          <w:trHeight w:val="113"/>
        </w:trPr>
        <w:tc>
          <w:tcPr>
            <w:tcW w:w="2660" w:type="dxa"/>
            <w:vMerge/>
            <w:shd w:val="clear" w:color="auto" w:fill="auto"/>
            <w:noWrap/>
            <w:tcMar>
              <w:left w:w="28" w:type="dxa"/>
              <w:right w:w="28" w:type="dxa"/>
            </w:tcMar>
            <w:vAlign w:val="center"/>
          </w:tcPr>
          <w:p w14:paraId="1FE06401" w14:textId="77777777" w:rsidR="00AF4B28" w:rsidRPr="00CF77C1" w:rsidRDefault="00AF4B28"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tcPr>
          <w:p w14:paraId="7E694750" w14:textId="77777777" w:rsidR="00AF4B28" w:rsidRPr="00CF77C1" w:rsidRDefault="00AF4B28" w:rsidP="0080044B">
            <w:pPr>
              <w:framePr w:hSpace="181" w:wrap="notBeside" w:vAnchor="text" w:hAnchor="text" w:y="1"/>
              <w:spacing w:before="0" w:after="0"/>
              <w:ind w:left="287" w:right="123" w:hanging="139"/>
              <w:jc w:val="center"/>
              <w:rPr>
                <w:rFonts w:eastAsia="Arial Narrow"/>
                <w:szCs w:val="24"/>
                <w:lang w:val="sr-Cyrl-RS"/>
              </w:rPr>
            </w:pPr>
            <w:r w:rsidRPr="00CF77C1">
              <w:rPr>
                <w:rFonts w:eastAsia="Arial Narrow"/>
                <w:szCs w:val="24"/>
                <w:lang w:val="sr-Cyrl-RS"/>
              </w:rPr>
              <w:t>А +Б+</w:t>
            </w:r>
            <w:r w:rsidRPr="00CF77C1">
              <w:rPr>
                <w:rFonts w:eastAsia="Arial Narrow"/>
                <w:position w:val="1"/>
                <w:szCs w:val="24"/>
                <w:lang w:val="sr-Cyrl-RS"/>
              </w:rPr>
              <w:t>Ц</w:t>
            </w:r>
            <w:r w:rsidRPr="00CF77C1">
              <w:rPr>
                <w:rFonts w:eastAsia="Arial Narrow"/>
                <w:szCs w:val="24"/>
                <w:vertAlign w:val="subscript"/>
                <w:lang w:val="sr-Cyrl-RS"/>
              </w:rPr>
              <w:t>1</w:t>
            </w:r>
          </w:p>
        </w:tc>
        <w:tc>
          <w:tcPr>
            <w:tcW w:w="1665" w:type="dxa"/>
            <w:shd w:val="clear" w:color="auto" w:fill="auto"/>
            <w:noWrap/>
            <w:tcMar>
              <w:left w:w="28" w:type="dxa"/>
              <w:right w:w="28" w:type="dxa"/>
            </w:tcMar>
          </w:tcPr>
          <w:p w14:paraId="27E1B6CF" w14:textId="77777777" w:rsidR="00AF4B28" w:rsidRPr="00CF77C1" w:rsidRDefault="00AF4B28" w:rsidP="0080044B">
            <w:pPr>
              <w:framePr w:hSpace="181" w:wrap="notBeside" w:vAnchor="text" w:hAnchor="text" w:y="1"/>
              <w:spacing w:before="0" w:after="0"/>
              <w:ind w:right="57"/>
              <w:jc w:val="right"/>
              <w:rPr>
                <w:szCs w:val="24"/>
                <w:lang w:val="sr-Cyrl-RS"/>
              </w:rPr>
            </w:pPr>
          </w:p>
        </w:tc>
        <w:tc>
          <w:tcPr>
            <w:tcW w:w="1613" w:type="dxa"/>
            <w:shd w:val="clear" w:color="auto" w:fill="auto"/>
            <w:noWrap/>
            <w:tcMar>
              <w:left w:w="28" w:type="dxa"/>
              <w:right w:w="28" w:type="dxa"/>
            </w:tcMar>
          </w:tcPr>
          <w:p w14:paraId="192EE8A9" w14:textId="77777777" w:rsidR="00AF4B28" w:rsidRPr="00CF77C1" w:rsidRDefault="00AF4B28" w:rsidP="0080044B">
            <w:pPr>
              <w:framePr w:hSpace="181" w:wrap="notBeside" w:vAnchor="text" w:hAnchor="text" w:y="1"/>
              <w:spacing w:before="0" w:after="0"/>
              <w:ind w:right="57"/>
              <w:jc w:val="right"/>
              <w:rPr>
                <w:szCs w:val="24"/>
                <w:lang w:val="sr-Cyrl-RS"/>
              </w:rPr>
            </w:pPr>
          </w:p>
        </w:tc>
        <w:tc>
          <w:tcPr>
            <w:tcW w:w="1825" w:type="dxa"/>
            <w:shd w:val="clear" w:color="auto" w:fill="auto"/>
            <w:noWrap/>
            <w:tcMar>
              <w:left w:w="28" w:type="dxa"/>
              <w:right w:w="28" w:type="dxa"/>
            </w:tcMar>
          </w:tcPr>
          <w:p w14:paraId="37A05D7B"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371.085.568</w:t>
            </w:r>
          </w:p>
        </w:tc>
      </w:tr>
      <w:tr w:rsidR="00AF4B28" w:rsidRPr="00CF77C1" w14:paraId="35DE2EB4" w14:textId="77777777" w:rsidTr="00276B15">
        <w:trPr>
          <w:trHeight w:val="113"/>
        </w:trPr>
        <w:tc>
          <w:tcPr>
            <w:tcW w:w="2660" w:type="dxa"/>
            <w:vMerge/>
            <w:shd w:val="clear" w:color="auto" w:fill="auto"/>
            <w:noWrap/>
            <w:tcMar>
              <w:left w:w="28" w:type="dxa"/>
              <w:right w:w="28" w:type="dxa"/>
            </w:tcMar>
            <w:vAlign w:val="center"/>
          </w:tcPr>
          <w:p w14:paraId="0FF0C5A5" w14:textId="77777777" w:rsidR="00AF4B28" w:rsidRPr="00CF77C1" w:rsidRDefault="00AF4B28" w:rsidP="0080044B">
            <w:pPr>
              <w:framePr w:hSpace="181" w:wrap="notBeside" w:vAnchor="text" w:hAnchor="text" w:y="1"/>
              <w:spacing w:before="0" w:after="0"/>
              <w:jc w:val="center"/>
              <w:rPr>
                <w:bCs/>
                <w:szCs w:val="24"/>
                <w:lang w:val="sr-Cyrl-RS"/>
              </w:rPr>
            </w:pPr>
          </w:p>
        </w:tc>
        <w:tc>
          <w:tcPr>
            <w:tcW w:w="1559" w:type="dxa"/>
            <w:shd w:val="clear" w:color="auto" w:fill="auto"/>
            <w:noWrap/>
            <w:tcMar>
              <w:left w:w="28" w:type="dxa"/>
              <w:right w:w="28" w:type="dxa"/>
            </w:tcMar>
            <w:vAlign w:val="center"/>
          </w:tcPr>
          <w:p w14:paraId="22DB157F" w14:textId="77777777" w:rsidR="00AF4B28" w:rsidRPr="00CF77C1" w:rsidRDefault="00AF4B28" w:rsidP="0080044B">
            <w:pPr>
              <w:framePr w:hSpace="181" w:wrap="notBeside" w:vAnchor="text" w:hAnchor="text" w:y="1"/>
              <w:spacing w:before="0" w:after="0"/>
              <w:ind w:left="252" w:right="261"/>
              <w:jc w:val="center"/>
              <w:rPr>
                <w:rFonts w:eastAsia="Arial Narrow"/>
                <w:szCs w:val="24"/>
                <w:lang w:val="sr-Cyrl-RS"/>
              </w:rPr>
            </w:pPr>
            <w:r w:rsidRPr="00CF77C1">
              <w:rPr>
                <w:rFonts w:eastAsia="Arial Narrow"/>
                <w:position w:val="1"/>
                <w:szCs w:val="24"/>
                <w:lang w:val="sr-Cyrl-RS"/>
              </w:rPr>
              <w:t>Ц</w:t>
            </w:r>
            <w:r w:rsidRPr="00CF77C1">
              <w:rPr>
                <w:rFonts w:eastAsia="Arial Narrow"/>
                <w:szCs w:val="24"/>
                <w:vertAlign w:val="subscript"/>
                <w:lang w:val="sr-Cyrl-RS"/>
              </w:rPr>
              <w:t>2</w:t>
            </w:r>
          </w:p>
        </w:tc>
        <w:tc>
          <w:tcPr>
            <w:tcW w:w="1665" w:type="dxa"/>
            <w:shd w:val="clear" w:color="auto" w:fill="auto"/>
            <w:noWrap/>
            <w:tcMar>
              <w:left w:w="28" w:type="dxa"/>
              <w:right w:w="28" w:type="dxa"/>
            </w:tcMar>
          </w:tcPr>
          <w:p w14:paraId="49D478B6"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454.654.337</w:t>
            </w:r>
          </w:p>
        </w:tc>
        <w:tc>
          <w:tcPr>
            <w:tcW w:w="1613" w:type="dxa"/>
            <w:shd w:val="clear" w:color="auto" w:fill="auto"/>
            <w:noWrap/>
            <w:tcMar>
              <w:left w:w="28" w:type="dxa"/>
              <w:right w:w="28" w:type="dxa"/>
            </w:tcMar>
          </w:tcPr>
          <w:p w14:paraId="7727B435"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197.954.101</w:t>
            </w:r>
          </w:p>
        </w:tc>
        <w:tc>
          <w:tcPr>
            <w:tcW w:w="1825" w:type="dxa"/>
            <w:shd w:val="clear" w:color="auto" w:fill="auto"/>
            <w:noWrap/>
            <w:tcMar>
              <w:left w:w="28" w:type="dxa"/>
              <w:right w:w="28" w:type="dxa"/>
            </w:tcMar>
          </w:tcPr>
          <w:p w14:paraId="49394A24" w14:textId="77777777" w:rsidR="00AF4B28" w:rsidRPr="00CF77C1" w:rsidRDefault="00AF4B28" w:rsidP="0080044B">
            <w:pPr>
              <w:framePr w:hSpace="181" w:wrap="notBeside" w:vAnchor="text" w:hAnchor="text" w:y="1"/>
              <w:spacing w:before="0" w:after="0"/>
              <w:ind w:right="57"/>
              <w:jc w:val="right"/>
              <w:rPr>
                <w:szCs w:val="24"/>
                <w:lang w:val="sr-Cyrl-RS"/>
              </w:rPr>
            </w:pPr>
            <w:r w:rsidRPr="00CF77C1">
              <w:rPr>
                <w:szCs w:val="24"/>
                <w:lang w:val="sr-Cyrl-RS"/>
              </w:rPr>
              <w:t>648.013.439</w:t>
            </w:r>
          </w:p>
        </w:tc>
      </w:tr>
      <w:tr w:rsidR="00AF4B28" w:rsidRPr="00CF77C1" w14:paraId="58668773" w14:textId="77777777" w:rsidTr="00AF4B28">
        <w:trPr>
          <w:trHeight w:val="113"/>
        </w:trPr>
        <w:tc>
          <w:tcPr>
            <w:tcW w:w="2660" w:type="dxa"/>
            <w:vMerge/>
            <w:shd w:val="clear" w:color="auto" w:fill="auto"/>
            <w:noWrap/>
            <w:tcMar>
              <w:left w:w="28" w:type="dxa"/>
              <w:right w:w="28" w:type="dxa"/>
            </w:tcMar>
            <w:vAlign w:val="center"/>
          </w:tcPr>
          <w:p w14:paraId="27B29140" w14:textId="77777777" w:rsidR="00AF4B28" w:rsidRPr="00CF77C1" w:rsidRDefault="00AF4B28" w:rsidP="0080044B">
            <w:pPr>
              <w:framePr w:hSpace="181" w:wrap="notBeside" w:vAnchor="text" w:hAnchor="text" w:y="1"/>
              <w:spacing w:before="0" w:after="0"/>
              <w:jc w:val="center"/>
              <w:rPr>
                <w:bCs/>
                <w:szCs w:val="24"/>
                <w:lang w:val="sr-Cyrl-RS"/>
              </w:rPr>
            </w:pPr>
          </w:p>
        </w:tc>
        <w:tc>
          <w:tcPr>
            <w:tcW w:w="1559" w:type="dxa"/>
            <w:vMerge w:val="restart"/>
            <w:shd w:val="clear" w:color="auto" w:fill="auto"/>
            <w:noWrap/>
            <w:tcMar>
              <w:left w:w="28" w:type="dxa"/>
              <w:right w:w="28" w:type="dxa"/>
            </w:tcMar>
            <w:vAlign w:val="center"/>
          </w:tcPr>
          <w:p w14:paraId="087B0045" w14:textId="77777777" w:rsidR="00AF4B28" w:rsidRPr="00CF77C1" w:rsidRDefault="00AF4B28" w:rsidP="0080044B">
            <w:pPr>
              <w:framePr w:hSpace="181" w:wrap="notBeside" w:vAnchor="text" w:hAnchor="text" w:y="1"/>
              <w:spacing w:before="0" w:after="0"/>
              <w:ind w:left="252" w:right="261"/>
              <w:jc w:val="center"/>
              <w:rPr>
                <w:rFonts w:eastAsia="Arial Narrow"/>
                <w:position w:val="1"/>
                <w:szCs w:val="24"/>
                <w:lang w:val="sr-Cyrl-RS"/>
              </w:rPr>
            </w:pPr>
            <w:r w:rsidRPr="00CF77C1">
              <w:rPr>
                <w:rFonts w:eastAsia="Arial Narrow"/>
                <w:position w:val="1"/>
                <w:szCs w:val="24"/>
                <w:lang w:val="sr-Cyrl-RS"/>
              </w:rPr>
              <w:t>Укупно</w:t>
            </w:r>
          </w:p>
        </w:tc>
        <w:tc>
          <w:tcPr>
            <w:tcW w:w="5103" w:type="dxa"/>
            <w:gridSpan w:val="3"/>
            <w:shd w:val="clear" w:color="auto" w:fill="auto"/>
            <w:noWrap/>
            <w:tcMar>
              <w:left w:w="28" w:type="dxa"/>
              <w:right w:w="28" w:type="dxa"/>
            </w:tcMar>
          </w:tcPr>
          <w:p w14:paraId="71C61D7F" w14:textId="77777777" w:rsidR="00AF4B28" w:rsidRPr="00CF77C1" w:rsidRDefault="00AF4B28" w:rsidP="0080044B">
            <w:pPr>
              <w:framePr w:hSpace="181" w:wrap="notBeside" w:vAnchor="text" w:hAnchor="text" w:y="1"/>
              <w:spacing w:before="0" w:after="0"/>
              <w:ind w:right="57"/>
              <w:jc w:val="center"/>
              <w:rPr>
                <w:szCs w:val="24"/>
                <w:lang w:val="sr-Cyrl-RS"/>
              </w:rPr>
            </w:pPr>
            <w:r w:rsidRPr="00CF77C1">
              <w:rPr>
                <w:szCs w:val="24"/>
                <w:lang w:val="sr-Cyrl-RS"/>
              </w:rPr>
              <w:t>1.766.321.172</w:t>
            </w:r>
          </w:p>
        </w:tc>
      </w:tr>
      <w:tr w:rsidR="006E1F61" w:rsidRPr="00CF77C1" w14:paraId="274DFAF7" w14:textId="77777777" w:rsidTr="006D7DD0">
        <w:trPr>
          <w:trHeight w:val="113"/>
        </w:trPr>
        <w:tc>
          <w:tcPr>
            <w:tcW w:w="2660" w:type="dxa"/>
            <w:vMerge/>
            <w:shd w:val="clear" w:color="auto" w:fill="auto"/>
            <w:noWrap/>
            <w:tcMar>
              <w:left w:w="28" w:type="dxa"/>
              <w:right w:w="28" w:type="dxa"/>
            </w:tcMar>
            <w:vAlign w:val="center"/>
          </w:tcPr>
          <w:p w14:paraId="7067196C" w14:textId="77777777" w:rsidR="006E1F61" w:rsidRPr="00CF77C1" w:rsidRDefault="006E1F61" w:rsidP="0080044B">
            <w:pPr>
              <w:framePr w:hSpace="181" w:wrap="notBeside" w:vAnchor="text" w:hAnchor="text" w:y="1"/>
              <w:spacing w:before="0" w:after="0"/>
              <w:jc w:val="center"/>
              <w:rPr>
                <w:bCs/>
                <w:szCs w:val="24"/>
                <w:lang w:val="sr-Cyrl-RS"/>
              </w:rPr>
            </w:pPr>
          </w:p>
        </w:tc>
        <w:tc>
          <w:tcPr>
            <w:tcW w:w="1559" w:type="dxa"/>
            <w:vMerge/>
            <w:shd w:val="clear" w:color="auto" w:fill="auto"/>
            <w:noWrap/>
            <w:tcMar>
              <w:left w:w="28" w:type="dxa"/>
              <w:right w:w="28" w:type="dxa"/>
            </w:tcMar>
            <w:vAlign w:val="center"/>
          </w:tcPr>
          <w:p w14:paraId="3E472B7C" w14:textId="77777777" w:rsidR="006E1F61" w:rsidRPr="00CF77C1" w:rsidRDefault="006E1F61" w:rsidP="0080044B">
            <w:pPr>
              <w:framePr w:hSpace="181" w:wrap="notBeside" w:vAnchor="text" w:hAnchor="text" w:y="1"/>
              <w:spacing w:before="0" w:after="0"/>
              <w:ind w:left="252" w:right="261"/>
              <w:jc w:val="center"/>
              <w:rPr>
                <w:rFonts w:eastAsia="Arial Narrow"/>
                <w:position w:val="1"/>
                <w:szCs w:val="24"/>
                <w:lang w:val="sr-Cyrl-RS"/>
              </w:rPr>
            </w:pPr>
          </w:p>
        </w:tc>
        <w:tc>
          <w:tcPr>
            <w:tcW w:w="5103" w:type="dxa"/>
            <w:gridSpan w:val="3"/>
            <w:shd w:val="clear" w:color="auto" w:fill="auto"/>
            <w:noWrap/>
            <w:tcMar>
              <w:left w:w="28" w:type="dxa"/>
              <w:right w:w="28" w:type="dxa"/>
            </w:tcMar>
          </w:tcPr>
          <w:p w14:paraId="4B5C1993" w14:textId="77777777" w:rsidR="006E1F61" w:rsidRPr="00CF77C1" w:rsidRDefault="006E1F61" w:rsidP="0080044B">
            <w:pPr>
              <w:framePr w:hSpace="181" w:wrap="notBeside" w:vAnchor="text" w:hAnchor="text" w:y="1"/>
              <w:spacing w:before="0" w:after="0"/>
              <w:ind w:right="57"/>
              <w:jc w:val="center"/>
              <w:rPr>
                <w:szCs w:val="24"/>
                <w:lang w:val="sr-Cyrl-RS"/>
              </w:rPr>
            </w:pPr>
            <w:r w:rsidRPr="00CF77C1">
              <w:rPr>
                <w:rFonts w:eastAsia="Arial Narrow"/>
                <w:szCs w:val="24"/>
                <w:lang w:val="sr-Cyrl-RS"/>
              </w:rPr>
              <w:t>Експлоатационе резерве: 701.150.058</w:t>
            </w:r>
          </w:p>
        </w:tc>
      </w:tr>
    </w:tbl>
    <w:p w14:paraId="75A1920B" w14:textId="6E6B9179" w:rsidR="0028406A" w:rsidRPr="00CF77C1" w:rsidRDefault="00A71236" w:rsidP="005621E0">
      <w:pPr>
        <w:ind w:firstLine="720"/>
        <w:rPr>
          <w:lang w:val="sr-Cyrl-RS"/>
        </w:rPr>
      </w:pPr>
      <w:r w:rsidRPr="00CF77C1">
        <w:rPr>
          <w:lang w:val="sr-Cyrl-RS"/>
        </w:rPr>
        <w:t>С о</w:t>
      </w:r>
      <w:r w:rsidR="0028406A" w:rsidRPr="00CF77C1">
        <w:rPr>
          <w:lang w:val="sr-Cyrl-RS"/>
        </w:rPr>
        <w:t xml:space="preserve">бзиром </w:t>
      </w:r>
      <w:r w:rsidRPr="00CF77C1">
        <w:rPr>
          <w:lang w:val="sr-Cyrl-RS"/>
        </w:rPr>
        <w:t xml:space="preserve">на то </w:t>
      </w:r>
      <w:r w:rsidR="0028406A" w:rsidRPr="00CF77C1">
        <w:rPr>
          <w:lang w:val="sr-Cyrl-RS"/>
        </w:rPr>
        <w:t xml:space="preserve">да се у </w:t>
      </w:r>
      <w:r w:rsidR="007174B1" w:rsidRPr="00CF77C1">
        <w:rPr>
          <w:lang w:val="sr-Cyrl-RS"/>
        </w:rPr>
        <w:t xml:space="preserve">елаборатима </w:t>
      </w:r>
      <w:r w:rsidR="0028406A" w:rsidRPr="00CF77C1">
        <w:rPr>
          <w:lang w:val="sr-Cyrl-RS"/>
        </w:rPr>
        <w:t>о резервама анализа билансности углавном базира на идејним решењима површинске експлоатације то се билансност резерви на лежиштима Кленовник и Ћириковац мора узети са резервом, посебно ако се узме у обзир да се гранични услови експлоатације мењају, како у времену тако и у простору. У сваком случају треба напоменути да су све резерве угља на лежишту Кленовник ванбилансне и да је овај површински коп трајно затворен</w:t>
      </w:r>
      <w:r w:rsidR="00A84557" w:rsidRPr="00CF77C1">
        <w:rPr>
          <w:lang w:val="sr-Cyrl-RS"/>
        </w:rPr>
        <w:t>,</w:t>
      </w:r>
      <w:r w:rsidR="0028406A" w:rsidRPr="00CF77C1">
        <w:rPr>
          <w:lang w:val="sr-Cyrl-RS"/>
        </w:rPr>
        <w:t xml:space="preserve"> док су резерве у лежишту Ћириковац билансиране као билансне, ванбилансне и потенцијалне и на овом копу су привремено обустављени радови.</w:t>
      </w:r>
    </w:p>
    <w:p w14:paraId="526CB8AA" w14:textId="77777777" w:rsidR="0028406A" w:rsidRPr="00CF77C1" w:rsidRDefault="0028406A" w:rsidP="005621E0">
      <w:pPr>
        <w:ind w:firstLine="720"/>
        <w:rPr>
          <w:lang w:val="sr-Cyrl-RS"/>
        </w:rPr>
      </w:pPr>
      <w:r w:rsidRPr="00CF77C1">
        <w:rPr>
          <w:lang w:val="sr-Cyrl-RS"/>
        </w:rPr>
        <w:t xml:space="preserve">Међутим, треба истаћи да је костолачки басен јединствено лежиште угља које је вештачки подељено на постојећа лежишта. Са аспекта вештачке поделе, а у циљу бољег искоришћења резерви угља, басен се може посматрати и као Источни, Централни и Западни део. Тренутно, експлоатација угља врши се у Источном делу басена на површинском копу Дрмно. У Централном делу басена лоцирани су површински копови Кленовник и Ћириковац на којима се, како је већ речено не врши експлоатација угља. У Западном делу басена су за сада вршена само геолошка истраживања у циљу овере резерви угља. </w:t>
      </w:r>
      <w:r w:rsidR="00A71236" w:rsidRPr="00CF77C1">
        <w:rPr>
          <w:lang w:val="sr-Cyrl-RS"/>
        </w:rPr>
        <w:t xml:space="preserve">С обзиром на то </w:t>
      </w:r>
      <w:r w:rsidRPr="00CF77C1">
        <w:rPr>
          <w:lang w:val="sr-Cyrl-RS"/>
        </w:rPr>
        <w:t xml:space="preserve">да се према Елаборатима о резервама у Централном делу басена налази преко 75 </w:t>
      </w:r>
      <w:r w:rsidR="004653CD" w:rsidRPr="00CF77C1">
        <w:rPr>
          <w:lang w:val="sr-Cyrl-RS"/>
        </w:rPr>
        <w:t>милиона тона</w:t>
      </w:r>
      <w:r w:rsidRPr="00CF77C1">
        <w:rPr>
          <w:lang w:val="sr-Cyrl-RS"/>
        </w:rPr>
        <w:t xml:space="preserve"> билансних резерви угља (лежиште Ћириковац), преко 82 </w:t>
      </w:r>
      <w:r w:rsidR="004653CD" w:rsidRPr="00CF77C1">
        <w:rPr>
          <w:lang w:val="sr-Cyrl-RS"/>
        </w:rPr>
        <w:t>милиона тона</w:t>
      </w:r>
      <w:r w:rsidRPr="00CF77C1">
        <w:rPr>
          <w:lang w:val="sr-Cyrl-RS"/>
        </w:rPr>
        <w:t xml:space="preserve"> угља ванбилансних резерви (лежиште Кленовник и лежиште Ћириковац) као и преко 160 </w:t>
      </w:r>
      <w:r w:rsidR="004653CD" w:rsidRPr="00CF77C1">
        <w:rPr>
          <w:lang w:val="sr-Cyrl-RS"/>
        </w:rPr>
        <w:t>милиона тона</w:t>
      </w:r>
      <w:r w:rsidRPr="00CF77C1">
        <w:rPr>
          <w:lang w:val="sr-Cyrl-RS"/>
        </w:rPr>
        <w:t xml:space="preserve"> потенцијалних резерви угља у лежишту Ћириковац, неопходно је детаљно изанализирати, одговарајућом техно-економском студијом, све потенцијалне могућности валоризације како билансних тако и ванбилансних и потенцијалних резерви угља у овом делу басена, укључујући и могућност повезивања Централног и Западног дела басена са аспекта експлоатације угља и оптималног искоришћења резерви.</w:t>
      </w:r>
    </w:p>
    <w:p w14:paraId="2FF53796" w14:textId="77777777" w:rsidR="0028406A" w:rsidRPr="00CF77C1" w:rsidRDefault="0028406A" w:rsidP="005621E0">
      <w:pPr>
        <w:ind w:firstLine="720"/>
        <w:rPr>
          <w:lang w:val="sr-Cyrl-RS"/>
        </w:rPr>
      </w:pPr>
      <w:r w:rsidRPr="00CF77C1">
        <w:rPr>
          <w:lang w:val="sr-Cyrl-RS"/>
        </w:rPr>
        <w:t>Планирана истраживања на лежишту Дрмно треба да се реализују у петогодишњим временским циклусима тако што се током четири године врше теренска и лабораторијска истраживања а у петој години се врши израда и овера Елабората.</w:t>
      </w:r>
    </w:p>
    <w:p w14:paraId="6D62498F" w14:textId="18B50A13" w:rsidR="0028406A" w:rsidRPr="00CF77C1" w:rsidRDefault="0028406A" w:rsidP="005621E0">
      <w:pPr>
        <w:ind w:firstLine="720"/>
        <w:rPr>
          <w:lang w:val="sr-Cyrl-RS"/>
        </w:rPr>
      </w:pPr>
      <w:r w:rsidRPr="00CF77C1">
        <w:rPr>
          <w:lang w:val="sr-Cyrl-RS"/>
        </w:rPr>
        <w:t xml:space="preserve">Спецификација геолошких радова и рекапитулација укупних трошкова истраживања, по врстама радова, у једном временском циклусу приказана је у </w:t>
      </w:r>
      <w:r w:rsidR="000642D2" w:rsidRPr="00CF77C1">
        <w:rPr>
          <w:lang w:val="sr-Cyrl-RS"/>
        </w:rPr>
        <w:fldChar w:fldCharType="begin"/>
      </w:r>
      <w:r w:rsidR="000642D2" w:rsidRPr="00CF77C1">
        <w:rPr>
          <w:lang w:val="sr-Cyrl-RS"/>
        </w:rPr>
        <w:instrText xml:space="preserve"> REF _Ref469245665 \h  \* MERGEFORMAT </w:instrText>
      </w:r>
      <w:r w:rsidR="000642D2" w:rsidRPr="00CF77C1">
        <w:rPr>
          <w:lang w:val="sr-Cyrl-RS"/>
        </w:rPr>
      </w:r>
      <w:r w:rsidR="000642D2" w:rsidRPr="00CF77C1">
        <w:rPr>
          <w:lang w:val="sr-Cyrl-RS"/>
        </w:rPr>
        <w:fldChar w:fldCharType="separate"/>
      </w:r>
      <w:r w:rsidR="002D5918" w:rsidRPr="00CF77C1">
        <w:rPr>
          <w:lang w:val="sr-Cyrl-RS"/>
        </w:rPr>
        <w:t xml:space="preserve">таб. </w:t>
      </w:r>
      <w:r w:rsidR="002D5918">
        <w:rPr>
          <w:lang w:val="sr-Cyrl-RS"/>
        </w:rPr>
        <w:t>105</w:t>
      </w:r>
      <w:r w:rsidR="000642D2" w:rsidRPr="00CF77C1">
        <w:rPr>
          <w:lang w:val="sr-Cyrl-RS"/>
        </w:rPr>
        <w:fldChar w:fldCharType="end"/>
      </w:r>
      <w:r w:rsidRPr="00CF77C1">
        <w:rPr>
          <w:lang w:val="sr-Cyrl-RS"/>
        </w:rPr>
        <w:t>.</w:t>
      </w:r>
    </w:p>
    <w:p w14:paraId="6EACEB82" w14:textId="724FF1C0" w:rsidR="0028406A" w:rsidRPr="00CF77C1" w:rsidRDefault="00D61BC9" w:rsidP="005621E0">
      <w:pPr>
        <w:ind w:firstLine="720"/>
        <w:rPr>
          <w:lang w:val="sr-Cyrl-RS"/>
        </w:rPr>
      </w:pPr>
      <w:bookmarkStart w:id="180" w:name="_Ref469245665"/>
      <w:r w:rsidRPr="00CF77C1">
        <w:rPr>
          <w:lang w:val="sr-Cyrl-RS"/>
        </w:rPr>
        <w:t>таб.</w:t>
      </w:r>
      <w:r w:rsidR="0028406A" w:rsidRPr="00CF77C1">
        <w:rPr>
          <w:lang w:val="sr-Cyrl-RS"/>
        </w:rPr>
        <w:t xml:space="preserve"> </w:t>
      </w:r>
      <w:r w:rsidR="0092145E" w:rsidRPr="00CF77C1">
        <w:rPr>
          <w:lang w:val="sr-Cyrl-RS"/>
        </w:rPr>
        <w:fldChar w:fldCharType="begin"/>
      </w:r>
      <w:r w:rsidRPr="00CF77C1">
        <w:rPr>
          <w:lang w:val="sr-Cyrl-RS"/>
        </w:rPr>
        <w:instrText xml:space="preserve"> SEQ таб. \* ARABIC </w:instrText>
      </w:r>
      <w:r w:rsidR="0092145E" w:rsidRPr="00CF77C1">
        <w:rPr>
          <w:lang w:val="sr-Cyrl-RS"/>
        </w:rPr>
        <w:fldChar w:fldCharType="separate"/>
      </w:r>
      <w:r w:rsidR="002D5918">
        <w:rPr>
          <w:noProof/>
          <w:lang w:val="sr-Cyrl-RS"/>
        </w:rPr>
        <w:t>105</w:t>
      </w:r>
      <w:r w:rsidR="0092145E" w:rsidRPr="00CF77C1">
        <w:rPr>
          <w:lang w:val="sr-Cyrl-RS"/>
        </w:rPr>
        <w:fldChar w:fldCharType="end"/>
      </w:r>
      <w:bookmarkEnd w:id="180"/>
      <w:r w:rsidR="0028406A" w:rsidRPr="00CF77C1">
        <w:rPr>
          <w:lang w:val="sr-Cyrl-RS"/>
        </w:rPr>
        <w:t>: Рекапитулација трошкова истраживања у једном временском циклусу</w:t>
      </w:r>
    </w:p>
    <w:tbl>
      <w:tblPr>
        <w:tblW w:w="6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1559"/>
      </w:tblGrid>
      <w:tr w:rsidR="0028406A" w:rsidRPr="00CF77C1" w14:paraId="788AC883" w14:textId="77777777" w:rsidTr="00276B15">
        <w:trPr>
          <w:trHeight w:val="215"/>
        </w:trPr>
        <w:tc>
          <w:tcPr>
            <w:tcW w:w="4962" w:type="dxa"/>
            <w:vAlign w:val="center"/>
          </w:tcPr>
          <w:p w14:paraId="7AD3BE1A"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Радови</w:t>
            </w:r>
          </w:p>
        </w:tc>
        <w:tc>
          <w:tcPr>
            <w:tcW w:w="1559" w:type="dxa"/>
            <w:vAlign w:val="center"/>
          </w:tcPr>
          <w:p w14:paraId="2830F098" w14:textId="77777777" w:rsidR="0028406A" w:rsidRPr="00CF77C1" w:rsidRDefault="0028406A" w:rsidP="0080044B">
            <w:pPr>
              <w:framePr w:hSpace="181" w:wrap="notBeside" w:vAnchor="text" w:hAnchor="text" w:x="109" w:y="1"/>
              <w:jc w:val="center"/>
              <w:rPr>
                <w:szCs w:val="24"/>
                <w:lang w:val="sr-Cyrl-RS"/>
              </w:rPr>
            </w:pPr>
            <w:r w:rsidRPr="00CF77C1">
              <w:rPr>
                <w:szCs w:val="24"/>
                <w:lang w:val="sr-Cyrl-RS"/>
              </w:rPr>
              <w:t>Износ (€)</w:t>
            </w:r>
          </w:p>
        </w:tc>
      </w:tr>
      <w:tr w:rsidR="0028406A" w:rsidRPr="00CF77C1" w14:paraId="2F9851DB" w14:textId="77777777" w:rsidTr="00276B15">
        <w:trPr>
          <w:trHeight w:val="233"/>
        </w:trPr>
        <w:tc>
          <w:tcPr>
            <w:tcW w:w="4962" w:type="dxa"/>
            <w:vAlign w:val="center"/>
          </w:tcPr>
          <w:p w14:paraId="7F3B4CDC"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Вишенаменски истражни радови</w:t>
            </w:r>
          </w:p>
        </w:tc>
        <w:tc>
          <w:tcPr>
            <w:tcW w:w="1559" w:type="dxa"/>
            <w:vAlign w:val="center"/>
          </w:tcPr>
          <w:p w14:paraId="21009D1E"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1.500.000</w:t>
            </w:r>
          </w:p>
        </w:tc>
      </w:tr>
      <w:tr w:rsidR="0028406A" w:rsidRPr="00CF77C1" w14:paraId="0017614F" w14:textId="77777777" w:rsidTr="00276B15">
        <w:tc>
          <w:tcPr>
            <w:tcW w:w="4962" w:type="dxa"/>
            <w:vAlign w:val="center"/>
          </w:tcPr>
          <w:p w14:paraId="0188FCC1"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Геолошки истражни радови</w:t>
            </w:r>
          </w:p>
        </w:tc>
        <w:tc>
          <w:tcPr>
            <w:tcW w:w="1559" w:type="dxa"/>
            <w:vAlign w:val="center"/>
          </w:tcPr>
          <w:p w14:paraId="7F552272"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1.000.000</w:t>
            </w:r>
          </w:p>
        </w:tc>
      </w:tr>
      <w:tr w:rsidR="0028406A" w:rsidRPr="00CF77C1" w14:paraId="6D7BC3C1" w14:textId="77777777" w:rsidTr="00276B15">
        <w:tc>
          <w:tcPr>
            <w:tcW w:w="4962" w:type="dxa"/>
            <w:vAlign w:val="center"/>
          </w:tcPr>
          <w:p w14:paraId="1BFCD650"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Геотехнички истражни радови</w:t>
            </w:r>
          </w:p>
        </w:tc>
        <w:tc>
          <w:tcPr>
            <w:tcW w:w="1559" w:type="dxa"/>
            <w:vAlign w:val="center"/>
          </w:tcPr>
          <w:p w14:paraId="4DB680E6"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200.000</w:t>
            </w:r>
          </w:p>
        </w:tc>
      </w:tr>
      <w:tr w:rsidR="0028406A" w:rsidRPr="00CF77C1" w14:paraId="2F2D35AC" w14:textId="77777777" w:rsidTr="00276B15">
        <w:trPr>
          <w:trHeight w:val="287"/>
        </w:trPr>
        <w:tc>
          <w:tcPr>
            <w:tcW w:w="4962" w:type="dxa"/>
            <w:vAlign w:val="center"/>
          </w:tcPr>
          <w:p w14:paraId="4011B8E7"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Хидрогеолошки истражни радови</w:t>
            </w:r>
          </w:p>
        </w:tc>
        <w:tc>
          <w:tcPr>
            <w:tcW w:w="1559" w:type="dxa"/>
            <w:vAlign w:val="center"/>
          </w:tcPr>
          <w:p w14:paraId="02EF3E14"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1.300.000</w:t>
            </w:r>
          </w:p>
        </w:tc>
      </w:tr>
      <w:tr w:rsidR="0028406A" w:rsidRPr="00CF77C1" w14:paraId="3F37675F" w14:textId="77777777" w:rsidTr="00276B15">
        <w:trPr>
          <w:trHeight w:val="152"/>
        </w:trPr>
        <w:tc>
          <w:tcPr>
            <w:tcW w:w="4962" w:type="dxa"/>
            <w:vAlign w:val="center"/>
          </w:tcPr>
          <w:p w14:paraId="7470C7FF" w14:textId="77777777" w:rsidR="0028406A" w:rsidRPr="00CF77C1" w:rsidRDefault="0028406A" w:rsidP="0080044B">
            <w:pPr>
              <w:framePr w:hSpace="181" w:wrap="notBeside" w:vAnchor="text" w:hAnchor="text" w:x="109" w:y="1"/>
              <w:jc w:val="left"/>
              <w:rPr>
                <w:szCs w:val="24"/>
                <w:lang w:val="sr-Cyrl-RS"/>
              </w:rPr>
            </w:pPr>
            <w:r w:rsidRPr="00CF77C1">
              <w:rPr>
                <w:szCs w:val="24"/>
                <w:lang w:val="sr-Cyrl-RS"/>
              </w:rPr>
              <w:t>Укупно</w:t>
            </w:r>
          </w:p>
        </w:tc>
        <w:tc>
          <w:tcPr>
            <w:tcW w:w="1559" w:type="dxa"/>
            <w:vAlign w:val="center"/>
          </w:tcPr>
          <w:p w14:paraId="25B5818B" w14:textId="77777777" w:rsidR="0028406A" w:rsidRPr="00CF77C1" w:rsidRDefault="0028406A" w:rsidP="0080044B">
            <w:pPr>
              <w:framePr w:hSpace="181" w:wrap="notBeside" w:vAnchor="text" w:hAnchor="text" w:x="109" w:y="1"/>
              <w:jc w:val="right"/>
              <w:rPr>
                <w:szCs w:val="24"/>
                <w:lang w:val="sr-Cyrl-RS"/>
              </w:rPr>
            </w:pPr>
            <w:r w:rsidRPr="00CF77C1">
              <w:rPr>
                <w:szCs w:val="24"/>
                <w:lang w:val="sr-Cyrl-RS"/>
              </w:rPr>
              <w:t>4.000.000</w:t>
            </w:r>
          </w:p>
        </w:tc>
      </w:tr>
    </w:tbl>
    <w:p w14:paraId="4B8571FD" w14:textId="6441A16F" w:rsidR="0028406A" w:rsidRPr="00CF77C1" w:rsidRDefault="0028406A" w:rsidP="005621E0">
      <w:pPr>
        <w:ind w:firstLine="720"/>
        <w:rPr>
          <w:lang w:val="sr-Cyrl-RS"/>
        </w:rPr>
      </w:pPr>
      <w:r w:rsidRPr="00CF77C1">
        <w:rPr>
          <w:lang w:val="sr-Cyrl-RS"/>
        </w:rPr>
        <w:t xml:space="preserve">Планирани обим геолошких истражних радова на лежишту Дрмно до краја експлоатације, реализоваће се у </w:t>
      </w:r>
      <w:r w:rsidR="00C40F07">
        <w:rPr>
          <w:lang w:val="sr-Cyrl-RS"/>
        </w:rPr>
        <w:t xml:space="preserve">осам </w:t>
      </w:r>
      <w:r w:rsidRPr="00CF77C1">
        <w:rPr>
          <w:lang w:val="sr-Cyrl-RS"/>
        </w:rPr>
        <w:t xml:space="preserve">петогодишњих циклуса, а планирана укупна средства су 32.000.000 €. По петогодишњем циклусу планирана средства износе 4.000.000 €, односно 800.000 € годишње. Истражни радови се спроводе по условљеној динамици радова на </w:t>
      </w:r>
      <w:r w:rsidR="00A84557" w:rsidRPr="00CF77C1">
        <w:rPr>
          <w:lang w:val="sr-Cyrl-RS"/>
        </w:rPr>
        <w:t>експлоатацији угља у смислу прек</w:t>
      </w:r>
      <w:r w:rsidRPr="00CF77C1">
        <w:rPr>
          <w:lang w:val="sr-Cyrl-RS"/>
        </w:rPr>
        <w:t>атегоризације расположивих резерви у категорије вишег степена истражености.</w:t>
      </w:r>
    </w:p>
    <w:p w14:paraId="5972E5E1" w14:textId="77777777" w:rsidR="0028406A" w:rsidRPr="00CF77C1" w:rsidRDefault="0028406A" w:rsidP="005621E0">
      <w:pPr>
        <w:spacing w:before="240"/>
        <w:ind w:firstLine="720"/>
        <w:rPr>
          <w:u w:val="single"/>
          <w:lang w:val="sr-Cyrl-RS"/>
        </w:rPr>
      </w:pPr>
      <w:r w:rsidRPr="00CF77C1">
        <w:rPr>
          <w:u w:val="single"/>
          <w:lang w:val="sr-Cyrl-RS"/>
        </w:rPr>
        <w:t>Јавно предузеће за подземну експлоатацију</w:t>
      </w:r>
    </w:p>
    <w:p w14:paraId="27E9C2F4" w14:textId="34A51B04" w:rsidR="0028406A" w:rsidRPr="00CF77C1" w:rsidRDefault="0028406A" w:rsidP="005621E0">
      <w:pPr>
        <w:ind w:firstLine="720"/>
        <w:rPr>
          <w:lang w:val="sr-Cyrl-RS"/>
        </w:rPr>
      </w:pPr>
      <w:r w:rsidRPr="00CF77C1">
        <w:rPr>
          <w:lang w:val="sr-Cyrl-RS"/>
        </w:rPr>
        <w:t>У ЈП за подземну експлоатацију угља стање резерви угља на дан 31.</w:t>
      </w:r>
      <w:r w:rsidR="005E0737" w:rsidRPr="00CF77C1">
        <w:rPr>
          <w:lang w:val="sr-Cyrl-RS"/>
        </w:rPr>
        <w:t> </w:t>
      </w:r>
      <w:r w:rsidR="005E7F26">
        <w:rPr>
          <w:lang w:val="sr-Cyrl-RS"/>
        </w:rPr>
        <w:t>децембра</w:t>
      </w:r>
      <w:r w:rsidR="005E0737" w:rsidRPr="00CF77C1">
        <w:rPr>
          <w:lang w:val="sr-Cyrl-RS"/>
        </w:rPr>
        <w:t> </w:t>
      </w:r>
      <w:r w:rsidRPr="00CF77C1">
        <w:rPr>
          <w:lang w:val="sr-Cyrl-RS"/>
        </w:rPr>
        <w:t>2015</w:t>
      </w:r>
      <w:r w:rsidR="005E7F26">
        <w:rPr>
          <w:lang w:val="sr-Cyrl-RS"/>
        </w:rPr>
        <w:t>. године</w:t>
      </w:r>
      <w:r w:rsidRPr="00CF77C1">
        <w:rPr>
          <w:lang w:val="sr-Cyrl-RS"/>
        </w:rPr>
        <w:t xml:space="preserve"> износе око 600.000.000 </w:t>
      </w:r>
      <w:r w:rsidR="00537E82" w:rsidRPr="00CF77C1">
        <w:rPr>
          <w:szCs w:val="24"/>
          <w:lang w:val="sr-Cyrl-RS"/>
        </w:rPr>
        <w:t>t</w:t>
      </w:r>
      <w:r w:rsidRPr="00CF77C1">
        <w:rPr>
          <w:lang w:val="sr-Cyrl-RS"/>
        </w:rPr>
        <w:t xml:space="preserve"> угља, при чему највећи удео имају мрколигнитски и лигнитски </w:t>
      </w:r>
      <w:r w:rsidRPr="00655D7B">
        <w:rPr>
          <w:lang w:val="sr-Cyrl-RS"/>
        </w:rPr>
        <w:t>угљеви</w:t>
      </w:r>
      <w:r w:rsidRPr="00CF77C1">
        <w:rPr>
          <w:lang w:val="sr-Cyrl-RS"/>
        </w:rPr>
        <w:t>.</w:t>
      </w:r>
    </w:p>
    <w:p w14:paraId="4DE8D8CA" w14:textId="6A49FA0E" w:rsidR="0028406A" w:rsidRPr="00CF77C1" w:rsidRDefault="00D61BC9" w:rsidP="005621E0">
      <w:pPr>
        <w:pStyle w:val="Caption"/>
        <w:ind w:firstLine="720"/>
        <w:rPr>
          <w:b w:val="0"/>
          <w:lang w:val="sr-Cyrl-RS"/>
        </w:rPr>
      </w:pPr>
      <w:r w:rsidRPr="00CF77C1">
        <w:rPr>
          <w:b w:val="0"/>
          <w:lang w:val="sr-Cyrl-RS"/>
        </w:rPr>
        <w:t>таб.</w:t>
      </w:r>
      <w:r w:rsidR="0028406A"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106</w:t>
      </w:r>
      <w:r w:rsidR="0092145E" w:rsidRPr="00CF77C1">
        <w:rPr>
          <w:b w:val="0"/>
          <w:lang w:val="sr-Cyrl-RS"/>
        </w:rPr>
        <w:fldChar w:fldCharType="end"/>
      </w:r>
      <w:r w:rsidR="0028406A" w:rsidRPr="00CF77C1">
        <w:rPr>
          <w:b w:val="0"/>
          <w:lang w:val="sr-Cyrl-RS"/>
        </w:rPr>
        <w:t>: Табеларни приказ резерви угља у у ЈП за Подземну експлоатацију угља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2283"/>
        <w:gridCol w:w="2293"/>
        <w:gridCol w:w="2283"/>
      </w:tblGrid>
      <w:tr w:rsidR="0028406A" w:rsidRPr="00CF77C1" w14:paraId="5C51735C" w14:textId="77777777" w:rsidTr="0028406A">
        <w:tc>
          <w:tcPr>
            <w:tcW w:w="2518" w:type="dxa"/>
            <w:shd w:val="clear" w:color="auto" w:fill="auto"/>
            <w:vAlign w:val="center"/>
          </w:tcPr>
          <w:p w14:paraId="78D1A887" w14:textId="77777777" w:rsidR="0028406A" w:rsidRPr="00CF77C1" w:rsidRDefault="0028406A" w:rsidP="0080044B">
            <w:pPr>
              <w:framePr w:hSpace="181" w:wrap="notBeside" w:vAnchor="text" w:hAnchor="text" w:y="1"/>
              <w:jc w:val="center"/>
              <w:rPr>
                <w:lang w:val="sr-Cyrl-RS"/>
              </w:rPr>
            </w:pPr>
          </w:p>
        </w:tc>
        <w:tc>
          <w:tcPr>
            <w:tcW w:w="2351" w:type="dxa"/>
            <w:shd w:val="clear" w:color="auto" w:fill="auto"/>
            <w:vAlign w:val="center"/>
          </w:tcPr>
          <w:p w14:paraId="1E3B3982" w14:textId="77777777" w:rsidR="0028406A" w:rsidRPr="00CF77C1" w:rsidRDefault="0028406A" w:rsidP="0080044B">
            <w:pPr>
              <w:framePr w:hSpace="181" w:wrap="notBeside" w:vAnchor="text" w:hAnchor="text" w:y="1"/>
              <w:jc w:val="center"/>
              <w:rPr>
                <w:lang w:val="sr-Cyrl-RS"/>
              </w:rPr>
            </w:pPr>
            <w:r w:rsidRPr="00CF77C1">
              <w:rPr>
                <w:lang w:val="sr-Cyrl-RS"/>
              </w:rPr>
              <w:t>Билансне</w:t>
            </w:r>
            <w:r w:rsidR="00EC7E28" w:rsidRPr="00CF77C1">
              <w:rPr>
                <w:lang w:val="sr-Cyrl-RS"/>
              </w:rPr>
              <w:t xml:space="preserve"> </w:t>
            </w:r>
            <w:r w:rsidRPr="00CF77C1">
              <w:rPr>
                <w:lang w:val="sr-Cyrl-RS"/>
              </w:rPr>
              <w:t>резерве (</w:t>
            </w:r>
            <w:r w:rsidRPr="00CF77C1">
              <w:rPr>
                <w:szCs w:val="24"/>
                <w:lang w:val="sr-Cyrl-RS"/>
              </w:rPr>
              <w:t>t</w:t>
            </w:r>
            <w:r w:rsidRPr="00CF77C1">
              <w:rPr>
                <w:lang w:val="sr-Cyrl-RS"/>
              </w:rPr>
              <w:t>)</w:t>
            </w:r>
          </w:p>
        </w:tc>
        <w:tc>
          <w:tcPr>
            <w:tcW w:w="2351" w:type="dxa"/>
            <w:shd w:val="clear" w:color="auto" w:fill="auto"/>
            <w:vAlign w:val="center"/>
          </w:tcPr>
          <w:p w14:paraId="6119EA72" w14:textId="77777777" w:rsidR="0028406A" w:rsidRPr="00CF77C1" w:rsidRDefault="0028406A" w:rsidP="0080044B">
            <w:pPr>
              <w:framePr w:hSpace="181" w:wrap="notBeside" w:vAnchor="text" w:hAnchor="text" w:y="1"/>
              <w:jc w:val="center"/>
              <w:rPr>
                <w:lang w:val="sr-Cyrl-RS"/>
              </w:rPr>
            </w:pPr>
            <w:r w:rsidRPr="00CF77C1">
              <w:rPr>
                <w:lang w:val="sr-Cyrl-RS"/>
              </w:rPr>
              <w:t>Ванбилансне резерве (</w:t>
            </w:r>
            <w:r w:rsidRPr="00CF77C1">
              <w:rPr>
                <w:szCs w:val="24"/>
                <w:lang w:val="sr-Cyrl-RS"/>
              </w:rPr>
              <w:t>t</w:t>
            </w:r>
            <w:r w:rsidRPr="00CF77C1">
              <w:rPr>
                <w:lang w:val="sr-Cyrl-RS"/>
              </w:rPr>
              <w:t>)</w:t>
            </w:r>
          </w:p>
        </w:tc>
        <w:tc>
          <w:tcPr>
            <w:tcW w:w="2351" w:type="dxa"/>
            <w:shd w:val="clear" w:color="auto" w:fill="auto"/>
            <w:vAlign w:val="center"/>
          </w:tcPr>
          <w:p w14:paraId="3A43F66C" w14:textId="77777777" w:rsidR="0028406A" w:rsidRPr="00CF77C1" w:rsidRDefault="0028406A" w:rsidP="0080044B">
            <w:pPr>
              <w:framePr w:hSpace="181" w:wrap="notBeside" w:vAnchor="text" w:hAnchor="text" w:y="1"/>
              <w:jc w:val="center"/>
              <w:rPr>
                <w:lang w:val="sr-Cyrl-RS"/>
              </w:rPr>
            </w:pPr>
            <w:r w:rsidRPr="00CF77C1">
              <w:rPr>
                <w:lang w:val="sr-Cyrl-RS"/>
              </w:rPr>
              <w:t>Укупно (</w:t>
            </w:r>
            <w:r w:rsidRPr="00CF77C1">
              <w:rPr>
                <w:szCs w:val="24"/>
                <w:lang w:val="sr-Cyrl-RS"/>
              </w:rPr>
              <w:t>t</w:t>
            </w:r>
            <w:r w:rsidRPr="00CF77C1">
              <w:rPr>
                <w:lang w:val="sr-Cyrl-RS"/>
              </w:rPr>
              <w:t>)</w:t>
            </w:r>
          </w:p>
        </w:tc>
      </w:tr>
      <w:tr w:rsidR="0028406A" w:rsidRPr="00CF77C1" w14:paraId="5FD73240" w14:textId="77777777" w:rsidTr="0028406A">
        <w:tc>
          <w:tcPr>
            <w:tcW w:w="2518" w:type="dxa"/>
            <w:shd w:val="clear" w:color="auto" w:fill="auto"/>
          </w:tcPr>
          <w:p w14:paraId="3BC3805E" w14:textId="77777777" w:rsidR="0028406A" w:rsidRPr="00CF77C1" w:rsidRDefault="0028406A" w:rsidP="0080044B">
            <w:pPr>
              <w:framePr w:hSpace="181" w:wrap="notBeside" w:vAnchor="text" w:hAnchor="text" w:y="1"/>
              <w:rPr>
                <w:lang w:val="sr-Cyrl-RS"/>
              </w:rPr>
            </w:pPr>
            <w:r w:rsidRPr="00CF77C1">
              <w:rPr>
                <w:lang w:val="sr-Cyrl-RS"/>
              </w:rPr>
              <w:t>Камени угаљ</w:t>
            </w:r>
          </w:p>
        </w:tc>
        <w:tc>
          <w:tcPr>
            <w:tcW w:w="2351" w:type="dxa"/>
            <w:shd w:val="clear" w:color="auto" w:fill="auto"/>
          </w:tcPr>
          <w:p w14:paraId="562057DC" w14:textId="77777777" w:rsidR="0028406A" w:rsidRPr="00CF77C1" w:rsidRDefault="0028406A" w:rsidP="0080044B">
            <w:pPr>
              <w:framePr w:hSpace="181" w:wrap="notBeside" w:vAnchor="text" w:hAnchor="text" w:y="1"/>
              <w:jc w:val="right"/>
              <w:rPr>
                <w:lang w:val="sr-Cyrl-RS"/>
              </w:rPr>
            </w:pPr>
            <w:r w:rsidRPr="00CF77C1">
              <w:rPr>
                <w:lang w:val="sr-Cyrl-RS"/>
              </w:rPr>
              <w:t>5.766.350</w:t>
            </w:r>
          </w:p>
        </w:tc>
        <w:tc>
          <w:tcPr>
            <w:tcW w:w="2351" w:type="dxa"/>
            <w:shd w:val="clear" w:color="auto" w:fill="auto"/>
          </w:tcPr>
          <w:p w14:paraId="31D7783A" w14:textId="77777777" w:rsidR="0028406A" w:rsidRPr="00CF77C1" w:rsidRDefault="0028406A" w:rsidP="0080044B">
            <w:pPr>
              <w:framePr w:hSpace="181" w:wrap="notBeside" w:vAnchor="text" w:hAnchor="text" w:y="1"/>
              <w:jc w:val="right"/>
              <w:rPr>
                <w:lang w:val="sr-Cyrl-RS"/>
              </w:rPr>
            </w:pPr>
            <w:r w:rsidRPr="00CF77C1">
              <w:rPr>
                <w:lang w:val="sr-Cyrl-RS"/>
              </w:rPr>
              <w:t>1.704.290</w:t>
            </w:r>
          </w:p>
        </w:tc>
        <w:tc>
          <w:tcPr>
            <w:tcW w:w="2351" w:type="dxa"/>
            <w:shd w:val="clear" w:color="auto" w:fill="auto"/>
          </w:tcPr>
          <w:p w14:paraId="322C12BA" w14:textId="77777777" w:rsidR="0028406A" w:rsidRPr="00CF77C1" w:rsidRDefault="0028406A" w:rsidP="0080044B">
            <w:pPr>
              <w:framePr w:hSpace="181" w:wrap="notBeside" w:vAnchor="text" w:hAnchor="text" w:y="1"/>
              <w:jc w:val="right"/>
              <w:rPr>
                <w:lang w:val="sr-Cyrl-RS"/>
              </w:rPr>
            </w:pPr>
            <w:r w:rsidRPr="00CF77C1">
              <w:rPr>
                <w:lang w:val="sr-Cyrl-RS"/>
              </w:rPr>
              <w:t>7.470.640</w:t>
            </w:r>
          </w:p>
        </w:tc>
      </w:tr>
      <w:tr w:rsidR="0028406A" w:rsidRPr="00CF77C1" w14:paraId="640A9FA3" w14:textId="77777777" w:rsidTr="0028406A">
        <w:tc>
          <w:tcPr>
            <w:tcW w:w="2518" w:type="dxa"/>
            <w:shd w:val="clear" w:color="auto" w:fill="auto"/>
          </w:tcPr>
          <w:p w14:paraId="5DAFA26E" w14:textId="77777777" w:rsidR="0028406A" w:rsidRPr="00CF77C1" w:rsidRDefault="0028406A" w:rsidP="0080044B">
            <w:pPr>
              <w:framePr w:hSpace="181" w:wrap="notBeside" w:vAnchor="text" w:hAnchor="text" w:y="1"/>
              <w:rPr>
                <w:lang w:val="sr-Cyrl-RS"/>
              </w:rPr>
            </w:pPr>
            <w:r w:rsidRPr="00CF77C1">
              <w:rPr>
                <w:lang w:val="sr-Cyrl-RS"/>
              </w:rPr>
              <w:t>Мрки угаљ</w:t>
            </w:r>
          </w:p>
        </w:tc>
        <w:tc>
          <w:tcPr>
            <w:tcW w:w="2351" w:type="dxa"/>
            <w:shd w:val="clear" w:color="auto" w:fill="auto"/>
          </w:tcPr>
          <w:p w14:paraId="35F7465B" w14:textId="77777777" w:rsidR="0028406A" w:rsidRPr="00CF77C1" w:rsidRDefault="0028406A" w:rsidP="0080044B">
            <w:pPr>
              <w:framePr w:hSpace="181" w:wrap="notBeside" w:vAnchor="text" w:hAnchor="text" w:y="1"/>
              <w:jc w:val="right"/>
              <w:rPr>
                <w:lang w:val="sr-Cyrl-RS"/>
              </w:rPr>
            </w:pPr>
            <w:r w:rsidRPr="00CF77C1">
              <w:rPr>
                <w:lang w:val="sr-Cyrl-RS"/>
              </w:rPr>
              <w:t>79.761.340</w:t>
            </w:r>
          </w:p>
        </w:tc>
        <w:tc>
          <w:tcPr>
            <w:tcW w:w="2351" w:type="dxa"/>
            <w:shd w:val="clear" w:color="auto" w:fill="auto"/>
          </w:tcPr>
          <w:p w14:paraId="6A52D637" w14:textId="77777777" w:rsidR="0028406A" w:rsidRPr="00CF77C1" w:rsidRDefault="0028406A" w:rsidP="0080044B">
            <w:pPr>
              <w:framePr w:hSpace="181" w:wrap="notBeside" w:vAnchor="text" w:hAnchor="text" w:y="1"/>
              <w:jc w:val="right"/>
              <w:rPr>
                <w:lang w:val="sr-Cyrl-RS"/>
              </w:rPr>
            </w:pPr>
            <w:r w:rsidRPr="00CF77C1">
              <w:rPr>
                <w:lang w:val="sr-Cyrl-RS"/>
              </w:rPr>
              <w:t>21.366.760</w:t>
            </w:r>
          </w:p>
        </w:tc>
        <w:tc>
          <w:tcPr>
            <w:tcW w:w="2351" w:type="dxa"/>
            <w:shd w:val="clear" w:color="auto" w:fill="auto"/>
          </w:tcPr>
          <w:p w14:paraId="06F0EEED" w14:textId="77777777" w:rsidR="0028406A" w:rsidRPr="00CF77C1" w:rsidRDefault="0028406A" w:rsidP="0080044B">
            <w:pPr>
              <w:framePr w:hSpace="181" w:wrap="notBeside" w:vAnchor="text" w:hAnchor="text" w:y="1"/>
              <w:jc w:val="right"/>
              <w:rPr>
                <w:lang w:val="sr-Cyrl-RS"/>
              </w:rPr>
            </w:pPr>
            <w:r w:rsidRPr="00CF77C1">
              <w:rPr>
                <w:lang w:val="sr-Cyrl-RS"/>
              </w:rPr>
              <w:t>101.128.100</w:t>
            </w:r>
          </w:p>
        </w:tc>
      </w:tr>
      <w:tr w:rsidR="0028406A" w:rsidRPr="00CF77C1" w14:paraId="0553FD80" w14:textId="77777777" w:rsidTr="0028406A">
        <w:tc>
          <w:tcPr>
            <w:tcW w:w="2518" w:type="dxa"/>
            <w:shd w:val="clear" w:color="auto" w:fill="auto"/>
          </w:tcPr>
          <w:p w14:paraId="069B0A22" w14:textId="77777777" w:rsidR="0028406A" w:rsidRPr="00CF77C1" w:rsidRDefault="0028406A" w:rsidP="0080044B">
            <w:pPr>
              <w:framePr w:hSpace="181" w:wrap="notBeside" w:vAnchor="text" w:hAnchor="text" w:y="1"/>
              <w:rPr>
                <w:lang w:val="sr-Cyrl-RS"/>
              </w:rPr>
            </w:pPr>
            <w:r w:rsidRPr="00CF77C1">
              <w:rPr>
                <w:lang w:val="sr-Cyrl-RS"/>
              </w:rPr>
              <w:t>Мрколигнитски угаљ</w:t>
            </w:r>
          </w:p>
        </w:tc>
        <w:tc>
          <w:tcPr>
            <w:tcW w:w="2351" w:type="dxa"/>
            <w:shd w:val="clear" w:color="auto" w:fill="auto"/>
          </w:tcPr>
          <w:p w14:paraId="04E06CA2" w14:textId="77777777" w:rsidR="0028406A" w:rsidRPr="00CF77C1" w:rsidRDefault="0028406A" w:rsidP="0080044B">
            <w:pPr>
              <w:framePr w:hSpace="181" w:wrap="notBeside" w:vAnchor="text" w:hAnchor="text" w:y="1"/>
              <w:jc w:val="right"/>
              <w:rPr>
                <w:lang w:val="sr-Cyrl-RS"/>
              </w:rPr>
            </w:pPr>
            <w:r w:rsidRPr="00CF77C1">
              <w:rPr>
                <w:lang w:val="sr-Cyrl-RS"/>
              </w:rPr>
              <w:t>330.864.180</w:t>
            </w:r>
          </w:p>
        </w:tc>
        <w:tc>
          <w:tcPr>
            <w:tcW w:w="2351" w:type="dxa"/>
            <w:shd w:val="clear" w:color="auto" w:fill="auto"/>
          </w:tcPr>
          <w:p w14:paraId="30B431C2" w14:textId="77777777" w:rsidR="0028406A" w:rsidRPr="00CF77C1" w:rsidRDefault="0028406A" w:rsidP="0080044B">
            <w:pPr>
              <w:framePr w:hSpace="181" w:wrap="notBeside" w:vAnchor="text" w:hAnchor="text" w:y="1"/>
              <w:jc w:val="right"/>
              <w:rPr>
                <w:lang w:val="sr-Cyrl-RS"/>
              </w:rPr>
            </w:pPr>
            <w:r w:rsidRPr="00CF77C1">
              <w:rPr>
                <w:lang w:val="sr-Cyrl-RS"/>
              </w:rPr>
              <w:t>12.673.460</w:t>
            </w:r>
          </w:p>
        </w:tc>
        <w:tc>
          <w:tcPr>
            <w:tcW w:w="2351" w:type="dxa"/>
            <w:shd w:val="clear" w:color="auto" w:fill="auto"/>
          </w:tcPr>
          <w:p w14:paraId="0BE5AE14" w14:textId="77777777" w:rsidR="0028406A" w:rsidRPr="00CF77C1" w:rsidRDefault="0028406A" w:rsidP="0080044B">
            <w:pPr>
              <w:framePr w:hSpace="181" w:wrap="notBeside" w:vAnchor="text" w:hAnchor="text" w:y="1"/>
              <w:jc w:val="right"/>
              <w:rPr>
                <w:lang w:val="sr-Cyrl-RS"/>
              </w:rPr>
            </w:pPr>
            <w:r w:rsidRPr="00CF77C1">
              <w:rPr>
                <w:lang w:val="sr-Cyrl-RS"/>
              </w:rPr>
              <w:t>343.507.640</w:t>
            </w:r>
          </w:p>
        </w:tc>
      </w:tr>
      <w:tr w:rsidR="0028406A" w:rsidRPr="00CF77C1" w14:paraId="3432D249" w14:textId="77777777" w:rsidTr="0028406A">
        <w:tc>
          <w:tcPr>
            <w:tcW w:w="2518" w:type="dxa"/>
            <w:shd w:val="clear" w:color="auto" w:fill="auto"/>
          </w:tcPr>
          <w:p w14:paraId="0230CEE0" w14:textId="77777777" w:rsidR="0028406A" w:rsidRPr="00CF77C1" w:rsidRDefault="0028406A" w:rsidP="0080044B">
            <w:pPr>
              <w:framePr w:hSpace="181" w:wrap="notBeside" w:vAnchor="text" w:hAnchor="text" w:y="1"/>
              <w:rPr>
                <w:lang w:val="sr-Cyrl-RS"/>
              </w:rPr>
            </w:pPr>
            <w:r w:rsidRPr="00CF77C1">
              <w:rPr>
                <w:lang w:val="sr-Cyrl-RS"/>
              </w:rPr>
              <w:t>Лигнит</w:t>
            </w:r>
          </w:p>
        </w:tc>
        <w:tc>
          <w:tcPr>
            <w:tcW w:w="2351" w:type="dxa"/>
            <w:shd w:val="clear" w:color="auto" w:fill="auto"/>
          </w:tcPr>
          <w:p w14:paraId="257D23C5" w14:textId="77777777" w:rsidR="0028406A" w:rsidRPr="00CF77C1" w:rsidRDefault="0028406A" w:rsidP="0080044B">
            <w:pPr>
              <w:framePr w:hSpace="181" w:wrap="notBeside" w:vAnchor="text" w:hAnchor="text" w:y="1"/>
              <w:jc w:val="right"/>
              <w:rPr>
                <w:lang w:val="sr-Cyrl-RS"/>
              </w:rPr>
            </w:pPr>
            <w:r w:rsidRPr="00CF77C1">
              <w:rPr>
                <w:lang w:val="sr-Cyrl-RS"/>
              </w:rPr>
              <w:t>178.995.000</w:t>
            </w:r>
          </w:p>
        </w:tc>
        <w:tc>
          <w:tcPr>
            <w:tcW w:w="2351" w:type="dxa"/>
            <w:shd w:val="clear" w:color="auto" w:fill="auto"/>
          </w:tcPr>
          <w:p w14:paraId="4CD1FF7B" w14:textId="77777777" w:rsidR="0028406A" w:rsidRPr="00CF77C1" w:rsidRDefault="0028406A" w:rsidP="0080044B">
            <w:pPr>
              <w:framePr w:hSpace="181" w:wrap="notBeside" w:vAnchor="text" w:hAnchor="text" w:y="1"/>
              <w:jc w:val="right"/>
              <w:rPr>
                <w:lang w:val="sr-Cyrl-RS"/>
              </w:rPr>
            </w:pPr>
            <w:r w:rsidRPr="00CF77C1">
              <w:rPr>
                <w:lang w:val="sr-Cyrl-RS"/>
              </w:rPr>
              <w:t>3.184.000</w:t>
            </w:r>
          </w:p>
        </w:tc>
        <w:tc>
          <w:tcPr>
            <w:tcW w:w="2351" w:type="dxa"/>
            <w:shd w:val="clear" w:color="auto" w:fill="auto"/>
          </w:tcPr>
          <w:p w14:paraId="2F42E408" w14:textId="77777777" w:rsidR="0028406A" w:rsidRPr="00CF77C1" w:rsidRDefault="0028406A" w:rsidP="0080044B">
            <w:pPr>
              <w:framePr w:hSpace="181" w:wrap="notBeside" w:vAnchor="text" w:hAnchor="text" w:y="1"/>
              <w:jc w:val="right"/>
              <w:rPr>
                <w:lang w:val="sr-Cyrl-RS"/>
              </w:rPr>
            </w:pPr>
            <w:r w:rsidRPr="00CF77C1">
              <w:rPr>
                <w:lang w:val="sr-Cyrl-RS"/>
              </w:rPr>
              <w:t>182.179.000</w:t>
            </w:r>
          </w:p>
        </w:tc>
      </w:tr>
      <w:tr w:rsidR="0028406A" w:rsidRPr="00CF77C1" w14:paraId="393BD8E3" w14:textId="77777777" w:rsidTr="0028406A">
        <w:tc>
          <w:tcPr>
            <w:tcW w:w="2518" w:type="dxa"/>
            <w:shd w:val="clear" w:color="auto" w:fill="auto"/>
          </w:tcPr>
          <w:p w14:paraId="1CBA0A05" w14:textId="77777777" w:rsidR="0028406A" w:rsidRPr="00CF77C1" w:rsidRDefault="0028406A" w:rsidP="0080044B">
            <w:pPr>
              <w:framePr w:hSpace="181" w:wrap="notBeside" w:vAnchor="text" w:hAnchor="text" w:y="1"/>
              <w:rPr>
                <w:lang w:val="sr-Cyrl-RS"/>
              </w:rPr>
            </w:pPr>
            <w:r w:rsidRPr="00CF77C1">
              <w:rPr>
                <w:lang w:val="sr-Cyrl-RS"/>
              </w:rPr>
              <w:t>Укупно</w:t>
            </w:r>
          </w:p>
        </w:tc>
        <w:tc>
          <w:tcPr>
            <w:tcW w:w="2351" w:type="dxa"/>
            <w:shd w:val="clear" w:color="auto" w:fill="auto"/>
          </w:tcPr>
          <w:p w14:paraId="281F30F1" w14:textId="77777777" w:rsidR="0028406A" w:rsidRPr="00CF77C1" w:rsidRDefault="0028406A" w:rsidP="0080044B">
            <w:pPr>
              <w:framePr w:hSpace="181" w:wrap="notBeside" w:vAnchor="text" w:hAnchor="text" w:y="1"/>
              <w:jc w:val="right"/>
              <w:rPr>
                <w:lang w:val="sr-Cyrl-RS"/>
              </w:rPr>
            </w:pPr>
            <w:r w:rsidRPr="00CF77C1">
              <w:rPr>
                <w:lang w:val="sr-Cyrl-RS"/>
              </w:rPr>
              <w:t>595.356.870</w:t>
            </w:r>
          </w:p>
        </w:tc>
        <w:tc>
          <w:tcPr>
            <w:tcW w:w="2351" w:type="dxa"/>
            <w:shd w:val="clear" w:color="auto" w:fill="auto"/>
          </w:tcPr>
          <w:p w14:paraId="4FA56032" w14:textId="77777777" w:rsidR="0028406A" w:rsidRPr="00CF77C1" w:rsidRDefault="0028406A" w:rsidP="0080044B">
            <w:pPr>
              <w:framePr w:hSpace="181" w:wrap="notBeside" w:vAnchor="text" w:hAnchor="text" w:y="1"/>
              <w:jc w:val="right"/>
              <w:rPr>
                <w:lang w:val="sr-Cyrl-RS"/>
              </w:rPr>
            </w:pPr>
            <w:r w:rsidRPr="00CF77C1">
              <w:rPr>
                <w:lang w:val="sr-Cyrl-RS"/>
              </w:rPr>
              <w:t>38.928.510</w:t>
            </w:r>
          </w:p>
        </w:tc>
        <w:tc>
          <w:tcPr>
            <w:tcW w:w="2351" w:type="dxa"/>
            <w:shd w:val="clear" w:color="auto" w:fill="auto"/>
          </w:tcPr>
          <w:p w14:paraId="1668456B" w14:textId="77777777" w:rsidR="0028406A" w:rsidRPr="00CF77C1" w:rsidRDefault="0028406A" w:rsidP="0080044B">
            <w:pPr>
              <w:framePr w:hSpace="181" w:wrap="notBeside" w:vAnchor="text" w:hAnchor="text" w:y="1"/>
              <w:jc w:val="right"/>
              <w:rPr>
                <w:lang w:val="sr-Cyrl-RS"/>
              </w:rPr>
            </w:pPr>
            <w:r w:rsidRPr="00CF77C1">
              <w:rPr>
                <w:lang w:val="sr-Cyrl-RS"/>
              </w:rPr>
              <w:t>634.285.380</w:t>
            </w:r>
          </w:p>
        </w:tc>
      </w:tr>
    </w:tbl>
    <w:p w14:paraId="47FC4D16" w14:textId="77777777" w:rsidR="0028406A" w:rsidRPr="00CF77C1" w:rsidRDefault="0028406A" w:rsidP="005621E0">
      <w:pPr>
        <w:spacing w:before="240"/>
        <w:ind w:firstLine="720"/>
        <w:rPr>
          <w:u w:val="single"/>
          <w:lang w:val="sr-Cyrl-RS"/>
        </w:rPr>
      </w:pPr>
      <w:r w:rsidRPr="00CF77C1">
        <w:rPr>
          <w:u w:val="single"/>
          <w:lang w:val="sr-Cyrl-RS"/>
        </w:rPr>
        <w:t>Ковински угљени басен</w:t>
      </w:r>
    </w:p>
    <w:p w14:paraId="35262FEA" w14:textId="77777777" w:rsidR="0028406A" w:rsidRPr="00CF77C1" w:rsidRDefault="0028406A" w:rsidP="005621E0">
      <w:pPr>
        <w:ind w:firstLine="720"/>
        <w:rPr>
          <w:lang w:val="sr-Cyrl-RS"/>
        </w:rPr>
      </w:pPr>
      <w:r w:rsidRPr="00CF77C1">
        <w:rPr>
          <w:lang w:val="sr-Cyrl-RS"/>
        </w:rPr>
        <w:t xml:space="preserve">У ковинском басену (брањени и небрањени део) </w:t>
      </w:r>
      <w:r w:rsidR="004653CD" w:rsidRPr="00CF77C1">
        <w:rPr>
          <w:lang w:val="sr-Cyrl-RS"/>
        </w:rPr>
        <w:t>оверене су резерве на нивоу 271 милиона тона угља (5 милиона тона небрањени део и 266 милиона тона и брањеном делу).</w:t>
      </w:r>
    </w:p>
    <w:p w14:paraId="15090591" w14:textId="1BA93CD0" w:rsidR="0028406A" w:rsidRPr="00CF77C1" w:rsidRDefault="0028406A" w:rsidP="005621E0">
      <w:pPr>
        <w:ind w:firstLine="720"/>
        <w:rPr>
          <w:lang w:val="sr-Cyrl-RS"/>
        </w:rPr>
      </w:pPr>
      <w:r w:rsidRPr="00CF77C1">
        <w:rPr>
          <w:lang w:val="sr-Cyrl-RS"/>
        </w:rPr>
        <w:t>Укупне геолошке резерве за лежиште угља Ковин брањени део, поље А и поље Б</w:t>
      </w:r>
      <w:r w:rsidR="004653CD" w:rsidRPr="00CF77C1">
        <w:rPr>
          <w:lang w:val="sr-Cyrl-RS"/>
        </w:rPr>
        <w:t xml:space="preserve"> (Елаборат о резервама угља у лежишту Ковин поља А и Б 2015),</w:t>
      </w:r>
      <w:r w:rsidR="00EC7E28" w:rsidRPr="00CF77C1">
        <w:rPr>
          <w:lang w:val="sr-Cyrl-RS"/>
        </w:rPr>
        <w:t xml:space="preserve"> </w:t>
      </w:r>
      <w:r w:rsidRPr="00CF77C1">
        <w:rPr>
          <w:lang w:val="sr-Cyrl-RS"/>
        </w:rPr>
        <w:t xml:space="preserve">износе укупно 308.894.622 </w:t>
      </w:r>
      <w:r w:rsidRPr="00CF77C1">
        <w:rPr>
          <w:szCs w:val="24"/>
          <w:lang w:val="sr-Cyrl-RS"/>
        </w:rPr>
        <w:t>t</w:t>
      </w:r>
      <w:r w:rsidRPr="00CF77C1">
        <w:rPr>
          <w:lang w:val="sr-Cyrl-RS"/>
        </w:rPr>
        <w:t xml:space="preserve">, од чега 167.206.129 </w:t>
      </w:r>
      <w:r w:rsidRPr="00CF77C1">
        <w:rPr>
          <w:szCs w:val="24"/>
          <w:lang w:val="sr-Cyrl-RS"/>
        </w:rPr>
        <w:t>t</w:t>
      </w:r>
      <w:r w:rsidRPr="00CF77C1">
        <w:rPr>
          <w:lang w:val="sr-Cyrl-RS"/>
        </w:rPr>
        <w:t xml:space="preserve"> Б категорије и 141.688.493 </w:t>
      </w:r>
      <w:r w:rsidRPr="00CF77C1">
        <w:rPr>
          <w:szCs w:val="24"/>
          <w:lang w:val="sr-Cyrl-RS"/>
        </w:rPr>
        <w:t>t</w:t>
      </w:r>
      <w:r w:rsidRPr="00CF77C1">
        <w:rPr>
          <w:lang w:val="sr-Cyrl-RS"/>
        </w:rPr>
        <w:t xml:space="preserve"> Ц</w:t>
      </w:r>
      <w:r w:rsidRPr="00CF77C1">
        <w:rPr>
          <w:vertAlign w:val="subscript"/>
          <w:lang w:val="sr-Cyrl-RS"/>
        </w:rPr>
        <w:t>1</w:t>
      </w:r>
      <w:r w:rsidRPr="00CF77C1">
        <w:rPr>
          <w:lang w:val="sr-Cyrl-RS"/>
        </w:rPr>
        <w:t xml:space="preserve"> категорије. У билансне резерве су уврштене резерве Б и Ц</w:t>
      </w:r>
      <w:r w:rsidRPr="00CF77C1">
        <w:rPr>
          <w:vertAlign w:val="subscript"/>
          <w:lang w:val="sr-Cyrl-RS"/>
        </w:rPr>
        <w:t>1</w:t>
      </w:r>
      <w:r w:rsidRPr="00CF77C1">
        <w:rPr>
          <w:lang w:val="sr-Cyrl-RS"/>
        </w:rPr>
        <w:t xml:space="preserve"> катег</w:t>
      </w:r>
      <w:r w:rsidR="007B127B">
        <w:rPr>
          <w:lang w:val="sr-Cyrl-RS"/>
        </w:rPr>
        <w:t>о</w:t>
      </w:r>
      <w:r w:rsidRPr="00CF77C1">
        <w:rPr>
          <w:lang w:val="sr-Cyrl-RS"/>
        </w:rPr>
        <w:t xml:space="preserve">рије које су изнад коте 0 м. Испод ове коте се налазе геолошке резерве од 42.786.864 </w:t>
      </w:r>
      <w:r w:rsidRPr="00CF77C1">
        <w:rPr>
          <w:szCs w:val="24"/>
          <w:lang w:val="sr-Cyrl-RS"/>
        </w:rPr>
        <w:t>t</w:t>
      </w:r>
      <w:r w:rsidRPr="00CF77C1">
        <w:rPr>
          <w:lang w:val="sr-Cyrl-RS"/>
        </w:rPr>
        <w:t xml:space="preserve"> угља, које су ванбилансне. Оверене билансе резерве за лежиште угља Ковин брањени део, поље А и поље Б, износе укупно 266.107.758 </w:t>
      </w:r>
      <w:r w:rsidRPr="00CF77C1">
        <w:rPr>
          <w:szCs w:val="24"/>
          <w:lang w:val="sr-Cyrl-RS"/>
        </w:rPr>
        <w:t>t</w:t>
      </w:r>
      <w:r w:rsidRPr="00CF77C1">
        <w:rPr>
          <w:lang w:val="sr-Cyrl-RS"/>
        </w:rPr>
        <w:t xml:space="preserve"> Б+Ц</w:t>
      </w:r>
      <w:r w:rsidRPr="00CF77C1">
        <w:rPr>
          <w:vertAlign w:val="subscript"/>
          <w:lang w:val="sr-Cyrl-RS"/>
        </w:rPr>
        <w:t>1</w:t>
      </w:r>
      <w:r w:rsidRPr="00CF77C1">
        <w:rPr>
          <w:lang w:val="sr-Cyrl-RS"/>
        </w:rPr>
        <w:t xml:space="preserve">, категорије, од чега 165.575.751 </w:t>
      </w:r>
      <w:r w:rsidRPr="00CF77C1">
        <w:rPr>
          <w:szCs w:val="24"/>
          <w:lang w:val="sr-Cyrl-RS"/>
        </w:rPr>
        <w:t>t</w:t>
      </w:r>
      <w:r w:rsidRPr="00CF77C1">
        <w:rPr>
          <w:lang w:val="sr-Cyrl-RS"/>
        </w:rPr>
        <w:t xml:space="preserve"> Б категорије и 100.532.007 </w:t>
      </w:r>
      <w:r w:rsidRPr="00CF77C1">
        <w:rPr>
          <w:szCs w:val="24"/>
          <w:lang w:val="sr-Cyrl-RS"/>
        </w:rPr>
        <w:t>t</w:t>
      </w:r>
      <w:r w:rsidRPr="00CF77C1">
        <w:rPr>
          <w:lang w:val="sr-Cyrl-RS"/>
        </w:rPr>
        <w:t xml:space="preserve"> Ц</w:t>
      </w:r>
      <w:r w:rsidRPr="00CF77C1">
        <w:rPr>
          <w:vertAlign w:val="subscript"/>
          <w:lang w:val="sr-Cyrl-RS"/>
        </w:rPr>
        <w:t>1</w:t>
      </w:r>
      <w:r w:rsidRPr="00CF77C1">
        <w:rPr>
          <w:lang w:val="sr-Cyrl-RS"/>
        </w:rPr>
        <w:t xml:space="preserve"> категорије, са следећим средњим квалитетом угља: влага 42,83%, пепео 20,42%, S укупни 1,05%, S у пепелу 0,64%, S сагорљиви 0,59%, кокс 33,46%, C-fix 17,88%, Испарљиве материје 23,33%, Сагорљиве материје 39,63%, ДТЕ 8.914 kJ/kg, ГТЕ 10.120 kJ/kg. Експлоатациони губици износе 15%, што значи да су експлоатационе резерве у лежишту 226.</w:t>
      </w:r>
      <w:r w:rsidR="004653CD" w:rsidRPr="00CF77C1">
        <w:rPr>
          <w:lang w:val="sr-Cyrl-RS"/>
        </w:rPr>
        <w:t>107</w:t>
      </w:r>
      <w:r w:rsidRPr="00CF77C1">
        <w:rPr>
          <w:lang w:val="sr-Cyrl-RS"/>
        </w:rPr>
        <w:t>.</w:t>
      </w:r>
      <w:r w:rsidR="004653CD" w:rsidRPr="00CF77C1">
        <w:rPr>
          <w:lang w:val="sr-Cyrl-RS"/>
        </w:rPr>
        <w:t>758</w:t>
      </w:r>
      <w:r w:rsidRPr="00CF77C1">
        <w:rPr>
          <w:lang w:val="sr-Cyrl-RS"/>
        </w:rPr>
        <w:t xml:space="preserve"> </w:t>
      </w:r>
      <w:r w:rsidRPr="00CF77C1">
        <w:rPr>
          <w:szCs w:val="24"/>
          <w:lang w:val="sr-Cyrl-RS"/>
        </w:rPr>
        <w:t>t</w:t>
      </w:r>
      <w:r w:rsidRPr="00CF77C1">
        <w:rPr>
          <w:lang w:val="sr-Cyrl-RS"/>
        </w:rPr>
        <w:t xml:space="preserve"> угља. Квалитет угља је око 9000 kJ/kg.</w:t>
      </w:r>
    </w:p>
    <w:p w14:paraId="16275230" w14:textId="2B6D4F1E" w:rsidR="0028406A" w:rsidRPr="00CF77C1" w:rsidRDefault="0028406A" w:rsidP="005621E0">
      <w:pPr>
        <w:ind w:firstLine="720"/>
        <w:rPr>
          <w:lang w:val="sr-Cyrl-RS"/>
        </w:rPr>
      </w:pPr>
      <w:r w:rsidRPr="00CF77C1">
        <w:rPr>
          <w:lang w:val="sr-Cyrl-RS"/>
        </w:rPr>
        <w:t xml:space="preserve">Укупне резерве у небрањеном делу </w:t>
      </w:r>
      <w:r w:rsidR="004653CD" w:rsidRPr="00CF77C1">
        <w:rPr>
          <w:lang w:val="sr-Cyrl-RS"/>
        </w:rPr>
        <w:t xml:space="preserve">Поља А </w:t>
      </w:r>
      <w:r w:rsidRPr="00CF77C1">
        <w:rPr>
          <w:lang w:val="sr-Cyrl-RS"/>
        </w:rPr>
        <w:t xml:space="preserve">износе нешто преко 5.000.000 </w:t>
      </w:r>
      <w:r w:rsidR="00537E82" w:rsidRPr="00CF77C1">
        <w:rPr>
          <w:lang w:val="sr-Cyrl-RS"/>
        </w:rPr>
        <w:t>t</w:t>
      </w:r>
      <w:r w:rsidR="007B127B">
        <w:rPr>
          <w:lang w:val="sr-Cyrl-RS"/>
        </w:rPr>
        <w:t xml:space="preserve"> угља са топлотном вредношћу</w:t>
      </w:r>
      <w:r w:rsidRPr="00CF77C1">
        <w:rPr>
          <w:lang w:val="sr-Cyrl-RS"/>
        </w:rPr>
        <w:t xml:space="preserve"> од око 9000 kJ/kg и садржајем сумпора од 0,48%.</w:t>
      </w:r>
      <w:r w:rsidR="004653CD" w:rsidRPr="00CF77C1">
        <w:rPr>
          <w:lang w:val="sr-Cyrl-RS"/>
        </w:rPr>
        <w:t xml:space="preserve"> Поред тога оверене су и резерве шљунка од око 5.200.000 m</w:t>
      </w:r>
      <w:r w:rsidR="007B127B">
        <w:rPr>
          <w:vertAlign w:val="superscript"/>
          <w:lang w:val="sr-Cyrl-RS"/>
        </w:rPr>
        <w:t>3</w:t>
      </w:r>
      <w:r w:rsidR="004653CD" w:rsidRPr="00CF77C1">
        <w:rPr>
          <w:lang w:val="sr-Cyrl-RS"/>
        </w:rPr>
        <w:t>.</w:t>
      </w:r>
    </w:p>
    <w:p w14:paraId="7D88ABFD" w14:textId="0B57C42B" w:rsidR="00AF2314" w:rsidRPr="00CF77C1" w:rsidRDefault="004653CD" w:rsidP="005621E0">
      <w:pPr>
        <w:ind w:firstLine="720"/>
        <w:rPr>
          <w:lang w:val="sr-Cyrl-RS"/>
        </w:rPr>
      </w:pPr>
      <w:r w:rsidRPr="00CF77C1">
        <w:rPr>
          <w:lang w:val="sr-Cyrl-RS"/>
        </w:rPr>
        <w:t>Пројекат Ковин</w:t>
      </w:r>
      <w:r w:rsidR="00EC7E28" w:rsidRPr="00CF77C1">
        <w:rPr>
          <w:lang w:val="sr-Cyrl-RS"/>
        </w:rPr>
        <w:t xml:space="preserve"> </w:t>
      </w:r>
      <w:r w:rsidRPr="00CF77C1">
        <w:rPr>
          <w:lang w:val="sr-Cyrl-RS"/>
        </w:rPr>
        <w:t>је за сада потенцијални Пројекат који зависи од економских резултата студија оправданости за рудник и термоелектрану и његова права судбина ће се знати након завршетка ове две студије. Иначе, Пројекат представља изградњу новог рудника лигнита и наменске термоелектране предвиђеног инсталисаног капацитета 700 MW, на територији општине Ковин. Рудник лигнита ће користити технологију подводне експлоатације угља, која је већ присутна у постојећем руднику мањег капацитета односно Руднику Ковин а.д. и биће лоциран у брањеном делу на левој страни Дунава, у општини Ковин, јужно од насеља Гај и западно од насеља Дубовац.</w:t>
      </w:r>
    </w:p>
    <w:p w14:paraId="7F3AFDB8" w14:textId="1278163C" w:rsidR="004653CD" w:rsidRPr="00CF77C1" w:rsidRDefault="004653CD" w:rsidP="005621E0">
      <w:pPr>
        <w:ind w:firstLine="360"/>
        <w:rPr>
          <w:lang w:val="sr-Cyrl-RS"/>
        </w:rPr>
      </w:pPr>
      <w:r w:rsidRPr="00CF77C1">
        <w:rPr>
          <w:lang w:val="sr-Cyrl-RS"/>
        </w:rPr>
        <w:t>Овај пројекат подразумева:</w:t>
      </w:r>
      <w:r w:rsidR="005621E0" w:rsidRPr="00CF77C1">
        <w:rPr>
          <w:lang w:val="sr-Cyrl-RS"/>
        </w:rPr>
        <w:t xml:space="preserve"> </w:t>
      </w:r>
    </w:p>
    <w:p w14:paraId="152482F1" w14:textId="419A03B2" w:rsidR="004653CD" w:rsidRPr="00CF77C1" w:rsidRDefault="006D5E47" w:rsidP="005621E0">
      <w:pPr>
        <w:numPr>
          <w:ilvl w:val="0"/>
          <w:numId w:val="60"/>
        </w:numPr>
        <w:ind w:left="0" w:firstLine="720"/>
        <w:rPr>
          <w:lang w:val="sr-Cyrl-RS"/>
        </w:rPr>
      </w:pPr>
      <w:r w:rsidRPr="00CF77C1">
        <w:rPr>
          <w:lang w:val="sr-Cyrl-RS"/>
        </w:rPr>
        <w:t>и</w:t>
      </w:r>
      <w:r w:rsidR="004653CD" w:rsidRPr="00CF77C1">
        <w:rPr>
          <w:lang w:val="sr-Cyrl-RS"/>
        </w:rPr>
        <w:t>зградњу рудника угља у „брањеном</w:t>
      </w:r>
      <w:r w:rsidR="00AD5740" w:rsidRPr="00CF77C1">
        <w:rPr>
          <w:lang w:val="sr-Cyrl-RS"/>
        </w:rPr>
        <w:t>”</w:t>
      </w:r>
      <w:r w:rsidR="004653CD" w:rsidRPr="00CF77C1">
        <w:rPr>
          <w:lang w:val="sr-Cyrl-RS"/>
        </w:rPr>
        <w:t xml:space="preserve"> делу Ковинског лежишта (поља „А</w:t>
      </w:r>
      <w:r w:rsidR="00AD5740" w:rsidRPr="00CF77C1">
        <w:rPr>
          <w:lang w:val="sr-Cyrl-RS"/>
        </w:rPr>
        <w:t>”</w:t>
      </w:r>
      <w:r w:rsidR="004653CD" w:rsidRPr="00CF77C1">
        <w:rPr>
          <w:lang w:val="sr-Cyrl-RS"/>
        </w:rPr>
        <w:t xml:space="preserve"> и „Б</w:t>
      </w:r>
      <w:r w:rsidR="00AD5740" w:rsidRPr="00CF77C1">
        <w:rPr>
          <w:lang w:val="sr-Cyrl-RS"/>
        </w:rPr>
        <w:t>”</w:t>
      </w:r>
      <w:r w:rsidR="004653CD" w:rsidRPr="00CF77C1">
        <w:rPr>
          <w:lang w:val="sr-Cyrl-RS"/>
        </w:rPr>
        <w:t>) у Ковину са планираном годишњом производњом од 6 милиона тона, ради подводне експлоатације билансираних 266 милиона тона угља. Планиране инвест</w:t>
      </w:r>
      <w:r w:rsidRPr="00CF77C1">
        <w:rPr>
          <w:lang w:val="sr-Cyrl-RS"/>
        </w:rPr>
        <w:t>иције у рудник су 260 милиона €;</w:t>
      </w:r>
    </w:p>
    <w:p w14:paraId="34C01E36" w14:textId="7097127C" w:rsidR="004653CD" w:rsidRPr="00CF77C1" w:rsidRDefault="006D5E47" w:rsidP="005621E0">
      <w:pPr>
        <w:numPr>
          <w:ilvl w:val="0"/>
          <w:numId w:val="60"/>
        </w:numPr>
        <w:ind w:left="0" w:firstLine="720"/>
        <w:rPr>
          <w:lang w:val="sr-Cyrl-RS"/>
        </w:rPr>
      </w:pPr>
      <w:r w:rsidRPr="00CF77C1">
        <w:rPr>
          <w:lang w:val="sr-Cyrl-RS"/>
        </w:rPr>
        <w:t>и</w:t>
      </w:r>
      <w:r w:rsidR="004653CD" w:rsidRPr="00CF77C1">
        <w:rPr>
          <w:lang w:val="sr-Cyrl-RS"/>
        </w:rPr>
        <w:t>зградњу термоелектране оквирне инсталисане снаге од 700 MW, по свим прописаним стандардима ЕУ, који важе за изградњу великих ложишта. Планиране инвестиције у термоелектрану су 900 милиона €, а очекивана годишња производња е</w:t>
      </w:r>
      <w:r w:rsidRPr="00CF77C1">
        <w:rPr>
          <w:lang w:val="sr-Cyrl-RS"/>
        </w:rPr>
        <w:t>лектричне енергије око 4900 GWh;</w:t>
      </w:r>
    </w:p>
    <w:p w14:paraId="4953BC1B" w14:textId="50C1DF2A" w:rsidR="004653CD" w:rsidRPr="00CF77C1" w:rsidRDefault="006D5E47" w:rsidP="005621E0">
      <w:pPr>
        <w:numPr>
          <w:ilvl w:val="0"/>
          <w:numId w:val="60"/>
        </w:numPr>
        <w:ind w:left="0" w:firstLine="720"/>
        <w:rPr>
          <w:lang w:val="sr-Cyrl-RS"/>
        </w:rPr>
      </w:pPr>
      <w:r w:rsidRPr="00CF77C1">
        <w:rPr>
          <w:lang w:val="sr-Cyrl-RS"/>
        </w:rPr>
        <w:t>о</w:t>
      </w:r>
      <w:r w:rsidR="004653CD" w:rsidRPr="00CF77C1">
        <w:rPr>
          <w:lang w:val="sr-Cyrl-RS"/>
        </w:rPr>
        <w:t>чекивани радни век копа и електране је</w:t>
      </w:r>
      <w:r w:rsidR="00EC7E28" w:rsidRPr="00CF77C1">
        <w:rPr>
          <w:lang w:val="sr-Cyrl-RS"/>
        </w:rPr>
        <w:t xml:space="preserve"> </w:t>
      </w:r>
      <w:r w:rsidR="004653CD" w:rsidRPr="00CF77C1">
        <w:rPr>
          <w:lang w:val="sr-Cyrl-RS"/>
        </w:rPr>
        <w:t>&gt;35 година.</w:t>
      </w:r>
    </w:p>
    <w:p w14:paraId="2C644462" w14:textId="2DBE0E6A" w:rsidR="004653CD" w:rsidRPr="00CF77C1" w:rsidRDefault="004653CD" w:rsidP="005621E0">
      <w:pPr>
        <w:ind w:firstLine="720"/>
        <w:rPr>
          <w:lang w:val="sr-Cyrl-RS"/>
        </w:rPr>
      </w:pPr>
      <w:r w:rsidRPr="00CF77C1">
        <w:rPr>
          <w:lang w:val="sr-Cyrl-RS"/>
        </w:rPr>
        <w:t>У наредним годинама се очекује израда техничке документације потребне за исходовање одобрења за експлоатацију за рудник и енергетске дозволе за термоелектрану, пре свега Студије изводљивости за изградњу рудника и Студије изводљивости за изградњу термоелектране, где ће се оба документа развијати у складу са свим захтевима законодавства Републике Србије. По успешно окончаним Студијама изводљивости за рудник и термо</w:t>
      </w:r>
      <w:r w:rsidR="00192B78">
        <w:rPr>
          <w:lang w:val="sr-Cyrl-RS"/>
        </w:rPr>
        <w:t>електрану</w:t>
      </w:r>
      <w:r w:rsidRPr="00CF77C1">
        <w:rPr>
          <w:lang w:val="sr-Cyrl-RS"/>
        </w:rPr>
        <w:t xml:space="preserve"> биће познато више конкретних и прецизнијих података који се тичу Пројекта Ковин, а који у овом тренутку нису познати. Очекивани параметри који ће по успешном окончању поменутих студија бити познати се тичу:</w:t>
      </w:r>
    </w:p>
    <w:p w14:paraId="1DA01EA6" w14:textId="77777777" w:rsidR="004653CD" w:rsidRPr="00CF77C1" w:rsidRDefault="004653CD" w:rsidP="005621E0">
      <w:pPr>
        <w:numPr>
          <w:ilvl w:val="0"/>
          <w:numId w:val="60"/>
        </w:numPr>
        <w:ind w:left="0" w:firstLine="720"/>
        <w:rPr>
          <w:lang w:val="sr-Cyrl-RS"/>
        </w:rPr>
      </w:pPr>
      <w:r w:rsidRPr="00CF77C1">
        <w:rPr>
          <w:lang w:val="sr-Cyrl-RS"/>
        </w:rPr>
        <w:t>питања броја јединица тј блокова од којих ће се састојати термоелектрана;</w:t>
      </w:r>
    </w:p>
    <w:p w14:paraId="22C47EE1" w14:textId="77777777" w:rsidR="004653CD" w:rsidRPr="00CF77C1" w:rsidRDefault="004653CD" w:rsidP="005621E0">
      <w:pPr>
        <w:numPr>
          <w:ilvl w:val="0"/>
          <w:numId w:val="60"/>
        </w:numPr>
        <w:ind w:left="0" w:firstLine="720"/>
        <w:rPr>
          <w:lang w:val="sr-Cyrl-RS"/>
        </w:rPr>
      </w:pPr>
      <w:r w:rsidRPr="00CF77C1">
        <w:rPr>
          <w:lang w:val="sr-Cyrl-RS"/>
        </w:rPr>
        <w:t>питања тачне позиције термоелектране;</w:t>
      </w:r>
    </w:p>
    <w:p w14:paraId="67443688" w14:textId="77777777" w:rsidR="004653CD" w:rsidRPr="00CF77C1" w:rsidRDefault="004653CD" w:rsidP="005621E0">
      <w:pPr>
        <w:numPr>
          <w:ilvl w:val="0"/>
          <w:numId w:val="60"/>
        </w:numPr>
        <w:ind w:left="0" w:firstLine="720"/>
        <w:rPr>
          <w:lang w:val="sr-Cyrl-RS"/>
        </w:rPr>
      </w:pPr>
      <w:r w:rsidRPr="00CF77C1">
        <w:rPr>
          <w:lang w:val="sr-Cyrl-RS"/>
        </w:rPr>
        <w:t>питања коначне инсталисане снаге термоелектране;</w:t>
      </w:r>
    </w:p>
    <w:p w14:paraId="3EECF378" w14:textId="77777777" w:rsidR="004653CD" w:rsidRPr="00CF77C1" w:rsidRDefault="004653CD" w:rsidP="005621E0">
      <w:pPr>
        <w:numPr>
          <w:ilvl w:val="0"/>
          <w:numId w:val="60"/>
        </w:numPr>
        <w:ind w:left="0" w:firstLine="720"/>
        <w:rPr>
          <w:lang w:val="sr-Cyrl-RS"/>
        </w:rPr>
      </w:pPr>
      <w:r w:rsidRPr="00CF77C1">
        <w:rPr>
          <w:lang w:val="sr-Cyrl-RS"/>
        </w:rPr>
        <w:t>питања количине опреме која ће се користити за скидање откривке и јаловине;</w:t>
      </w:r>
    </w:p>
    <w:p w14:paraId="23452A4C" w14:textId="77777777" w:rsidR="004653CD" w:rsidRPr="00CF77C1" w:rsidRDefault="004653CD" w:rsidP="005621E0">
      <w:pPr>
        <w:numPr>
          <w:ilvl w:val="0"/>
          <w:numId w:val="60"/>
        </w:numPr>
        <w:ind w:left="0" w:firstLine="720"/>
        <w:rPr>
          <w:lang w:val="sr-Cyrl-RS"/>
        </w:rPr>
      </w:pPr>
      <w:r w:rsidRPr="00CF77C1">
        <w:rPr>
          <w:lang w:val="sr-Cyrl-RS"/>
        </w:rPr>
        <w:t>питања количине опреме која ће се користити за експлоатацију угља;</w:t>
      </w:r>
    </w:p>
    <w:p w14:paraId="2F746812" w14:textId="77777777" w:rsidR="004653CD" w:rsidRPr="00CF77C1" w:rsidRDefault="004653CD" w:rsidP="005621E0">
      <w:pPr>
        <w:numPr>
          <w:ilvl w:val="0"/>
          <w:numId w:val="60"/>
        </w:numPr>
        <w:ind w:left="0" w:firstLine="720"/>
        <w:rPr>
          <w:lang w:val="sr-Cyrl-RS"/>
        </w:rPr>
      </w:pPr>
      <w:r w:rsidRPr="00CF77C1">
        <w:rPr>
          <w:lang w:val="sr-Cyrl-RS"/>
        </w:rPr>
        <w:t>цене по којој ће се продавати угаљ;</w:t>
      </w:r>
    </w:p>
    <w:p w14:paraId="1FC958CD" w14:textId="2D7011E6" w:rsidR="004653CD" w:rsidRPr="00CF77C1" w:rsidRDefault="004653CD" w:rsidP="005621E0">
      <w:pPr>
        <w:numPr>
          <w:ilvl w:val="0"/>
          <w:numId w:val="60"/>
        </w:numPr>
        <w:ind w:left="0" w:firstLine="720"/>
        <w:rPr>
          <w:lang w:val="sr-Cyrl-RS"/>
        </w:rPr>
      </w:pPr>
      <w:r w:rsidRPr="00CF77C1">
        <w:rPr>
          <w:lang w:val="sr-Cyrl-RS"/>
        </w:rPr>
        <w:t xml:space="preserve">цене по којој ће се продавати </w:t>
      </w:r>
      <w:r w:rsidR="00EE44A6" w:rsidRPr="00CF77C1">
        <w:rPr>
          <w:lang w:val="sr-Cyrl-RS"/>
        </w:rPr>
        <w:t>електрична енергија</w:t>
      </w:r>
      <w:r w:rsidRPr="00CF77C1">
        <w:rPr>
          <w:lang w:val="sr-Cyrl-RS"/>
        </w:rPr>
        <w:t>;</w:t>
      </w:r>
    </w:p>
    <w:p w14:paraId="0A607749" w14:textId="1847A2FD" w:rsidR="004653CD" w:rsidRPr="00CF77C1" w:rsidRDefault="004653CD" w:rsidP="005621E0">
      <w:pPr>
        <w:numPr>
          <w:ilvl w:val="0"/>
          <w:numId w:val="60"/>
        </w:numPr>
        <w:ind w:left="0" w:firstLine="720"/>
        <w:rPr>
          <w:lang w:val="sr-Cyrl-RS"/>
        </w:rPr>
      </w:pPr>
      <w:r w:rsidRPr="00CF77C1">
        <w:rPr>
          <w:lang w:val="sr-Cyrl-RS"/>
        </w:rPr>
        <w:t xml:space="preserve">природе (разноврсност и динамика) продаје угља и </w:t>
      </w:r>
      <w:r w:rsidR="00EE44A6" w:rsidRPr="00CF77C1">
        <w:rPr>
          <w:lang w:val="sr-Cyrl-RS"/>
        </w:rPr>
        <w:t>електричне енергије</w:t>
      </w:r>
      <w:r w:rsidRPr="00CF77C1">
        <w:rPr>
          <w:lang w:val="sr-Cyrl-RS"/>
        </w:rPr>
        <w:t>;</w:t>
      </w:r>
    </w:p>
    <w:p w14:paraId="31CCD196" w14:textId="77777777" w:rsidR="004653CD" w:rsidRPr="00CF77C1" w:rsidRDefault="004653CD" w:rsidP="005621E0">
      <w:pPr>
        <w:numPr>
          <w:ilvl w:val="0"/>
          <w:numId w:val="60"/>
        </w:numPr>
        <w:ind w:left="0" w:firstLine="720"/>
        <w:rPr>
          <w:lang w:val="sr-Cyrl-RS"/>
        </w:rPr>
      </w:pPr>
      <w:r w:rsidRPr="00CF77C1">
        <w:rPr>
          <w:lang w:val="sr-Cyrl-RS"/>
        </w:rPr>
        <w:t>прецизног буџета и пресека трошкова инвестиције;</w:t>
      </w:r>
    </w:p>
    <w:p w14:paraId="19912576" w14:textId="77777777" w:rsidR="004653CD" w:rsidRPr="00CF77C1" w:rsidRDefault="004653CD" w:rsidP="005621E0">
      <w:pPr>
        <w:numPr>
          <w:ilvl w:val="0"/>
          <w:numId w:val="60"/>
        </w:numPr>
        <w:ind w:left="0" w:firstLine="720"/>
        <w:rPr>
          <w:lang w:val="sr-Cyrl-RS"/>
        </w:rPr>
      </w:pPr>
      <w:r w:rsidRPr="00CF77C1">
        <w:rPr>
          <w:lang w:val="sr-Cyrl-RS"/>
        </w:rPr>
        <w:t>периода повраћаја инвестиције;</w:t>
      </w:r>
    </w:p>
    <w:p w14:paraId="7056DBA8" w14:textId="77777777" w:rsidR="004653CD" w:rsidRPr="00CF77C1" w:rsidRDefault="004653CD" w:rsidP="005621E0">
      <w:pPr>
        <w:numPr>
          <w:ilvl w:val="0"/>
          <w:numId w:val="60"/>
        </w:numPr>
        <w:ind w:left="0" w:firstLine="720"/>
        <w:rPr>
          <w:lang w:val="sr-Cyrl-RS"/>
        </w:rPr>
      </w:pPr>
      <w:r w:rsidRPr="00CF77C1">
        <w:rPr>
          <w:lang w:val="sr-Cyrl-RS"/>
        </w:rPr>
        <w:t>осталих питања битних за успешну припрему и реализацију Пројекта Ковин.</w:t>
      </w:r>
    </w:p>
    <w:p w14:paraId="4F35BA49" w14:textId="410D6157" w:rsidR="004653CD" w:rsidRPr="00CF77C1" w:rsidRDefault="004653CD" w:rsidP="005621E0">
      <w:pPr>
        <w:ind w:firstLine="720"/>
        <w:rPr>
          <w:lang w:val="sr-Cyrl-RS"/>
        </w:rPr>
      </w:pPr>
      <w:r w:rsidRPr="00CF77C1">
        <w:rPr>
          <w:lang w:val="sr-Cyrl-RS"/>
        </w:rPr>
        <w:t>Према плановима експлоатација угља би требала да отпочне 2023. године. Међутим, имајући у виду преостали период, степен до сада урађене документације, као</w:t>
      </w:r>
      <w:r w:rsidR="00EC7E28" w:rsidRPr="00CF77C1">
        <w:rPr>
          <w:lang w:val="sr-Cyrl-RS"/>
        </w:rPr>
        <w:t xml:space="preserve"> </w:t>
      </w:r>
      <w:r w:rsidRPr="00CF77C1">
        <w:rPr>
          <w:lang w:val="sr-Cyrl-RS"/>
        </w:rPr>
        <w:t>и досадашња искуства са подводном експлоатацијом</w:t>
      </w:r>
      <w:r w:rsidR="00A84557" w:rsidRPr="00CF77C1">
        <w:rPr>
          <w:lang w:val="sr-Cyrl-RS"/>
        </w:rPr>
        <w:t>,</w:t>
      </w:r>
      <w:r w:rsidRPr="00CF77C1">
        <w:rPr>
          <w:lang w:val="sr-Cyrl-RS"/>
        </w:rPr>
        <w:t xml:space="preserve"> мало је вероватно да ће до 2023</w:t>
      </w:r>
      <w:r w:rsidR="00A84557" w:rsidRPr="00CF77C1">
        <w:rPr>
          <w:lang w:val="sr-Cyrl-RS"/>
        </w:rPr>
        <w:t>.</w:t>
      </w:r>
      <w:r w:rsidRPr="00CF77C1">
        <w:rPr>
          <w:lang w:val="sr-Cyrl-RS"/>
        </w:rPr>
        <w:t xml:space="preserve"> године отпочети експлоатација угља и производња електричне енергије.</w:t>
      </w:r>
    </w:p>
    <w:p w14:paraId="5B385EE8" w14:textId="61C8771E" w:rsidR="00AF2314" w:rsidRPr="00CF77C1" w:rsidRDefault="00AF2314" w:rsidP="005621E0">
      <w:pPr>
        <w:spacing w:before="240"/>
        <w:ind w:firstLine="720"/>
        <w:rPr>
          <w:u w:val="single"/>
          <w:lang w:val="sr-Cyrl-RS"/>
        </w:rPr>
      </w:pPr>
      <w:r w:rsidRPr="00CF77C1">
        <w:rPr>
          <w:u w:val="single"/>
          <w:lang w:val="sr-Cyrl-RS"/>
        </w:rPr>
        <w:t xml:space="preserve">Штаваљ - </w:t>
      </w:r>
      <w:r w:rsidR="00192B78" w:rsidRPr="00CF77C1">
        <w:rPr>
          <w:u w:val="single"/>
          <w:lang w:val="sr-Cyrl-RS"/>
        </w:rPr>
        <w:t xml:space="preserve">Сјенички </w:t>
      </w:r>
      <w:r w:rsidRPr="00CF77C1">
        <w:rPr>
          <w:u w:val="single"/>
          <w:lang w:val="sr-Cyrl-RS"/>
        </w:rPr>
        <w:t>басен</w:t>
      </w:r>
    </w:p>
    <w:p w14:paraId="1C9DC2B3" w14:textId="77777777" w:rsidR="00AF2314" w:rsidRPr="00CF77C1" w:rsidRDefault="00AF2314" w:rsidP="005621E0">
      <w:pPr>
        <w:ind w:firstLine="720"/>
        <w:rPr>
          <w:lang w:val="sr-Cyrl-RS"/>
        </w:rPr>
      </w:pPr>
      <w:r w:rsidRPr="00CF77C1">
        <w:rPr>
          <w:lang w:val="sr-Cyrl-RS"/>
        </w:rPr>
        <w:t xml:space="preserve">У Сјеничком угљоносном басену експлоатационе резерве износе око 117 </w:t>
      </w:r>
      <w:r w:rsidR="004653CD" w:rsidRPr="00CF77C1">
        <w:rPr>
          <w:lang w:val="sr-Cyrl-RS"/>
        </w:rPr>
        <w:t>милиона тона</w:t>
      </w:r>
      <w:r w:rsidRPr="00CF77C1">
        <w:rPr>
          <w:lang w:val="sr-Cyrl-RS"/>
        </w:rPr>
        <w:t xml:space="preserve"> угља са просечним квалитетом од око 15.000 kJ/kg и садржајем сумпора од 0,98%. Рудник Штаваљ је лоциран и западној Србији близу границе са Црном Гором. Експлоатација на постојећој локацији обавља се од 1965. године.</w:t>
      </w:r>
    </w:p>
    <w:p w14:paraId="6B430D63" w14:textId="177DD505" w:rsidR="004653CD" w:rsidRPr="00CF77C1" w:rsidRDefault="004653CD" w:rsidP="005621E0">
      <w:pPr>
        <w:ind w:firstLine="720"/>
        <w:rPr>
          <w:lang w:val="sr-Cyrl-RS"/>
        </w:rPr>
      </w:pPr>
      <w:r w:rsidRPr="00CF77C1">
        <w:rPr>
          <w:lang w:val="sr-Cyrl-RS"/>
        </w:rPr>
        <w:t xml:space="preserve">Током 2007. године урађена је </w:t>
      </w:r>
      <w:r w:rsidR="007F26B7" w:rsidRPr="00CF77C1">
        <w:rPr>
          <w:lang w:val="sr-Cyrl-RS"/>
        </w:rPr>
        <w:t>претходна</w:t>
      </w:r>
      <w:r w:rsidRPr="00CF77C1">
        <w:rPr>
          <w:lang w:val="sr-Cyrl-RS"/>
        </w:rPr>
        <w:t xml:space="preserve"> студија </w:t>
      </w:r>
      <w:r w:rsidR="007F26B7" w:rsidRPr="00CF77C1">
        <w:rPr>
          <w:lang w:val="sr-Cyrl-RS"/>
        </w:rPr>
        <w:t xml:space="preserve">изводљивости </w:t>
      </w:r>
      <w:r w:rsidRPr="00CF77C1">
        <w:rPr>
          <w:lang w:val="sr-Cyrl-RS"/>
        </w:rPr>
        <w:t xml:space="preserve">за изградњу термоелектране и рудника у Штављу (DMT GmbH </w:t>
      </w:r>
      <w:r w:rsidR="006D7DD0" w:rsidRPr="00CF77C1">
        <w:rPr>
          <w:lang w:val="sr-Cyrl-RS"/>
        </w:rPr>
        <w:t>-</w:t>
      </w:r>
      <w:r w:rsidRPr="00CF77C1">
        <w:rPr>
          <w:lang w:val="sr-Cyrl-RS"/>
        </w:rPr>
        <w:t xml:space="preserve"> Montan Consulting Germany, Faculty of Mining and Geology, University of Belgrade Serbia, SES TLMAČE</w:t>
      </w:r>
      <w:r w:rsidR="00EC7E28" w:rsidRPr="00CF77C1">
        <w:rPr>
          <w:lang w:val="sr-Cyrl-RS"/>
        </w:rPr>
        <w:t xml:space="preserve"> </w:t>
      </w:r>
      <w:r w:rsidRPr="00CF77C1">
        <w:rPr>
          <w:lang w:val="sr-Cyrl-RS"/>
        </w:rPr>
        <w:t>Slovakia). Разматрана је могућност изградње блока од 320 МW. Предвиђене инвестиције за изградњу термоелектране износиле су 375 милиона € уз додатних 20 милиона € за повезивање на мрежу. Укупне иницијалне инвестиције за рудник су проце</w:t>
      </w:r>
      <w:r w:rsidR="00192B78">
        <w:rPr>
          <w:lang w:val="sr-Cyrl-RS"/>
        </w:rPr>
        <w:t>њ</w:t>
      </w:r>
      <w:r w:rsidRPr="00CF77C1">
        <w:rPr>
          <w:lang w:val="sr-Cyrl-RS"/>
        </w:rPr>
        <w:t>ене на око 90 милиона € док за читав период експлоатације од 40 година инвестиције у рудник износе 391 милиона €, где је 31 милион € за изградњу инфраструктуре рудника, 357 милиона € за опрему и 10 милиона € за грађевинске објекте.</w:t>
      </w:r>
    </w:p>
    <w:p w14:paraId="0665904C" w14:textId="77777777" w:rsidR="00AF2314" w:rsidRPr="00CF77C1" w:rsidRDefault="00AF2314" w:rsidP="005621E0">
      <w:pPr>
        <w:ind w:firstLine="720"/>
        <w:rPr>
          <w:lang w:val="sr-Cyrl-RS"/>
        </w:rPr>
      </w:pPr>
      <w:r w:rsidRPr="00CF77C1">
        <w:rPr>
          <w:lang w:val="sr-Cyrl-RS"/>
        </w:rPr>
        <w:t xml:space="preserve">Потребни капацитет је 2.3 </w:t>
      </w:r>
      <w:r w:rsidR="004653CD" w:rsidRPr="00CF77C1">
        <w:rPr>
          <w:lang w:val="sr-Cyrl-RS"/>
        </w:rPr>
        <w:t>милиона тона</w:t>
      </w:r>
      <w:r w:rsidRPr="00CF77C1">
        <w:rPr>
          <w:lang w:val="sr-Cyrl-RS"/>
        </w:rPr>
        <w:t xml:space="preserve"> угља годишње (рачунајући и 60.000 t за широку потрошњу).</w:t>
      </w:r>
    </w:p>
    <w:p w14:paraId="015D5482" w14:textId="054C7F48" w:rsidR="00AF2314" w:rsidRPr="00CF77C1" w:rsidRDefault="009A3761" w:rsidP="005621E0">
      <w:pPr>
        <w:ind w:firstLine="720"/>
        <w:rPr>
          <w:lang w:val="sr-Cyrl-RS"/>
        </w:rPr>
      </w:pPr>
      <w:r w:rsidRPr="00CF77C1">
        <w:rPr>
          <w:lang w:val="sr-Cyrl-RS"/>
        </w:rPr>
        <w:t>Потребно је спровести активности на даљој анализи доступних параметара, а све у циљу потенцијалне изградње рудника и термоенергетских капацитета.</w:t>
      </w:r>
    </w:p>
    <w:p w14:paraId="747FA8BC" w14:textId="7EAD6C5D" w:rsidR="00176354" w:rsidRPr="00CF77C1" w:rsidRDefault="008C6DCA" w:rsidP="008C6DCA">
      <w:pPr>
        <w:pStyle w:val="ListParagraph"/>
        <w:keepNext/>
        <w:keepLines/>
        <w:pageBreakBefore/>
        <w:ind w:left="0" w:firstLine="720"/>
        <w:contextualSpacing w:val="0"/>
        <w:rPr>
          <w:lang w:val="sr-Cyrl-RS"/>
        </w:rPr>
      </w:pPr>
      <w:bookmarkStart w:id="181" w:name="_Ref476806093"/>
      <w:r w:rsidRPr="00CF77C1">
        <w:rPr>
          <w:lang w:val="sr-Cyrl-RS"/>
        </w:rPr>
        <w:t xml:space="preserve">П.27. </w:t>
      </w:r>
      <w:r w:rsidR="00176354" w:rsidRPr="00CF77C1">
        <w:rPr>
          <w:lang w:val="sr-Cyrl-RS"/>
        </w:rPr>
        <w:t>Отварање заменских капацитета за постојеће површинске копове који престају са радом и отварање копова који ће бити намењени за нове термоенергетске капацитете</w:t>
      </w:r>
      <w:bookmarkEnd w:id="181"/>
    </w:p>
    <w:p w14:paraId="60792643" w14:textId="77777777" w:rsidR="00316872" w:rsidRPr="00CF77C1" w:rsidRDefault="00176354" w:rsidP="005621E0">
      <w:pPr>
        <w:ind w:firstLine="720"/>
        <w:rPr>
          <w:lang w:val="sr-Cyrl-RS"/>
        </w:rPr>
      </w:pPr>
      <w:r w:rsidRPr="00CF77C1">
        <w:rPr>
          <w:lang w:val="sr-Cyrl-RS"/>
        </w:rPr>
        <w:t>Отварање нових, односно проширења капацитета постојећих копова као и отварање заменских капацитета за постојеће површинске копове који престају са радом, као и отварање копова који ће бити намењени за нове термоенергетске капацитет</w:t>
      </w:r>
      <w:r w:rsidR="004653CD" w:rsidRPr="00CF77C1">
        <w:rPr>
          <w:lang w:val="sr-Cyrl-RS"/>
        </w:rPr>
        <w:t>е, су разматрани за костолачки,</w:t>
      </w:r>
      <w:r w:rsidRPr="00CF77C1">
        <w:rPr>
          <w:lang w:val="sr-Cyrl-RS"/>
        </w:rPr>
        <w:t xml:space="preserve"> колубарски</w:t>
      </w:r>
      <w:r w:rsidR="004653CD" w:rsidRPr="00CF77C1">
        <w:rPr>
          <w:lang w:val="sr-Cyrl-RS"/>
        </w:rPr>
        <w:t>, ковински и сјенички</w:t>
      </w:r>
      <w:r w:rsidRPr="00CF77C1">
        <w:rPr>
          <w:lang w:val="sr-Cyrl-RS"/>
        </w:rPr>
        <w:t xml:space="preserve"> угљени басен.</w:t>
      </w:r>
    </w:p>
    <w:p w14:paraId="22BDC85C" w14:textId="77777777" w:rsidR="00176354" w:rsidRPr="00CF77C1" w:rsidRDefault="00176354" w:rsidP="005621E0">
      <w:pPr>
        <w:ind w:firstLine="720"/>
        <w:rPr>
          <w:lang w:val="sr-Cyrl-RS"/>
        </w:rPr>
      </w:pPr>
      <w:r w:rsidRPr="00CF77C1">
        <w:rPr>
          <w:lang w:val="sr-Cyrl-RS"/>
        </w:rPr>
        <w:t>У оквиру костолачког бас</w:t>
      </w:r>
      <w:r w:rsidR="004653CD" w:rsidRPr="00CF77C1">
        <w:rPr>
          <w:lang w:val="sr-Cyrl-RS"/>
        </w:rPr>
        <w:t>е</w:t>
      </w:r>
      <w:r w:rsidRPr="00CF77C1">
        <w:rPr>
          <w:lang w:val="sr-Cyrl-RS"/>
        </w:rPr>
        <w:t xml:space="preserve">на разматрано је само повећање капацитета копа Дрмно са постојећих 9 на 12 </w:t>
      </w:r>
      <w:r w:rsidR="004653CD" w:rsidRPr="00CF77C1">
        <w:rPr>
          <w:lang w:val="sr-Cyrl-RS"/>
        </w:rPr>
        <w:t>милиона тона</w:t>
      </w:r>
      <w:r w:rsidRPr="00CF77C1">
        <w:rPr>
          <w:lang w:val="sr-Cyrl-RS"/>
        </w:rPr>
        <w:t xml:space="preserve"> угља годишње због изградње нов</w:t>
      </w:r>
      <w:r w:rsidR="009949A3" w:rsidRPr="00CF77C1">
        <w:rPr>
          <w:lang w:val="sr-Cyrl-RS"/>
        </w:rPr>
        <w:t>ог блока ТЕ Костолац Б3 снаге 35</w:t>
      </w:r>
      <w:r w:rsidRPr="00CF77C1">
        <w:rPr>
          <w:lang w:val="sr-Cyrl-RS"/>
        </w:rPr>
        <w:t>0 МW.</w:t>
      </w:r>
    </w:p>
    <w:p w14:paraId="65BC3A1A" w14:textId="622D4DFA" w:rsidR="004653CD" w:rsidRPr="00CF77C1" w:rsidRDefault="004653CD" w:rsidP="005621E0">
      <w:pPr>
        <w:ind w:firstLine="720"/>
        <w:rPr>
          <w:lang w:val="sr-Cyrl-RS"/>
        </w:rPr>
      </w:pPr>
      <w:r w:rsidRPr="00CF77C1">
        <w:rPr>
          <w:lang w:val="sr-Cyrl-RS"/>
        </w:rPr>
        <w:t xml:space="preserve">У оквиру колубарског басена разматрано је повећање капацитета Поља Ц у </w:t>
      </w:r>
      <w:r w:rsidR="00192B78">
        <w:rPr>
          <w:lang w:val="sr-Cyrl-RS"/>
        </w:rPr>
        <w:t>функцији отварања Поља Е, отвара</w:t>
      </w:r>
      <w:r w:rsidRPr="00CF77C1">
        <w:rPr>
          <w:lang w:val="sr-Cyrl-RS"/>
        </w:rPr>
        <w:t>ње Поља Е као заменског капацитета површинском копу Поље Ц и Поље Д, отварање површинског копа Поље Г као заменског капацитета површинском копу Велики Црљени, као и отварање копа Радљево у функцији уједначавање квалитета угља и у каснијој фази као заменски капацитет површинског копа Тамнава западно поље. У случају да постоји потреба за новим капацитетима на површинском копу Радљево се може повећати капацитет за потребе евентуално нове термоелектране.</w:t>
      </w:r>
    </w:p>
    <w:p w14:paraId="010DD8A2" w14:textId="77777777" w:rsidR="004653CD" w:rsidRPr="00CF77C1" w:rsidRDefault="004653CD" w:rsidP="005621E0">
      <w:pPr>
        <w:ind w:firstLine="720"/>
        <w:rPr>
          <w:lang w:val="sr-Cyrl-RS"/>
        </w:rPr>
      </w:pPr>
      <w:r w:rsidRPr="00CF77C1">
        <w:rPr>
          <w:lang w:val="sr-Cyrl-RS"/>
        </w:rPr>
        <w:t>У оквиру ковинског басена разматра се могућност отварања новог копа са подводном експлоатацијом за снабдевање нове термоелектране инсталисаног капацитета 700 MW.</w:t>
      </w:r>
    </w:p>
    <w:p w14:paraId="0B3C6285" w14:textId="77777777" w:rsidR="004653CD" w:rsidRPr="00CF77C1" w:rsidRDefault="004653CD" w:rsidP="005621E0">
      <w:pPr>
        <w:ind w:firstLine="720"/>
        <w:rPr>
          <w:lang w:val="sr-Cyrl-RS"/>
        </w:rPr>
      </w:pPr>
      <w:r w:rsidRPr="00CF77C1">
        <w:rPr>
          <w:lang w:val="sr-Cyrl-RS"/>
        </w:rPr>
        <w:t>У оквиру сјеничког басена разматра се могућност изградње блока од 320 МW за шта је потребно снабдевање са угљем из</w:t>
      </w:r>
      <w:r w:rsidR="00EC7E28" w:rsidRPr="00CF77C1">
        <w:rPr>
          <w:lang w:val="sr-Cyrl-RS"/>
        </w:rPr>
        <w:t xml:space="preserve"> </w:t>
      </w:r>
      <w:r w:rsidRPr="00CF77C1">
        <w:rPr>
          <w:lang w:val="sr-Cyrl-RS"/>
        </w:rPr>
        <w:t>рудника са подземном експлоатацијом Штаваљ у количини од 2,3 милиона тона угља годишње.</w:t>
      </w:r>
    </w:p>
    <w:p w14:paraId="269C4D7A" w14:textId="77777777" w:rsidR="004653CD" w:rsidRPr="00CF77C1" w:rsidRDefault="004653CD" w:rsidP="005621E0">
      <w:pPr>
        <w:ind w:firstLine="720"/>
        <w:rPr>
          <w:lang w:val="sr-Cyrl-RS"/>
        </w:rPr>
      </w:pPr>
    </w:p>
    <w:p w14:paraId="55551966" w14:textId="77777777" w:rsidR="00AE17CC" w:rsidRPr="00CF77C1" w:rsidRDefault="00AE17CC" w:rsidP="0080044B">
      <w:pPr>
        <w:pStyle w:val="ListParagraph"/>
        <w:numPr>
          <w:ilvl w:val="0"/>
          <w:numId w:val="22"/>
        </w:numPr>
        <w:rPr>
          <w:lang w:val="sr-Cyrl-RS"/>
        </w:rPr>
        <w:sectPr w:rsidR="00AE17CC" w:rsidRPr="00CF77C1" w:rsidSect="00A968A2">
          <w:headerReference w:type="default" r:id="rId107"/>
          <w:footerReference w:type="default" r:id="rId108"/>
          <w:pgSz w:w="11907" w:h="16839" w:code="9"/>
          <w:pgMar w:top="1134" w:right="1377" w:bottom="1134" w:left="1418" w:header="720" w:footer="720" w:gutter="0"/>
          <w:cols w:space="720"/>
          <w:docGrid w:linePitch="360"/>
        </w:sectPr>
      </w:pPr>
    </w:p>
    <w:p w14:paraId="3CBC389B" w14:textId="250FD2FA" w:rsidR="00AE17CC" w:rsidRPr="00CF77C1" w:rsidRDefault="00D61BC9" w:rsidP="005621E0">
      <w:pPr>
        <w:pStyle w:val="Caption"/>
        <w:ind w:firstLine="720"/>
        <w:rPr>
          <w:b w:val="0"/>
          <w:lang w:val="sr-Cyrl-RS"/>
        </w:rPr>
      </w:pPr>
      <w:r w:rsidRPr="00CF77C1">
        <w:rPr>
          <w:b w:val="0"/>
          <w:lang w:val="sr-Cyrl-RS"/>
        </w:rPr>
        <w:t>таб.</w:t>
      </w:r>
      <w:r w:rsidR="00AE17C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107</w:t>
      </w:r>
      <w:r w:rsidR="0092145E" w:rsidRPr="00CF77C1">
        <w:rPr>
          <w:b w:val="0"/>
          <w:lang w:val="sr-Cyrl-RS"/>
        </w:rPr>
        <w:fldChar w:fldCharType="end"/>
      </w:r>
      <w:r w:rsidR="00AE17CC" w:rsidRPr="00CF77C1">
        <w:rPr>
          <w:b w:val="0"/>
          <w:lang w:val="sr-Cyrl-RS"/>
        </w:rPr>
        <w:t>: Основне карактеристике и ефекти пројекта „Завршетак инвестиционе изградње и повећање капацитета површинског копа Дрмно</w:t>
      </w:r>
      <w:r w:rsidR="00AD5740" w:rsidRPr="00CF77C1">
        <w:rPr>
          <w:b w:val="0"/>
          <w:lang w:val="sr-Cyrl-R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402"/>
        <w:gridCol w:w="3685"/>
        <w:gridCol w:w="4473"/>
      </w:tblGrid>
      <w:tr w:rsidR="00AE17CC" w:rsidRPr="00CF77C1" w14:paraId="2669C762" w14:textId="77777777" w:rsidTr="007E5886">
        <w:tc>
          <w:tcPr>
            <w:tcW w:w="3227" w:type="dxa"/>
            <w:shd w:val="clear" w:color="auto" w:fill="auto"/>
            <w:vAlign w:val="center"/>
          </w:tcPr>
          <w:p w14:paraId="1BD46CAD" w14:textId="77777777" w:rsidR="00AE17CC" w:rsidRPr="00CF77C1" w:rsidRDefault="00AE17CC" w:rsidP="0080044B">
            <w:pPr>
              <w:jc w:val="center"/>
              <w:rPr>
                <w:szCs w:val="24"/>
                <w:lang w:val="sr-Cyrl-RS"/>
              </w:rPr>
            </w:pPr>
            <w:r w:rsidRPr="00CF77C1">
              <w:rPr>
                <w:szCs w:val="24"/>
                <w:lang w:val="sr-Cyrl-RS"/>
              </w:rPr>
              <w:t>Техничке карактеристике</w:t>
            </w:r>
          </w:p>
        </w:tc>
        <w:tc>
          <w:tcPr>
            <w:tcW w:w="3402" w:type="dxa"/>
            <w:shd w:val="clear" w:color="auto" w:fill="auto"/>
            <w:vAlign w:val="center"/>
          </w:tcPr>
          <w:p w14:paraId="3F59DE92" w14:textId="77777777" w:rsidR="00AE17CC" w:rsidRPr="00CF77C1" w:rsidRDefault="00AE17CC" w:rsidP="0080044B">
            <w:pPr>
              <w:jc w:val="center"/>
              <w:rPr>
                <w:szCs w:val="24"/>
                <w:lang w:val="sr-Cyrl-RS"/>
              </w:rPr>
            </w:pPr>
            <w:r w:rsidRPr="00CF77C1">
              <w:rPr>
                <w:szCs w:val="24"/>
                <w:lang w:val="sr-Cyrl-RS"/>
              </w:rPr>
              <w:t>Вредност пројекта и извор средстава</w:t>
            </w:r>
          </w:p>
        </w:tc>
        <w:tc>
          <w:tcPr>
            <w:tcW w:w="3685" w:type="dxa"/>
            <w:shd w:val="clear" w:color="auto" w:fill="auto"/>
            <w:vAlign w:val="center"/>
          </w:tcPr>
          <w:p w14:paraId="75BC69F1" w14:textId="77777777" w:rsidR="00AE17CC" w:rsidRPr="00CF77C1" w:rsidRDefault="00AE17CC" w:rsidP="0080044B">
            <w:pPr>
              <w:jc w:val="center"/>
              <w:rPr>
                <w:szCs w:val="24"/>
                <w:lang w:val="sr-Cyrl-RS"/>
              </w:rPr>
            </w:pPr>
            <w:r w:rsidRPr="00CF77C1">
              <w:rPr>
                <w:szCs w:val="24"/>
                <w:lang w:val="sr-Cyrl-RS"/>
              </w:rPr>
              <w:t>Опис ефеката реализације</w:t>
            </w:r>
          </w:p>
        </w:tc>
        <w:tc>
          <w:tcPr>
            <w:tcW w:w="4473" w:type="dxa"/>
            <w:shd w:val="clear" w:color="auto" w:fill="auto"/>
            <w:vAlign w:val="center"/>
          </w:tcPr>
          <w:p w14:paraId="583939C3" w14:textId="77777777" w:rsidR="00AE17CC" w:rsidRPr="00CF77C1" w:rsidRDefault="00AE17CC" w:rsidP="0080044B">
            <w:pPr>
              <w:jc w:val="center"/>
              <w:rPr>
                <w:szCs w:val="24"/>
                <w:lang w:val="sr-Cyrl-RS"/>
              </w:rPr>
            </w:pPr>
            <w:r w:rsidRPr="00CF77C1">
              <w:rPr>
                <w:szCs w:val="24"/>
                <w:lang w:val="sr-Cyrl-RS"/>
              </w:rPr>
              <w:t>Валоризовани просечни годишњи ефекти реализације на основу расположиве документације</w:t>
            </w:r>
          </w:p>
        </w:tc>
      </w:tr>
      <w:tr w:rsidR="00087F14" w:rsidRPr="00CF77C1" w14:paraId="01A733FA" w14:textId="77777777" w:rsidTr="007E5886">
        <w:tc>
          <w:tcPr>
            <w:tcW w:w="3227" w:type="dxa"/>
            <w:shd w:val="clear" w:color="auto" w:fill="auto"/>
            <w:vAlign w:val="center"/>
          </w:tcPr>
          <w:p w14:paraId="4312B066" w14:textId="77777777" w:rsidR="00087F14" w:rsidRPr="00CF77C1" w:rsidRDefault="00087F14" w:rsidP="0080044B">
            <w:pPr>
              <w:spacing w:before="0" w:after="0"/>
              <w:jc w:val="left"/>
              <w:rPr>
                <w:szCs w:val="24"/>
                <w:lang w:val="sr-Cyrl-RS"/>
              </w:rPr>
            </w:pPr>
            <w:r w:rsidRPr="00CF77C1">
              <w:rPr>
                <w:szCs w:val="24"/>
                <w:lang w:val="sr-Cyrl-RS"/>
              </w:rPr>
              <w:t>Инфраструктура и саобраћајнице 9 mt</w:t>
            </w:r>
          </w:p>
        </w:tc>
        <w:tc>
          <w:tcPr>
            <w:tcW w:w="3402" w:type="dxa"/>
            <w:shd w:val="clear" w:color="auto" w:fill="auto"/>
            <w:vAlign w:val="center"/>
          </w:tcPr>
          <w:p w14:paraId="3F0622EE" w14:textId="77777777" w:rsidR="00087F14" w:rsidRPr="00CF77C1" w:rsidRDefault="00087F14" w:rsidP="0080044B">
            <w:pPr>
              <w:jc w:val="center"/>
              <w:rPr>
                <w:szCs w:val="24"/>
                <w:lang w:val="sr-Cyrl-RS"/>
              </w:rPr>
            </w:pPr>
            <w:r w:rsidRPr="00CF77C1">
              <w:rPr>
                <w:szCs w:val="24"/>
                <w:lang w:val="sr-Cyrl-RS"/>
              </w:rPr>
              <w:t>3.900.000 €</w:t>
            </w:r>
          </w:p>
          <w:p w14:paraId="6976D12F" w14:textId="2B101A57" w:rsidR="00087F14" w:rsidRPr="00CF77C1" w:rsidRDefault="00087F14" w:rsidP="0080044B">
            <w:pPr>
              <w:jc w:val="center"/>
              <w:rPr>
                <w:szCs w:val="24"/>
                <w:lang w:val="sr-Cyrl-RS"/>
              </w:rPr>
            </w:pPr>
            <w:r w:rsidRPr="00CF77C1">
              <w:rPr>
                <w:szCs w:val="24"/>
                <w:lang w:val="sr-Cyrl-RS"/>
              </w:rPr>
              <w:t>(сопстве</w:t>
            </w:r>
            <w:r w:rsidR="001741AC" w:rsidRPr="00CF77C1">
              <w:rPr>
                <w:szCs w:val="24"/>
                <w:lang w:val="sr-Cyrl-RS"/>
              </w:rPr>
              <w:t>на средства ЕПС</w:t>
            </w:r>
            <w:r w:rsidRPr="00CF77C1">
              <w:rPr>
                <w:szCs w:val="24"/>
                <w:lang w:val="sr-Cyrl-RS"/>
              </w:rPr>
              <w:t>)</w:t>
            </w:r>
          </w:p>
        </w:tc>
        <w:tc>
          <w:tcPr>
            <w:tcW w:w="3685" w:type="dxa"/>
            <w:vMerge w:val="restart"/>
            <w:shd w:val="clear" w:color="auto" w:fill="auto"/>
            <w:vAlign w:val="center"/>
          </w:tcPr>
          <w:p w14:paraId="0E43F848" w14:textId="77777777" w:rsidR="00087F14" w:rsidRPr="00CF77C1" w:rsidRDefault="00087F14" w:rsidP="0080044B">
            <w:pPr>
              <w:jc w:val="left"/>
              <w:rPr>
                <w:szCs w:val="24"/>
                <w:lang w:val="sr-Cyrl-RS"/>
              </w:rPr>
            </w:pPr>
            <w:r w:rsidRPr="00CF77C1">
              <w:rPr>
                <w:szCs w:val="24"/>
                <w:lang w:val="sr-Cyrl-RS"/>
              </w:rPr>
              <w:t>Завршетком инвестиционе изградње копа Дрмно на 9.000.000 t угља годишње као и повећањем на 12.000.000 t угља годишње омогућава се сигурно снабдевање постојећих термоенергетских блокова ТЕ Костолац А и Костолац Б укупне инсталисане снаге 1007 МW као и снабдевање будуће термоелектране ТЕ Костолац Б3 снаге 350 МW просечног квалитета 9800 kJ/kg. Укупна инвестициона улагања су око 350.000.000 €, а повећање капацитета на 12.000.000 t могуће је 2020 године.</w:t>
            </w:r>
          </w:p>
        </w:tc>
        <w:tc>
          <w:tcPr>
            <w:tcW w:w="4473" w:type="dxa"/>
            <w:vMerge w:val="restart"/>
            <w:shd w:val="clear" w:color="auto" w:fill="auto"/>
            <w:vAlign w:val="center"/>
          </w:tcPr>
          <w:p w14:paraId="60988D77" w14:textId="77777777" w:rsidR="00087F14" w:rsidRPr="00CF77C1" w:rsidRDefault="00087F14" w:rsidP="0080044B">
            <w:pPr>
              <w:pStyle w:val="BodyText"/>
              <w:jc w:val="center"/>
              <w:rPr>
                <w:szCs w:val="24"/>
                <w:lang w:val="sr-Cyrl-RS"/>
              </w:rPr>
            </w:pPr>
            <w:r w:rsidRPr="00CF77C1">
              <w:rPr>
                <w:szCs w:val="24"/>
                <w:lang w:val="sr-Cyrl-RS"/>
              </w:rPr>
              <w:t>Реализација пројекта повећања капацитета ПК Дрмно омогућава континуитет у производњи електричне енергије као и обезбеђивање неопходних количина угља за нови блок ТЕ Костолац Б3. На бази укупних резерви угља са ПК Дрмно могућа је укупна производња од 200.000 GWh.</w:t>
            </w:r>
          </w:p>
          <w:p w14:paraId="5777E79E" w14:textId="77777777" w:rsidR="00087F14" w:rsidRPr="00CF77C1" w:rsidRDefault="00087F14" w:rsidP="0080044B">
            <w:pPr>
              <w:pStyle w:val="BodyText"/>
              <w:jc w:val="center"/>
              <w:rPr>
                <w:szCs w:val="24"/>
                <w:lang w:val="sr-Cyrl-RS"/>
              </w:rPr>
            </w:pPr>
            <w:r w:rsidRPr="00CF77C1">
              <w:rPr>
                <w:szCs w:val="24"/>
                <w:lang w:val="sr-Cyrl-RS"/>
              </w:rPr>
              <w:t>Економски ток пројекта даје прорачун интерне стопе повраћаја IRR (Interal rate of return): IRR = 10,42%</w:t>
            </w:r>
          </w:p>
          <w:p w14:paraId="2DFD8CFD" w14:textId="77777777" w:rsidR="00087F14" w:rsidRPr="00CF77C1" w:rsidRDefault="00087F14" w:rsidP="0080044B">
            <w:pPr>
              <w:pStyle w:val="BodyText"/>
              <w:jc w:val="center"/>
              <w:rPr>
                <w:szCs w:val="24"/>
                <w:lang w:val="sr-Cyrl-RS"/>
              </w:rPr>
            </w:pPr>
            <w:r w:rsidRPr="00CF77C1">
              <w:rPr>
                <w:szCs w:val="24"/>
                <w:lang w:val="sr-Cyrl-RS"/>
              </w:rPr>
              <w:t>У економском току израчуната је и нето садашња вредност са дисконтном стопом од 8% и износи</w:t>
            </w:r>
          </w:p>
          <w:p w14:paraId="731691A9" w14:textId="77777777" w:rsidR="00087F14" w:rsidRPr="00CF77C1" w:rsidRDefault="00087F14" w:rsidP="0080044B">
            <w:pPr>
              <w:pStyle w:val="BodyText"/>
              <w:jc w:val="center"/>
              <w:rPr>
                <w:szCs w:val="24"/>
                <w:lang w:val="sr-Cyrl-RS"/>
              </w:rPr>
            </w:pPr>
            <w:r w:rsidRPr="00CF77C1">
              <w:rPr>
                <w:szCs w:val="24"/>
                <w:lang w:val="sr-Cyrl-RS"/>
              </w:rPr>
              <w:t>NPV =107.017.210 €</w:t>
            </w:r>
          </w:p>
          <w:p w14:paraId="43DEF2BC" w14:textId="77777777" w:rsidR="00087F14" w:rsidRPr="00CF77C1" w:rsidRDefault="00087F14" w:rsidP="0080044B">
            <w:pPr>
              <w:pStyle w:val="BodyText"/>
              <w:jc w:val="center"/>
              <w:rPr>
                <w:szCs w:val="24"/>
                <w:lang w:val="sr-Cyrl-RS"/>
              </w:rPr>
            </w:pPr>
            <w:r w:rsidRPr="00CF77C1">
              <w:rPr>
                <w:szCs w:val="24"/>
                <w:lang w:val="sr-Cyrl-RS"/>
              </w:rPr>
              <w:t>NPV по тони угља = 0,39 €/t</w:t>
            </w:r>
          </w:p>
          <w:p w14:paraId="5B12F754" w14:textId="77777777" w:rsidR="00087F14" w:rsidRPr="00CF77C1" w:rsidRDefault="00087F14" w:rsidP="0080044B">
            <w:pPr>
              <w:spacing w:before="0" w:after="0"/>
              <w:jc w:val="center"/>
              <w:rPr>
                <w:szCs w:val="24"/>
                <w:lang w:val="sr-Cyrl-RS"/>
              </w:rPr>
            </w:pPr>
            <w:r w:rsidRPr="00CF77C1">
              <w:rPr>
                <w:szCs w:val="24"/>
                <w:lang w:val="sr-Cyrl-RS"/>
              </w:rPr>
              <w:t>Набавља се нови БТО систем са фреквентно регулисаним погонима (8 погонских станица) и могућношћу промене брзине у функцији капацитета. Уштеде у енергији су 10 до 30%. За овај систем уштеде око 540000 kWh на годишњем нивоу</w:t>
            </w:r>
          </w:p>
        </w:tc>
      </w:tr>
      <w:tr w:rsidR="00087F14" w:rsidRPr="00CF77C1" w14:paraId="717CD918" w14:textId="77777777" w:rsidTr="007E5886">
        <w:tc>
          <w:tcPr>
            <w:tcW w:w="3227" w:type="dxa"/>
            <w:shd w:val="clear" w:color="auto" w:fill="auto"/>
            <w:vAlign w:val="center"/>
          </w:tcPr>
          <w:p w14:paraId="0681A4DD" w14:textId="77777777" w:rsidR="00087F14" w:rsidRPr="00CF77C1" w:rsidRDefault="00087F14" w:rsidP="0080044B">
            <w:pPr>
              <w:spacing w:before="0" w:after="0"/>
              <w:jc w:val="left"/>
              <w:rPr>
                <w:szCs w:val="24"/>
                <w:lang w:val="sr-Cyrl-RS"/>
              </w:rPr>
            </w:pPr>
            <w:r w:rsidRPr="00CF77C1">
              <w:rPr>
                <w:szCs w:val="24"/>
                <w:lang w:val="sr-Cyrl-RS"/>
              </w:rPr>
              <w:t>Ревитализација постојеће опреме са ПК Дрмно</w:t>
            </w:r>
          </w:p>
        </w:tc>
        <w:tc>
          <w:tcPr>
            <w:tcW w:w="3402" w:type="dxa"/>
            <w:shd w:val="clear" w:color="auto" w:fill="auto"/>
            <w:vAlign w:val="center"/>
          </w:tcPr>
          <w:p w14:paraId="369E57C0" w14:textId="77777777" w:rsidR="00087F14" w:rsidRPr="00CF77C1" w:rsidRDefault="00087F14" w:rsidP="0080044B">
            <w:pPr>
              <w:jc w:val="center"/>
              <w:rPr>
                <w:szCs w:val="24"/>
                <w:lang w:val="sr-Cyrl-RS"/>
              </w:rPr>
            </w:pPr>
            <w:r w:rsidRPr="00CF77C1">
              <w:rPr>
                <w:szCs w:val="24"/>
                <w:lang w:val="sr-Cyrl-RS"/>
              </w:rPr>
              <w:t>13.500.000 €</w:t>
            </w:r>
          </w:p>
          <w:p w14:paraId="73993F31" w14:textId="67A12EF5" w:rsidR="00087F14" w:rsidRPr="00CF77C1" w:rsidRDefault="00087F14"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591A1E9B" w14:textId="77777777" w:rsidR="00087F14" w:rsidRPr="00CF77C1" w:rsidRDefault="00087F14" w:rsidP="0080044B">
            <w:pPr>
              <w:jc w:val="left"/>
              <w:rPr>
                <w:lang w:val="sr-Cyrl-RS"/>
              </w:rPr>
            </w:pPr>
          </w:p>
        </w:tc>
        <w:tc>
          <w:tcPr>
            <w:tcW w:w="4473" w:type="dxa"/>
            <w:vMerge/>
            <w:shd w:val="clear" w:color="auto" w:fill="auto"/>
            <w:vAlign w:val="center"/>
          </w:tcPr>
          <w:p w14:paraId="5A14F80C" w14:textId="77777777" w:rsidR="00087F14" w:rsidRPr="00CF77C1" w:rsidRDefault="00087F14" w:rsidP="0080044B">
            <w:pPr>
              <w:jc w:val="left"/>
              <w:rPr>
                <w:lang w:val="sr-Cyrl-RS"/>
              </w:rPr>
            </w:pPr>
          </w:p>
        </w:tc>
      </w:tr>
      <w:tr w:rsidR="00087F14" w:rsidRPr="00CF77C1" w14:paraId="30C45A0C" w14:textId="77777777" w:rsidTr="007E5886">
        <w:tc>
          <w:tcPr>
            <w:tcW w:w="3227" w:type="dxa"/>
            <w:shd w:val="clear" w:color="auto" w:fill="auto"/>
            <w:vAlign w:val="center"/>
          </w:tcPr>
          <w:p w14:paraId="5DA16DC5" w14:textId="301747A4" w:rsidR="00087F14" w:rsidRPr="00CF77C1" w:rsidRDefault="00087F14" w:rsidP="0080044B">
            <w:pPr>
              <w:spacing w:before="0" w:after="0"/>
              <w:jc w:val="left"/>
              <w:rPr>
                <w:szCs w:val="24"/>
                <w:lang w:val="sr-Cyrl-RS"/>
              </w:rPr>
            </w:pPr>
            <w:r w:rsidRPr="00CF77C1">
              <w:rPr>
                <w:szCs w:val="24"/>
                <w:lang w:val="sr-Cyrl-RS"/>
              </w:rPr>
              <w:t>Набавка нових и комплетирање постојећих транспортера</w:t>
            </w:r>
            <w:r w:rsidR="00BF18E8" w:rsidRPr="00CF77C1">
              <w:rPr>
                <w:szCs w:val="24"/>
                <w:lang w:val="sr-Cyrl-RS"/>
              </w:rPr>
              <w:t xml:space="preserve"> за капацитет од </w:t>
            </w:r>
            <w:r w:rsidR="00DE6ED8" w:rsidRPr="00CF77C1">
              <w:rPr>
                <w:szCs w:val="24"/>
                <w:lang w:val="sr-Cyrl-RS"/>
              </w:rPr>
              <w:t>9.000.000 t</w:t>
            </w:r>
          </w:p>
        </w:tc>
        <w:tc>
          <w:tcPr>
            <w:tcW w:w="3402" w:type="dxa"/>
            <w:shd w:val="clear" w:color="auto" w:fill="auto"/>
            <w:vAlign w:val="center"/>
          </w:tcPr>
          <w:p w14:paraId="14FD08BE" w14:textId="47D89146" w:rsidR="00087F14" w:rsidRPr="00CF77C1" w:rsidRDefault="00BF18E8" w:rsidP="0080044B">
            <w:pPr>
              <w:jc w:val="center"/>
              <w:rPr>
                <w:szCs w:val="24"/>
                <w:lang w:val="sr-Cyrl-RS"/>
              </w:rPr>
            </w:pPr>
            <w:r w:rsidRPr="00CF77C1">
              <w:rPr>
                <w:szCs w:val="24"/>
                <w:lang w:val="sr-Cyrl-RS"/>
              </w:rPr>
              <w:t>55</w:t>
            </w:r>
            <w:r w:rsidR="00087F14" w:rsidRPr="00CF77C1">
              <w:rPr>
                <w:szCs w:val="24"/>
                <w:lang w:val="sr-Cyrl-RS"/>
              </w:rPr>
              <w:t>.500.000 €</w:t>
            </w:r>
          </w:p>
          <w:p w14:paraId="4A452342" w14:textId="76D32C9E" w:rsidR="00087F14" w:rsidRPr="00CF77C1" w:rsidRDefault="001741AC" w:rsidP="0080044B">
            <w:pPr>
              <w:jc w:val="center"/>
              <w:rPr>
                <w:szCs w:val="24"/>
                <w:lang w:val="sr-Cyrl-RS"/>
              </w:rPr>
            </w:pPr>
            <w:r w:rsidRPr="00CF77C1">
              <w:rPr>
                <w:szCs w:val="24"/>
                <w:lang w:val="sr-Cyrl-RS"/>
              </w:rPr>
              <w:t>(сопствена средства ЕПС</w:t>
            </w:r>
            <w:r w:rsidR="00087F14" w:rsidRPr="00CF77C1">
              <w:rPr>
                <w:szCs w:val="24"/>
                <w:lang w:val="sr-Cyrl-RS"/>
              </w:rPr>
              <w:t>)</w:t>
            </w:r>
          </w:p>
        </w:tc>
        <w:tc>
          <w:tcPr>
            <w:tcW w:w="3685" w:type="dxa"/>
            <w:vMerge/>
            <w:shd w:val="clear" w:color="auto" w:fill="auto"/>
            <w:vAlign w:val="center"/>
          </w:tcPr>
          <w:p w14:paraId="59668AB2" w14:textId="77777777" w:rsidR="00087F14" w:rsidRPr="00CF77C1" w:rsidRDefault="00087F14" w:rsidP="0080044B">
            <w:pPr>
              <w:jc w:val="left"/>
              <w:rPr>
                <w:lang w:val="sr-Cyrl-RS"/>
              </w:rPr>
            </w:pPr>
          </w:p>
        </w:tc>
        <w:tc>
          <w:tcPr>
            <w:tcW w:w="4473" w:type="dxa"/>
            <w:vMerge/>
            <w:shd w:val="clear" w:color="auto" w:fill="auto"/>
            <w:vAlign w:val="center"/>
          </w:tcPr>
          <w:p w14:paraId="4DE3A1D5" w14:textId="77777777" w:rsidR="00087F14" w:rsidRPr="00CF77C1" w:rsidRDefault="00087F14" w:rsidP="0080044B">
            <w:pPr>
              <w:jc w:val="left"/>
              <w:rPr>
                <w:lang w:val="sr-Cyrl-RS"/>
              </w:rPr>
            </w:pPr>
          </w:p>
        </w:tc>
      </w:tr>
      <w:tr w:rsidR="00087F14" w:rsidRPr="00CF77C1" w14:paraId="5501297F" w14:textId="77777777" w:rsidTr="007E5886">
        <w:tc>
          <w:tcPr>
            <w:tcW w:w="3227" w:type="dxa"/>
            <w:shd w:val="clear" w:color="auto" w:fill="auto"/>
            <w:vAlign w:val="center"/>
          </w:tcPr>
          <w:p w14:paraId="77BF46E3" w14:textId="77777777" w:rsidR="00087F14" w:rsidRPr="00CF77C1" w:rsidRDefault="00087F14" w:rsidP="0080044B">
            <w:pPr>
              <w:spacing w:before="0" w:after="0"/>
              <w:jc w:val="left"/>
              <w:rPr>
                <w:szCs w:val="24"/>
                <w:lang w:val="sr-Cyrl-RS"/>
              </w:rPr>
            </w:pPr>
            <w:r w:rsidRPr="00CF77C1">
              <w:rPr>
                <w:szCs w:val="24"/>
                <w:lang w:val="sr-Cyrl-RS"/>
              </w:rPr>
              <w:t>Набавка помоћне механизације</w:t>
            </w:r>
          </w:p>
        </w:tc>
        <w:tc>
          <w:tcPr>
            <w:tcW w:w="3402" w:type="dxa"/>
            <w:shd w:val="clear" w:color="auto" w:fill="auto"/>
            <w:vAlign w:val="center"/>
          </w:tcPr>
          <w:p w14:paraId="000F6C14" w14:textId="77777777" w:rsidR="00087F14" w:rsidRPr="00CF77C1" w:rsidRDefault="00087F14" w:rsidP="0080044B">
            <w:pPr>
              <w:jc w:val="center"/>
              <w:rPr>
                <w:szCs w:val="24"/>
                <w:lang w:val="sr-Cyrl-RS"/>
              </w:rPr>
            </w:pPr>
            <w:r w:rsidRPr="00CF77C1">
              <w:rPr>
                <w:szCs w:val="24"/>
                <w:lang w:val="sr-Cyrl-RS"/>
              </w:rPr>
              <w:t>8.000.000 €</w:t>
            </w:r>
          </w:p>
          <w:p w14:paraId="6AB1E73F" w14:textId="4859F649" w:rsidR="00087F14" w:rsidRPr="00CF77C1" w:rsidRDefault="001741AC" w:rsidP="0080044B">
            <w:pPr>
              <w:jc w:val="center"/>
              <w:rPr>
                <w:szCs w:val="24"/>
                <w:lang w:val="sr-Cyrl-RS"/>
              </w:rPr>
            </w:pPr>
            <w:r w:rsidRPr="00CF77C1">
              <w:rPr>
                <w:szCs w:val="24"/>
                <w:lang w:val="sr-Cyrl-RS"/>
              </w:rPr>
              <w:t>(сопствена средства ЕПС</w:t>
            </w:r>
            <w:r w:rsidR="00087F14" w:rsidRPr="00CF77C1">
              <w:rPr>
                <w:szCs w:val="24"/>
                <w:lang w:val="sr-Cyrl-RS"/>
              </w:rPr>
              <w:t>)</w:t>
            </w:r>
          </w:p>
        </w:tc>
        <w:tc>
          <w:tcPr>
            <w:tcW w:w="3685" w:type="dxa"/>
            <w:vMerge/>
            <w:shd w:val="clear" w:color="auto" w:fill="auto"/>
            <w:vAlign w:val="center"/>
          </w:tcPr>
          <w:p w14:paraId="46014DA1" w14:textId="77777777" w:rsidR="00087F14" w:rsidRPr="00CF77C1" w:rsidRDefault="00087F14" w:rsidP="0080044B">
            <w:pPr>
              <w:jc w:val="left"/>
              <w:rPr>
                <w:lang w:val="sr-Cyrl-RS"/>
              </w:rPr>
            </w:pPr>
          </w:p>
        </w:tc>
        <w:tc>
          <w:tcPr>
            <w:tcW w:w="4473" w:type="dxa"/>
            <w:vMerge/>
            <w:shd w:val="clear" w:color="auto" w:fill="auto"/>
            <w:vAlign w:val="center"/>
          </w:tcPr>
          <w:p w14:paraId="3B0BF6A0" w14:textId="77777777" w:rsidR="00087F14" w:rsidRPr="00CF77C1" w:rsidRDefault="00087F14" w:rsidP="0080044B">
            <w:pPr>
              <w:jc w:val="left"/>
              <w:rPr>
                <w:lang w:val="sr-Cyrl-RS"/>
              </w:rPr>
            </w:pPr>
          </w:p>
        </w:tc>
      </w:tr>
      <w:tr w:rsidR="00087F14" w:rsidRPr="00CF77C1" w14:paraId="66B3C7FC" w14:textId="77777777" w:rsidTr="007E5886">
        <w:tc>
          <w:tcPr>
            <w:tcW w:w="3227" w:type="dxa"/>
            <w:shd w:val="clear" w:color="auto" w:fill="auto"/>
            <w:vAlign w:val="center"/>
          </w:tcPr>
          <w:p w14:paraId="28A1D105" w14:textId="77777777" w:rsidR="00087F14" w:rsidRPr="00CF77C1" w:rsidRDefault="00087F14" w:rsidP="0080044B">
            <w:pPr>
              <w:spacing w:before="0" w:after="0"/>
              <w:jc w:val="left"/>
              <w:rPr>
                <w:szCs w:val="24"/>
                <w:lang w:val="sr-Cyrl-RS"/>
              </w:rPr>
            </w:pPr>
            <w:r w:rsidRPr="00CF77C1">
              <w:rPr>
                <w:szCs w:val="24"/>
                <w:lang w:val="sr-Cyrl-RS"/>
              </w:rPr>
              <w:t>Управљање квалитетом угља</w:t>
            </w:r>
          </w:p>
        </w:tc>
        <w:tc>
          <w:tcPr>
            <w:tcW w:w="3402" w:type="dxa"/>
            <w:shd w:val="clear" w:color="auto" w:fill="auto"/>
            <w:vAlign w:val="center"/>
          </w:tcPr>
          <w:p w14:paraId="62DC6529" w14:textId="77777777" w:rsidR="00087F14" w:rsidRPr="00CF77C1" w:rsidRDefault="00087F14" w:rsidP="0080044B">
            <w:pPr>
              <w:jc w:val="center"/>
              <w:rPr>
                <w:szCs w:val="24"/>
                <w:lang w:val="sr-Cyrl-RS"/>
              </w:rPr>
            </w:pPr>
            <w:r w:rsidRPr="00CF77C1">
              <w:rPr>
                <w:szCs w:val="24"/>
                <w:lang w:val="sr-Cyrl-RS"/>
              </w:rPr>
              <w:t>5.000.000 €</w:t>
            </w:r>
          </w:p>
          <w:p w14:paraId="3C21C683" w14:textId="3FB44DD6" w:rsidR="00087F14" w:rsidRPr="00CF77C1" w:rsidRDefault="00087F14" w:rsidP="0080044B">
            <w:pPr>
              <w:jc w:val="center"/>
              <w:rPr>
                <w:szCs w:val="24"/>
                <w:lang w:val="sr-Cyrl-RS"/>
              </w:rPr>
            </w:pPr>
            <w:r w:rsidRPr="00CF77C1">
              <w:rPr>
                <w:szCs w:val="24"/>
                <w:lang w:val="sr-Cyrl-RS"/>
              </w:rPr>
              <w:t>(сопствена</w:t>
            </w:r>
            <w:r w:rsidR="001741AC" w:rsidRPr="00CF77C1">
              <w:rPr>
                <w:szCs w:val="24"/>
                <w:lang w:val="sr-Cyrl-RS"/>
              </w:rPr>
              <w:t xml:space="preserve"> средства ЕПС</w:t>
            </w:r>
            <w:r w:rsidRPr="00CF77C1">
              <w:rPr>
                <w:szCs w:val="24"/>
                <w:lang w:val="sr-Cyrl-RS"/>
              </w:rPr>
              <w:t>)</w:t>
            </w:r>
          </w:p>
        </w:tc>
        <w:tc>
          <w:tcPr>
            <w:tcW w:w="3685" w:type="dxa"/>
            <w:vMerge/>
            <w:shd w:val="clear" w:color="auto" w:fill="auto"/>
            <w:vAlign w:val="center"/>
          </w:tcPr>
          <w:p w14:paraId="76C969A7" w14:textId="77777777" w:rsidR="00087F14" w:rsidRPr="00CF77C1" w:rsidRDefault="00087F14" w:rsidP="0080044B">
            <w:pPr>
              <w:jc w:val="left"/>
              <w:rPr>
                <w:lang w:val="sr-Cyrl-RS"/>
              </w:rPr>
            </w:pPr>
          </w:p>
        </w:tc>
        <w:tc>
          <w:tcPr>
            <w:tcW w:w="4473" w:type="dxa"/>
            <w:vMerge/>
            <w:shd w:val="clear" w:color="auto" w:fill="auto"/>
            <w:vAlign w:val="center"/>
          </w:tcPr>
          <w:p w14:paraId="27E7123F" w14:textId="77777777" w:rsidR="00087F14" w:rsidRPr="00CF77C1" w:rsidRDefault="00087F14" w:rsidP="0080044B">
            <w:pPr>
              <w:jc w:val="left"/>
              <w:rPr>
                <w:lang w:val="sr-Cyrl-RS"/>
              </w:rPr>
            </w:pPr>
          </w:p>
        </w:tc>
      </w:tr>
      <w:tr w:rsidR="00087F14" w:rsidRPr="00CF77C1" w14:paraId="1C378757" w14:textId="77777777" w:rsidTr="007E5886">
        <w:tc>
          <w:tcPr>
            <w:tcW w:w="3227" w:type="dxa"/>
            <w:shd w:val="clear" w:color="auto" w:fill="auto"/>
            <w:vAlign w:val="center"/>
          </w:tcPr>
          <w:p w14:paraId="13ED31BD" w14:textId="77777777" w:rsidR="00087F14" w:rsidRPr="00CF77C1" w:rsidRDefault="00087F14" w:rsidP="0080044B">
            <w:pPr>
              <w:spacing w:before="0" w:after="0"/>
              <w:jc w:val="left"/>
              <w:rPr>
                <w:szCs w:val="24"/>
                <w:lang w:val="sr-Cyrl-RS"/>
              </w:rPr>
            </w:pPr>
            <w:r w:rsidRPr="00CF77C1">
              <w:rPr>
                <w:szCs w:val="24"/>
                <w:lang w:val="sr-Cyrl-RS"/>
              </w:rPr>
              <w:t>Опрема за повећање капацитета на 12.000.000 t</w:t>
            </w:r>
          </w:p>
        </w:tc>
        <w:tc>
          <w:tcPr>
            <w:tcW w:w="3402" w:type="dxa"/>
            <w:shd w:val="clear" w:color="auto" w:fill="auto"/>
            <w:vAlign w:val="center"/>
          </w:tcPr>
          <w:p w14:paraId="0D99E3C6" w14:textId="77777777" w:rsidR="00087F14" w:rsidRPr="00CF77C1" w:rsidRDefault="00087F14" w:rsidP="0080044B">
            <w:pPr>
              <w:jc w:val="center"/>
              <w:rPr>
                <w:szCs w:val="24"/>
                <w:lang w:val="sr-Cyrl-RS"/>
              </w:rPr>
            </w:pPr>
            <w:r w:rsidRPr="00CF77C1">
              <w:rPr>
                <w:szCs w:val="24"/>
                <w:lang w:val="sr-Cyrl-RS"/>
              </w:rPr>
              <w:t>120.000.000 €</w:t>
            </w:r>
          </w:p>
          <w:p w14:paraId="63C3DAAD" w14:textId="13A01670" w:rsidR="00087F14" w:rsidRPr="00CF77C1" w:rsidRDefault="00087F14" w:rsidP="0080044B">
            <w:pPr>
              <w:jc w:val="center"/>
              <w:rPr>
                <w:szCs w:val="24"/>
                <w:lang w:val="sr-Cyrl-RS"/>
              </w:rPr>
            </w:pPr>
            <w:r w:rsidRPr="00CF77C1">
              <w:rPr>
                <w:szCs w:val="24"/>
                <w:lang w:val="sr-Cyrl-RS"/>
              </w:rPr>
              <w:t>(кредит</w:t>
            </w:r>
            <w:r w:rsidR="001741AC" w:rsidRPr="00CF77C1">
              <w:rPr>
                <w:szCs w:val="24"/>
                <w:lang w:val="sr-Cyrl-RS"/>
              </w:rPr>
              <w:t xml:space="preserve"> CMEK и сопствена средства ЕПС</w:t>
            </w:r>
            <w:r w:rsidRPr="00CF77C1">
              <w:rPr>
                <w:szCs w:val="24"/>
                <w:lang w:val="sr-Cyrl-RS"/>
              </w:rPr>
              <w:t>)</w:t>
            </w:r>
          </w:p>
        </w:tc>
        <w:tc>
          <w:tcPr>
            <w:tcW w:w="3685" w:type="dxa"/>
            <w:vMerge/>
            <w:shd w:val="clear" w:color="auto" w:fill="auto"/>
            <w:vAlign w:val="center"/>
          </w:tcPr>
          <w:p w14:paraId="6BA8FE14" w14:textId="77777777" w:rsidR="00087F14" w:rsidRPr="00CF77C1" w:rsidRDefault="00087F14" w:rsidP="0080044B">
            <w:pPr>
              <w:jc w:val="left"/>
              <w:rPr>
                <w:lang w:val="sr-Cyrl-RS"/>
              </w:rPr>
            </w:pPr>
          </w:p>
        </w:tc>
        <w:tc>
          <w:tcPr>
            <w:tcW w:w="4473" w:type="dxa"/>
            <w:vMerge/>
            <w:shd w:val="clear" w:color="auto" w:fill="auto"/>
            <w:vAlign w:val="center"/>
          </w:tcPr>
          <w:p w14:paraId="4D28404C" w14:textId="77777777" w:rsidR="00087F14" w:rsidRPr="00CF77C1" w:rsidRDefault="00087F14" w:rsidP="0080044B">
            <w:pPr>
              <w:jc w:val="left"/>
              <w:rPr>
                <w:lang w:val="sr-Cyrl-RS"/>
              </w:rPr>
            </w:pPr>
          </w:p>
        </w:tc>
      </w:tr>
      <w:tr w:rsidR="00087F14" w:rsidRPr="00CF77C1" w14:paraId="4A9DCCDD" w14:textId="77777777" w:rsidTr="007E5886">
        <w:tc>
          <w:tcPr>
            <w:tcW w:w="3227" w:type="dxa"/>
            <w:shd w:val="clear" w:color="auto" w:fill="auto"/>
            <w:vAlign w:val="center"/>
          </w:tcPr>
          <w:p w14:paraId="194FE561" w14:textId="77777777" w:rsidR="00087F14" w:rsidRPr="00CF77C1" w:rsidRDefault="00087F14" w:rsidP="0080044B">
            <w:pPr>
              <w:spacing w:before="0" w:after="0"/>
              <w:jc w:val="left"/>
              <w:rPr>
                <w:szCs w:val="24"/>
                <w:lang w:val="sr-Cyrl-RS"/>
              </w:rPr>
            </w:pPr>
            <w:r w:rsidRPr="00CF77C1">
              <w:rPr>
                <w:szCs w:val="24"/>
                <w:lang w:val="sr-Cyrl-RS"/>
              </w:rPr>
              <w:t>Промена технологије рада БТО и БТД система</w:t>
            </w:r>
          </w:p>
        </w:tc>
        <w:tc>
          <w:tcPr>
            <w:tcW w:w="3402" w:type="dxa"/>
            <w:shd w:val="clear" w:color="auto" w:fill="auto"/>
            <w:vAlign w:val="center"/>
          </w:tcPr>
          <w:p w14:paraId="291F8CBC" w14:textId="0BD5314C" w:rsidR="00087F14" w:rsidRPr="00CF77C1" w:rsidRDefault="00BF18E8" w:rsidP="0080044B">
            <w:pPr>
              <w:jc w:val="center"/>
              <w:rPr>
                <w:szCs w:val="24"/>
                <w:lang w:val="sr-Cyrl-RS"/>
              </w:rPr>
            </w:pPr>
            <w:r w:rsidRPr="00CF77C1">
              <w:rPr>
                <w:szCs w:val="24"/>
                <w:lang w:val="sr-Cyrl-RS"/>
              </w:rPr>
              <w:t>59.0</w:t>
            </w:r>
            <w:r w:rsidR="00087F14" w:rsidRPr="00CF77C1">
              <w:rPr>
                <w:szCs w:val="24"/>
                <w:lang w:val="sr-Cyrl-RS"/>
              </w:rPr>
              <w:t>00.000 €</w:t>
            </w:r>
          </w:p>
          <w:p w14:paraId="3A66E19D" w14:textId="71EE9A0B" w:rsidR="00087F14" w:rsidRPr="00CF77C1" w:rsidRDefault="001741AC" w:rsidP="0080044B">
            <w:pPr>
              <w:jc w:val="center"/>
              <w:rPr>
                <w:szCs w:val="24"/>
                <w:lang w:val="sr-Cyrl-RS"/>
              </w:rPr>
            </w:pPr>
            <w:r w:rsidRPr="00CF77C1">
              <w:rPr>
                <w:szCs w:val="24"/>
                <w:lang w:val="sr-Cyrl-RS"/>
              </w:rPr>
              <w:t>(сопствена средства ЕПС</w:t>
            </w:r>
            <w:r w:rsidR="00087F14" w:rsidRPr="00CF77C1">
              <w:rPr>
                <w:szCs w:val="24"/>
                <w:lang w:val="sr-Cyrl-RS"/>
              </w:rPr>
              <w:t>)</w:t>
            </w:r>
          </w:p>
        </w:tc>
        <w:tc>
          <w:tcPr>
            <w:tcW w:w="3685" w:type="dxa"/>
            <w:vMerge/>
            <w:shd w:val="clear" w:color="auto" w:fill="auto"/>
            <w:vAlign w:val="center"/>
          </w:tcPr>
          <w:p w14:paraId="17EA0B4B" w14:textId="77777777" w:rsidR="00087F14" w:rsidRPr="00CF77C1" w:rsidRDefault="00087F14" w:rsidP="0080044B">
            <w:pPr>
              <w:jc w:val="left"/>
              <w:rPr>
                <w:lang w:val="sr-Cyrl-RS"/>
              </w:rPr>
            </w:pPr>
          </w:p>
        </w:tc>
        <w:tc>
          <w:tcPr>
            <w:tcW w:w="4473" w:type="dxa"/>
            <w:vMerge/>
            <w:shd w:val="clear" w:color="auto" w:fill="auto"/>
            <w:vAlign w:val="center"/>
          </w:tcPr>
          <w:p w14:paraId="08C00C20" w14:textId="77777777" w:rsidR="00087F14" w:rsidRPr="00CF77C1" w:rsidRDefault="00087F14" w:rsidP="0080044B">
            <w:pPr>
              <w:jc w:val="left"/>
              <w:rPr>
                <w:lang w:val="sr-Cyrl-RS"/>
              </w:rPr>
            </w:pPr>
          </w:p>
        </w:tc>
      </w:tr>
      <w:tr w:rsidR="00087F14" w:rsidRPr="00CF77C1" w14:paraId="6A60D04F" w14:textId="77777777" w:rsidTr="007E5886">
        <w:tc>
          <w:tcPr>
            <w:tcW w:w="3227" w:type="dxa"/>
            <w:shd w:val="clear" w:color="auto" w:fill="auto"/>
            <w:vAlign w:val="center"/>
          </w:tcPr>
          <w:p w14:paraId="22C91EB1" w14:textId="77777777" w:rsidR="00087F14" w:rsidRPr="00CF77C1" w:rsidRDefault="00087F14" w:rsidP="0080044B">
            <w:pPr>
              <w:spacing w:before="0" w:after="0"/>
              <w:jc w:val="left"/>
              <w:rPr>
                <w:szCs w:val="24"/>
                <w:lang w:val="sr-Cyrl-RS"/>
              </w:rPr>
            </w:pPr>
            <w:r w:rsidRPr="00CF77C1">
              <w:rPr>
                <w:szCs w:val="24"/>
                <w:lang w:val="sr-Cyrl-RS"/>
              </w:rPr>
              <w:t>Одводњавање</w:t>
            </w:r>
          </w:p>
        </w:tc>
        <w:tc>
          <w:tcPr>
            <w:tcW w:w="3402" w:type="dxa"/>
            <w:shd w:val="clear" w:color="auto" w:fill="auto"/>
            <w:vAlign w:val="center"/>
          </w:tcPr>
          <w:p w14:paraId="18AB2F11" w14:textId="1DE2A195" w:rsidR="00087F14" w:rsidRPr="00CF77C1" w:rsidRDefault="009E7713" w:rsidP="0080044B">
            <w:pPr>
              <w:jc w:val="center"/>
              <w:rPr>
                <w:szCs w:val="24"/>
                <w:lang w:val="sr-Cyrl-RS"/>
              </w:rPr>
            </w:pPr>
            <w:r w:rsidRPr="00CF77C1">
              <w:rPr>
                <w:szCs w:val="24"/>
                <w:lang w:val="sr-Cyrl-RS"/>
              </w:rPr>
              <w:t>80.000</w:t>
            </w:r>
            <w:r w:rsidR="00087F14" w:rsidRPr="00CF77C1">
              <w:rPr>
                <w:szCs w:val="24"/>
                <w:lang w:val="sr-Cyrl-RS"/>
              </w:rPr>
              <w:t>.000 €</w:t>
            </w:r>
          </w:p>
          <w:p w14:paraId="7A394C94" w14:textId="5E143A81" w:rsidR="00087F14" w:rsidRPr="00CF77C1" w:rsidRDefault="00087F14" w:rsidP="0080044B">
            <w:pPr>
              <w:jc w:val="center"/>
              <w:rPr>
                <w:szCs w:val="24"/>
                <w:lang w:val="sr-Cyrl-RS"/>
              </w:rPr>
            </w:pPr>
            <w:r w:rsidRPr="00CF77C1">
              <w:rPr>
                <w:szCs w:val="24"/>
                <w:lang w:val="sr-Cyrl-RS"/>
              </w:rPr>
              <w:t>(сопствена средства Е</w:t>
            </w:r>
            <w:r w:rsidR="001741AC" w:rsidRPr="00CF77C1">
              <w:rPr>
                <w:szCs w:val="24"/>
                <w:lang w:val="sr-Cyrl-RS"/>
              </w:rPr>
              <w:t>ПС</w:t>
            </w:r>
            <w:r w:rsidRPr="00CF77C1">
              <w:rPr>
                <w:szCs w:val="24"/>
                <w:lang w:val="sr-Cyrl-RS"/>
              </w:rPr>
              <w:t>)</w:t>
            </w:r>
          </w:p>
        </w:tc>
        <w:tc>
          <w:tcPr>
            <w:tcW w:w="3685" w:type="dxa"/>
            <w:vMerge/>
            <w:shd w:val="clear" w:color="auto" w:fill="auto"/>
            <w:vAlign w:val="center"/>
          </w:tcPr>
          <w:p w14:paraId="033BCCD2" w14:textId="77777777" w:rsidR="00087F14" w:rsidRPr="00CF77C1" w:rsidRDefault="00087F14" w:rsidP="0080044B">
            <w:pPr>
              <w:jc w:val="left"/>
              <w:rPr>
                <w:lang w:val="sr-Cyrl-RS"/>
              </w:rPr>
            </w:pPr>
          </w:p>
        </w:tc>
        <w:tc>
          <w:tcPr>
            <w:tcW w:w="4473" w:type="dxa"/>
            <w:vMerge/>
            <w:shd w:val="clear" w:color="auto" w:fill="auto"/>
            <w:vAlign w:val="center"/>
          </w:tcPr>
          <w:p w14:paraId="282D3BEE" w14:textId="77777777" w:rsidR="00087F14" w:rsidRPr="00CF77C1" w:rsidRDefault="00087F14" w:rsidP="0080044B">
            <w:pPr>
              <w:jc w:val="left"/>
              <w:rPr>
                <w:lang w:val="sr-Cyrl-RS"/>
              </w:rPr>
            </w:pPr>
          </w:p>
        </w:tc>
      </w:tr>
    </w:tbl>
    <w:p w14:paraId="1F24560C" w14:textId="729FD915" w:rsidR="00AE17C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108</w:t>
      </w:r>
      <w:r w:rsidR="0092145E" w:rsidRPr="00CF77C1">
        <w:rPr>
          <w:b w:val="0"/>
          <w:lang w:val="sr-Cyrl-RS"/>
        </w:rPr>
        <w:fldChar w:fldCharType="end"/>
      </w:r>
      <w:r w:rsidR="002D7D6C"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5103"/>
        <w:gridCol w:w="4819"/>
      </w:tblGrid>
      <w:tr w:rsidR="002D7D6C" w:rsidRPr="00CF77C1" w14:paraId="5775F843" w14:textId="77777777" w:rsidTr="0039217F">
        <w:trPr>
          <w:cantSplit/>
          <w:tblHeader/>
        </w:trPr>
        <w:tc>
          <w:tcPr>
            <w:tcW w:w="4928" w:type="dxa"/>
            <w:shd w:val="clear" w:color="auto" w:fill="auto"/>
            <w:vAlign w:val="center"/>
          </w:tcPr>
          <w:p w14:paraId="5005BAB0" w14:textId="77777777" w:rsidR="002D7D6C" w:rsidRPr="00CF77C1" w:rsidRDefault="002D7D6C" w:rsidP="00BF18E8">
            <w:pPr>
              <w:keepNext/>
              <w:jc w:val="center"/>
              <w:rPr>
                <w:lang w:val="sr-Cyrl-RS"/>
              </w:rPr>
            </w:pPr>
            <w:r w:rsidRPr="00CF77C1">
              <w:rPr>
                <w:lang w:val="sr-Cyrl-RS"/>
              </w:rPr>
              <w:t>Пројекат</w:t>
            </w:r>
          </w:p>
        </w:tc>
        <w:tc>
          <w:tcPr>
            <w:tcW w:w="5103" w:type="dxa"/>
            <w:shd w:val="clear" w:color="auto" w:fill="auto"/>
            <w:vAlign w:val="center"/>
          </w:tcPr>
          <w:p w14:paraId="06D7D1D9" w14:textId="77777777" w:rsidR="002D7D6C" w:rsidRPr="00CF77C1" w:rsidRDefault="002D7D6C" w:rsidP="00BF18E8">
            <w:pPr>
              <w:keepNext/>
              <w:jc w:val="center"/>
              <w:rPr>
                <w:lang w:val="sr-Cyrl-RS"/>
              </w:rPr>
            </w:pPr>
            <w:r w:rsidRPr="00CF77C1">
              <w:rPr>
                <w:lang w:val="sr-Cyrl-RS"/>
              </w:rPr>
              <w:t>Статус припреме пројекта</w:t>
            </w:r>
          </w:p>
        </w:tc>
        <w:tc>
          <w:tcPr>
            <w:tcW w:w="4819" w:type="dxa"/>
            <w:shd w:val="clear" w:color="auto" w:fill="auto"/>
            <w:vAlign w:val="center"/>
          </w:tcPr>
          <w:p w14:paraId="209A387E" w14:textId="77777777" w:rsidR="002D7D6C" w:rsidRPr="00CF77C1" w:rsidRDefault="002D7D6C" w:rsidP="00BF18E8">
            <w:pPr>
              <w:keepNext/>
              <w:jc w:val="center"/>
              <w:rPr>
                <w:lang w:val="sr-Cyrl-RS"/>
              </w:rPr>
            </w:pPr>
            <w:r w:rsidRPr="00CF77C1">
              <w:rPr>
                <w:lang w:val="sr-Cyrl-RS"/>
              </w:rPr>
              <w:t>Недостајућа планска и техничка документација</w:t>
            </w:r>
          </w:p>
        </w:tc>
      </w:tr>
      <w:tr w:rsidR="002D7D6C" w:rsidRPr="00CF77C1" w14:paraId="03FC0481" w14:textId="77777777" w:rsidTr="0039217F">
        <w:trPr>
          <w:cantSplit/>
        </w:trPr>
        <w:tc>
          <w:tcPr>
            <w:tcW w:w="4928" w:type="dxa"/>
            <w:shd w:val="clear" w:color="auto" w:fill="auto"/>
            <w:vAlign w:val="center"/>
          </w:tcPr>
          <w:p w14:paraId="63C20EE9" w14:textId="77777777" w:rsidR="002D7D6C" w:rsidRPr="0039217F" w:rsidRDefault="002D7D6C" w:rsidP="0080044B">
            <w:pPr>
              <w:jc w:val="left"/>
              <w:rPr>
                <w:sz w:val="22"/>
                <w:lang w:val="sr-Cyrl-RS"/>
              </w:rPr>
            </w:pPr>
            <w:r w:rsidRPr="0039217F">
              <w:rPr>
                <w:sz w:val="22"/>
                <w:lang w:val="sr-Cyrl-RS"/>
              </w:rPr>
              <w:t>Завршетак инвестиционе изградње и повећање капацитета површинског копа Дрмно</w:t>
            </w:r>
          </w:p>
        </w:tc>
        <w:tc>
          <w:tcPr>
            <w:tcW w:w="5103" w:type="dxa"/>
            <w:shd w:val="clear" w:color="auto" w:fill="auto"/>
            <w:vAlign w:val="center"/>
          </w:tcPr>
          <w:p w14:paraId="26C2E20E" w14:textId="77777777" w:rsidR="002D7D6C" w:rsidRPr="0039217F" w:rsidRDefault="002D7D6C" w:rsidP="0080044B">
            <w:pPr>
              <w:jc w:val="left"/>
              <w:rPr>
                <w:sz w:val="22"/>
                <w:lang w:val="sr-Cyrl-RS"/>
              </w:rPr>
            </w:pPr>
            <w:r w:rsidRPr="0039217F">
              <w:rPr>
                <w:sz w:val="22"/>
                <w:lang w:val="sr-Cyrl-RS"/>
              </w:rPr>
              <w:t>Урађена студија оправданости и Главни рударски пројекат</w:t>
            </w:r>
          </w:p>
        </w:tc>
        <w:tc>
          <w:tcPr>
            <w:tcW w:w="4819" w:type="dxa"/>
            <w:shd w:val="clear" w:color="auto" w:fill="auto"/>
            <w:vAlign w:val="center"/>
          </w:tcPr>
          <w:p w14:paraId="1D66EBA9" w14:textId="77777777" w:rsidR="00301828" w:rsidRPr="0039217F" w:rsidRDefault="00301828" w:rsidP="0080044B">
            <w:pPr>
              <w:jc w:val="left"/>
              <w:rPr>
                <w:sz w:val="22"/>
                <w:lang w:val="sr-Cyrl-RS"/>
              </w:rPr>
            </w:pPr>
            <w:r w:rsidRPr="0039217F">
              <w:rPr>
                <w:sz w:val="22"/>
                <w:lang w:val="sr-Cyrl-RS"/>
              </w:rPr>
              <w:t>Пројекат експлоатације,</w:t>
            </w:r>
          </w:p>
          <w:p w14:paraId="106B6B32" w14:textId="77777777" w:rsidR="002D7D6C" w:rsidRPr="0039217F" w:rsidRDefault="002D7D6C" w:rsidP="0080044B">
            <w:pPr>
              <w:jc w:val="left"/>
              <w:rPr>
                <w:sz w:val="22"/>
                <w:lang w:val="sr-Cyrl-RS"/>
              </w:rPr>
            </w:pPr>
            <w:r w:rsidRPr="0039217F">
              <w:rPr>
                <w:sz w:val="22"/>
                <w:lang w:val="sr-Cyrl-RS"/>
              </w:rPr>
              <w:t xml:space="preserve">Пројекти монтаже </w:t>
            </w:r>
            <w:r w:rsidR="00301828" w:rsidRPr="0039217F">
              <w:rPr>
                <w:sz w:val="22"/>
                <w:lang w:val="sr-Cyrl-RS"/>
              </w:rPr>
              <w:t>опреме за 5 БТО система</w:t>
            </w:r>
          </w:p>
        </w:tc>
      </w:tr>
    </w:tbl>
    <w:p w14:paraId="76458A33" w14:textId="3B1A9E07"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109</w:t>
      </w:r>
      <w:r w:rsidR="0092145E" w:rsidRPr="00CF77C1">
        <w:rPr>
          <w:b w:val="0"/>
          <w:lang w:val="sr-Cyrl-RS"/>
        </w:rPr>
        <w:fldChar w:fldCharType="end"/>
      </w:r>
      <w:r w:rsidR="002D7D6C" w:rsidRPr="00CF77C1">
        <w:rPr>
          <w:b w:val="0"/>
          <w:lang w:val="sr-Cyrl-RS"/>
        </w:rPr>
        <w:t>: Динамика реализације активн</w:t>
      </w:r>
      <w:r w:rsidR="005E7F26">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7"/>
        <w:gridCol w:w="1559"/>
        <w:gridCol w:w="972"/>
        <w:gridCol w:w="972"/>
        <w:gridCol w:w="972"/>
        <w:gridCol w:w="972"/>
        <w:gridCol w:w="972"/>
        <w:gridCol w:w="972"/>
        <w:gridCol w:w="972"/>
      </w:tblGrid>
      <w:tr w:rsidR="002D7D6C" w:rsidRPr="00CF77C1" w14:paraId="4672A118" w14:textId="77777777" w:rsidTr="00087F14">
        <w:trPr>
          <w:tblHeader/>
        </w:trPr>
        <w:tc>
          <w:tcPr>
            <w:tcW w:w="6487" w:type="dxa"/>
            <w:shd w:val="clear" w:color="auto" w:fill="auto"/>
            <w:vAlign w:val="center"/>
          </w:tcPr>
          <w:p w14:paraId="64D3AF5A" w14:textId="77777777" w:rsidR="002D7D6C" w:rsidRPr="00CF77C1" w:rsidRDefault="002D7D6C" w:rsidP="0080044B">
            <w:pPr>
              <w:jc w:val="center"/>
              <w:rPr>
                <w:lang w:val="sr-Cyrl-RS"/>
              </w:rPr>
            </w:pPr>
            <w:r w:rsidRPr="00CF77C1">
              <w:rPr>
                <w:lang w:val="sr-Cyrl-RS"/>
              </w:rPr>
              <w:t>Пројекат:</w:t>
            </w:r>
          </w:p>
          <w:p w14:paraId="27FAEE08" w14:textId="77777777" w:rsidR="002D7D6C" w:rsidRPr="00CF77C1" w:rsidRDefault="002D7D6C" w:rsidP="0080044B">
            <w:pPr>
              <w:jc w:val="center"/>
              <w:rPr>
                <w:lang w:val="sr-Cyrl-RS"/>
              </w:rPr>
            </w:pPr>
            <w:r w:rsidRPr="00CF77C1">
              <w:rPr>
                <w:lang w:val="sr-Cyrl-RS"/>
              </w:rPr>
              <w:t>Завршетак инвестиционе изградње и повећање капацитета површинског копа Дрмно</w:t>
            </w:r>
          </w:p>
        </w:tc>
        <w:tc>
          <w:tcPr>
            <w:tcW w:w="1559" w:type="dxa"/>
            <w:shd w:val="clear" w:color="auto" w:fill="auto"/>
            <w:vAlign w:val="center"/>
          </w:tcPr>
          <w:p w14:paraId="608A76AE" w14:textId="77777777" w:rsidR="002D7D6C" w:rsidRPr="00CF77C1" w:rsidRDefault="00DD69C2" w:rsidP="0080044B">
            <w:pPr>
              <w:jc w:val="center"/>
              <w:rPr>
                <w:lang w:val="sr-Cyrl-RS"/>
              </w:rPr>
            </w:pPr>
            <w:r w:rsidRPr="00CF77C1">
              <w:rPr>
                <w:lang w:val="sr-Cyrl-RS"/>
              </w:rPr>
              <w:t>Одговорни субјекат</w:t>
            </w:r>
          </w:p>
        </w:tc>
        <w:tc>
          <w:tcPr>
            <w:tcW w:w="972" w:type="dxa"/>
            <w:shd w:val="clear" w:color="auto" w:fill="auto"/>
            <w:vAlign w:val="center"/>
          </w:tcPr>
          <w:p w14:paraId="3AF7DFE1" w14:textId="77777777" w:rsidR="002D7D6C" w:rsidRPr="00CF77C1" w:rsidRDefault="002D7D6C" w:rsidP="0080044B">
            <w:pPr>
              <w:jc w:val="center"/>
              <w:rPr>
                <w:lang w:val="sr-Cyrl-RS"/>
              </w:rPr>
            </w:pPr>
            <w:r w:rsidRPr="00CF77C1">
              <w:rPr>
                <w:lang w:val="sr-Cyrl-RS"/>
              </w:rPr>
              <w:t>2017.</w:t>
            </w:r>
          </w:p>
        </w:tc>
        <w:tc>
          <w:tcPr>
            <w:tcW w:w="972" w:type="dxa"/>
            <w:shd w:val="clear" w:color="auto" w:fill="auto"/>
            <w:vAlign w:val="center"/>
          </w:tcPr>
          <w:p w14:paraId="52549F71" w14:textId="77777777" w:rsidR="002D7D6C" w:rsidRPr="00CF77C1" w:rsidRDefault="002D7D6C" w:rsidP="0080044B">
            <w:pPr>
              <w:jc w:val="center"/>
              <w:rPr>
                <w:lang w:val="sr-Cyrl-RS"/>
              </w:rPr>
            </w:pPr>
            <w:r w:rsidRPr="00CF77C1">
              <w:rPr>
                <w:lang w:val="sr-Cyrl-RS"/>
              </w:rPr>
              <w:t>2018.</w:t>
            </w:r>
          </w:p>
        </w:tc>
        <w:tc>
          <w:tcPr>
            <w:tcW w:w="972" w:type="dxa"/>
            <w:shd w:val="clear" w:color="auto" w:fill="auto"/>
            <w:vAlign w:val="center"/>
          </w:tcPr>
          <w:p w14:paraId="137590B0" w14:textId="77777777" w:rsidR="002D7D6C" w:rsidRPr="00CF77C1" w:rsidRDefault="002D7D6C" w:rsidP="0080044B">
            <w:pPr>
              <w:jc w:val="center"/>
              <w:rPr>
                <w:lang w:val="sr-Cyrl-RS"/>
              </w:rPr>
            </w:pPr>
            <w:r w:rsidRPr="00CF77C1">
              <w:rPr>
                <w:lang w:val="sr-Cyrl-RS"/>
              </w:rPr>
              <w:t>2019.</w:t>
            </w:r>
          </w:p>
        </w:tc>
        <w:tc>
          <w:tcPr>
            <w:tcW w:w="972" w:type="dxa"/>
            <w:shd w:val="clear" w:color="auto" w:fill="auto"/>
            <w:vAlign w:val="center"/>
          </w:tcPr>
          <w:p w14:paraId="203C733A" w14:textId="77777777" w:rsidR="002D7D6C" w:rsidRPr="00CF77C1" w:rsidRDefault="002D7D6C" w:rsidP="0080044B">
            <w:pPr>
              <w:jc w:val="center"/>
              <w:rPr>
                <w:lang w:val="sr-Cyrl-RS"/>
              </w:rPr>
            </w:pPr>
            <w:r w:rsidRPr="00CF77C1">
              <w:rPr>
                <w:lang w:val="sr-Cyrl-RS"/>
              </w:rPr>
              <w:t>2020.</w:t>
            </w:r>
          </w:p>
        </w:tc>
        <w:tc>
          <w:tcPr>
            <w:tcW w:w="972" w:type="dxa"/>
            <w:shd w:val="clear" w:color="auto" w:fill="auto"/>
            <w:vAlign w:val="center"/>
          </w:tcPr>
          <w:p w14:paraId="4A1D2FE4" w14:textId="77777777" w:rsidR="002D7D6C" w:rsidRPr="00CF77C1" w:rsidRDefault="002D7D6C" w:rsidP="0080044B">
            <w:pPr>
              <w:jc w:val="center"/>
              <w:rPr>
                <w:lang w:val="sr-Cyrl-RS"/>
              </w:rPr>
            </w:pPr>
            <w:r w:rsidRPr="00CF77C1">
              <w:rPr>
                <w:lang w:val="sr-Cyrl-RS"/>
              </w:rPr>
              <w:t>2021.</w:t>
            </w:r>
          </w:p>
        </w:tc>
        <w:tc>
          <w:tcPr>
            <w:tcW w:w="972" w:type="dxa"/>
            <w:shd w:val="clear" w:color="auto" w:fill="auto"/>
            <w:vAlign w:val="center"/>
          </w:tcPr>
          <w:p w14:paraId="5CC32407" w14:textId="77777777" w:rsidR="002D7D6C" w:rsidRPr="00CF77C1" w:rsidRDefault="002D7D6C" w:rsidP="0080044B">
            <w:pPr>
              <w:jc w:val="center"/>
              <w:rPr>
                <w:lang w:val="sr-Cyrl-RS"/>
              </w:rPr>
            </w:pPr>
            <w:r w:rsidRPr="00CF77C1">
              <w:rPr>
                <w:lang w:val="sr-Cyrl-RS"/>
              </w:rPr>
              <w:t>2022.</w:t>
            </w:r>
          </w:p>
        </w:tc>
        <w:tc>
          <w:tcPr>
            <w:tcW w:w="972" w:type="dxa"/>
            <w:shd w:val="clear" w:color="auto" w:fill="auto"/>
            <w:vAlign w:val="center"/>
          </w:tcPr>
          <w:p w14:paraId="454A1774" w14:textId="77777777" w:rsidR="002D7D6C" w:rsidRPr="00CF77C1" w:rsidRDefault="002D7D6C" w:rsidP="0080044B">
            <w:pPr>
              <w:jc w:val="center"/>
              <w:rPr>
                <w:lang w:val="sr-Cyrl-RS"/>
              </w:rPr>
            </w:pPr>
            <w:r w:rsidRPr="00CF77C1">
              <w:rPr>
                <w:lang w:val="sr-Cyrl-RS"/>
              </w:rPr>
              <w:t>2023.</w:t>
            </w:r>
          </w:p>
        </w:tc>
      </w:tr>
      <w:tr w:rsidR="002D7D6C" w:rsidRPr="00CF77C1" w14:paraId="402428C5" w14:textId="77777777" w:rsidTr="00087F14">
        <w:tc>
          <w:tcPr>
            <w:tcW w:w="6487" w:type="dxa"/>
            <w:shd w:val="clear" w:color="auto" w:fill="auto"/>
            <w:vAlign w:val="center"/>
          </w:tcPr>
          <w:p w14:paraId="369AFB66" w14:textId="77777777" w:rsidR="002D7D6C" w:rsidRPr="00CF77C1" w:rsidRDefault="002D7D6C" w:rsidP="0080044B">
            <w:pPr>
              <w:spacing w:before="40" w:after="40"/>
              <w:jc w:val="left"/>
              <w:rPr>
                <w:szCs w:val="24"/>
                <w:lang w:val="sr-Cyrl-RS"/>
              </w:rPr>
            </w:pPr>
            <w:r w:rsidRPr="00CF77C1">
              <w:rPr>
                <w:szCs w:val="24"/>
                <w:lang w:val="sr-Cyrl-RS"/>
              </w:rPr>
              <w:t>Пројектна документација</w:t>
            </w:r>
          </w:p>
        </w:tc>
        <w:tc>
          <w:tcPr>
            <w:tcW w:w="1559" w:type="dxa"/>
            <w:vMerge w:val="restart"/>
            <w:shd w:val="clear" w:color="auto" w:fill="auto"/>
            <w:vAlign w:val="center"/>
          </w:tcPr>
          <w:p w14:paraId="72AB3E2F" w14:textId="77777777" w:rsidR="002D7D6C" w:rsidRPr="00CF77C1" w:rsidRDefault="001B761F" w:rsidP="0080044B">
            <w:pPr>
              <w:spacing w:before="40" w:after="40"/>
              <w:jc w:val="left"/>
              <w:rPr>
                <w:lang w:val="sr-Cyrl-RS"/>
              </w:rPr>
            </w:pPr>
            <w:r w:rsidRPr="00CF77C1">
              <w:rPr>
                <w:szCs w:val="24"/>
                <w:lang w:val="sr-Cyrl-RS"/>
              </w:rPr>
              <w:t>ЕПС</w:t>
            </w:r>
          </w:p>
        </w:tc>
        <w:tc>
          <w:tcPr>
            <w:tcW w:w="972" w:type="dxa"/>
            <w:shd w:val="clear" w:color="auto" w:fill="auto"/>
            <w:vAlign w:val="center"/>
          </w:tcPr>
          <w:p w14:paraId="2E7D91E1"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2522182"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43DC379E"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24E757F"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46FE85D1"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2D60865B"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6B0F2C52" w14:textId="77777777" w:rsidR="002D7D6C" w:rsidRPr="00CF77C1" w:rsidRDefault="002D7D6C" w:rsidP="0080044B">
            <w:pPr>
              <w:spacing w:before="40" w:after="40"/>
              <w:jc w:val="center"/>
              <w:rPr>
                <w:szCs w:val="24"/>
                <w:lang w:val="sr-Cyrl-RS"/>
              </w:rPr>
            </w:pPr>
          </w:p>
        </w:tc>
      </w:tr>
      <w:tr w:rsidR="002D7D6C" w:rsidRPr="00CF77C1" w14:paraId="257C1DAC" w14:textId="77777777" w:rsidTr="00087F14">
        <w:tc>
          <w:tcPr>
            <w:tcW w:w="6487" w:type="dxa"/>
            <w:shd w:val="clear" w:color="auto" w:fill="auto"/>
            <w:vAlign w:val="center"/>
          </w:tcPr>
          <w:p w14:paraId="463CE575" w14:textId="77777777" w:rsidR="002D7D6C" w:rsidRPr="00CF77C1" w:rsidRDefault="002D7D6C" w:rsidP="0080044B">
            <w:pPr>
              <w:spacing w:before="40" w:after="40"/>
              <w:jc w:val="left"/>
              <w:rPr>
                <w:szCs w:val="24"/>
                <w:lang w:val="sr-Cyrl-RS"/>
              </w:rPr>
            </w:pPr>
            <w:r w:rsidRPr="00CF77C1">
              <w:rPr>
                <w:szCs w:val="24"/>
                <w:lang w:val="sr-Cyrl-RS"/>
              </w:rPr>
              <w:t>Припрема техничке документације</w:t>
            </w:r>
          </w:p>
        </w:tc>
        <w:tc>
          <w:tcPr>
            <w:tcW w:w="1559" w:type="dxa"/>
            <w:vMerge/>
            <w:shd w:val="clear" w:color="auto" w:fill="auto"/>
          </w:tcPr>
          <w:p w14:paraId="293B95D1" w14:textId="77777777" w:rsidR="002D7D6C" w:rsidRPr="00CF77C1" w:rsidRDefault="002D7D6C" w:rsidP="0080044B">
            <w:pPr>
              <w:spacing w:before="40" w:after="40"/>
              <w:rPr>
                <w:lang w:val="sr-Cyrl-RS"/>
              </w:rPr>
            </w:pPr>
          </w:p>
        </w:tc>
        <w:tc>
          <w:tcPr>
            <w:tcW w:w="972" w:type="dxa"/>
            <w:shd w:val="clear" w:color="auto" w:fill="auto"/>
            <w:vAlign w:val="center"/>
          </w:tcPr>
          <w:p w14:paraId="6DEF445F"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F1EDB5D"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2DD23329"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4018475"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943712A"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2B59516B"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1C9544C6" w14:textId="77777777" w:rsidR="002D7D6C" w:rsidRPr="00CF77C1" w:rsidRDefault="002D7D6C" w:rsidP="0080044B">
            <w:pPr>
              <w:spacing w:before="40" w:after="40"/>
              <w:jc w:val="center"/>
              <w:rPr>
                <w:szCs w:val="24"/>
                <w:lang w:val="sr-Cyrl-RS"/>
              </w:rPr>
            </w:pPr>
          </w:p>
        </w:tc>
      </w:tr>
      <w:tr w:rsidR="00087F14" w:rsidRPr="00CF77C1" w14:paraId="49740439" w14:textId="77777777" w:rsidTr="00087F14">
        <w:tc>
          <w:tcPr>
            <w:tcW w:w="6487" w:type="dxa"/>
            <w:shd w:val="clear" w:color="auto" w:fill="auto"/>
            <w:vAlign w:val="center"/>
          </w:tcPr>
          <w:p w14:paraId="258B1CBD" w14:textId="77777777" w:rsidR="00087F14" w:rsidRPr="00CF77C1" w:rsidRDefault="00087F14" w:rsidP="0080044B">
            <w:pPr>
              <w:spacing w:before="40" w:after="40"/>
              <w:jc w:val="left"/>
              <w:rPr>
                <w:szCs w:val="24"/>
                <w:lang w:val="sr-Cyrl-RS"/>
              </w:rPr>
            </w:pPr>
            <w:r w:rsidRPr="00CF77C1">
              <w:rPr>
                <w:szCs w:val="24"/>
                <w:lang w:val="sr-Cyrl-RS"/>
              </w:rPr>
              <w:t>Дозволе и сагласности министарстава и других инст</w:t>
            </w:r>
            <w:r w:rsidR="00165345" w:rsidRPr="00CF77C1">
              <w:rPr>
                <w:szCs w:val="24"/>
                <w:lang w:val="sr-Cyrl-RS"/>
              </w:rPr>
              <w:t>ит</w:t>
            </w:r>
            <w:r w:rsidRPr="00CF77C1">
              <w:rPr>
                <w:szCs w:val="24"/>
                <w:lang w:val="sr-Cyrl-RS"/>
              </w:rPr>
              <w:t>уција</w:t>
            </w:r>
          </w:p>
        </w:tc>
        <w:tc>
          <w:tcPr>
            <w:tcW w:w="1559" w:type="dxa"/>
            <w:vMerge/>
            <w:shd w:val="clear" w:color="auto" w:fill="auto"/>
          </w:tcPr>
          <w:p w14:paraId="64DA3C8D" w14:textId="77777777" w:rsidR="00087F14" w:rsidRPr="00CF77C1" w:rsidRDefault="00087F14" w:rsidP="0080044B">
            <w:pPr>
              <w:spacing w:before="40" w:after="40"/>
              <w:rPr>
                <w:lang w:val="sr-Cyrl-RS"/>
              </w:rPr>
            </w:pPr>
          </w:p>
        </w:tc>
        <w:tc>
          <w:tcPr>
            <w:tcW w:w="972" w:type="dxa"/>
            <w:shd w:val="clear" w:color="auto" w:fill="auto"/>
            <w:vAlign w:val="center"/>
          </w:tcPr>
          <w:p w14:paraId="2351C86A"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3824029"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6E41A79"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7D8428F"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3E7E6767"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1251B336"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6354DB75" w14:textId="77777777" w:rsidR="00087F14" w:rsidRPr="00CF77C1" w:rsidRDefault="00087F14" w:rsidP="0080044B">
            <w:pPr>
              <w:spacing w:before="40" w:after="40"/>
              <w:jc w:val="center"/>
              <w:rPr>
                <w:szCs w:val="24"/>
                <w:lang w:val="sr-Cyrl-RS"/>
              </w:rPr>
            </w:pPr>
          </w:p>
        </w:tc>
      </w:tr>
      <w:tr w:rsidR="00087F14" w:rsidRPr="00CF77C1" w14:paraId="6B0A9D33" w14:textId="77777777" w:rsidTr="00087F14">
        <w:tc>
          <w:tcPr>
            <w:tcW w:w="6487" w:type="dxa"/>
            <w:shd w:val="clear" w:color="auto" w:fill="auto"/>
            <w:vAlign w:val="center"/>
          </w:tcPr>
          <w:p w14:paraId="02D2EE0E" w14:textId="2867C702" w:rsidR="00087F14" w:rsidRPr="00CF77C1" w:rsidRDefault="00087F14" w:rsidP="0080044B">
            <w:pPr>
              <w:spacing w:before="40" w:after="40"/>
              <w:jc w:val="left"/>
              <w:rPr>
                <w:szCs w:val="24"/>
                <w:lang w:val="sr-Cyrl-RS"/>
              </w:rPr>
            </w:pPr>
            <w:r w:rsidRPr="00CF77C1">
              <w:rPr>
                <w:szCs w:val="24"/>
                <w:lang w:val="sr-Cyrl-RS"/>
              </w:rPr>
              <w:t>Инфраструктура и саобраћа</w:t>
            </w:r>
            <w:r w:rsidR="0014443A">
              <w:rPr>
                <w:szCs w:val="24"/>
                <w:lang w:val="sr-Cyrl-RS"/>
              </w:rPr>
              <w:t>ј</w:t>
            </w:r>
            <w:r w:rsidRPr="00CF77C1">
              <w:rPr>
                <w:szCs w:val="24"/>
                <w:lang w:val="sr-Cyrl-RS"/>
              </w:rPr>
              <w:t>нице 9 mt</w:t>
            </w:r>
          </w:p>
        </w:tc>
        <w:tc>
          <w:tcPr>
            <w:tcW w:w="1559" w:type="dxa"/>
            <w:vMerge/>
            <w:shd w:val="clear" w:color="auto" w:fill="auto"/>
          </w:tcPr>
          <w:p w14:paraId="71033F69" w14:textId="77777777" w:rsidR="00087F14" w:rsidRPr="00CF77C1" w:rsidRDefault="00087F14" w:rsidP="0080044B">
            <w:pPr>
              <w:spacing w:before="40" w:after="40"/>
              <w:rPr>
                <w:lang w:val="sr-Cyrl-RS"/>
              </w:rPr>
            </w:pPr>
          </w:p>
        </w:tc>
        <w:tc>
          <w:tcPr>
            <w:tcW w:w="972" w:type="dxa"/>
            <w:shd w:val="clear" w:color="auto" w:fill="auto"/>
            <w:vAlign w:val="center"/>
          </w:tcPr>
          <w:p w14:paraId="24A4A56C"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B6AD79B"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2CDE3811"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6419A716"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472BD8B3"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8251F78"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433533A2" w14:textId="77777777" w:rsidR="00087F14" w:rsidRPr="00CF77C1" w:rsidRDefault="00087F14" w:rsidP="0080044B">
            <w:pPr>
              <w:spacing w:before="40" w:after="40"/>
              <w:jc w:val="center"/>
              <w:rPr>
                <w:szCs w:val="24"/>
                <w:lang w:val="sr-Cyrl-RS"/>
              </w:rPr>
            </w:pPr>
          </w:p>
        </w:tc>
      </w:tr>
      <w:tr w:rsidR="00087F14" w:rsidRPr="00CF77C1" w14:paraId="132F47D2" w14:textId="77777777" w:rsidTr="00087F14">
        <w:tc>
          <w:tcPr>
            <w:tcW w:w="6487" w:type="dxa"/>
            <w:shd w:val="clear" w:color="auto" w:fill="auto"/>
            <w:vAlign w:val="center"/>
          </w:tcPr>
          <w:p w14:paraId="113D9515" w14:textId="77777777" w:rsidR="00087F14" w:rsidRPr="00CF77C1" w:rsidRDefault="00087F14" w:rsidP="0080044B">
            <w:pPr>
              <w:spacing w:before="40" w:after="40"/>
              <w:jc w:val="left"/>
              <w:rPr>
                <w:szCs w:val="24"/>
                <w:lang w:val="sr-Cyrl-RS"/>
              </w:rPr>
            </w:pPr>
            <w:r w:rsidRPr="00CF77C1">
              <w:rPr>
                <w:szCs w:val="24"/>
                <w:lang w:val="sr-Cyrl-RS"/>
              </w:rPr>
              <w:t>Ревитализација постојеће опреме са ПК Дрмно</w:t>
            </w:r>
          </w:p>
        </w:tc>
        <w:tc>
          <w:tcPr>
            <w:tcW w:w="1559" w:type="dxa"/>
            <w:vMerge/>
            <w:shd w:val="clear" w:color="auto" w:fill="auto"/>
          </w:tcPr>
          <w:p w14:paraId="028CFB4F" w14:textId="77777777" w:rsidR="00087F14" w:rsidRPr="00CF77C1" w:rsidRDefault="00087F14" w:rsidP="0080044B">
            <w:pPr>
              <w:spacing w:before="40" w:after="40"/>
              <w:rPr>
                <w:lang w:val="sr-Cyrl-RS"/>
              </w:rPr>
            </w:pPr>
          </w:p>
        </w:tc>
        <w:tc>
          <w:tcPr>
            <w:tcW w:w="972" w:type="dxa"/>
            <w:shd w:val="clear" w:color="auto" w:fill="auto"/>
            <w:vAlign w:val="center"/>
          </w:tcPr>
          <w:p w14:paraId="7591AD69"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0B67953"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3595060"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346D4A05"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5FBD5ECE"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EEAFF7D"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18586BE1" w14:textId="77777777" w:rsidR="00087F14" w:rsidRPr="00CF77C1" w:rsidRDefault="00087F14" w:rsidP="0080044B">
            <w:pPr>
              <w:spacing w:before="40" w:after="40"/>
              <w:jc w:val="center"/>
              <w:rPr>
                <w:szCs w:val="24"/>
                <w:lang w:val="sr-Cyrl-RS"/>
              </w:rPr>
            </w:pPr>
          </w:p>
        </w:tc>
      </w:tr>
      <w:tr w:rsidR="00087F14" w:rsidRPr="00CF77C1" w14:paraId="50675CDE" w14:textId="77777777" w:rsidTr="00087F14">
        <w:tc>
          <w:tcPr>
            <w:tcW w:w="6487" w:type="dxa"/>
            <w:shd w:val="clear" w:color="auto" w:fill="auto"/>
            <w:vAlign w:val="center"/>
          </w:tcPr>
          <w:p w14:paraId="17E2F5CB" w14:textId="77777777" w:rsidR="00087F14" w:rsidRPr="00CF77C1" w:rsidRDefault="00087F14" w:rsidP="0080044B">
            <w:pPr>
              <w:spacing w:before="40" w:after="40"/>
              <w:jc w:val="left"/>
              <w:rPr>
                <w:szCs w:val="24"/>
                <w:lang w:val="sr-Cyrl-RS"/>
              </w:rPr>
            </w:pPr>
            <w:r w:rsidRPr="00CF77C1">
              <w:rPr>
                <w:szCs w:val="24"/>
                <w:lang w:val="sr-Cyrl-RS"/>
              </w:rPr>
              <w:t>Набавка нових и комплетирање постојећих транспортера</w:t>
            </w:r>
          </w:p>
        </w:tc>
        <w:tc>
          <w:tcPr>
            <w:tcW w:w="1559" w:type="dxa"/>
            <w:vMerge/>
            <w:shd w:val="clear" w:color="auto" w:fill="auto"/>
          </w:tcPr>
          <w:p w14:paraId="78FC308E" w14:textId="77777777" w:rsidR="00087F14" w:rsidRPr="00CF77C1" w:rsidRDefault="00087F14" w:rsidP="0080044B">
            <w:pPr>
              <w:spacing w:before="40" w:after="40"/>
              <w:rPr>
                <w:lang w:val="sr-Cyrl-RS"/>
              </w:rPr>
            </w:pPr>
          </w:p>
        </w:tc>
        <w:tc>
          <w:tcPr>
            <w:tcW w:w="972" w:type="dxa"/>
            <w:shd w:val="clear" w:color="auto" w:fill="auto"/>
            <w:vAlign w:val="center"/>
          </w:tcPr>
          <w:p w14:paraId="7DDFA02F"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7111ACC"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363DB0FE"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7BBD28B"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B890944"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53356FC3"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440D61A2" w14:textId="77777777" w:rsidR="00087F14" w:rsidRPr="00CF77C1" w:rsidRDefault="00087F14" w:rsidP="0080044B">
            <w:pPr>
              <w:spacing w:before="40" w:after="40"/>
              <w:jc w:val="center"/>
              <w:rPr>
                <w:szCs w:val="24"/>
                <w:lang w:val="sr-Cyrl-RS"/>
              </w:rPr>
            </w:pPr>
          </w:p>
        </w:tc>
      </w:tr>
      <w:tr w:rsidR="00087F14" w:rsidRPr="00CF77C1" w14:paraId="5C215242" w14:textId="77777777" w:rsidTr="00087F14">
        <w:tc>
          <w:tcPr>
            <w:tcW w:w="6487" w:type="dxa"/>
            <w:shd w:val="clear" w:color="auto" w:fill="auto"/>
            <w:vAlign w:val="center"/>
          </w:tcPr>
          <w:p w14:paraId="28628266" w14:textId="77777777" w:rsidR="00087F14" w:rsidRPr="00CF77C1" w:rsidRDefault="00087F14" w:rsidP="0080044B">
            <w:pPr>
              <w:spacing w:before="40" w:after="40"/>
              <w:jc w:val="left"/>
              <w:rPr>
                <w:szCs w:val="24"/>
                <w:lang w:val="sr-Cyrl-RS"/>
              </w:rPr>
            </w:pPr>
            <w:r w:rsidRPr="00CF77C1">
              <w:rPr>
                <w:szCs w:val="24"/>
                <w:lang w:val="sr-Cyrl-RS"/>
              </w:rPr>
              <w:t>Набавка помоћне механизације</w:t>
            </w:r>
          </w:p>
        </w:tc>
        <w:tc>
          <w:tcPr>
            <w:tcW w:w="1559" w:type="dxa"/>
            <w:vMerge/>
            <w:shd w:val="clear" w:color="auto" w:fill="auto"/>
          </w:tcPr>
          <w:p w14:paraId="66313D0C" w14:textId="77777777" w:rsidR="00087F14" w:rsidRPr="00CF77C1" w:rsidRDefault="00087F14" w:rsidP="0080044B">
            <w:pPr>
              <w:spacing w:before="40" w:after="40"/>
              <w:rPr>
                <w:lang w:val="sr-Cyrl-RS"/>
              </w:rPr>
            </w:pPr>
          </w:p>
        </w:tc>
        <w:tc>
          <w:tcPr>
            <w:tcW w:w="972" w:type="dxa"/>
            <w:shd w:val="clear" w:color="auto" w:fill="auto"/>
            <w:vAlign w:val="center"/>
          </w:tcPr>
          <w:p w14:paraId="09FFE5D5"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3920C225"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38C4CDE6"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11BBCD4"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50280DC5"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2BA5290B"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A2442BD" w14:textId="77777777" w:rsidR="00087F14" w:rsidRPr="00CF77C1" w:rsidRDefault="00087F14" w:rsidP="0080044B">
            <w:pPr>
              <w:spacing w:before="40" w:after="40"/>
              <w:jc w:val="center"/>
              <w:rPr>
                <w:szCs w:val="24"/>
                <w:lang w:val="sr-Cyrl-RS"/>
              </w:rPr>
            </w:pPr>
          </w:p>
        </w:tc>
      </w:tr>
      <w:tr w:rsidR="00087F14" w:rsidRPr="00CF77C1" w14:paraId="05DB2D8F" w14:textId="77777777" w:rsidTr="00087F14">
        <w:tc>
          <w:tcPr>
            <w:tcW w:w="6487" w:type="dxa"/>
            <w:shd w:val="clear" w:color="auto" w:fill="auto"/>
            <w:vAlign w:val="center"/>
          </w:tcPr>
          <w:p w14:paraId="055D82B9" w14:textId="77777777" w:rsidR="00087F14" w:rsidRPr="00CF77C1" w:rsidRDefault="00087F14" w:rsidP="0080044B">
            <w:pPr>
              <w:spacing w:before="40" w:after="40"/>
              <w:jc w:val="left"/>
              <w:rPr>
                <w:szCs w:val="24"/>
                <w:lang w:val="sr-Cyrl-RS"/>
              </w:rPr>
            </w:pPr>
            <w:r w:rsidRPr="00CF77C1">
              <w:rPr>
                <w:szCs w:val="24"/>
                <w:lang w:val="sr-Cyrl-RS"/>
              </w:rPr>
              <w:t>Управљање квалитетом угља</w:t>
            </w:r>
          </w:p>
        </w:tc>
        <w:tc>
          <w:tcPr>
            <w:tcW w:w="1559" w:type="dxa"/>
            <w:vMerge/>
            <w:shd w:val="clear" w:color="auto" w:fill="auto"/>
          </w:tcPr>
          <w:p w14:paraId="6F6CB764" w14:textId="77777777" w:rsidR="00087F14" w:rsidRPr="00CF77C1" w:rsidRDefault="00087F14" w:rsidP="0080044B">
            <w:pPr>
              <w:spacing w:before="40" w:after="40"/>
              <w:rPr>
                <w:lang w:val="sr-Cyrl-RS"/>
              </w:rPr>
            </w:pPr>
          </w:p>
        </w:tc>
        <w:tc>
          <w:tcPr>
            <w:tcW w:w="972" w:type="dxa"/>
            <w:shd w:val="clear" w:color="auto" w:fill="auto"/>
            <w:vAlign w:val="center"/>
          </w:tcPr>
          <w:p w14:paraId="38C45C68"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019DCF8"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B3EF21B"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8DAD1C0"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1DAD615C"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1F7CB927"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0ED7BF86" w14:textId="77777777" w:rsidR="00087F14" w:rsidRPr="00CF77C1" w:rsidRDefault="00087F14" w:rsidP="0080044B">
            <w:pPr>
              <w:spacing w:before="40" w:after="40"/>
              <w:jc w:val="center"/>
              <w:rPr>
                <w:szCs w:val="24"/>
                <w:lang w:val="sr-Cyrl-RS"/>
              </w:rPr>
            </w:pPr>
          </w:p>
        </w:tc>
      </w:tr>
      <w:tr w:rsidR="00087F14" w:rsidRPr="00CF77C1" w14:paraId="185EE8A3" w14:textId="77777777" w:rsidTr="00087F14">
        <w:tc>
          <w:tcPr>
            <w:tcW w:w="6487" w:type="dxa"/>
            <w:shd w:val="clear" w:color="auto" w:fill="auto"/>
            <w:vAlign w:val="center"/>
          </w:tcPr>
          <w:p w14:paraId="446F6B11" w14:textId="77777777" w:rsidR="00087F14" w:rsidRPr="00CF77C1" w:rsidRDefault="00087F14" w:rsidP="0080044B">
            <w:pPr>
              <w:spacing w:before="40" w:after="40"/>
              <w:jc w:val="left"/>
              <w:rPr>
                <w:szCs w:val="24"/>
                <w:lang w:val="sr-Cyrl-RS"/>
              </w:rPr>
            </w:pPr>
            <w:r w:rsidRPr="00CF77C1">
              <w:rPr>
                <w:szCs w:val="24"/>
                <w:lang w:val="sr-Cyrl-RS"/>
              </w:rPr>
              <w:t>Напајање и телекомуникације</w:t>
            </w:r>
          </w:p>
        </w:tc>
        <w:tc>
          <w:tcPr>
            <w:tcW w:w="1559" w:type="dxa"/>
            <w:vMerge/>
            <w:shd w:val="clear" w:color="auto" w:fill="auto"/>
          </w:tcPr>
          <w:p w14:paraId="016B33C9" w14:textId="77777777" w:rsidR="00087F14" w:rsidRPr="00CF77C1" w:rsidRDefault="00087F14" w:rsidP="0080044B">
            <w:pPr>
              <w:spacing w:before="40" w:after="40"/>
              <w:rPr>
                <w:lang w:val="sr-Cyrl-RS"/>
              </w:rPr>
            </w:pPr>
          </w:p>
        </w:tc>
        <w:tc>
          <w:tcPr>
            <w:tcW w:w="972" w:type="dxa"/>
            <w:shd w:val="clear" w:color="auto" w:fill="auto"/>
            <w:vAlign w:val="center"/>
          </w:tcPr>
          <w:p w14:paraId="08AE59E0"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23BA8E2A"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46ECB18B"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0164003F"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46A2B7A"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2812E92D"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78881A1E" w14:textId="77777777" w:rsidR="00087F14" w:rsidRPr="00CF77C1" w:rsidRDefault="00087F14" w:rsidP="0080044B">
            <w:pPr>
              <w:spacing w:before="40" w:after="40"/>
              <w:jc w:val="center"/>
              <w:rPr>
                <w:szCs w:val="24"/>
                <w:lang w:val="sr-Cyrl-RS"/>
              </w:rPr>
            </w:pPr>
          </w:p>
        </w:tc>
      </w:tr>
      <w:tr w:rsidR="00087F14" w:rsidRPr="00CF77C1" w14:paraId="388E0321" w14:textId="77777777" w:rsidTr="00087F14">
        <w:tc>
          <w:tcPr>
            <w:tcW w:w="6487" w:type="dxa"/>
            <w:shd w:val="clear" w:color="auto" w:fill="auto"/>
            <w:vAlign w:val="center"/>
          </w:tcPr>
          <w:p w14:paraId="0C0F72E2" w14:textId="77777777" w:rsidR="00087F14" w:rsidRPr="00CF77C1" w:rsidRDefault="00087F14" w:rsidP="0080044B">
            <w:pPr>
              <w:spacing w:before="40" w:after="40"/>
              <w:jc w:val="left"/>
              <w:rPr>
                <w:szCs w:val="24"/>
                <w:lang w:val="sr-Cyrl-RS"/>
              </w:rPr>
            </w:pPr>
            <w:r w:rsidRPr="00CF77C1">
              <w:rPr>
                <w:szCs w:val="24"/>
                <w:lang w:val="sr-Cyrl-RS"/>
              </w:rPr>
              <w:t>Опрема за повећање капацитета на 12.000.000 t</w:t>
            </w:r>
          </w:p>
        </w:tc>
        <w:tc>
          <w:tcPr>
            <w:tcW w:w="1559" w:type="dxa"/>
            <w:vMerge/>
            <w:shd w:val="clear" w:color="auto" w:fill="auto"/>
          </w:tcPr>
          <w:p w14:paraId="47B70E62" w14:textId="77777777" w:rsidR="00087F14" w:rsidRPr="00CF77C1" w:rsidRDefault="00087F14" w:rsidP="0080044B">
            <w:pPr>
              <w:spacing w:before="40" w:after="40"/>
              <w:rPr>
                <w:lang w:val="sr-Cyrl-RS"/>
              </w:rPr>
            </w:pPr>
          </w:p>
        </w:tc>
        <w:tc>
          <w:tcPr>
            <w:tcW w:w="972" w:type="dxa"/>
            <w:shd w:val="clear" w:color="auto" w:fill="auto"/>
            <w:vAlign w:val="center"/>
          </w:tcPr>
          <w:p w14:paraId="54AFADFA"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2B22AA1"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381A6863"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8236837"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31620669"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189CAA5C"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4D405873" w14:textId="77777777" w:rsidR="00087F14" w:rsidRPr="00CF77C1" w:rsidRDefault="00087F14" w:rsidP="0080044B">
            <w:pPr>
              <w:spacing w:before="40" w:after="40"/>
              <w:jc w:val="center"/>
              <w:rPr>
                <w:szCs w:val="24"/>
                <w:lang w:val="sr-Cyrl-RS"/>
              </w:rPr>
            </w:pPr>
          </w:p>
        </w:tc>
      </w:tr>
      <w:tr w:rsidR="00087F14" w:rsidRPr="00CF77C1" w14:paraId="7D8F2DC7" w14:textId="77777777" w:rsidTr="00087F14">
        <w:tc>
          <w:tcPr>
            <w:tcW w:w="6487" w:type="dxa"/>
            <w:shd w:val="clear" w:color="auto" w:fill="auto"/>
            <w:vAlign w:val="center"/>
          </w:tcPr>
          <w:p w14:paraId="3B1ACA2D" w14:textId="77777777" w:rsidR="00087F14" w:rsidRPr="00CF77C1" w:rsidRDefault="00087F14" w:rsidP="0080044B">
            <w:pPr>
              <w:spacing w:before="40" w:after="40"/>
              <w:jc w:val="left"/>
              <w:rPr>
                <w:szCs w:val="24"/>
                <w:lang w:val="sr-Cyrl-RS"/>
              </w:rPr>
            </w:pPr>
            <w:r w:rsidRPr="00CF77C1">
              <w:rPr>
                <w:szCs w:val="24"/>
                <w:lang w:val="sr-Cyrl-RS"/>
              </w:rPr>
              <w:t>Промена технологије рада БТО и БТД система</w:t>
            </w:r>
          </w:p>
        </w:tc>
        <w:tc>
          <w:tcPr>
            <w:tcW w:w="1559" w:type="dxa"/>
            <w:vMerge/>
            <w:shd w:val="clear" w:color="auto" w:fill="auto"/>
          </w:tcPr>
          <w:p w14:paraId="0DCAFB3D" w14:textId="77777777" w:rsidR="00087F14" w:rsidRPr="00CF77C1" w:rsidRDefault="00087F14" w:rsidP="0080044B">
            <w:pPr>
              <w:spacing w:before="40" w:after="40"/>
              <w:rPr>
                <w:lang w:val="sr-Cyrl-RS"/>
              </w:rPr>
            </w:pPr>
          </w:p>
        </w:tc>
        <w:tc>
          <w:tcPr>
            <w:tcW w:w="972" w:type="dxa"/>
            <w:shd w:val="clear" w:color="auto" w:fill="auto"/>
            <w:vAlign w:val="center"/>
          </w:tcPr>
          <w:p w14:paraId="3F15134D"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26923708"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2560160"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487FA70D"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64387C21"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65FEF918" w14:textId="77777777" w:rsidR="00087F14" w:rsidRPr="00CF77C1" w:rsidRDefault="00087F14" w:rsidP="0080044B">
            <w:pPr>
              <w:spacing w:before="40" w:after="40"/>
              <w:jc w:val="center"/>
              <w:rPr>
                <w:szCs w:val="24"/>
                <w:lang w:val="sr-Cyrl-RS"/>
              </w:rPr>
            </w:pPr>
          </w:p>
        </w:tc>
        <w:tc>
          <w:tcPr>
            <w:tcW w:w="972" w:type="dxa"/>
            <w:shd w:val="clear" w:color="auto" w:fill="auto"/>
            <w:vAlign w:val="center"/>
          </w:tcPr>
          <w:p w14:paraId="01A6F845" w14:textId="77777777" w:rsidR="00087F14" w:rsidRPr="00CF77C1" w:rsidRDefault="00087F14" w:rsidP="0080044B">
            <w:pPr>
              <w:spacing w:before="40" w:after="40"/>
              <w:jc w:val="center"/>
              <w:rPr>
                <w:szCs w:val="24"/>
                <w:lang w:val="sr-Cyrl-RS"/>
              </w:rPr>
            </w:pPr>
          </w:p>
        </w:tc>
      </w:tr>
      <w:tr w:rsidR="00087F14" w:rsidRPr="00CF77C1" w14:paraId="04B27790" w14:textId="77777777" w:rsidTr="00087F14">
        <w:tc>
          <w:tcPr>
            <w:tcW w:w="6487" w:type="dxa"/>
            <w:shd w:val="clear" w:color="auto" w:fill="auto"/>
            <w:vAlign w:val="center"/>
          </w:tcPr>
          <w:p w14:paraId="78DC2CC4" w14:textId="77777777" w:rsidR="00087F14" w:rsidRPr="00CF77C1" w:rsidRDefault="00087F14" w:rsidP="0080044B">
            <w:pPr>
              <w:spacing w:before="40" w:after="40"/>
              <w:jc w:val="left"/>
              <w:rPr>
                <w:szCs w:val="24"/>
                <w:lang w:val="sr-Cyrl-RS"/>
              </w:rPr>
            </w:pPr>
            <w:r w:rsidRPr="00CF77C1">
              <w:rPr>
                <w:szCs w:val="24"/>
                <w:lang w:val="sr-Cyrl-RS"/>
              </w:rPr>
              <w:t>Одводњавање</w:t>
            </w:r>
          </w:p>
        </w:tc>
        <w:tc>
          <w:tcPr>
            <w:tcW w:w="1559" w:type="dxa"/>
            <w:vMerge/>
            <w:shd w:val="clear" w:color="auto" w:fill="auto"/>
          </w:tcPr>
          <w:p w14:paraId="31AE6226" w14:textId="77777777" w:rsidR="00087F14" w:rsidRPr="00CF77C1" w:rsidRDefault="00087F14" w:rsidP="0080044B">
            <w:pPr>
              <w:spacing w:before="40" w:after="40"/>
              <w:rPr>
                <w:lang w:val="sr-Cyrl-RS"/>
              </w:rPr>
            </w:pPr>
          </w:p>
        </w:tc>
        <w:tc>
          <w:tcPr>
            <w:tcW w:w="972" w:type="dxa"/>
            <w:shd w:val="clear" w:color="auto" w:fill="auto"/>
            <w:vAlign w:val="center"/>
          </w:tcPr>
          <w:p w14:paraId="09F82AE4"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0923390"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3D0E0C5"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F4BCE05"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A2B513B"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AD84636"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60A502B" w14:textId="77777777" w:rsidR="00087F14" w:rsidRPr="00CF77C1" w:rsidRDefault="00087F14" w:rsidP="0080044B">
            <w:pPr>
              <w:spacing w:before="40" w:after="40"/>
              <w:jc w:val="center"/>
              <w:rPr>
                <w:szCs w:val="24"/>
                <w:lang w:val="sr-Cyrl-RS"/>
              </w:rPr>
            </w:pPr>
            <w:r w:rsidRPr="00CF77C1">
              <w:rPr>
                <w:szCs w:val="24"/>
                <w:lang w:val="sr-Cyrl-RS"/>
              </w:rPr>
              <w:t>x</w:t>
            </w:r>
          </w:p>
        </w:tc>
      </w:tr>
      <w:tr w:rsidR="00087F14" w:rsidRPr="00CF77C1" w14:paraId="6779D4C8" w14:textId="77777777" w:rsidTr="00087F14">
        <w:tc>
          <w:tcPr>
            <w:tcW w:w="6487" w:type="dxa"/>
            <w:shd w:val="clear" w:color="auto" w:fill="auto"/>
            <w:vAlign w:val="center"/>
          </w:tcPr>
          <w:p w14:paraId="4DA17F31" w14:textId="77777777" w:rsidR="00087F14" w:rsidRPr="00CF77C1" w:rsidRDefault="00087F14" w:rsidP="0080044B">
            <w:pPr>
              <w:spacing w:before="40" w:after="40"/>
              <w:jc w:val="left"/>
              <w:rPr>
                <w:szCs w:val="24"/>
                <w:lang w:val="sr-Cyrl-RS"/>
              </w:rPr>
            </w:pPr>
            <w:r w:rsidRPr="00CF77C1">
              <w:rPr>
                <w:szCs w:val="24"/>
                <w:lang w:val="sr-Cyrl-RS"/>
              </w:rPr>
              <w:t xml:space="preserve">Откопавање јаловине </w:t>
            </w:r>
          </w:p>
        </w:tc>
        <w:tc>
          <w:tcPr>
            <w:tcW w:w="1559" w:type="dxa"/>
            <w:vMerge/>
            <w:shd w:val="clear" w:color="auto" w:fill="auto"/>
          </w:tcPr>
          <w:p w14:paraId="47995743" w14:textId="77777777" w:rsidR="00087F14" w:rsidRPr="00CF77C1" w:rsidRDefault="00087F14" w:rsidP="0080044B">
            <w:pPr>
              <w:spacing w:before="40" w:after="40"/>
              <w:rPr>
                <w:lang w:val="sr-Cyrl-RS"/>
              </w:rPr>
            </w:pPr>
          </w:p>
        </w:tc>
        <w:tc>
          <w:tcPr>
            <w:tcW w:w="972" w:type="dxa"/>
            <w:shd w:val="clear" w:color="auto" w:fill="auto"/>
            <w:vAlign w:val="center"/>
          </w:tcPr>
          <w:p w14:paraId="60B584B9"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EB18FD0"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CE6F9E6"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40DD680"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1EAE6B5"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3BA1917C"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405712D2" w14:textId="77777777" w:rsidR="00087F14" w:rsidRPr="00CF77C1" w:rsidRDefault="00087F14" w:rsidP="0080044B">
            <w:pPr>
              <w:spacing w:before="40" w:after="40"/>
              <w:jc w:val="center"/>
              <w:rPr>
                <w:szCs w:val="24"/>
                <w:lang w:val="sr-Cyrl-RS"/>
              </w:rPr>
            </w:pPr>
            <w:r w:rsidRPr="00CF77C1">
              <w:rPr>
                <w:szCs w:val="24"/>
                <w:lang w:val="sr-Cyrl-RS"/>
              </w:rPr>
              <w:t>x</w:t>
            </w:r>
          </w:p>
        </w:tc>
      </w:tr>
      <w:tr w:rsidR="00087F14" w:rsidRPr="00CF77C1" w14:paraId="45CE24F9" w14:textId="77777777" w:rsidTr="00087F14">
        <w:tc>
          <w:tcPr>
            <w:tcW w:w="6487" w:type="dxa"/>
            <w:shd w:val="clear" w:color="auto" w:fill="auto"/>
            <w:vAlign w:val="center"/>
          </w:tcPr>
          <w:p w14:paraId="47E4FC55" w14:textId="77777777" w:rsidR="00087F14" w:rsidRPr="00CF77C1" w:rsidRDefault="00087F14" w:rsidP="0080044B">
            <w:pPr>
              <w:spacing w:before="40" w:after="40"/>
              <w:jc w:val="left"/>
              <w:rPr>
                <w:szCs w:val="24"/>
                <w:lang w:val="sr-Cyrl-RS"/>
              </w:rPr>
            </w:pPr>
            <w:r w:rsidRPr="00CF77C1">
              <w:rPr>
                <w:szCs w:val="24"/>
                <w:lang w:val="sr-Cyrl-RS"/>
              </w:rPr>
              <w:t xml:space="preserve">Откопавање угља </w:t>
            </w:r>
          </w:p>
        </w:tc>
        <w:tc>
          <w:tcPr>
            <w:tcW w:w="1559" w:type="dxa"/>
            <w:vMerge/>
            <w:shd w:val="clear" w:color="auto" w:fill="auto"/>
          </w:tcPr>
          <w:p w14:paraId="36B13680" w14:textId="77777777" w:rsidR="00087F14" w:rsidRPr="00CF77C1" w:rsidRDefault="00087F14" w:rsidP="0080044B">
            <w:pPr>
              <w:spacing w:before="40" w:after="40"/>
              <w:rPr>
                <w:lang w:val="sr-Cyrl-RS"/>
              </w:rPr>
            </w:pPr>
          </w:p>
        </w:tc>
        <w:tc>
          <w:tcPr>
            <w:tcW w:w="972" w:type="dxa"/>
            <w:shd w:val="clear" w:color="auto" w:fill="auto"/>
            <w:vAlign w:val="center"/>
          </w:tcPr>
          <w:p w14:paraId="47849C60"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456FDA7A"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F1D5EB9"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4C7C855"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F5D38BA"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655F4DE" w14:textId="77777777" w:rsidR="00087F14" w:rsidRPr="00CF77C1" w:rsidRDefault="00087F14"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A9F8C17" w14:textId="77777777" w:rsidR="00087F14" w:rsidRPr="00CF77C1" w:rsidRDefault="00087F14" w:rsidP="0080044B">
            <w:pPr>
              <w:spacing w:before="40" w:after="40"/>
              <w:jc w:val="center"/>
              <w:rPr>
                <w:szCs w:val="24"/>
                <w:lang w:val="sr-Cyrl-RS"/>
              </w:rPr>
            </w:pPr>
            <w:r w:rsidRPr="00CF77C1">
              <w:rPr>
                <w:szCs w:val="24"/>
                <w:lang w:val="sr-Cyrl-RS"/>
              </w:rPr>
              <w:t>x</w:t>
            </w:r>
          </w:p>
        </w:tc>
      </w:tr>
    </w:tbl>
    <w:p w14:paraId="106D3D66" w14:textId="49CD6289" w:rsidR="00AE17CC" w:rsidRPr="00CF77C1" w:rsidRDefault="002D7D6C" w:rsidP="005621E0">
      <w:pPr>
        <w:ind w:firstLine="720"/>
        <w:rPr>
          <w:lang w:val="sr-Cyrl-RS"/>
        </w:rPr>
      </w:pPr>
      <w:r w:rsidRPr="00CF77C1">
        <w:rPr>
          <w:lang w:val="sr-Cyrl-RS"/>
        </w:rPr>
        <w:t>Ризици: Јавне набавке за извођење радова, реализација кинеског кредита, стабилност унутрашњег одлагалишта, набавка нове опреме, реализација система одводњавања</w:t>
      </w:r>
      <w:r w:rsidR="00AF17D7">
        <w:rPr>
          <w:lang w:val="sr-Cyrl-RS"/>
        </w:rPr>
        <w:t>.</w:t>
      </w:r>
    </w:p>
    <w:p w14:paraId="49D93CD5" w14:textId="77777777" w:rsidR="002D7D6C" w:rsidRPr="00CF77C1" w:rsidRDefault="002D7D6C" w:rsidP="0080044B">
      <w:pPr>
        <w:ind w:left="360"/>
        <w:rPr>
          <w:lang w:val="sr-Cyrl-RS"/>
        </w:rPr>
        <w:sectPr w:rsidR="002D7D6C" w:rsidRPr="00CF77C1" w:rsidSect="00017454">
          <w:headerReference w:type="default" r:id="rId109"/>
          <w:footerReference w:type="even" r:id="rId110"/>
          <w:footerReference w:type="default" r:id="rId111"/>
          <w:pgSz w:w="16839" w:h="11907" w:orient="landscape" w:code="9"/>
          <w:pgMar w:top="1418" w:right="1134" w:bottom="1134" w:left="1134" w:header="1004" w:footer="720" w:gutter="0"/>
          <w:cols w:space="720"/>
          <w:docGrid w:linePitch="360"/>
        </w:sectPr>
      </w:pPr>
    </w:p>
    <w:p w14:paraId="2DFF9BDC" w14:textId="77777777" w:rsidR="00AE17CC" w:rsidRPr="00CF77C1" w:rsidRDefault="009949A3" w:rsidP="005621E0">
      <w:pPr>
        <w:keepNext/>
        <w:keepLines/>
        <w:ind w:firstLine="720"/>
        <w:rPr>
          <w:u w:val="single"/>
          <w:lang w:val="sr-Cyrl-RS"/>
        </w:rPr>
      </w:pPr>
      <w:r w:rsidRPr="00CF77C1">
        <w:rPr>
          <w:u w:val="single"/>
          <w:lang w:val="sr-Cyrl-RS"/>
        </w:rPr>
        <w:t>Колубарски угљени басен</w:t>
      </w:r>
    </w:p>
    <w:p w14:paraId="420B10A7" w14:textId="77777777" w:rsidR="00176354" w:rsidRPr="00CF77C1" w:rsidRDefault="00176354" w:rsidP="005621E0">
      <w:pPr>
        <w:ind w:firstLine="720"/>
        <w:rPr>
          <w:lang w:val="sr-Cyrl-RS"/>
        </w:rPr>
      </w:pPr>
      <w:r w:rsidRPr="00CF77C1">
        <w:rPr>
          <w:lang w:val="sr-Cyrl-RS"/>
        </w:rPr>
        <w:t xml:space="preserve">У оквиру колубарског басена разматрано је повећање капацитета Поља Ц у </w:t>
      </w:r>
      <w:r w:rsidR="009949A3" w:rsidRPr="00CF77C1">
        <w:rPr>
          <w:lang w:val="sr-Cyrl-RS"/>
        </w:rPr>
        <w:t>функцији отварања Поља Е, отвара</w:t>
      </w:r>
      <w:r w:rsidRPr="00CF77C1">
        <w:rPr>
          <w:lang w:val="sr-Cyrl-RS"/>
        </w:rPr>
        <w:t>ње Поља Е као заменског капацитета површинском копу Поље Ц и Поље Д, отварање површинског копа Поље Г као заменског капацитета површинском копу Велики Црљени, као и отварање копа Радљево у функцији уједначавање квалитета угља и у каснијој фази као заменски капацитет површинског копа Тамнава западно поље. У случају да постоји потреба за новим капацитетима на површинском копу Радљево се може повећати капацитет за потребе евентуално нове термоелектране.</w:t>
      </w:r>
    </w:p>
    <w:p w14:paraId="3D8AA651" w14:textId="77777777" w:rsidR="00176354" w:rsidRPr="00CF77C1" w:rsidRDefault="00176354" w:rsidP="005621E0">
      <w:pPr>
        <w:ind w:firstLine="720"/>
        <w:rPr>
          <w:u w:val="single"/>
          <w:lang w:val="sr-Cyrl-RS"/>
        </w:rPr>
      </w:pPr>
      <w:r w:rsidRPr="00CF77C1">
        <w:rPr>
          <w:u w:val="single"/>
          <w:lang w:val="sr-Cyrl-RS"/>
        </w:rPr>
        <w:t>Поље Г</w:t>
      </w:r>
    </w:p>
    <w:p w14:paraId="0B1B4E7E" w14:textId="0E212663" w:rsidR="00176354" w:rsidRPr="00CF77C1" w:rsidRDefault="00176354" w:rsidP="005621E0">
      <w:pPr>
        <w:ind w:firstLine="720"/>
        <w:rPr>
          <w:lang w:val="sr-Cyrl-RS"/>
        </w:rPr>
      </w:pPr>
      <w:r w:rsidRPr="00CF77C1">
        <w:rPr>
          <w:lang w:val="sr-Cyrl-RS"/>
        </w:rPr>
        <w:t xml:space="preserve">Површински коп Поље Г се отвара као заменски капацитет за површински коп Велики Црљени. Пројектовани капацитет је 5.000.000 </w:t>
      </w:r>
      <w:r w:rsidR="00537E82" w:rsidRPr="00CF77C1">
        <w:rPr>
          <w:szCs w:val="24"/>
          <w:lang w:val="sr-Cyrl-RS"/>
        </w:rPr>
        <w:t>t</w:t>
      </w:r>
      <w:r w:rsidRPr="00CF77C1">
        <w:rPr>
          <w:lang w:val="sr-Cyrl-RS"/>
        </w:rPr>
        <w:t xml:space="preserve"> угља годишње.</w:t>
      </w:r>
    </w:p>
    <w:p w14:paraId="319EDBD1" w14:textId="77777777" w:rsidR="00176354" w:rsidRPr="00CF77C1" w:rsidRDefault="00176354" w:rsidP="005621E0">
      <w:pPr>
        <w:ind w:firstLine="720"/>
        <w:rPr>
          <w:lang w:val="sr-Cyrl-RS"/>
        </w:rPr>
      </w:pPr>
      <w:r w:rsidRPr="00CF77C1">
        <w:rPr>
          <w:lang w:val="sr-Cyrl-RS"/>
        </w:rPr>
        <w:t>Да би се отворио површински коп Поље Г као заменски капацитет за површински коп Велики Црљени неопходно је да се реализују следећи потпројекти:</w:t>
      </w:r>
    </w:p>
    <w:p w14:paraId="3663A290" w14:textId="244A85F2"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и</w:t>
      </w:r>
      <w:r w:rsidR="00F20393" w:rsidRPr="00CF77C1">
        <w:rPr>
          <w:lang w:val="sr-Cyrl-RS"/>
        </w:rPr>
        <w:t>з</w:t>
      </w:r>
      <w:r w:rsidR="00176354" w:rsidRPr="00CF77C1">
        <w:rPr>
          <w:lang w:val="sr-Cyrl-RS"/>
        </w:rPr>
        <w:t>мештање реке Колубаре у II</w:t>
      </w:r>
      <w:r w:rsidR="00F1645E" w:rsidRPr="00CF77C1">
        <w:rPr>
          <w:lang w:val="sr-Cyrl-RS"/>
        </w:rPr>
        <w:t xml:space="preserve"> фази у укупној дужини од 2,</w:t>
      </w:r>
      <w:r w:rsidR="00176354" w:rsidRPr="00CF77C1">
        <w:rPr>
          <w:lang w:val="sr-Cyrl-RS"/>
        </w:rPr>
        <w:t>6 km;</w:t>
      </w:r>
    </w:p>
    <w:p w14:paraId="27604CA6" w14:textId="00C2EE05"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и</w:t>
      </w:r>
      <w:r w:rsidR="00EC1FA0">
        <w:rPr>
          <w:lang w:val="sr-Cyrl-RS"/>
        </w:rPr>
        <w:t>змешта</w:t>
      </w:r>
      <w:r w:rsidR="00176354" w:rsidRPr="00CF77C1">
        <w:rPr>
          <w:lang w:val="sr-Cyrl-RS"/>
        </w:rPr>
        <w:t>ње реке Пештан у дужини од 1,8 km;</w:t>
      </w:r>
    </w:p>
    <w:p w14:paraId="34694A15" w14:textId="4836DADE"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и</w:t>
      </w:r>
      <w:r w:rsidR="00176354" w:rsidRPr="00CF77C1">
        <w:rPr>
          <w:lang w:val="sr-Cyrl-RS"/>
        </w:rPr>
        <w:t xml:space="preserve">змештање регионалног пута М22 Београд </w:t>
      </w:r>
      <w:r w:rsidR="00B255A3" w:rsidRPr="00CF77C1">
        <w:rPr>
          <w:lang w:val="sr-Cyrl-RS"/>
        </w:rPr>
        <w:t>-</w:t>
      </w:r>
      <w:r w:rsidR="00176354" w:rsidRPr="00CF77C1">
        <w:rPr>
          <w:lang w:val="sr-Cyrl-RS"/>
        </w:rPr>
        <w:t xml:space="preserve"> Горњи Милановац (Ибарске магистрале) у дужини 7,24 km;</w:t>
      </w:r>
    </w:p>
    <w:p w14:paraId="464BCFEF" w14:textId="04D7FC84"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и</w:t>
      </w:r>
      <w:r w:rsidR="00176354" w:rsidRPr="00CF77C1">
        <w:rPr>
          <w:lang w:val="sr-Cyrl-RS"/>
        </w:rPr>
        <w:t>змештање далековода 110 kV (</w:t>
      </w:r>
      <w:r w:rsidR="00EC1FA0">
        <w:rPr>
          <w:lang w:val="sr-Cyrl-RS"/>
        </w:rPr>
        <w:t xml:space="preserve">два </w:t>
      </w:r>
      <w:r w:rsidR="00176354" w:rsidRPr="00CF77C1">
        <w:rPr>
          <w:lang w:val="sr-Cyrl-RS"/>
        </w:rPr>
        <w:t>комада на један двоструки);</w:t>
      </w:r>
    </w:p>
    <w:p w14:paraId="6574E887" w14:textId="5079A5BF"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и</w:t>
      </w:r>
      <w:r w:rsidR="00176354" w:rsidRPr="00CF77C1">
        <w:rPr>
          <w:lang w:val="sr-Cyrl-RS"/>
        </w:rPr>
        <w:t>змештање далековода 35 kV (</w:t>
      </w:r>
      <w:r w:rsidR="0060618C">
        <w:rPr>
          <w:lang w:val="sr-Cyrl-RS"/>
        </w:rPr>
        <w:t xml:space="preserve">пет </w:t>
      </w:r>
      <w:r w:rsidR="00176354" w:rsidRPr="00CF77C1">
        <w:rPr>
          <w:lang w:val="sr-Cyrl-RS"/>
        </w:rPr>
        <w:t>комада);</w:t>
      </w:r>
    </w:p>
    <w:p w14:paraId="510961AD" w14:textId="08C5865F"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и</w:t>
      </w:r>
      <w:r w:rsidR="00176354" w:rsidRPr="00CF77C1">
        <w:rPr>
          <w:lang w:val="sr-Cyrl-RS"/>
        </w:rPr>
        <w:t>змештање таложника и постројења за пречишћавање отпадних вода Колубаре Прерада;</w:t>
      </w:r>
    </w:p>
    <w:p w14:paraId="6FF5137E" w14:textId="77B24CCE"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и</w:t>
      </w:r>
      <w:r w:rsidR="00176354" w:rsidRPr="00CF77C1">
        <w:rPr>
          <w:lang w:val="sr-Cyrl-RS"/>
        </w:rPr>
        <w:t>змештање изворишта и водозахвата;</w:t>
      </w:r>
    </w:p>
    <w:p w14:paraId="27F9CD53" w14:textId="639706A1"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н</w:t>
      </w:r>
      <w:r w:rsidR="00176354" w:rsidRPr="00CF77C1">
        <w:rPr>
          <w:lang w:val="sr-Cyrl-RS"/>
        </w:rPr>
        <w:t xml:space="preserve">абавка нове опреме (самоходни транспортер, </w:t>
      </w:r>
      <w:r w:rsidR="00FB0260">
        <w:rPr>
          <w:lang w:val="sr-Cyrl-RS"/>
        </w:rPr>
        <w:t xml:space="preserve">три </w:t>
      </w:r>
      <w:r w:rsidR="00176354" w:rsidRPr="00CF77C1">
        <w:rPr>
          <w:lang w:val="sr-Cyrl-RS"/>
        </w:rPr>
        <w:t>транспортера 1600 mm, и две расподелне станице);</w:t>
      </w:r>
    </w:p>
    <w:p w14:paraId="3546A911" w14:textId="72FAA34A"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р</w:t>
      </w:r>
      <w:r w:rsidR="00176354" w:rsidRPr="00CF77C1">
        <w:rPr>
          <w:lang w:val="sr-Cyrl-RS"/>
        </w:rPr>
        <w:t>евитализација и модерниз</w:t>
      </w:r>
      <w:r w:rsidR="00D0348B">
        <w:rPr>
          <w:lang w:val="sr-Cyrl-RS"/>
        </w:rPr>
        <w:t>а</w:t>
      </w:r>
      <w:r w:rsidR="00176354" w:rsidRPr="00CF77C1">
        <w:rPr>
          <w:lang w:val="sr-Cyrl-RS"/>
        </w:rPr>
        <w:t>ција постојеће основне опреме;</w:t>
      </w:r>
    </w:p>
    <w:p w14:paraId="72D0C8B0" w14:textId="71379237" w:rsidR="00176354" w:rsidRPr="00CF77C1" w:rsidRDefault="006D5E47" w:rsidP="005621E0">
      <w:pPr>
        <w:pStyle w:val="ListParagraph"/>
        <w:numPr>
          <w:ilvl w:val="0"/>
          <w:numId w:val="22"/>
        </w:numPr>
        <w:spacing w:before="60" w:after="60"/>
        <w:ind w:left="0" w:firstLine="720"/>
        <w:contextualSpacing w:val="0"/>
        <w:rPr>
          <w:lang w:val="sr-Cyrl-RS"/>
        </w:rPr>
      </w:pPr>
      <w:r w:rsidRPr="00CF77C1">
        <w:rPr>
          <w:lang w:val="sr-Cyrl-RS"/>
        </w:rPr>
        <w:t>н</w:t>
      </w:r>
      <w:r w:rsidR="00176354" w:rsidRPr="00CF77C1">
        <w:rPr>
          <w:lang w:val="sr-Cyrl-RS"/>
        </w:rPr>
        <w:t>а</w:t>
      </w:r>
      <w:r w:rsidR="00A84557" w:rsidRPr="00CF77C1">
        <w:rPr>
          <w:lang w:val="sr-Cyrl-RS"/>
        </w:rPr>
        <w:t>бавка нове помоћне механизације.</w:t>
      </w:r>
    </w:p>
    <w:p w14:paraId="4EB00E22" w14:textId="77777777" w:rsidR="00F52323" w:rsidRPr="00CF77C1" w:rsidRDefault="00F52323" w:rsidP="0080044B">
      <w:pPr>
        <w:rPr>
          <w:lang w:val="sr-Cyrl-RS"/>
        </w:rPr>
      </w:pPr>
    </w:p>
    <w:p w14:paraId="531B147A" w14:textId="77777777" w:rsidR="00F52323" w:rsidRPr="00CF77C1" w:rsidRDefault="00F52323" w:rsidP="0080044B">
      <w:pPr>
        <w:pStyle w:val="ListParagraph"/>
        <w:numPr>
          <w:ilvl w:val="0"/>
          <w:numId w:val="22"/>
        </w:numPr>
        <w:rPr>
          <w:lang w:val="sr-Cyrl-RS"/>
        </w:rPr>
        <w:sectPr w:rsidR="00F52323" w:rsidRPr="00CF77C1" w:rsidSect="00017454">
          <w:headerReference w:type="default" r:id="rId112"/>
          <w:footerReference w:type="default" r:id="rId113"/>
          <w:pgSz w:w="11907" w:h="16839" w:code="9"/>
          <w:pgMar w:top="1134" w:right="1134" w:bottom="1134" w:left="1418" w:header="720" w:footer="720" w:gutter="0"/>
          <w:cols w:space="720"/>
          <w:docGrid w:linePitch="360"/>
        </w:sectPr>
      </w:pPr>
    </w:p>
    <w:p w14:paraId="50ED7C43" w14:textId="2B0CE52B" w:rsidR="00F52323" w:rsidRPr="00CF77C1" w:rsidRDefault="00D61BC9" w:rsidP="005621E0">
      <w:pPr>
        <w:pStyle w:val="Caption"/>
        <w:ind w:firstLine="720"/>
        <w:rPr>
          <w:b w:val="0"/>
          <w:lang w:val="sr-Cyrl-RS"/>
        </w:rPr>
      </w:pPr>
      <w:r w:rsidRPr="00CF77C1">
        <w:rPr>
          <w:b w:val="0"/>
          <w:lang w:val="sr-Cyrl-RS"/>
        </w:rPr>
        <w:t>таб.</w:t>
      </w:r>
      <w:r w:rsidR="00F52323"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110</w:t>
      </w:r>
      <w:r w:rsidR="0092145E" w:rsidRPr="00CF77C1">
        <w:rPr>
          <w:b w:val="0"/>
          <w:lang w:val="sr-Cyrl-RS"/>
        </w:rPr>
        <w:fldChar w:fldCharType="end"/>
      </w:r>
      <w:r w:rsidR="00F52323" w:rsidRPr="00CF77C1">
        <w:rPr>
          <w:b w:val="0"/>
          <w:lang w:val="sr-Cyrl-RS"/>
        </w:rPr>
        <w:t>: Основне карактеристике и ефекти пројекта „Отварање површинског копа Поље Г</w:t>
      </w:r>
      <w:r w:rsidR="00AD5740" w:rsidRPr="00CF77C1">
        <w:rPr>
          <w:b w:val="0"/>
          <w:lang w:val="sr-Cyrl-R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402"/>
        <w:gridCol w:w="3685"/>
        <w:gridCol w:w="4473"/>
      </w:tblGrid>
      <w:tr w:rsidR="00F52323" w:rsidRPr="00CF77C1" w14:paraId="66DEBE5C" w14:textId="77777777" w:rsidTr="00F52323">
        <w:tc>
          <w:tcPr>
            <w:tcW w:w="3227" w:type="dxa"/>
            <w:shd w:val="clear" w:color="auto" w:fill="auto"/>
            <w:vAlign w:val="center"/>
          </w:tcPr>
          <w:p w14:paraId="41C4FE6A" w14:textId="77777777" w:rsidR="00F52323" w:rsidRPr="00CF77C1" w:rsidRDefault="00F52323" w:rsidP="0080044B">
            <w:pPr>
              <w:jc w:val="center"/>
              <w:rPr>
                <w:szCs w:val="24"/>
                <w:lang w:val="sr-Cyrl-RS"/>
              </w:rPr>
            </w:pPr>
            <w:r w:rsidRPr="00CF77C1">
              <w:rPr>
                <w:szCs w:val="24"/>
                <w:lang w:val="sr-Cyrl-RS"/>
              </w:rPr>
              <w:t>Техничке карактеристике</w:t>
            </w:r>
          </w:p>
        </w:tc>
        <w:tc>
          <w:tcPr>
            <w:tcW w:w="3402" w:type="dxa"/>
            <w:shd w:val="clear" w:color="auto" w:fill="auto"/>
            <w:vAlign w:val="center"/>
          </w:tcPr>
          <w:p w14:paraId="3D610DD0" w14:textId="77777777" w:rsidR="00F52323" w:rsidRPr="00CF77C1" w:rsidRDefault="00F52323" w:rsidP="0080044B">
            <w:pPr>
              <w:jc w:val="center"/>
              <w:rPr>
                <w:szCs w:val="24"/>
                <w:lang w:val="sr-Cyrl-RS"/>
              </w:rPr>
            </w:pPr>
            <w:r w:rsidRPr="00CF77C1">
              <w:rPr>
                <w:szCs w:val="24"/>
                <w:lang w:val="sr-Cyrl-RS"/>
              </w:rPr>
              <w:t>Вредност пројекта и извор средстава</w:t>
            </w:r>
          </w:p>
        </w:tc>
        <w:tc>
          <w:tcPr>
            <w:tcW w:w="3685" w:type="dxa"/>
            <w:shd w:val="clear" w:color="auto" w:fill="auto"/>
            <w:vAlign w:val="center"/>
          </w:tcPr>
          <w:p w14:paraId="4F5BAE37" w14:textId="77777777" w:rsidR="00F52323" w:rsidRPr="00CF77C1" w:rsidRDefault="00F52323" w:rsidP="0080044B">
            <w:pPr>
              <w:jc w:val="center"/>
              <w:rPr>
                <w:szCs w:val="24"/>
                <w:lang w:val="sr-Cyrl-RS"/>
              </w:rPr>
            </w:pPr>
            <w:r w:rsidRPr="00CF77C1">
              <w:rPr>
                <w:szCs w:val="24"/>
                <w:lang w:val="sr-Cyrl-RS"/>
              </w:rPr>
              <w:t>Опис ефеката реализације</w:t>
            </w:r>
          </w:p>
        </w:tc>
        <w:tc>
          <w:tcPr>
            <w:tcW w:w="4473" w:type="dxa"/>
            <w:shd w:val="clear" w:color="auto" w:fill="auto"/>
            <w:vAlign w:val="center"/>
          </w:tcPr>
          <w:p w14:paraId="0B376307" w14:textId="77777777" w:rsidR="00F52323" w:rsidRPr="00CF77C1" w:rsidRDefault="00F52323" w:rsidP="0080044B">
            <w:pPr>
              <w:jc w:val="center"/>
              <w:rPr>
                <w:szCs w:val="24"/>
                <w:lang w:val="sr-Cyrl-RS"/>
              </w:rPr>
            </w:pPr>
            <w:r w:rsidRPr="00CF77C1">
              <w:rPr>
                <w:szCs w:val="24"/>
                <w:lang w:val="sr-Cyrl-RS"/>
              </w:rPr>
              <w:t>Валоризовани просечни годишњи ефекти реализације на основу расположиве документације</w:t>
            </w:r>
          </w:p>
        </w:tc>
      </w:tr>
      <w:tr w:rsidR="00F52323" w:rsidRPr="00CF77C1" w14:paraId="4523161D" w14:textId="77777777" w:rsidTr="00F52323">
        <w:tc>
          <w:tcPr>
            <w:tcW w:w="3227" w:type="dxa"/>
            <w:shd w:val="clear" w:color="auto" w:fill="auto"/>
            <w:vAlign w:val="center"/>
          </w:tcPr>
          <w:p w14:paraId="0A39BFD1" w14:textId="5DF7A173" w:rsidR="00F52323" w:rsidRPr="00CF77C1" w:rsidRDefault="00F52323" w:rsidP="0080044B">
            <w:pPr>
              <w:spacing w:before="0" w:after="0"/>
              <w:jc w:val="left"/>
              <w:rPr>
                <w:szCs w:val="24"/>
                <w:lang w:val="sr-Cyrl-RS"/>
              </w:rPr>
            </w:pPr>
            <w:r w:rsidRPr="00CF77C1">
              <w:rPr>
                <w:szCs w:val="24"/>
                <w:lang w:val="sr-Cyrl-RS"/>
              </w:rPr>
              <w:t>И</w:t>
            </w:r>
            <w:r w:rsidR="006939C4">
              <w:rPr>
                <w:szCs w:val="24"/>
                <w:lang w:val="sr-Cyrl-RS"/>
              </w:rPr>
              <w:t>з</w:t>
            </w:r>
            <w:r w:rsidRPr="00CF77C1">
              <w:rPr>
                <w:szCs w:val="24"/>
                <w:lang w:val="sr-Cyrl-RS"/>
              </w:rPr>
              <w:t>мештање реке Колубаре у II фази у укупној дужини од 2,6 km</w:t>
            </w:r>
          </w:p>
        </w:tc>
        <w:tc>
          <w:tcPr>
            <w:tcW w:w="3402" w:type="dxa"/>
            <w:shd w:val="clear" w:color="auto" w:fill="auto"/>
            <w:vAlign w:val="center"/>
          </w:tcPr>
          <w:p w14:paraId="64807A15" w14:textId="77777777" w:rsidR="00F52323" w:rsidRPr="00CF77C1" w:rsidRDefault="00F52323" w:rsidP="0080044B">
            <w:pPr>
              <w:jc w:val="center"/>
              <w:rPr>
                <w:szCs w:val="24"/>
                <w:lang w:val="sr-Cyrl-RS"/>
              </w:rPr>
            </w:pPr>
            <w:r w:rsidRPr="00CF77C1">
              <w:rPr>
                <w:szCs w:val="24"/>
                <w:lang w:val="sr-Cyrl-RS"/>
              </w:rPr>
              <w:t>10.460.000 €</w:t>
            </w:r>
          </w:p>
          <w:p w14:paraId="2FD86A92" w14:textId="7E19014E"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val="restart"/>
            <w:shd w:val="clear" w:color="auto" w:fill="auto"/>
            <w:vAlign w:val="center"/>
          </w:tcPr>
          <w:p w14:paraId="1C7D2EF2" w14:textId="77777777" w:rsidR="00F52323" w:rsidRPr="00CF77C1" w:rsidRDefault="00F52323" w:rsidP="0080044B">
            <w:pPr>
              <w:jc w:val="left"/>
              <w:rPr>
                <w:szCs w:val="24"/>
                <w:lang w:val="sr-Cyrl-RS"/>
              </w:rPr>
            </w:pPr>
            <w:r w:rsidRPr="00CF77C1">
              <w:rPr>
                <w:szCs w:val="24"/>
                <w:lang w:val="sr-Cyrl-RS"/>
              </w:rPr>
              <w:t xml:space="preserve">Отварањем површинског копа Поље Г као заменског капацитета површинског копа Велики Црљени обезбеђују се довољне количине угља за сигурно снабдевање термоелектрана Никола Тесла. Планирани годишњи капацитет је 5.000.000 </w:t>
            </w:r>
            <w:r w:rsidR="00537E82" w:rsidRPr="00CF77C1">
              <w:rPr>
                <w:szCs w:val="24"/>
                <w:lang w:val="sr-Cyrl-RS"/>
              </w:rPr>
              <w:t>t</w:t>
            </w:r>
            <w:r w:rsidRPr="00CF77C1">
              <w:rPr>
                <w:szCs w:val="24"/>
                <w:lang w:val="sr-Cyrl-RS"/>
              </w:rPr>
              <w:t xml:space="preserve"> угља који је просечног квалитета</w:t>
            </w:r>
            <w:r w:rsidR="00EA6189" w:rsidRPr="00CF77C1">
              <w:rPr>
                <w:szCs w:val="24"/>
                <w:lang w:val="sr-Cyrl-RS"/>
              </w:rPr>
              <w:t xml:space="preserve"> </w:t>
            </w:r>
            <w:r w:rsidRPr="00CF77C1">
              <w:rPr>
                <w:szCs w:val="24"/>
                <w:lang w:val="sr-Cyrl-RS"/>
              </w:rPr>
              <w:t xml:space="preserve">8150 </w:t>
            </w:r>
            <w:r w:rsidR="00915572" w:rsidRPr="00CF77C1">
              <w:rPr>
                <w:szCs w:val="24"/>
                <w:lang w:val="sr-Cyrl-RS"/>
              </w:rPr>
              <w:t>kJ</w:t>
            </w:r>
            <w:r w:rsidRPr="00CF77C1">
              <w:rPr>
                <w:szCs w:val="24"/>
                <w:lang w:val="sr-Cyrl-RS"/>
              </w:rPr>
              <w:t>/</w:t>
            </w:r>
            <w:r w:rsidR="00915572" w:rsidRPr="00CF77C1">
              <w:rPr>
                <w:szCs w:val="24"/>
                <w:lang w:val="sr-Cyrl-RS"/>
              </w:rPr>
              <w:t>kg</w:t>
            </w:r>
            <w:r w:rsidRPr="00CF77C1">
              <w:rPr>
                <w:szCs w:val="24"/>
                <w:lang w:val="sr-Cyrl-RS"/>
              </w:rPr>
              <w:t>. Овако квалитетан угаљ омогућава да се</w:t>
            </w:r>
            <w:r w:rsidR="00FD6088" w:rsidRPr="00CF77C1">
              <w:rPr>
                <w:szCs w:val="24"/>
                <w:lang w:val="sr-Cyrl-RS"/>
              </w:rPr>
              <w:t>,</w:t>
            </w:r>
            <w:r w:rsidRPr="00CF77C1">
              <w:rPr>
                <w:szCs w:val="24"/>
                <w:lang w:val="sr-Cyrl-RS"/>
              </w:rPr>
              <w:t xml:space="preserve"> мешањем са угљем слабијег квалитета са површинских копова Тамнава западно поље и Радљево</w:t>
            </w:r>
            <w:r w:rsidR="00FD6088" w:rsidRPr="00CF77C1">
              <w:rPr>
                <w:szCs w:val="24"/>
                <w:lang w:val="sr-Cyrl-RS"/>
              </w:rPr>
              <w:t>,</w:t>
            </w:r>
            <w:r w:rsidRPr="00CF77C1">
              <w:rPr>
                <w:szCs w:val="24"/>
                <w:lang w:val="sr-Cyrl-RS"/>
              </w:rPr>
              <w:t xml:space="preserve"> искористи велики део неквалитетног угља, а тиме да се повећа искоришћење лежишта и повећа сировинска база.</w:t>
            </w:r>
            <w:r w:rsidR="00EA6189" w:rsidRPr="00CF77C1">
              <w:rPr>
                <w:szCs w:val="24"/>
                <w:lang w:val="sr-Cyrl-RS"/>
              </w:rPr>
              <w:t xml:space="preserve"> </w:t>
            </w:r>
            <w:r w:rsidRPr="00CF77C1">
              <w:rPr>
                <w:szCs w:val="24"/>
                <w:lang w:val="sr-Cyrl-RS"/>
              </w:rPr>
              <w:t>Укупна улагања износе 60.605.585 €. Почетак експлоатације јаловине 2017, а експлоатације угља 2018</w:t>
            </w:r>
            <w:r w:rsidR="00915572" w:rsidRPr="00CF77C1">
              <w:rPr>
                <w:szCs w:val="24"/>
                <w:lang w:val="sr-Cyrl-RS"/>
              </w:rPr>
              <w:t>.</w:t>
            </w:r>
            <w:r w:rsidRPr="00CF77C1">
              <w:rPr>
                <w:szCs w:val="24"/>
                <w:lang w:val="sr-Cyrl-RS"/>
              </w:rPr>
              <w:t xml:space="preserve"> године.</w:t>
            </w:r>
          </w:p>
        </w:tc>
        <w:tc>
          <w:tcPr>
            <w:tcW w:w="4473" w:type="dxa"/>
            <w:vMerge w:val="restart"/>
            <w:shd w:val="clear" w:color="auto" w:fill="auto"/>
            <w:vAlign w:val="center"/>
          </w:tcPr>
          <w:p w14:paraId="097EAD78" w14:textId="77777777" w:rsidR="00F52323" w:rsidRPr="00CF77C1" w:rsidRDefault="00F52323" w:rsidP="0080044B">
            <w:pPr>
              <w:pStyle w:val="BodyText"/>
              <w:jc w:val="center"/>
              <w:rPr>
                <w:szCs w:val="24"/>
                <w:lang w:val="sr-Cyrl-RS"/>
              </w:rPr>
            </w:pPr>
            <w:r w:rsidRPr="00CF77C1">
              <w:rPr>
                <w:szCs w:val="24"/>
                <w:lang w:val="sr-Cyrl-RS"/>
              </w:rPr>
              <w:t xml:space="preserve">Реализација пројекта отварања површинског копа Поље Г омогућава континуитет у производњи електричне енергије. На бази </w:t>
            </w:r>
            <w:r w:rsidR="002D7D6C" w:rsidRPr="00CF77C1">
              <w:rPr>
                <w:szCs w:val="24"/>
                <w:lang w:val="sr-Cyrl-RS"/>
              </w:rPr>
              <w:t xml:space="preserve">резерви </w:t>
            </w:r>
            <w:r w:rsidRPr="00CF77C1">
              <w:rPr>
                <w:szCs w:val="24"/>
                <w:lang w:val="sr-Cyrl-RS"/>
              </w:rPr>
              <w:t xml:space="preserve">угља са ПК Поље Г могућа је </w:t>
            </w:r>
            <w:r w:rsidR="002D7D6C" w:rsidRPr="00CF77C1">
              <w:rPr>
                <w:szCs w:val="24"/>
                <w:lang w:val="sr-Cyrl-RS"/>
              </w:rPr>
              <w:t>укупна</w:t>
            </w:r>
            <w:r w:rsidRPr="00CF77C1">
              <w:rPr>
                <w:szCs w:val="24"/>
                <w:lang w:val="sr-Cyrl-RS"/>
              </w:rPr>
              <w:t xml:space="preserve"> производња од </w:t>
            </w:r>
            <w:r w:rsidR="002D7D6C" w:rsidRPr="00CF77C1">
              <w:rPr>
                <w:szCs w:val="24"/>
                <w:lang w:val="sr-Cyrl-RS"/>
              </w:rPr>
              <w:t>30.000</w:t>
            </w:r>
            <w:r w:rsidRPr="00CF77C1">
              <w:rPr>
                <w:szCs w:val="24"/>
                <w:lang w:val="sr-Cyrl-RS"/>
              </w:rPr>
              <w:t xml:space="preserve"> GWh.</w:t>
            </w:r>
          </w:p>
          <w:p w14:paraId="5BD186DF" w14:textId="77777777" w:rsidR="00F52323" w:rsidRPr="00CF77C1" w:rsidRDefault="00F52323" w:rsidP="0080044B">
            <w:pPr>
              <w:pStyle w:val="BodyText"/>
              <w:jc w:val="center"/>
              <w:rPr>
                <w:szCs w:val="24"/>
                <w:lang w:val="sr-Cyrl-RS"/>
              </w:rPr>
            </w:pPr>
            <w:r w:rsidRPr="00CF77C1">
              <w:rPr>
                <w:szCs w:val="24"/>
                <w:lang w:val="sr-Cyrl-RS"/>
              </w:rPr>
              <w:t>Економски ток пројекта даје прорачун интерне стопе повраћаја IRR (Interal rate of return).</w:t>
            </w:r>
          </w:p>
          <w:p w14:paraId="102FEE49" w14:textId="77777777" w:rsidR="00F52323" w:rsidRPr="00CF77C1" w:rsidRDefault="00F52323" w:rsidP="0080044B">
            <w:pPr>
              <w:pStyle w:val="BodyText"/>
              <w:jc w:val="center"/>
              <w:rPr>
                <w:szCs w:val="24"/>
                <w:lang w:val="sr-Cyrl-RS"/>
              </w:rPr>
            </w:pPr>
            <w:r w:rsidRPr="00CF77C1">
              <w:rPr>
                <w:szCs w:val="24"/>
                <w:lang w:val="sr-Cyrl-RS"/>
              </w:rPr>
              <w:t xml:space="preserve">IRR = </w:t>
            </w:r>
            <w:r w:rsidR="00165345" w:rsidRPr="00CF77C1">
              <w:rPr>
                <w:szCs w:val="24"/>
                <w:lang w:val="sr-Cyrl-RS"/>
              </w:rPr>
              <w:t>14,86</w:t>
            </w:r>
            <w:r w:rsidRPr="00CF77C1">
              <w:rPr>
                <w:szCs w:val="24"/>
                <w:lang w:val="sr-Cyrl-RS"/>
              </w:rPr>
              <w:t>%</w:t>
            </w:r>
          </w:p>
          <w:p w14:paraId="19D50EC2" w14:textId="77777777" w:rsidR="00F52323" w:rsidRPr="00CF77C1" w:rsidRDefault="00F52323" w:rsidP="0080044B">
            <w:pPr>
              <w:pStyle w:val="BodyText"/>
              <w:jc w:val="center"/>
              <w:rPr>
                <w:szCs w:val="24"/>
                <w:lang w:val="sr-Cyrl-RS"/>
              </w:rPr>
            </w:pPr>
            <w:r w:rsidRPr="00CF77C1">
              <w:rPr>
                <w:szCs w:val="24"/>
                <w:lang w:val="sr-Cyrl-RS"/>
              </w:rPr>
              <w:t>У економском току израчуната је и нето садашња вредност са дисконтном стопом од 8% и износи</w:t>
            </w:r>
          </w:p>
          <w:p w14:paraId="1DA3F0B6" w14:textId="77777777" w:rsidR="00F52323" w:rsidRPr="00CF77C1" w:rsidRDefault="00F52323" w:rsidP="0080044B">
            <w:pPr>
              <w:pStyle w:val="BodyText"/>
              <w:jc w:val="center"/>
              <w:rPr>
                <w:szCs w:val="24"/>
                <w:lang w:val="sr-Cyrl-RS"/>
              </w:rPr>
            </w:pPr>
            <w:r w:rsidRPr="00CF77C1">
              <w:rPr>
                <w:szCs w:val="24"/>
                <w:lang w:val="sr-Cyrl-RS"/>
              </w:rPr>
              <w:t>NPV =</w:t>
            </w:r>
            <w:r w:rsidR="00165345" w:rsidRPr="00CF77C1">
              <w:rPr>
                <w:szCs w:val="22"/>
                <w:lang w:val="sr-Cyrl-RS"/>
              </w:rPr>
              <w:t>21.634.494</w:t>
            </w:r>
            <w:r w:rsidRPr="00CF77C1">
              <w:rPr>
                <w:szCs w:val="24"/>
                <w:lang w:val="sr-Cyrl-RS"/>
              </w:rPr>
              <w:t xml:space="preserve"> €</w:t>
            </w:r>
          </w:p>
          <w:p w14:paraId="35562D7D" w14:textId="77777777" w:rsidR="00F52323" w:rsidRPr="00CF77C1" w:rsidRDefault="00F52323" w:rsidP="0080044B">
            <w:pPr>
              <w:pStyle w:val="BodyText"/>
              <w:jc w:val="center"/>
              <w:rPr>
                <w:szCs w:val="24"/>
                <w:lang w:val="sr-Cyrl-RS"/>
              </w:rPr>
            </w:pPr>
            <w:r w:rsidRPr="00CF77C1">
              <w:rPr>
                <w:szCs w:val="24"/>
                <w:lang w:val="sr-Cyrl-RS"/>
              </w:rPr>
              <w:t>Просечна нето добит</w:t>
            </w:r>
            <w:r w:rsidR="00EA6189" w:rsidRPr="00CF77C1">
              <w:rPr>
                <w:szCs w:val="24"/>
                <w:lang w:val="sr-Cyrl-RS"/>
              </w:rPr>
              <w:t xml:space="preserve"> </w:t>
            </w:r>
            <w:r w:rsidRPr="00CF77C1">
              <w:rPr>
                <w:szCs w:val="24"/>
                <w:lang w:val="sr-Cyrl-RS"/>
              </w:rPr>
              <w:t xml:space="preserve">= </w:t>
            </w:r>
            <w:r w:rsidR="00165345" w:rsidRPr="00CF77C1">
              <w:rPr>
                <w:szCs w:val="24"/>
                <w:lang w:val="sr-Cyrl-RS"/>
              </w:rPr>
              <w:t>2</w:t>
            </w:r>
            <w:r w:rsidRPr="00CF77C1">
              <w:rPr>
                <w:szCs w:val="24"/>
                <w:lang w:val="sr-Cyrl-RS"/>
              </w:rPr>
              <w:t>,</w:t>
            </w:r>
            <w:r w:rsidR="00165345" w:rsidRPr="00CF77C1">
              <w:rPr>
                <w:szCs w:val="24"/>
                <w:lang w:val="sr-Cyrl-RS"/>
              </w:rPr>
              <w:t>66</w:t>
            </w:r>
            <w:r w:rsidRPr="00CF77C1">
              <w:rPr>
                <w:szCs w:val="24"/>
                <w:lang w:val="sr-Cyrl-RS"/>
              </w:rPr>
              <w:t xml:space="preserve"> €/tona</w:t>
            </w:r>
          </w:p>
          <w:p w14:paraId="461BF72A" w14:textId="77777777" w:rsidR="00F52323" w:rsidRPr="00CF77C1" w:rsidRDefault="00F52323" w:rsidP="0080044B">
            <w:pPr>
              <w:pStyle w:val="BodyText"/>
              <w:jc w:val="center"/>
              <w:rPr>
                <w:szCs w:val="24"/>
                <w:lang w:val="sr-Cyrl-RS"/>
              </w:rPr>
            </w:pPr>
            <w:r w:rsidRPr="00CF77C1">
              <w:rPr>
                <w:szCs w:val="24"/>
                <w:lang w:val="sr-Cyrl-RS"/>
              </w:rPr>
              <w:t xml:space="preserve">NPV по тони угља = </w:t>
            </w:r>
            <w:r w:rsidR="00165345" w:rsidRPr="00CF77C1">
              <w:rPr>
                <w:szCs w:val="24"/>
                <w:lang w:val="sr-Cyrl-RS"/>
              </w:rPr>
              <w:t>0,</w:t>
            </w:r>
            <w:r w:rsidRPr="00CF77C1">
              <w:rPr>
                <w:szCs w:val="24"/>
                <w:lang w:val="sr-Cyrl-RS"/>
              </w:rPr>
              <w:t>6</w:t>
            </w:r>
            <w:r w:rsidR="00165345" w:rsidRPr="00CF77C1">
              <w:rPr>
                <w:szCs w:val="24"/>
                <w:lang w:val="sr-Cyrl-RS"/>
              </w:rPr>
              <w:t>0</w:t>
            </w:r>
            <w:r w:rsidRPr="00CF77C1">
              <w:rPr>
                <w:szCs w:val="24"/>
                <w:lang w:val="sr-Cyrl-RS"/>
              </w:rPr>
              <w:t xml:space="preserve"> €/t</w:t>
            </w:r>
          </w:p>
          <w:p w14:paraId="39E5EF88" w14:textId="77777777" w:rsidR="00F52323" w:rsidRPr="00CF77C1" w:rsidRDefault="00B5219A" w:rsidP="0080044B">
            <w:pPr>
              <w:spacing w:before="0" w:after="0"/>
              <w:jc w:val="center"/>
              <w:rPr>
                <w:szCs w:val="24"/>
                <w:lang w:val="sr-Cyrl-RS"/>
              </w:rPr>
            </w:pPr>
            <w:r w:rsidRPr="00CF77C1">
              <w:rPr>
                <w:szCs w:val="24"/>
                <w:lang w:val="sr-Cyrl-RS"/>
              </w:rPr>
              <w:t>На овом копу користиће се стара опрема те неће бити додатних ефеката на енергетску ефикасност.</w:t>
            </w:r>
          </w:p>
        </w:tc>
      </w:tr>
      <w:tr w:rsidR="00F52323" w:rsidRPr="00CF77C1" w14:paraId="04A90D06" w14:textId="77777777" w:rsidTr="00F52323">
        <w:tc>
          <w:tcPr>
            <w:tcW w:w="3227" w:type="dxa"/>
            <w:shd w:val="clear" w:color="auto" w:fill="auto"/>
            <w:vAlign w:val="center"/>
          </w:tcPr>
          <w:p w14:paraId="6E142AFA" w14:textId="294311FB" w:rsidR="00F52323" w:rsidRPr="00CF77C1" w:rsidRDefault="00F52323" w:rsidP="006939C4">
            <w:pPr>
              <w:spacing w:before="0" w:after="0"/>
              <w:jc w:val="left"/>
              <w:rPr>
                <w:szCs w:val="24"/>
                <w:lang w:val="sr-Cyrl-RS"/>
              </w:rPr>
            </w:pPr>
            <w:r w:rsidRPr="00CF77C1">
              <w:rPr>
                <w:szCs w:val="24"/>
                <w:lang w:val="sr-Cyrl-RS"/>
              </w:rPr>
              <w:t>Измешт</w:t>
            </w:r>
            <w:r w:rsidR="006939C4">
              <w:rPr>
                <w:szCs w:val="24"/>
                <w:lang w:val="sr-Cyrl-RS"/>
              </w:rPr>
              <w:t>а</w:t>
            </w:r>
            <w:r w:rsidRPr="00CF77C1">
              <w:rPr>
                <w:szCs w:val="24"/>
                <w:lang w:val="sr-Cyrl-RS"/>
              </w:rPr>
              <w:t xml:space="preserve">ње реке Пештан у дужини од 1,8 </w:t>
            </w:r>
            <w:r w:rsidR="00AE17CC" w:rsidRPr="00CF77C1">
              <w:rPr>
                <w:szCs w:val="24"/>
                <w:lang w:val="sr-Cyrl-RS"/>
              </w:rPr>
              <w:t>km</w:t>
            </w:r>
          </w:p>
        </w:tc>
        <w:tc>
          <w:tcPr>
            <w:tcW w:w="3402" w:type="dxa"/>
            <w:shd w:val="clear" w:color="auto" w:fill="auto"/>
            <w:vAlign w:val="center"/>
          </w:tcPr>
          <w:p w14:paraId="16C1ADDC" w14:textId="77777777" w:rsidR="00F52323" w:rsidRPr="00CF77C1" w:rsidRDefault="00F52323" w:rsidP="0080044B">
            <w:pPr>
              <w:jc w:val="center"/>
              <w:rPr>
                <w:szCs w:val="24"/>
                <w:lang w:val="sr-Cyrl-RS"/>
              </w:rPr>
            </w:pPr>
            <w:r w:rsidRPr="00CF77C1">
              <w:rPr>
                <w:szCs w:val="24"/>
                <w:lang w:val="sr-Cyrl-RS"/>
              </w:rPr>
              <w:t>1.370.000 €</w:t>
            </w:r>
          </w:p>
          <w:p w14:paraId="1F37A046" w14:textId="20849137"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340C5E9E" w14:textId="77777777" w:rsidR="00F52323" w:rsidRPr="00CF77C1" w:rsidRDefault="00F52323" w:rsidP="0080044B">
            <w:pPr>
              <w:jc w:val="left"/>
              <w:rPr>
                <w:lang w:val="sr-Cyrl-RS"/>
              </w:rPr>
            </w:pPr>
          </w:p>
        </w:tc>
        <w:tc>
          <w:tcPr>
            <w:tcW w:w="4473" w:type="dxa"/>
            <w:vMerge/>
            <w:shd w:val="clear" w:color="auto" w:fill="auto"/>
            <w:vAlign w:val="center"/>
          </w:tcPr>
          <w:p w14:paraId="5996AE49" w14:textId="77777777" w:rsidR="00F52323" w:rsidRPr="00CF77C1" w:rsidRDefault="00F52323" w:rsidP="0080044B">
            <w:pPr>
              <w:jc w:val="left"/>
              <w:rPr>
                <w:lang w:val="sr-Cyrl-RS"/>
              </w:rPr>
            </w:pPr>
          </w:p>
        </w:tc>
      </w:tr>
      <w:tr w:rsidR="00F52323" w:rsidRPr="00CF77C1" w14:paraId="311DAB56" w14:textId="77777777" w:rsidTr="00F52323">
        <w:tc>
          <w:tcPr>
            <w:tcW w:w="3227" w:type="dxa"/>
            <w:shd w:val="clear" w:color="auto" w:fill="auto"/>
            <w:vAlign w:val="center"/>
          </w:tcPr>
          <w:p w14:paraId="6465653C" w14:textId="77777777" w:rsidR="00F52323" w:rsidRPr="00CF77C1" w:rsidRDefault="00F52323" w:rsidP="0080044B">
            <w:pPr>
              <w:spacing w:before="0" w:after="0"/>
              <w:jc w:val="left"/>
              <w:rPr>
                <w:szCs w:val="24"/>
                <w:lang w:val="sr-Cyrl-RS"/>
              </w:rPr>
            </w:pPr>
            <w:r w:rsidRPr="00CF77C1">
              <w:rPr>
                <w:szCs w:val="24"/>
                <w:lang w:val="sr-Cyrl-RS"/>
              </w:rPr>
              <w:t xml:space="preserve">Измештање регионалног пута М22 у дужини 7,24 </w:t>
            </w:r>
            <w:r w:rsidR="00AE17CC" w:rsidRPr="00CF77C1">
              <w:rPr>
                <w:szCs w:val="24"/>
                <w:lang w:val="sr-Cyrl-RS"/>
              </w:rPr>
              <w:t>km</w:t>
            </w:r>
          </w:p>
        </w:tc>
        <w:tc>
          <w:tcPr>
            <w:tcW w:w="3402" w:type="dxa"/>
            <w:shd w:val="clear" w:color="auto" w:fill="auto"/>
            <w:vAlign w:val="center"/>
          </w:tcPr>
          <w:p w14:paraId="20E9A8A2" w14:textId="77777777" w:rsidR="00F52323" w:rsidRPr="00CF77C1" w:rsidRDefault="00F52323" w:rsidP="0080044B">
            <w:pPr>
              <w:jc w:val="center"/>
              <w:rPr>
                <w:szCs w:val="24"/>
                <w:lang w:val="sr-Cyrl-RS"/>
              </w:rPr>
            </w:pPr>
            <w:r w:rsidRPr="00CF77C1">
              <w:rPr>
                <w:szCs w:val="24"/>
                <w:lang w:val="sr-Cyrl-RS"/>
              </w:rPr>
              <w:t>5.850.000 €</w:t>
            </w:r>
          </w:p>
          <w:p w14:paraId="3EF70FAA" w14:textId="56DDFB15"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2720CB2B" w14:textId="77777777" w:rsidR="00F52323" w:rsidRPr="00CF77C1" w:rsidRDefault="00F52323" w:rsidP="0080044B">
            <w:pPr>
              <w:jc w:val="left"/>
              <w:rPr>
                <w:lang w:val="sr-Cyrl-RS"/>
              </w:rPr>
            </w:pPr>
          </w:p>
        </w:tc>
        <w:tc>
          <w:tcPr>
            <w:tcW w:w="4473" w:type="dxa"/>
            <w:vMerge/>
            <w:shd w:val="clear" w:color="auto" w:fill="auto"/>
            <w:vAlign w:val="center"/>
          </w:tcPr>
          <w:p w14:paraId="301F055E" w14:textId="77777777" w:rsidR="00F52323" w:rsidRPr="00CF77C1" w:rsidRDefault="00F52323" w:rsidP="0080044B">
            <w:pPr>
              <w:jc w:val="left"/>
              <w:rPr>
                <w:lang w:val="sr-Cyrl-RS"/>
              </w:rPr>
            </w:pPr>
          </w:p>
        </w:tc>
      </w:tr>
      <w:tr w:rsidR="00F52323" w:rsidRPr="00CF77C1" w14:paraId="118C8451" w14:textId="77777777" w:rsidTr="00F52323">
        <w:tc>
          <w:tcPr>
            <w:tcW w:w="3227" w:type="dxa"/>
            <w:shd w:val="clear" w:color="auto" w:fill="auto"/>
            <w:vAlign w:val="center"/>
          </w:tcPr>
          <w:p w14:paraId="5A42C0F5" w14:textId="77777777" w:rsidR="00F52323" w:rsidRPr="00CF77C1" w:rsidRDefault="00F52323" w:rsidP="0080044B">
            <w:pPr>
              <w:spacing w:before="0" w:after="0"/>
              <w:jc w:val="left"/>
              <w:rPr>
                <w:szCs w:val="24"/>
                <w:lang w:val="sr-Cyrl-RS"/>
              </w:rPr>
            </w:pPr>
            <w:r w:rsidRPr="00CF77C1">
              <w:rPr>
                <w:szCs w:val="24"/>
                <w:lang w:val="sr-Cyrl-RS"/>
              </w:rPr>
              <w:t>Измештање далековода 110 kV Измештање далековода 35 kV (5 комада)</w:t>
            </w:r>
          </w:p>
        </w:tc>
        <w:tc>
          <w:tcPr>
            <w:tcW w:w="3402" w:type="dxa"/>
            <w:shd w:val="clear" w:color="auto" w:fill="auto"/>
            <w:vAlign w:val="center"/>
          </w:tcPr>
          <w:p w14:paraId="4DF1521E" w14:textId="77777777" w:rsidR="00F52323" w:rsidRPr="00CF77C1" w:rsidRDefault="00F52323" w:rsidP="0080044B">
            <w:pPr>
              <w:jc w:val="center"/>
              <w:rPr>
                <w:szCs w:val="24"/>
                <w:lang w:val="sr-Cyrl-RS"/>
              </w:rPr>
            </w:pPr>
            <w:r w:rsidRPr="00CF77C1">
              <w:rPr>
                <w:szCs w:val="24"/>
                <w:lang w:val="sr-Cyrl-RS"/>
              </w:rPr>
              <w:t>2.000.000 €</w:t>
            </w:r>
          </w:p>
          <w:p w14:paraId="3DE81DF1" w14:textId="58B6CA22"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0CD1869D" w14:textId="77777777" w:rsidR="00F52323" w:rsidRPr="00CF77C1" w:rsidRDefault="00F52323" w:rsidP="0080044B">
            <w:pPr>
              <w:jc w:val="left"/>
              <w:rPr>
                <w:lang w:val="sr-Cyrl-RS"/>
              </w:rPr>
            </w:pPr>
          </w:p>
        </w:tc>
        <w:tc>
          <w:tcPr>
            <w:tcW w:w="4473" w:type="dxa"/>
            <w:vMerge/>
            <w:shd w:val="clear" w:color="auto" w:fill="auto"/>
            <w:vAlign w:val="center"/>
          </w:tcPr>
          <w:p w14:paraId="5D25E344" w14:textId="77777777" w:rsidR="00F52323" w:rsidRPr="00CF77C1" w:rsidRDefault="00F52323" w:rsidP="0080044B">
            <w:pPr>
              <w:jc w:val="left"/>
              <w:rPr>
                <w:lang w:val="sr-Cyrl-RS"/>
              </w:rPr>
            </w:pPr>
          </w:p>
        </w:tc>
      </w:tr>
      <w:tr w:rsidR="00F52323" w:rsidRPr="00CF77C1" w14:paraId="6703649C" w14:textId="77777777" w:rsidTr="00F52323">
        <w:tc>
          <w:tcPr>
            <w:tcW w:w="3227" w:type="dxa"/>
            <w:shd w:val="clear" w:color="auto" w:fill="auto"/>
            <w:vAlign w:val="center"/>
          </w:tcPr>
          <w:p w14:paraId="56BCDE62" w14:textId="77777777" w:rsidR="00F52323" w:rsidRPr="00CF77C1" w:rsidRDefault="00F52323" w:rsidP="0080044B">
            <w:pPr>
              <w:spacing w:before="0" w:after="0"/>
              <w:jc w:val="left"/>
              <w:rPr>
                <w:szCs w:val="24"/>
                <w:lang w:val="sr-Cyrl-RS"/>
              </w:rPr>
            </w:pPr>
            <w:r w:rsidRPr="00CF77C1">
              <w:rPr>
                <w:szCs w:val="24"/>
                <w:lang w:val="sr-Cyrl-RS"/>
              </w:rPr>
              <w:t>Измештање изворишта и водозахвата</w:t>
            </w:r>
          </w:p>
        </w:tc>
        <w:tc>
          <w:tcPr>
            <w:tcW w:w="3402" w:type="dxa"/>
            <w:shd w:val="clear" w:color="auto" w:fill="auto"/>
            <w:vAlign w:val="center"/>
          </w:tcPr>
          <w:p w14:paraId="26AC2FF8" w14:textId="77777777" w:rsidR="00F52323" w:rsidRPr="00CF77C1" w:rsidRDefault="00F52323" w:rsidP="0080044B">
            <w:pPr>
              <w:jc w:val="center"/>
              <w:rPr>
                <w:szCs w:val="24"/>
                <w:lang w:val="sr-Cyrl-RS"/>
              </w:rPr>
            </w:pPr>
            <w:r w:rsidRPr="00CF77C1">
              <w:rPr>
                <w:szCs w:val="24"/>
                <w:lang w:val="sr-Cyrl-RS"/>
              </w:rPr>
              <w:t>4.220.000 €</w:t>
            </w:r>
          </w:p>
          <w:p w14:paraId="36B8F2D1" w14:textId="4BEB58EA"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70481ED4" w14:textId="77777777" w:rsidR="00F52323" w:rsidRPr="00CF77C1" w:rsidRDefault="00F52323" w:rsidP="0080044B">
            <w:pPr>
              <w:jc w:val="left"/>
              <w:rPr>
                <w:lang w:val="sr-Cyrl-RS"/>
              </w:rPr>
            </w:pPr>
          </w:p>
        </w:tc>
        <w:tc>
          <w:tcPr>
            <w:tcW w:w="4473" w:type="dxa"/>
            <w:vMerge/>
            <w:shd w:val="clear" w:color="auto" w:fill="auto"/>
            <w:vAlign w:val="center"/>
          </w:tcPr>
          <w:p w14:paraId="19D3A23B" w14:textId="77777777" w:rsidR="00F52323" w:rsidRPr="00CF77C1" w:rsidRDefault="00F52323" w:rsidP="0080044B">
            <w:pPr>
              <w:jc w:val="left"/>
              <w:rPr>
                <w:lang w:val="sr-Cyrl-RS"/>
              </w:rPr>
            </w:pPr>
          </w:p>
        </w:tc>
      </w:tr>
      <w:tr w:rsidR="00F52323" w:rsidRPr="00CF77C1" w14:paraId="29DF3262" w14:textId="77777777" w:rsidTr="00F52323">
        <w:tc>
          <w:tcPr>
            <w:tcW w:w="3227" w:type="dxa"/>
            <w:shd w:val="clear" w:color="auto" w:fill="auto"/>
            <w:vAlign w:val="center"/>
          </w:tcPr>
          <w:p w14:paraId="083790D6" w14:textId="77777777" w:rsidR="00F52323" w:rsidRPr="00CF77C1" w:rsidRDefault="00F52323" w:rsidP="0080044B">
            <w:pPr>
              <w:spacing w:before="0" w:after="0"/>
              <w:jc w:val="left"/>
              <w:rPr>
                <w:szCs w:val="24"/>
                <w:lang w:val="sr-Cyrl-RS"/>
              </w:rPr>
            </w:pPr>
            <w:r w:rsidRPr="00CF77C1">
              <w:rPr>
                <w:szCs w:val="24"/>
                <w:lang w:val="sr-Cyrl-RS"/>
              </w:rPr>
              <w:t>Измештање таложника и постројења за пречишћавање отпадних вода Колубаре Прерада</w:t>
            </w:r>
          </w:p>
        </w:tc>
        <w:tc>
          <w:tcPr>
            <w:tcW w:w="3402" w:type="dxa"/>
            <w:shd w:val="clear" w:color="auto" w:fill="auto"/>
            <w:vAlign w:val="center"/>
          </w:tcPr>
          <w:p w14:paraId="56BC2540" w14:textId="77777777" w:rsidR="00F52323" w:rsidRPr="00CF77C1" w:rsidRDefault="00F52323" w:rsidP="0080044B">
            <w:pPr>
              <w:jc w:val="center"/>
              <w:rPr>
                <w:szCs w:val="24"/>
                <w:lang w:val="sr-Cyrl-RS"/>
              </w:rPr>
            </w:pPr>
            <w:r w:rsidRPr="00CF77C1">
              <w:rPr>
                <w:szCs w:val="24"/>
                <w:lang w:val="sr-Cyrl-RS"/>
              </w:rPr>
              <w:t>5.000.000 €</w:t>
            </w:r>
          </w:p>
          <w:p w14:paraId="0AEDFB58" w14:textId="55353EB2"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66D01271" w14:textId="77777777" w:rsidR="00F52323" w:rsidRPr="00CF77C1" w:rsidRDefault="00F52323" w:rsidP="0080044B">
            <w:pPr>
              <w:jc w:val="left"/>
              <w:rPr>
                <w:lang w:val="sr-Cyrl-RS"/>
              </w:rPr>
            </w:pPr>
          </w:p>
        </w:tc>
        <w:tc>
          <w:tcPr>
            <w:tcW w:w="4473" w:type="dxa"/>
            <w:vMerge/>
            <w:shd w:val="clear" w:color="auto" w:fill="auto"/>
            <w:vAlign w:val="center"/>
          </w:tcPr>
          <w:p w14:paraId="57607116" w14:textId="77777777" w:rsidR="00F52323" w:rsidRPr="00CF77C1" w:rsidRDefault="00F52323" w:rsidP="0080044B">
            <w:pPr>
              <w:jc w:val="left"/>
              <w:rPr>
                <w:lang w:val="sr-Cyrl-RS"/>
              </w:rPr>
            </w:pPr>
          </w:p>
        </w:tc>
      </w:tr>
      <w:tr w:rsidR="00F52323" w:rsidRPr="00CF77C1" w14:paraId="4FAB4836" w14:textId="77777777" w:rsidTr="00F52323">
        <w:tc>
          <w:tcPr>
            <w:tcW w:w="3227" w:type="dxa"/>
            <w:shd w:val="clear" w:color="auto" w:fill="auto"/>
            <w:vAlign w:val="center"/>
          </w:tcPr>
          <w:p w14:paraId="729CA7D3" w14:textId="77777777" w:rsidR="00F52323" w:rsidRPr="00CF77C1" w:rsidRDefault="00F52323" w:rsidP="0080044B">
            <w:pPr>
              <w:spacing w:before="0" w:after="0"/>
              <w:jc w:val="left"/>
              <w:rPr>
                <w:szCs w:val="24"/>
                <w:lang w:val="sr-Cyrl-RS"/>
              </w:rPr>
            </w:pPr>
            <w:r w:rsidRPr="00CF77C1">
              <w:rPr>
                <w:szCs w:val="24"/>
                <w:lang w:val="sr-Cyrl-RS"/>
              </w:rPr>
              <w:t xml:space="preserve">Набавка нове основне и помоћне опреме </w:t>
            </w:r>
          </w:p>
        </w:tc>
        <w:tc>
          <w:tcPr>
            <w:tcW w:w="3402" w:type="dxa"/>
            <w:shd w:val="clear" w:color="auto" w:fill="auto"/>
            <w:vAlign w:val="center"/>
          </w:tcPr>
          <w:p w14:paraId="7EDF3BC4" w14:textId="77777777" w:rsidR="00F52323" w:rsidRPr="00CF77C1" w:rsidRDefault="00F52323" w:rsidP="0080044B">
            <w:pPr>
              <w:jc w:val="center"/>
              <w:rPr>
                <w:szCs w:val="24"/>
                <w:lang w:val="sr-Cyrl-RS"/>
              </w:rPr>
            </w:pPr>
            <w:r w:rsidRPr="00CF77C1">
              <w:rPr>
                <w:szCs w:val="24"/>
                <w:lang w:val="sr-Cyrl-RS"/>
              </w:rPr>
              <w:t>29.500.000 €</w:t>
            </w:r>
          </w:p>
          <w:p w14:paraId="5504C09E" w14:textId="7F8CD5D6"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325E5553" w14:textId="77777777" w:rsidR="00F52323" w:rsidRPr="00CF77C1" w:rsidRDefault="00F52323" w:rsidP="0080044B">
            <w:pPr>
              <w:jc w:val="left"/>
              <w:rPr>
                <w:lang w:val="sr-Cyrl-RS"/>
              </w:rPr>
            </w:pPr>
          </w:p>
        </w:tc>
        <w:tc>
          <w:tcPr>
            <w:tcW w:w="4473" w:type="dxa"/>
            <w:vMerge/>
            <w:shd w:val="clear" w:color="auto" w:fill="auto"/>
            <w:vAlign w:val="center"/>
          </w:tcPr>
          <w:p w14:paraId="67FC2884" w14:textId="77777777" w:rsidR="00F52323" w:rsidRPr="00CF77C1" w:rsidRDefault="00F52323" w:rsidP="0080044B">
            <w:pPr>
              <w:jc w:val="left"/>
              <w:rPr>
                <w:lang w:val="sr-Cyrl-RS"/>
              </w:rPr>
            </w:pPr>
          </w:p>
        </w:tc>
      </w:tr>
      <w:tr w:rsidR="00F52323" w:rsidRPr="00CF77C1" w14:paraId="362B1BFC" w14:textId="77777777" w:rsidTr="00F52323">
        <w:tc>
          <w:tcPr>
            <w:tcW w:w="3227" w:type="dxa"/>
            <w:shd w:val="clear" w:color="auto" w:fill="auto"/>
            <w:vAlign w:val="center"/>
          </w:tcPr>
          <w:p w14:paraId="78FE2DE9" w14:textId="0D15865B" w:rsidR="00F52323" w:rsidRPr="00CF77C1" w:rsidRDefault="00F52323" w:rsidP="0080044B">
            <w:pPr>
              <w:spacing w:before="0" w:after="0"/>
              <w:jc w:val="left"/>
              <w:rPr>
                <w:szCs w:val="24"/>
                <w:lang w:val="sr-Cyrl-RS"/>
              </w:rPr>
            </w:pPr>
            <w:r w:rsidRPr="00CF77C1">
              <w:rPr>
                <w:szCs w:val="24"/>
                <w:lang w:val="sr-Cyrl-RS"/>
              </w:rPr>
              <w:t xml:space="preserve">Ревитализација и </w:t>
            </w:r>
            <w:r w:rsidR="00B5219A" w:rsidRPr="00CF77C1">
              <w:rPr>
                <w:szCs w:val="24"/>
                <w:lang w:val="sr-Cyrl-RS"/>
              </w:rPr>
              <w:t>м</w:t>
            </w:r>
            <w:r w:rsidRPr="00CF77C1">
              <w:rPr>
                <w:szCs w:val="24"/>
                <w:lang w:val="sr-Cyrl-RS"/>
              </w:rPr>
              <w:t>одерниз</w:t>
            </w:r>
            <w:r w:rsidR="006939C4">
              <w:rPr>
                <w:szCs w:val="24"/>
                <w:lang w:val="sr-Cyrl-RS"/>
              </w:rPr>
              <w:t>а</w:t>
            </w:r>
            <w:r w:rsidRPr="00CF77C1">
              <w:rPr>
                <w:szCs w:val="24"/>
                <w:lang w:val="sr-Cyrl-RS"/>
              </w:rPr>
              <w:t>ција постојеће основне опреме</w:t>
            </w:r>
          </w:p>
        </w:tc>
        <w:tc>
          <w:tcPr>
            <w:tcW w:w="3402" w:type="dxa"/>
            <w:shd w:val="clear" w:color="auto" w:fill="auto"/>
            <w:vAlign w:val="center"/>
          </w:tcPr>
          <w:p w14:paraId="4A342BDF" w14:textId="77777777" w:rsidR="00B5219A" w:rsidRPr="00CF77C1" w:rsidRDefault="00B5219A" w:rsidP="0080044B">
            <w:pPr>
              <w:jc w:val="center"/>
              <w:rPr>
                <w:szCs w:val="24"/>
                <w:lang w:val="sr-Cyrl-RS"/>
              </w:rPr>
            </w:pPr>
            <w:r w:rsidRPr="00CF77C1">
              <w:rPr>
                <w:szCs w:val="24"/>
                <w:lang w:val="sr-Cyrl-RS"/>
              </w:rPr>
              <w:t>15.000.000 €</w:t>
            </w:r>
          </w:p>
          <w:p w14:paraId="4E83D6F6" w14:textId="775FED07" w:rsidR="00F52323" w:rsidRPr="00CF77C1" w:rsidRDefault="00B5219A" w:rsidP="0080044B">
            <w:pPr>
              <w:jc w:val="center"/>
              <w:rPr>
                <w:szCs w:val="24"/>
                <w:lang w:val="sr-Cyrl-RS"/>
              </w:rPr>
            </w:pPr>
            <w:r w:rsidRPr="00CF77C1">
              <w:rPr>
                <w:szCs w:val="24"/>
                <w:lang w:val="sr-Cyrl-RS"/>
              </w:rPr>
              <w:t>(сопствена сре</w:t>
            </w:r>
            <w:r w:rsidR="001741AC" w:rsidRPr="00CF77C1">
              <w:rPr>
                <w:szCs w:val="24"/>
                <w:lang w:val="sr-Cyrl-RS"/>
              </w:rPr>
              <w:t>дства и средства одржавања ЕПС</w:t>
            </w:r>
            <w:r w:rsidRPr="00CF77C1">
              <w:rPr>
                <w:szCs w:val="24"/>
                <w:lang w:val="sr-Cyrl-RS"/>
              </w:rPr>
              <w:t>)</w:t>
            </w:r>
          </w:p>
        </w:tc>
        <w:tc>
          <w:tcPr>
            <w:tcW w:w="3685" w:type="dxa"/>
            <w:vMerge/>
            <w:shd w:val="clear" w:color="auto" w:fill="auto"/>
            <w:vAlign w:val="center"/>
          </w:tcPr>
          <w:p w14:paraId="32DA8A1D" w14:textId="77777777" w:rsidR="00F52323" w:rsidRPr="00CF77C1" w:rsidRDefault="00F52323" w:rsidP="0080044B">
            <w:pPr>
              <w:jc w:val="left"/>
              <w:rPr>
                <w:lang w:val="sr-Cyrl-RS"/>
              </w:rPr>
            </w:pPr>
          </w:p>
        </w:tc>
        <w:tc>
          <w:tcPr>
            <w:tcW w:w="4473" w:type="dxa"/>
            <w:vMerge/>
            <w:shd w:val="clear" w:color="auto" w:fill="auto"/>
            <w:vAlign w:val="center"/>
          </w:tcPr>
          <w:p w14:paraId="04F13FD9" w14:textId="77777777" w:rsidR="00F52323" w:rsidRPr="00CF77C1" w:rsidRDefault="00F52323" w:rsidP="0080044B">
            <w:pPr>
              <w:jc w:val="left"/>
              <w:rPr>
                <w:lang w:val="sr-Cyrl-RS"/>
              </w:rPr>
            </w:pPr>
          </w:p>
        </w:tc>
      </w:tr>
      <w:tr w:rsidR="00F52323" w:rsidRPr="00CF77C1" w14:paraId="62450E3D" w14:textId="77777777" w:rsidTr="00F52323">
        <w:tc>
          <w:tcPr>
            <w:tcW w:w="3227" w:type="dxa"/>
            <w:shd w:val="clear" w:color="auto" w:fill="auto"/>
            <w:vAlign w:val="center"/>
          </w:tcPr>
          <w:p w14:paraId="2EDD5635" w14:textId="77777777" w:rsidR="00F52323" w:rsidRPr="00CF77C1" w:rsidRDefault="00F52323" w:rsidP="0080044B">
            <w:pPr>
              <w:spacing w:before="0" w:after="0"/>
              <w:jc w:val="left"/>
              <w:rPr>
                <w:szCs w:val="24"/>
                <w:lang w:val="sr-Cyrl-RS"/>
              </w:rPr>
            </w:pPr>
            <w:r w:rsidRPr="00CF77C1">
              <w:rPr>
                <w:szCs w:val="24"/>
                <w:lang w:val="sr-Cyrl-RS"/>
              </w:rPr>
              <w:t>Инвестициона откривка</w:t>
            </w:r>
          </w:p>
        </w:tc>
        <w:tc>
          <w:tcPr>
            <w:tcW w:w="3402" w:type="dxa"/>
            <w:shd w:val="clear" w:color="auto" w:fill="auto"/>
            <w:vAlign w:val="center"/>
          </w:tcPr>
          <w:p w14:paraId="7C4109EA" w14:textId="77777777" w:rsidR="00F52323" w:rsidRPr="00CF77C1" w:rsidRDefault="00F52323" w:rsidP="0080044B">
            <w:pPr>
              <w:jc w:val="center"/>
              <w:rPr>
                <w:szCs w:val="24"/>
                <w:lang w:val="sr-Cyrl-RS"/>
              </w:rPr>
            </w:pPr>
            <w:r w:rsidRPr="00CF77C1">
              <w:rPr>
                <w:szCs w:val="24"/>
                <w:lang w:val="sr-Cyrl-RS"/>
              </w:rPr>
              <w:t>2.100.000 €</w:t>
            </w:r>
          </w:p>
          <w:p w14:paraId="66264DF7" w14:textId="166798F5" w:rsidR="00F52323" w:rsidRPr="00CF77C1" w:rsidRDefault="00F52323"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3685" w:type="dxa"/>
            <w:vMerge/>
            <w:shd w:val="clear" w:color="auto" w:fill="auto"/>
            <w:vAlign w:val="center"/>
          </w:tcPr>
          <w:p w14:paraId="6689F596" w14:textId="77777777" w:rsidR="00F52323" w:rsidRPr="00CF77C1" w:rsidRDefault="00F52323" w:rsidP="0080044B">
            <w:pPr>
              <w:jc w:val="left"/>
              <w:rPr>
                <w:lang w:val="sr-Cyrl-RS"/>
              </w:rPr>
            </w:pPr>
          </w:p>
        </w:tc>
        <w:tc>
          <w:tcPr>
            <w:tcW w:w="4473" w:type="dxa"/>
            <w:vMerge/>
            <w:shd w:val="clear" w:color="auto" w:fill="auto"/>
            <w:vAlign w:val="center"/>
          </w:tcPr>
          <w:p w14:paraId="559F7B2B" w14:textId="77777777" w:rsidR="00F52323" w:rsidRPr="00CF77C1" w:rsidRDefault="00F52323" w:rsidP="0080044B">
            <w:pPr>
              <w:jc w:val="left"/>
              <w:rPr>
                <w:lang w:val="sr-Cyrl-RS"/>
              </w:rPr>
            </w:pPr>
          </w:p>
        </w:tc>
      </w:tr>
    </w:tbl>
    <w:p w14:paraId="0E403066" w14:textId="352E6482"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111</w:t>
      </w:r>
      <w:r w:rsidR="0092145E" w:rsidRPr="00CF77C1">
        <w:rPr>
          <w:b w:val="0"/>
          <w:lang w:val="sr-Cyrl-RS"/>
        </w:rPr>
        <w:fldChar w:fldCharType="end"/>
      </w:r>
      <w:r w:rsidR="002D7D6C"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670"/>
        <w:gridCol w:w="4819"/>
      </w:tblGrid>
      <w:tr w:rsidR="002D7D6C" w:rsidRPr="00CF77C1" w14:paraId="5ACF7B8C" w14:textId="77777777" w:rsidTr="002D7D6C">
        <w:trPr>
          <w:cantSplit/>
          <w:tblHeader/>
        </w:trPr>
        <w:tc>
          <w:tcPr>
            <w:tcW w:w="4361" w:type="dxa"/>
            <w:shd w:val="clear" w:color="auto" w:fill="auto"/>
            <w:vAlign w:val="center"/>
          </w:tcPr>
          <w:p w14:paraId="4F8D84A8" w14:textId="77777777" w:rsidR="002D7D6C" w:rsidRPr="00CF77C1" w:rsidRDefault="002D7D6C" w:rsidP="0080044B">
            <w:pPr>
              <w:jc w:val="center"/>
              <w:rPr>
                <w:lang w:val="sr-Cyrl-RS"/>
              </w:rPr>
            </w:pPr>
            <w:r w:rsidRPr="00CF77C1">
              <w:rPr>
                <w:lang w:val="sr-Cyrl-RS"/>
              </w:rPr>
              <w:t>Пројекат</w:t>
            </w:r>
          </w:p>
        </w:tc>
        <w:tc>
          <w:tcPr>
            <w:tcW w:w="5670" w:type="dxa"/>
            <w:shd w:val="clear" w:color="auto" w:fill="auto"/>
            <w:vAlign w:val="center"/>
          </w:tcPr>
          <w:p w14:paraId="03270570" w14:textId="77777777" w:rsidR="002D7D6C" w:rsidRPr="00CF77C1" w:rsidRDefault="002D7D6C" w:rsidP="0080044B">
            <w:pPr>
              <w:jc w:val="center"/>
              <w:rPr>
                <w:lang w:val="sr-Cyrl-RS"/>
              </w:rPr>
            </w:pPr>
            <w:r w:rsidRPr="00CF77C1">
              <w:rPr>
                <w:lang w:val="sr-Cyrl-RS"/>
              </w:rPr>
              <w:t>Статус припреме пројекта</w:t>
            </w:r>
          </w:p>
        </w:tc>
        <w:tc>
          <w:tcPr>
            <w:tcW w:w="4819" w:type="dxa"/>
            <w:shd w:val="clear" w:color="auto" w:fill="auto"/>
            <w:vAlign w:val="center"/>
          </w:tcPr>
          <w:p w14:paraId="0B085C74" w14:textId="77777777" w:rsidR="002D7D6C" w:rsidRPr="00CF77C1" w:rsidRDefault="002D7D6C" w:rsidP="0080044B">
            <w:pPr>
              <w:jc w:val="center"/>
              <w:rPr>
                <w:lang w:val="sr-Cyrl-RS"/>
              </w:rPr>
            </w:pPr>
            <w:r w:rsidRPr="00CF77C1">
              <w:rPr>
                <w:lang w:val="sr-Cyrl-RS"/>
              </w:rPr>
              <w:t>Недостајућа планска и техничка документација</w:t>
            </w:r>
          </w:p>
        </w:tc>
      </w:tr>
      <w:tr w:rsidR="002D7D6C" w:rsidRPr="00CF77C1" w14:paraId="757FCA50" w14:textId="77777777" w:rsidTr="002D7D6C">
        <w:trPr>
          <w:cantSplit/>
        </w:trPr>
        <w:tc>
          <w:tcPr>
            <w:tcW w:w="4361" w:type="dxa"/>
            <w:shd w:val="clear" w:color="auto" w:fill="auto"/>
            <w:vAlign w:val="center"/>
          </w:tcPr>
          <w:p w14:paraId="64C39D8A" w14:textId="77777777" w:rsidR="002D7D6C" w:rsidRPr="00CF77C1" w:rsidRDefault="002D7D6C" w:rsidP="0080044B">
            <w:pPr>
              <w:jc w:val="left"/>
              <w:rPr>
                <w:lang w:val="sr-Cyrl-RS"/>
              </w:rPr>
            </w:pPr>
            <w:r w:rsidRPr="00CF77C1">
              <w:rPr>
                <w:lang w:val="sr-Cyrl-RS"/>
              </w:rPr>
              <w:t>Отварање површинског копа Поље Г</w:t>
            </w:r>
          </w:p>
        </w:tc>
        <w:tc>
          <w:tcPr>
            <w:tcW w:w="5670" w:type="dxa"/>
            <w:shd w:val="clear" w:color="auto" w:fill="auto"/>
            <w:vAlign w:val="center"/>
          </w:tcPr>
          <w:p w14:paraId="3F7F9312" w14:textId="77777777" w:rsidR="002D7D6C" w:rsidRPr="00CF77C1" w:rsidRDefault="002D7D6C" w:rsidP="0080044B">
            <w:pPr>
              <w:jc w:val="left"/>
              <w:rPr>
                <w:lang w:val="sr-Cyrl-RS"/>
              </w:rPr>
            </w:pPr>
            <w:r w:rsidRPr="00CF77C1">
              <w:rPr>
                <w:lang w:val="sr-Cyrl-RS"/>
              </w:rPr>
              <w:t>Пројектна документација је комплетно урађена</w:t>
            </w:r>
          </w:p>
        </w:tc>
        <w:tc>
          <w:tcPr>
            <w:tcW w:w="4819" w:type="dxa"/>
            <w:shd w:val="clear" w:color="auto" w:fill="auto"/>
            <w:vAlign w:val="center"/>
          </w:tcPr>
          <w:p w14:paraId="1C39EE83" w14:textId="77777777" w:rsidR="002D7D6C" w:rsidRPr="00CF77C1" w:rsidRDefault="002D7D6C" w:rsidP="0080044B">
            <w:pPr>
              <w:jc w:val="left"/>
              <w:rPr>
                <w:lang w:val="sr-Cyrl-RS"/>
              </w:rPr>
            </w:pPr>
            <w:r w:rsidRPr="00CF77C1">
              <w:rPr>
                <w:lang w:val="sr-Cyrl-RS"/>
              </w:rPr>
              <w:t>Просторни план је на усвајању.</w:t>
            </w:r>
          </w:p>
        </w:tc>
      </w:tr>
    </w:tbl>
    <w:p w14:paraId="42815E24" w14:textId="3463CB33"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112</w:t>
      </w:r>
      <w:r w:rsidR="0092145E" w:rsidRPr="00CF77C1">
        <w:rPr>
          <w:b w:val="0"/>
          <w:lang w:val="sr-Cyrl-RS"/>
        </w:rPr>
        <w:fldChar w:fldCharType="end"/>
      </w:r>
      <w:r w:rsidR="002D7D6C" w:rsidRPr="00CF77C1">
        <w:rPr>
          <w:b w:val="0"/>
          <w:lang w:val="sr-Cyrl-RS"/>
        </w:rPr>
        <w:t xml:space="preserve">: Динамика реализације активности у периоду </w:t>
      </w:r>
      <w:r w:rsidR="005E7F26">
        <w:rPr>
          <w:b w:val="0"/>
          <w:lang w:val="sr-Cyrl-RS"/>
        </w:rPr>
        <w:t>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2409"/>
        <w:gridCol w:w="972"/>
        <w:gridCol w:w="972"/>
        <w:gridCol w:w="972"/>
        <w:gridCol w:w="972"/>
        <w:gridCol w:w="972"/>
        <w:gridCol w:w="972"/>
        <w:gridCol w:w="972"/>
      </w:tblGrid>
      <w:tr w:rsidR="002D7D6C" w:rsidRPr="00CF77C1" w14:paraId="2700807E" w14:textId="77777777" w:rsidTr="002D7D6C">
        <w:trPr>
          <w:tblHeader/>
        </w:trPr>
        <w:tc>
          <w:tcPr>
            <w:tcW w:w="5637" w:type="dxa"/>
            <w:shd w:val="clear" w:color="auto" w:fill="auto"/>
            <w:vAlign w:val="center"/>
          </w:tcPr>
          <w:p w14:paraId="78056750" w14:textId="77777777" w:rsidR="002D7D6C" w:rsidRPr="00CF77C1" w:rsidRDefault="002D7D6C" w:rsidP="0080044B">
            <w:pPr>
              <w:jc w:val="center"/>
              <w:rPr>
                <w:lang w:val="sr-Cyrl-RS"/>
              </w:rPr>
            </w:pPr>
            <w:r w:rsidRPr="00CF77C1">
              <w:rPr>
                <w:lang w:val="sr-Cyrl-RS"/>
              </w:rPr>
              <w:t>Пројекат:</w:t>
            </w:r>
          </w:p>
          <w:p w14:paraId="025958E9" w14:textId="77777777" w:rsidR="002D7D6C" w:rsidRPr="00CF77C1" w:rsidRDefault="002D7D6C" w:rsidP="0080044B">
            <w:pPr>
              <w:jc w:val="center"/>
              <w:rPr>
                <w:lang w:val="sr-Cyrl-RS"/>
              </w:rPr>
            </w:pPr>
            <w:r w:rsidRPr="00CF77C1">
              <w:rPr>
                <w:lang w:val="sr-Cyrl-RS"/>
              </w:rPr>
              <w:t>Отварање површинског копа Поље Г</w:t>
            </w:r>
          </w:p>
        </w:tc>
        <w:tc>
          <w:tcPr>
            <w:tcW w:w="2409" w:type="dxa"/>
            <w:shd w:val="clear" w:color="auto" w:fill="auto"/>
            <w:vAlign w:val="center"/>
          </w:tcPr>
          <w:p w14:paraId="38B4850A" w14:textId="77777777" w:rsidR="002D7D6C" w:rsidRPr="00CF77C1" w:rsidRDefault="00DD69C2" w:rsidP="0080044B">
            <w:pPr>
              <w:jc w:val="center"/>
              <w:rPr>
                <w:lang w:val="sr-Cyrl-RS"/>
              </w:rPr>
            </w:pPr>
            <w:r w:rsidRPr="00CF77C1">
              <w:rPr>
                <w:lang w:val="sr-Cyrl-RS"/>
              </w:rPr>
              <w:t>Одговорни субјекат</w:t>
            </w:r>
          </w:p>
        </w:tc>
        <w:tc>
          <w:tcPr>
            <w:tcW w:w="972" w:type="dxa"/>
            <w:shd w:val="clear" w:color="auto" w:fill="auto"/>
            <w:vAlign w:val="center"/>
          </w:tcPr>
          <w:p w14:paraId="0060926D" w14:textId="77777777" w:rsidR="002D7D6C" w:rsidRPr="00CF77C1" w:rsidRDefault="002D7D6C" w:rsidP="0080044B">
            <w:pPr>
              <w:jc w:val="center"/>
              <w:rPr>
                <w:lang w:val="sr-Cyrl-RS"/>
              </w:rPr>
            </w:pPr>
            <w:r w:rsidRPr="00CF77C1">
              <w:rPr>
                <w:lang w:val="sr-Cyrl-RS"/>
              </w:rPr>
              <w:t>2017.</w:t>
            </w:r>
          </w:p>
        </w:tc>
        <w:tc>
          <w:tcPr>
            <w:tcW w:w="972" w:type="dxa"/>
            <w:shd w:val="clear" w:color="auto" w:fill="auto"/>
            <w:vAlign w:val="center"/>
          </w:tcPr>
          <w:p w14:paraId="13DE1626" w14:textId="77777777" w:rsidR="002D7D6C" w:rsidRPr="00CF77C1" w:rsidRDefault="002D7D6C" w:rsidP="0080044B">
            <w:pPr>
              <w:jc w:val="center"/>
              <w:rPr>
                <w:lang w:val="sr-Cyrl-RS"/>
              </w:rPr>
            </w:pPr>
            <w:r w:rsidRPr="00CF77C1">
              <w:rPr>
                <w:lang w:val="sr-Cyrl-RS"/>
              </w:rPr>
              <w:t>2018.</w:t>
            </w:r>
          </w:p>
        </w:tc>
        <w:tc>
          <w:tcPr>
            <w:tcW w:w="972" w:type="dxa"/>
            <w:shd w:val="clear" w:color="auto" w:fill="auto"/>
            <w:vAlign w:val="center"/>
          </w:tcPr>
          <w:p w14:paraId="4A046C46" w14:textId="77777777" w:rsidR="002D7D6C" w:rsidRPr="00CF77C1" w:rsidRDefault="002D7D6C" w:rsidP="0080044B">
            <w:pPr>
              <w:jc w:val="center"/>
              <w:rPr>
                <w:lang w:val="sr-Cyrl-RS"/>
              </w:rPr>
            </w:pPr>
            <w:r w:rsidRPr="00CF77C1">
              <w:rPr>
                <w:lang w:val="sr-Cyrl-RS"/>
              </w:rPr>
              <w:t>2019.</w:t>
            </w:r>
          </w:p>
        </w:tc>
        <w:tc>
          <w:tcPr>
            <w:tcW w:w="972" w:type="dxa"/>
            <w:shd w:val="clear" w:color="auto" w:fill="auto"/>
            <w:vAlign w:val="center"/>
          </w:tcPr>
          <w:p w14:paraId="26BA91AE" w14:textId="77777777" w:rsidR="002D7D6C" w:rsidRPr="00CF77C1" w:rsidRDefault="002D7D6C" w:rsidP="0080044B">
            <w:pPr>
              <w:jc w:val="center"/>
              <w:rPr>
                <w:lang w:val="sr-Cyrl-RS"/>
              </w:rPr>
            </w:pPr>
            <w:r w:rsidRPr="00CF77C1">
              <w:rPr>
                <w:lang w:val="sr-Cyrl-RS"/>
              </w:rPr>
              <w:t>2020.</w:t>
            </w:r>
          </w:p>
        </w:tc>
        <w:tc>
          <w:tcPr>
            <w:tcW w:w="972" w:type="dxa"/>
            <w:shd w:val="clear" w:color="auto" w:fill="auto"/>
            <w:vAlign w:val="center"/>
          </w:tcPr>
          <w:p w14:paraId="5E737A81" w14:textId="77777777" w:rsidR="002D7D6C" w:rsidRPr="00CF77C1" w:rsidRDefault="002D7D6C" w:rsidP="0080044B">
            <w:pPr>
              <w:jc w:val="center"/>
              <w:rPr>
                <w:lang w:val="sr-Cyrl-RS"/>
              </w:rPr>
            </w:pPr>
            <w:r w:rsidRPr="00CF77C1">
              <w:rPr>
                <w:lang w:val="sr-Cyrl-RS"/>
              </w:rPr>
              <w:t>2021.</w:t>
            </w:r>
          </w:p>
        </w:tc>
        <w:tc>
          <w:tcPr>
            <w:tcW w:w="972" w:type="dxa"/>
            <w:shd w:val="clear" w:color="auto" w:fill="auto"/>
            <w:vAlign w:val="center"/>
          </w:tcPr>
          <w:p w14:paraId="0F2F8CD8" w14:textId="77777777" w:rsidR="002D7D6C" w:rsidRPr="00CF77C1" w:rsidRDefault="002D7D6C" w:rsidP="0080044B">
            <w:pPr>
              <w:jc w:val="center"/>
              <w:rPr>
                <w:lang w:val="sr-Cyrl-RS"/>
              </w:rPr>
            </w:pPr>
            <w:r w:rsidRPr="00CF77C1">
              <w:rPr>
                <w:lang w:val="sr-Cyrl-RS"/>
              </w:rPr>
              <w:t>2022.</w:t>
            </w:r>
          </w:p>
        </w:tc>
        <w:tc>
          <w:tcPr>
            <w:tcW w:w="972" w:type="dxa"/>
            <w:shd w:val="clear" w:color="auto" w:fill="auto"/>
            <w:vAlign w:val="center"/>
          </w:tcPr>
          <w:p w14:paraId="2E3AF61D" w14:textId="77777777" w:rsidR="002D7D6C" w:rsidRPr="00CF77C1" w:rsidRDefault="002D7D6C" w:rsidP="0080044B">
            <w:pPr>
              <w:jc w:val="center"/>
              <w:rPr>
                <w:lang w:val="sr-Cyrl-RS"/>
              </w:rPr>
            </w:pPr>
            <w:r w:rsidRPr="00CF77C1">
              <w:rPr>
                <w:lang w:val="sr-Cyrl-RS"/>
              </w:rPr>
              <w:t>2023.</w:t>
            </w:r>
          </w:p>
        </w:tc>
      </w:tr>
      <w:tr w:rsidR="002D7D6C" w:rsidRPr="00CF77C1" w14:paraId="57F1EBED" w14:textId="77777777" w:rsidTr="002D7D6C">
        <w:tc>
          <w:tcPr>
            <w:tcW w:w="5637" w:type="dxa"/>
            <w:shd w:val="clear" w:color="auto" w:fill="auto"/>
            <w:vAlign w:val="center"/>
          </w:tcPr>
          <w:p w14:paraId="594E1FF6" w14:textId="77777777" w:rsidR="002D7D6C" w:rsidRPr="00CF77C1" w:rsidRDefault="002D7D6C" w:rsidP="0080044B">
            <w:pPr>
              <w:spacing w:before="40" w:after="40"/>
              <w:jc w:val="left"/>
              <w:rPr>
                <w:szCs w:val="24"/>
                <w:lang w:val="sr-Cyrl-RS"/>
              </w:rPr>
            </w:pPr>
            <w:r w:rsidRPr="00CF77C1">
              <w:rPr>
                <w:szCs w:val="24"/>
                <w:lang w:val="sr-Cyrl-RS"/>
              </w:rPr>
              <w:t>Пројектна документација</w:t>
            </w:r>
          </w:p>
        </w:tc>
        <w:tc>
          <w:tcPr>
            <w:tcW w:w="2409" w:type="dxa"/>
            <w:vMerge w:val="restart"/>
            <w:shd w:val="clear" w:color="auto" w:fill="auto"/>
            <w:vAlign w:val="center"/>
          </w:tcPr>
          <w:p w14:paraId="252D176E" w14:textId="77777777" w:rsidR="002D7D6C" w:rsidRPr="00CF77C1" w:rsidRDefault="001B761F" w:rsidP="0080044B">
            <w:pPr>
              <w:spacing w:before="40" w:after="40"/>
              <w:jc w:val="left"/>
              <w:rPr>
                <w:lang w:val="sr-Cyrl-RS"/>
              </w:rPr>
            </w:pPr>
            <w:r w:rsidRPr="00CF77C1">
              <w:rPr>
                <w:szCs w:val="24"/>
                <w:lang w:val="sr-Cyrl-RS"/>
              </w:rPr>
              <w:t>ЕПС</w:t>
            </w:r>
          </w:p>
        </w:tc>
        <w:tc>
          <w:tcPr>
            <w:tcW w:w="972" w:type="dxa"/>
            <w:shd w:val="clear" w:color="auto" w:fill="auto"/>
            <w:vAlign w:val="center"/>
          </w:tcPr>
          <w:p w14:paraId="4DE8A27D"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70AE72D8"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6F78B5B6"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4E00108"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0943167"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037F74F"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E178910" w14:textId="77777777" w:rsidR="002D7D6C" w:rsidRPr="00CF77C1" w:rsidRDefault="002D7D6C" w:rsidP="0080044B">
            <w:pPr>
              <w:spacing w:before="40" w:after="40"/>
              <w:jc w:val="center"/>
              <w:rPr>
                <w:lang w:val="sr-Cyrl-RS"/>
              </w:rPr>
            </w:pPr>
          </w:p>
        </w:tc>
      </w:tr>
      <w:tr w:rsidR="002D7D6C" w:rsidRPr="00CF77C1" w14:paraId="1058A93B" w14:textId="77777777" w:rsidTr="002D7D6C">
        <w:tc>
          <w:tcPr>
            <w:tcW w:w="5637" w:type="dxa"/>
            <w:shd w:val="clear" w:color="auto" w:fill="auto"/>
            <w:vAlign w:val="center"/>
          </w:tcPr>
          <w:p w14:paraId="76F4B704" w14:textId="77777777" w:rsidR="002D7D6C" w:rsidRPr="00CF77C1" w:rsidRDefault="002D7D6C" w:rsidP="0080044B">
            <w:pPr>
              <w:spacing w:before="40" w:after="40"/>
              <w:jc w:val="left"/>
              <w:rPr>
                <w:szCs w:val="24"/>
                <w:lang w:val="sr-Cyrl-RS"/>
              </w:rPr>
            </w:pPr>
            <w:r w:rsidRPr="00CF77C1">
              <w:rPr>
                <w:szCs w:val="24"/>
                <w:lang w:val="sr-Cyrl-RS"/>
              </w:rPr>
              <w:t>Припрема техничке документације</w:t>
            </w:r>
          </w:p>
        </w:tc>
        <w:tc>
          <w:tcPr>
            <w:tcW w:w="2409" w:type="dxa"/>
            <w:vMerge/>
            <w:shd w:val="clear" w:color="auto" w:fill="auto"/>
          </w:tcPr>
          <w:p w14:paraId="251DFF14" w14:textId="77777777" w:rsidR="002D7D6C" w:rsidRPr="00CF77C1" w:rsidRDefault="002D7D6C" w:rsidP="0080044B">
            <w:pPr>
              <w:spacing w:before="40" w:after="40"/>
              <w:rPr>
                <w:lang w:val="sr-Cyrl-RS"/>
              </w:rPr>
            </w:pPr>
          </w:p>
        </w:tc>
        <w:tc>
          <w:tcPr>
            <w:tcW w:w="972" w:type="dxa"/>
            <w:shd w:val="clear" w:color="auto" w:fill="auto"/>
            <w:vAlign w:val="center"/>
          </w:tcPr>
          <w:p w14:paraId="0ACF680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51D68C24"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ECB1260"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F8CC9C9"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72606D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8E1A314"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339ED7C" w14:textId="77777777" w:rsidR="002D7D6C" w:rsidRPr="00CF77C1" w:rsidRDefault="002D7D6C" w:rsidP="0080044B">
            <w:pPr>
              <w:spacing w:before="40" w:after="40"/>
              <w:jc w:val="center"/>
              <w:rPr>
                <w:lang w:val="sr-Cyrl-RS"/>
              </w:rPr>
            </w:pPr>
          </w:p>
        </w:tc>
      </w:tr>
      <w:tr w:rsidR="002D7D6C" w:rsidRPr="00CF77C1" w14:paraId="31F937C0" w14:textId="77777777" w:rsidTr="002D7D6C">
        <w:tc>
          <w:tcPr>
            <w:tcW w:w="5637" w:type="dxa"/>
            <w:shd w:val="clear" w:color="auto" w:fill="auto"/>
            <w:vAlign w:val="center"/>
          </w:tcPr>
          <w:p w14:paraId="34610796" w14:textId="77777777" w:rsidR="002D7D6C" w:rsidRPr="00CF77C1" w:rsidRDefault="002D7D6C" w:rsidP="0080044B">
            <w:pPr>
              <w:keepNext/>
              <w:keepLines/>
              <w:spacing w:before="40" w:after="40"/>
              <w:jc w:val="left"/>
              <w:rPr>
                <w:szCs w:val="24"/>
                <w:lang w:val="sr-Cyrl-RS"/>
              </w:rPr>
            </w:pPr>
            <w:r w:rsidRPr="00CF77C1">
              <w:rPr>
                <w:szCs w:val="24"/>
                <w:lang w:val="sr-Cyrl-RS"/>
              </w:rPr>
              <w:t>Студија утицаја на животну средину и друштво</w:t>
            </w:r>
          </w:p>
        </w:tc>
        <w:tc>
          <w:tcPr>
            <w:tcW w:w="2409" w:type="dxa"/>
            <w:vMerge/>
            <w:shd w:val="clear" w:color="auto" w:fill="auto"/>
          </w:tcPr>
          <w:p w14:paraId="096CE674" w14:textId="77777777" w:rsidR="002D7D6C" w:rsidRPr="00CF77C1" w:rsidRDefault="002D7D6C" w:rsidP="0080044B">
            <w:pPr>
              <w:keepNext/>
              <w:keepLines/>
              <w:spacing w:before="40" w:after="40"/>
              <w:rPr>
                <w:lang w:val="sr-Cyrl-RS"/>
              </w:rPr>
            </w:pPr>
          </w:p>
        </w:tc>
        <w:tc>
          <w:tcPr>
            <w:tcW w:w="972" w:type="dxa"/>
            <w:shd w:val="clear" w:color="auto" w:fill="auto"/>
            <w:vAlign w:val="center"/>
          </w:tcPr>
          <w:p w14:paraId="31D1A544"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52BDF339" w14:textId="77777777" w:rsidR="002D7D6C" w:rsidRPr="00CF77C1" w:rsidRDefault="002D7D6C" w:rsidP="0080044B">
            <w:pPr>
              <w:keepNext/>
              <w:keepLines/>
              <w:spacing w:before="40" w:after="40"/>
              <w:jc w:val="center"/>
              <w:rPr>
                <w:lang w:val="sr-Cyrl-RS"/>
              </w:rPr>
            </w:pPr>
          </w:p>
        </w:tc>
        <w:tc>
          <w:tcPr>
            <w:tcW w:w="972" w:type="dxa"/>
            <w:shd w:val="clear" w:color="auto" w:fill="auto"/>
            <w:vAlign w:val="center"/>
          </w:tcPr>
          <w:p w14:paraId="5C28C386" w14:textId="77777777" w:rsidR="002D7D6C" w:rsidRPr="00CF77C1" w:rsidRDefault="002D7D6C" w:rsidP="0080044B">
            <w:pPr>
              <w:keepNext/>
              <w:keepLines/>
              <w:spacing w:before="40" w:after="40"/>
              <w:jc w:val="center"/>
              <w:rPr>
                <w:lang w:val="sr-Cyrl-RS"/>
              </w:rPr>
            </w:pPr>
          </w:p>
        </w:tc>
        <w:tc>
          <w:tcPr>
            <w:tcW w:w="972" w:type="dxa"/>
            <w:shd w:val="clear" w:color="auto" w:fill="auto"/>
            <w:vAlign w:val="center"/>
          </w:tcPr>
          <w:p w14:paraId="22E1C226" w14:textId="77777777" w:rsidR="002D7D6C" w:rsidRPr="00CF77C1" w:rsidRDefault="002D7D6C" w:rsidP="0080044B">
            <w:pPr>
              <w:keepNext/>
              <w:keepLines/>
              <w:spacing w:before="40" w:after="40"/>
              <w:jc w:val="center"/>
              <w:rPr>
                <w:lang w:val="sr-Cyrl-RS"/>
              </w:rPr>
            </w:pPr>
          </w:p>
        </w:tc>
        <w:tc>
          <w:tcPr>
            <w:tcW w:w="972" w:type="dxa"/>
            <w:shd w:val="clear" w:color="auto" w:fill="auto"/>
            <w:vAlign w:val="center"/>
          </w:tcPr>
          <w:p w14:paraId="49E1F6CF" w14:textId="77777777" w:rsidR="002D7D6C" w:rsidRPr="00CF77C1" w:rsidRDefault="002D7D6C" w:rsidP="0080044B">
            <w:pPr>
              <w:keepNext/>
              <w:keepLines/>
              <w:spacing w:before="40" w:after="40"/>
              <w:jc w:val="center"/>
              <w:rPr>
                <w:lang w:val="sr-Cyrl-RS"/>
              </w:rPr>
            </w:pPr>
          </w:p>
        </w:tc>
        <w:tc>
          <w:tcPr>
            <w:tcW w:w="972" w:type="dxa"/>
            <w:shd w:val="clear" w:color="auto" w:fill="auto"/>
            <w:vAlign w:val="center"/>
          </w:tcPr>
          <w:p w14:paraId="7CC63637" w14:textId="77777777" w:rsidR="002D7D6C" w:rsidRPr="00CF77C1" w:rsidRDefault="002D7D6C" w:rsidP="0080044B">
            <w:pPr>
              <w:keepNext/>
              <w:keepLines/>
              <w:spacing w:before="40" w:after="40"/>
              <w:jc w:val="center"/>
              <w:rPr>
                <w:lang w:val="sr-Cyrl-RS"/>
              </w:rPr>
            </w:pPr>
          </w:p>
        </w:tc>
        <w:tc>
          <w:tcPr>
            <w:tcW w:w="972" w:type="dxa"/>
            <w:shd w:val="clear" w:color="auto" w:fill="auto"/>
            <w:vAlign w:val="center"/>
          </w:tcPr>
          <w:p w14:paraId="5B1AE612" w14:textId="77777777" w:rsidR="002D7D6C" w:rsidRPr="00CF77C1" w:rsidRDefault="002D7D6C" w:rsidP="0080044B">
            <w:pPr>
              <w:keepNext/>
              <w:keepLines/>
              <w:spacing w:before="40" w:after="40"/>
              <w:jc w:val="center"/>
              <w:rPr>
                <w:lang w:val="sr-Cyrl-RS"/>
              </w:rPr>
            </w:pPr>
          </w:p>
        </w:tc>
      </w:tr>
      <w:tr w:rsidR="002D7D6C" w:rsidRPr="00CF77C1" w14:paraId="5A5DCA3B" w14:textId="77777777" w:rsidTr="002D7D6C">
        <w:tc>
          <w:tcPr>
            <w:tcW w:w="5637" w:type="dxa"/>
            <w:shd w:val="clear" w:color="auto" w:fill="auto"/>
            <w:vAlign w:val="center"/>
          </w:tcPr>
          <w:p w14:paraId="40DC9A37" w14:textId="77777777" w:rsidR="002D7D6C" w:rsidRPr="00CF77C1" w:rsidRDefault="002D7D6C" w:rsidP="0080044B">
            <w:pPr>
              <w:spacing w:before="40" w:after="40"/>
              <w:jc w:val="left"/>
              <w:rPr>
                <w:szCs w:val="24"/>
                <w:lang w:val="sr-Cyrl-RS"/>
              </w:rPr>
            </w:pPr>
            <w:r w:rsidRPr="00CF77C1">
              <w:rPr>
                <w:szCs w:val="24"/>
                <w:lang w:val="sr-Cyrl-RS"/>
              </w:rPr>
              <w:t>Дозволе</w:t>
            </w:r>
            <w:r w:rsidR="00B5219A" w:rsidRPr="00CF77C1">
              <w:rPr>
                <w:szCs w:val="24"/>
                <w:lang w:val="sr-Cyrl-RS"/>
              </w:rPr>
              <w:t xml:space="preserve"> министарстава и других институција</w:t>
            </w:r>
          </w:p>
        </w:tc>
        <w:tc>
          <w:tcPr>
            <w:tcW w:w="2409" w:type="dxa"/>
            <w:vMerge/>
            <w:shd w:val="clear" w:color="auto" w:fill="auto"/>
          </w:tcPr>
          <w:p w14:paraId="6A15052C" w14:textId="77777777" w:rsidR="002D7D6C" w:rsidRPr="00CF77C1" w:rsidRDefault="002D7D6C" w:rsidP="0080044B">
            <w:pPr>
              <w:spacing w:before="40" w:after="40"/>
              <w:rPr>
                <w:lang w:val="sr-Cyrl-RS"/>
              </w:rPr>
            </w:pPr>
          </w:p>
        </w:tc>
        <w:tc>
          <w:tcPr>
            <w:tcW w:w="972" w:type="dxa"/>
            <w:shd w:val="clear" w:color="auto" w:fill="auto"/>
            <w:vAlign w:val="center"/>
          </w:tcPr>
          <w:p w14:paraId="437456FB"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139A789"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BDD1020"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6AC0A84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C04104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2F1F40C"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72C524A" w14:textId="77777777" w:rsidR="002D7D6C" w:rsidRPr="00CF77C1" w:rsidRDefault="002D7D6C" w:rsidP="0080044B">
            <w:pPr>
              <w:spacing w:before="40" w:after="40"/>
              <w:jc w:val="center"/>
              <w:rPr>
                <w:lang w:val="sr-Cyrl-RS"/>
              </w:rPr>
            </w:pPr>
          </w:p>
        </w:tc>
      </w:tr>
      <w:tr w:rsidR="002D7D6C" w:rsidRPr="00CF77C1" w14:paraId="34AF73FD" w14:textId="77777777" w:rsidTr="002D7D6C">
        <w:tc>
          <w:tcPr>
            <w:tcW w:w="5637" w:type="dxa"/>
            <w:shd w:val="clear" w:color="auto" w:fill="auto"/>
            <w:vAlign w:val="center"/>
          </w:tcPr>
          <w:p w14:paraId="5B24221B" w14:textId="247653E2" w:rsidR="002D7D6C" w:rsidRPr="00CF77C1" w:rsidRDefault="002D7D6C" w:rsidP="0080044B">
            <w:pPr>
              <w:spacing w:before="40" w:after="40"/>
              <w:jc w:val="left"/>
              <w:rPr>
                <w:szCs w:val="24"/>
                <w:lang w:val="sr-Cyrl-RS"/>
              </w:rPr>
            </w:pPr>
            <w:r w:rsidRPr="00CF77C1">
              <w:rPr>
                <w:szCs w:val="24"/>
                <w:lang w:val="sr-Cyrl-RS"/>
              </w:rPr>
              <w:t>И</w:t>
            </w:r>
            <w:r w:rsidR="002F3839">
              <w:rPr>
                <w:szCs w:val="24"/>
                <w:lang w:val="sr-Cyrl-RS"/>
              </w:rPr>
              <w:t>з</w:t>
            </w:r>
            <w:r w:rsidRPr="00CF77C1">
              <w:rPr>
                <w:szCs w:val="24"/>
                <w:lang w:val="sr-Cyrl-RS"/>
              </w:rPr>
              <w:t xml:space="preserve">мештање реке Колубаре </w:t>
            </w:r>
            <w:r w:rsidR="00F1645E" w:rsidRPr="00CF77C1">
              <w:rPr>
                <w:szCs w:val="24"/>
                <w:lang w:val="sr-Cyrl-RS"/>
              </w:rPr>
              <w:t>у II фази у укупној дужини од 2,</w:t>
            </w:r>
            <w:r w:rsidRPr="00CF77C1">
              <w:rPr>
                <w:szCs w:val="24"/>
                <w:lang w:val="sr-Cyrl-RS"/>
              </w:rPr>
              <w:t>6 km</w:t>
            </w:r>
          </w:p>
        </w:tc>
        <w:tc>
          <w:tcPr>
            <w:tcW w:w="2409" w:type="dxa"/>
            <w:vMerge/>
            <w:shd w:val="clear" w:color="auto" w:fill="auto"/>
          </w:tcPr>
          <w:p w14:paraId="143D5C7F" w14:textId="77777777" w:rsidR="002D7D6C" w:rsidRPr="00CF77C1" w:rsidRDefault="002D7D6C" w:rsidP="0080044B">
            <w:pPr>
              <w:spacing w:before="40" w:after="40"/>
              <w:rPr>
                <w:lang w:val="sr-Cyrl-RS"/>
              </w:rPr>
            </w:pPr>
          </w:p>
        </w:tc>
        <w:tc>
          <w:tcPr>
            <w:tcW w:w="972" w:type="dxa"/>
            <w:shd w:val="clear" w:color="auto" w:fill="auto"/>
            <w:vAlign w:val="center"/>
          </w:tcPr>
          <w:p w14:paraId="11124330"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04A8541E"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8AFC7E8"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A94F44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F6C68A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CF81AEC"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52DAF6B" w14:textId="77777777" w:rsidR="002D7D6C" w:rsidRPr="00CF77C1" w:rsidRDefault="002D7D6C" w:rsidP="0080044B">
            <w:pPr>
              <w:spacing w:before="40" w:after="40"/>
              <w:jc w:val="center"/>
              <w:rPr>
                <w:lang w:val="sr-Cyrl-RS"/>
              </w:rPr>
            </w:pPr>
          </w:p>
        </w:tc>
      </w:tr>
      <w:tr w:rsidR="002D7D6C" w:rsidRPr="00CF77C1" w14:paraId="7F829187" w14:textId="77777777" w:rsidTr="002D7D6C">
        <w:tc>
          <w:tcPr>
            <w:tcW w:w="5637" w:type="dxa"/>
            <w:shd w:val="clear" w:color="auto" w:fill="auto"/>
            <w:vAlign w:val="center"/>
          </w:tcPr>
          <w:p w14:paraId="4A017BC3" w14:textId="77777777" w:rsidR="002D7D6C" w:rsidRPr="00CF77C1" w:rsidRDefault="002D7D6C" w:rsidP="0080044B">
            <w:pPr>
              <w:spacing w:before="40" w:after="40"/>
              <w:jc w:val="left"/>
              <w:rPr>
                <w:szCs w:val="24"/>
                <w:lang w:val="sr-Cyrl-RS"/>
              </w:rPr>
            </w:pPr>
            <w:r w:rsidRPr="00CF77C1">
              <w:rPr>
                <w:szCs w:val="24"/>
                <w:lang w:val="sr-Cyrl-RS"/>
              </w:rPr>
              <w:t>Измештање регионалног пута М22 у дужини 7,24 km</w:t>
            </w:r>
          </w:p>
        </w:tc>
        <w:tc>
          <w:tcPr>
            <w:tcW w:w="2409" w:type="dxa"/>
            <w:vMerge/>
            <w:shd w:val="clear" w:color="auto" w:fill="auto"/>
          </w:tcPr>
          <w:p w14:paraId="35F5D34A" w14:textId="77777777" w:rsidR="002D7D6C" w:rsidRPr="00CF77C1" w:rsidRDefault="002D7D6C" w:rsidP="0080044B">
            <w:pPr>
              <w:spacing w:before="40" w:after="40"/>
              <w:rPr>
                <w:lang w:val="sr-Cyrl-RS"/>
              </w:rPr>
            </w:pPr>
          </w:p>
        </w:tc>
        <w:tc>
          <w:tcPr>
            <w:tcW w:w="972" w:type="dxa"/>
            <w:shd w:val="clear" w:color="auto" w:fill="auto"/>
            <w:vAlign w:val="center"/>
          </w:tcPr>
          <w:p w14:paraId="32B7837E"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453C48CC"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4C193A6"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014A2378"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43F761B"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61A2B689"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A418B1C" w14:textId="77777777" w:rsidR="002D7D6C" w:rsidRPr="00CF77C1" w:rsidRDefault="002D7D6C" w:rsidP="0080044B">
            <w:pPr>
              <w:spacing w:before="40" w:after="40"/>
              <w:jc w:val="center"/>
              <w:rPr>
                <w:lang w:val="sr-Cyrl-RS"/>
              </w:rPr>
            </w:pPr>
          </w:p>
        </w:tc>
      </w:tr>
      <w:tr w:rsidR="002D7D6C" w:rsidRPr="00CF77C1" w14:paraId="2CBA4D67" w14:textId="77777777" w:rsidTr="002D7D6C">
        <w:tc>
          <w:tcPr>
            <w:tcW w:w="5637" w:type="dxa"/>
            <w:shd w:val="clear" w:color="auto" w:fill="auto"/>
            <w:vAlign w:val="center"/>
          </w:tcPr>
          <w:p w14:paraId="4F15D882" w14:textId="77777777" w:rsidR="002D7D6C" w:rsidRPr="00CF77C1" w:rsidRDefault="002D7D6C" w:rsidP="0080044B">
            <w:pPr>
              <w:spacing w:before="40" w:after="40"/>
              <w:jc w:val="left"/>
              <w:rPr>
                <w:szCs w:val="24"/>
                <w:lang w:val="sr-Cyrl-RS"/>
              </w:rPr>
            </w:pPr>
            <w:r w:rsidRPr="00CF77C1">
              <w:rPr>
                <w:szCs w:val="24"/>
                <w:lang w:val="sr-Cyrl-RS"/>
              </w:rPr>
              <w:t>Измештање изворишта и водозахвата</w:t>
            </w:r>
          </w:p>
        </w:tc>
        <w:tc>
          <w:tcPr>
            <w:tcW w:w="2409" w:type="dxa"/>
            <w:vMerge/>
            <w:shd w:val="clear" w:color="auto" w:fill="auto"/>
          </w:tcPr>
          <w:p w14:paraId="141FE5CC" w14:textId="77777777" w:rsidR="002D7D6C" w:rsidRPr="00CF77C1" w:rsidRDefault="002D7D6C" w:rsidP="0080044B">
            <w:pPr>
              <w:spacing w:before="40" w:after="40"/>
              <w:rPr>
                <w:lang w:val="sr-Cyrl-RS"/>
              </w:rPr>
            </w:pPr>
          </w:p>
        </w:tc>
        <w:tc>
          <w:tcPr>
            <w:tcW w:w="972" w:type="dxa"/>
            <w:shd w:val="clear" w:color="auto" w:fill="auto"/>
            <w:vAlign w:val="center"/>
          </w:tcPr>
          <w:p w14:paraId="26BF6C2C"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8A59C25"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463E7D9"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7C23059"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FC588DE"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82091E1"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489276C" w14:textId="77777777" w:rsidR="002D7D6C" w:rsidRPr="00CF77C1" w:rsidRDefault="002D7D6C" w:rsidP="0080044B">
            <w:pPr>
              <w:spacing w:before="40" w:after="40"/>
              <w:jc w:val="center"/>
              <w:rPr>
                <w:lang w:val="sr-Cyrl-RS"/>
              </w:rPr>
            </w:pPr>
          </w:p>
        </w:tc>
      </w:tr>
      <w:tr w:rsidR="002D7D6C" w:rsidRPr="00CF77C1" w14:paraId="5066A31F" w14:textId="77777777" w:rsidTr="002D7D6C">
        <w:tc>
          <w:tcPr>
            <w:tcW w:w="5637" w:type="dxa"/>
            <w:shd w:val="clear" w:color="auto" w:fill="auto"/>
            <w:vAlign w:val="center"/>
          </w:tcPr>
          <w:p w14:paraId="023822DE" w14:textId="77777777" w:rsidR="002D7D6C" w:rsidRPr="00CF77C1" w:rsidRDefault="002D7D6C" w:rsidP="0080044B">
            <w:pPr>
              <w:spacing w:before="40" w:after="40"/>
              <w:jc w:val="left"/>
              <w:rPr>
                <w:szCs w:val="24"/>
                <w:lang w:val="sr-Cyrl-RS"/>
              </w:rPr>
            </w:pPr>
            <w:r w:rsidRPr="00CF77C1">
              <w:rPr>
                <w:szCs w:val="24"/>
                <w:lang w:val="sr-Cyrl-RS"/>
              </w:rPr>
              <w:t>Измештање далековода 110 kV и измештање далековода 35 kV</w:t>
            </w:r>
          </w:p>
        </w:tc>
        <w:tc>
          <w:tcPr>
            <w:tcW w:w="2409" w:type="dxa"/>
            <w:vMerge/>
            <w:shd w:val="clear" w:color="auto" w:fill="auto"/>
          </w:tcPr>
          <w:p w14:paraId="3E9E45D6" w14:textId="77777777" w:rsidR="002D7D6C" w:rsidRPr="00CF77C1" w:rsidRDefault="002D7D6C" w:rsidP="0080044B">
            <w:pPr>
              <w:spacing w:before="40" w:after="40"/>
              <w:rPr>
                <w:lang w:val="sr-Cyrl-RS"/>
              </w:rPr>
            </w:pPr>
          </w:p>
        </w:tc>
        <w:tc>
          <w:tcPr>
            <w:tcW w:w="972" w:type="dxa"/>
            <w:shd w:val="clear" w:color="auto" w:fill="auto"/>
            <w:vAlign w:val="center"/>
          </w:tcPr>
          <w:p w14:paraId="58E9FC82"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388E8EF"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565CED44"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6073EBE"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EFECE3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03A3A5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4DC3EEB" w14:textId="77777777" w:rsidR="002D7D6C" w:rsidRPr="00CF77C1" w:rsidRDefault="002D7D6C" w:rsidP="0080044B">
            <w:pPr>
              <w:spacing w:before="40" w:after="40"/>
              <w:jc w:val="center"/>
              <w:rPr>
                <w:lang w:val="sr-Cyrl-RS"/>
              </w:rPr>
            </w:pPr>
          </w:p>
        </w:tc>
      </w:tr>
      <w:tr w:rsidR="002D7D6C" w:rsidRPr="00CF77C1" w14:paraId="733999B3" w14:textId="77777777" w:rsidTr="002D7D6C">
        <w:tc>
          <w:tcPr>
            <w:tcW w:w="5637" w:type="dxa"/>
            <w:shd w:val="clear" w:color="auto" w:fill="auto"/>
            <w:vAlign w:val="center"/>
          </w:tcPr>
          <w:p w14:paraId="0C8CCFBB" w14:textId="77777777" w:rsidR="002D7D6C" w:rsidRPr="00CF77C1" w:rsidRDefault="002D7D6C" w:rsidP="0080044B">
            <w:pPr>
              <w:spacing w:before="40" w:after="40"/>
              <w:jc w:val="left"/>
              <w:rPr>
                <w:szCs w:val="24"/>
                <w:lang w:val="sr-Cyrl-RS"/>
              </w:rPr>
            </w:pPr>
            <w:r w:rsidRPr="00CF77C1">
              <w:rPr>
                <w:szCs w:val="24"/>
                <w:lang w:val="sr-Cyrl-RS"/>
              </w:rPr>
              <w:t xml:space="preserve">Измештање таложника и постројења за пречишћавање отпадних вода </w:t>
            </w:r>
          </w:p>
        </w:tc>
        <w:tc>
          <w:tcPr>
            <w:tcW w:w="2409" w:type="dxa"/>
            <w:vMerge/>
            <w:shd w:val="clear" w:color="auto" w:fill="auto"/>
          </w:tcPr>
          <w:p w14:paraId="1109E8E4" w14:textId="77777777" w:rsidR="002D7D6C" w:rsidRPr="00CF77C1" w:rsidRDefault="002D7D6C" w:rsidP="0080044B">
            <w:pPr>
              <w:spacing w:before="40" w:after="40"/>
              <w:rPr>
                <w:lang w:val="sr-Cyrl-RS"/>
              </w:rPr>
            </w:pPr>
          </w:p>
        </w:tc>
        <w:tc>
          <w:tcPr>
            <w:tcW w:w="972" w:type="dxa"/>
            <w:shd w:val="clear" w:color="auto" w:fill="auto"/>
            <w:vAlign w:val="center"/>
          </w:tcPr>
          <w:p w14:paraId="44382FE5"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A923F74"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7992820"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69A5051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AC0A59B"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B9E273D"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D5439C9" w14:textId="77777777" w:rsidR="002D7D6C" w:rsidRPr="00CF77C1" w:rsidRDefault="002D7D6C" w:rsidP="0080044B">
            <w:pPr>
              <w:spacing w:before="40" w:after="40"/>
              <w:jc w:val="center"/>
              <w:rPr>
                <w:lang w:val="sr-Cyrl-RS"/>
              </w:rPr>
            </w:pPr>
          </w:p>
        </w:tc>
      </w:tr>
      <w:tr w:rsidR="002D7D6C" w:rsidRPr="00CF77C1" w14:paraId="455BCD37" w14:textId="77777777" w:rsidTr="002D7D6C">
        <w:tc>
          <w:tcPr>
            <w:tcW w:w="5637" w:type="dxa"/>
            <w:shd w:val="clear" w:color="auto" w:fill="auto"/>
            <w:vAlign w:val="center"/>
          </w:tcPr>
          <w:p w14:paraId="03CA6563" w14:textId="77777777" w:rsidR="002D7D6C" w:rsidRPr="00CF77C1" w:rsidRDefault="002D7D6C" w:rsidP="0080044B">
            <w:pPr>
              <w:spacing w:before="40" w:after="40"/>
              <w:jc w:val="left"/>
              <w:rPr>
                <w:szCs w:val="24"/>
                <w:lang w:val="sr-Cyrl-RS"/>
              </w:rPr>
            </w:pPr>
            <w:r w:rsidRPr="00CF77C1">
              <w:rPr>
                <w:szCs w:val="24"/>
                <w:lang w:val="sr-Cyrl-RS"/>
              </w:rPr>
              <w:t>Набавка нове основне и помоћне опреме</w:t>
            </w:r>
          </w:p>
        </w:tc>
        <w:tc>
          <w:tcPr>
            <w:tcW w:w="2409" w:type="dxa"/>
            <w:vMerge/>
            <w:shd w:val="clear" w:color="auto" w:fill="auto"/>
          </w:tcPr>
          <w:p w14:paraId="06A03619" w14:textId="77777777" w:rsidR="002D7D6C" w:rsidRPr="00CF77C1" w:rsidRDefault="002D7D6C" w:rsidP="0080044B">
            <w:pPr>
              <w:spacing w:before="40" w:after="40"/>
              <w:rPr>
                <w:lang w:val="sr-Cyrl-RS"/>
              </w:rPr>
            </w:pPr>
          </w:p>
        </w:tc>
        <w:tc>
          <w:tcPr>
            <w:tcW w:w="972" w:type="dxa"/>
            <w:shd w:val="clear" w:color="auto" w:fill="auto"/>
            <w:vAlign w:val="center"/>
          </w:tcPr>
          <w:p w14:paraId="4B481A39"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822DEF1"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5CCF7C0C"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ED6B08D"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D3FE30C"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6F6045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710AA23" w14:textId="77777777" w:rsidR="002D7D6C" w:rsidRPr="00CF77C1" w:rsidRDefault="002D7D6C" w:rsidP="0080044B">
            <w:pPr>
              <w:spacing w:before="40" w:after="40"/>
              <w:jc w:val="center"/>
              <w:rPr>
                <w:lang w:val="sr-Cyrl-RS"/>
              </w:rPr>
            </w:pPr>
          </w:p>
        </w:tc>
      </w:tr>
      <w:tr w:rsidR="002D7D6C" w:rsidRPr="00CF77C1" w14:paraId="54C136F8" w14:textId="77777777" w:rsidTr="002D7D6C">
        <w:tc>
          <w:tcPr>
            <w:tcW w:w="5637" w:type="dxa"/>
            <w:shd w:val="clear" w:color="auto" w:fill="auto"/>
            <w:vAlign w:val="center"/>
          </w:tcPr>
          <w:p w14:paraId="6DDCA246" w14:textId="77777777" w:rsidR="002D7D6C" w:rsidRPr="0039217F" w:rsidRDefault="002D7D6C" w:rsidP="0080044B">
            <w:pPr>
              <w:spacing w:before="40" w:after="40"/>
              <w:jc w:val="left"/>
              <w:rPr>
                <w:sz w:val="22"/>
                <w:szCs w:val="24"/>
                <w:lang w:val="sr-Cyrl-RS"/>
              </w:rPr>
            </w:pPr>
            <w:r w:rsidRPr="0039217F">
              <w:rPr>
                <w:sz w:val="22"/>
                <w:szCs w:val="24"/>
                <w:lang w:val="sr-Cyrl-RS"/>
              </w:rPr>
              <w:t>Ревитализација и модернизција постојеће основне опреме</w:t>
            </w:r>
          </w:p>
        </w:tc>
        <w:tc>
          <w:tcPr>
            <w:tcW w:w="2409" w:type="dxa"/>
            <w:vMerge/>
            <w:shd w:val="clear" w:color="auto" w:fill="auto"/>
          </w:tcPr>
          <w:p w14:paraId="444A5BD4" w14:textId="77777777" w:rsidR="002D7D6C" w:rsidRPr="00CF77C1" w:rsidRDefault="002D7D6C" w:rsidP="0080044B">
            <w:pPr>
              <w:spacing w:before="40" w:after="40"/>
              <w:rPr>
                <w:lang w:val="sr-Cyrl-RS"/>
              </w:rPr>
            </w:pPr>
          </w:p>
        </w:tc>
        <w:tc>
          <w:tcPr>
            <w:tcW w:w="972" w:type="dxa"/>
            <w:shd w:val="clear" w:color="auto" w:fill="auto"/>
            <w:vAlign w:val="center"/>
          </w:tcPr>
          <w:p w14:paraId="73B1AC5A"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022DFED2"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9957729"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6093491"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A3272E6"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C6E9B54"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A499AB7" w14:textId="77777777" w:rsidR="002D7D6C" w:rsidRPr="00CF77C1" w:rsidRDefault="002D7D6C" w:rsidP="0080044B">
            <w:pPr>
              <w:spacing w:before="40" w:after="40"/>
              <w:jc w:val="center"/>
              <w:rPr>
                <w:lang w:val="sr-Cyrl-RS"/>
              </w:rPr>
            </w:pPr>
          </w:p>
        </w:tc>
      </w:tr>
      <w:tr w:rsidR="002D7D6C" w:rsidRPr="00CF77C1" w14:paraId="247412A3" w14:textId="77777777" w:rsidTr="002D7D6C">
        <w:tc>
          <w:tcPr>
            <w:tcW w:w="5637" w:type="dxa"/>
            <w:shd w:val="clear" w:color="auto" w:fill="auto"/>
            <w:vAlign w:val="center"/>
          </w:tcPr>
          <w:p w14:paraId="1366B5CB" w14:textId="77777777" w:rsidR="002D7D6C" w:rsidRPr="00CF77C1" w:rsidRDefault="002D7D6C" w:rsidP="0080044B">
            <w:pPr>
              <w:spacing w:before="40" w:after="40"/>
              <w:jc w:val="left"/>
              <w:rPr>
                <w:szCs w:val="24"/>
                <w:lang w:val="sr-Cyrl-RS"/>
              </w:rPr>
            </w:pPr>
            <w:r w:rsidRPr="00CF77C1">
              <w:rPr>
                <w:szCs w:val="24"/>
                <w:lang w:val="sr-Cyrl-RS"/>
              </w:rPr>
              <w:t xml:space="preserve">Откопавање јаловине </w:t>
            </w:r>
          </w:p>
        </w:tc>
        <w:tc>
          <w:tcPr>
            <w:tcW w:w="2409" w:type="dxa"/>
            <w:vMerge/>
            <w:shd w:val="clear" w:color="auto" w:fill="auto"/>
          </w:tcPr>
          <w:p w14:paraId="6658DD39" w14:textId="77777777" w:rsidR="002D7D6C" w:rsidRPr="00CF77C1" w:rsidRDefault="002D7D6C" w:rsidP="0080044B">
            <w:pPr>
              <w:spacing w:before="40" w:after="40"/>
              <w:rPr>
                <w:lang w:val="sr-Cyrl-RS"/>
              </w:rPr>
            </w:pPr>
          </w:p>
        </w:tc>
        <w:tc>
          <w:tcPr>
            <w:tcW w:w="972" w:type="dxa"/>
            <w:shd w:val="clear" w:color="auto" w:fill="auto"/>
            <w:vAlign w:val="center"/>
          </w:tcPr>
          <w:p w14:paraId="7A2BC18C"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7BAD22FF"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C249CAE"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39B856B"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05A3B4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00A0F1BB"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9664BBB" w14:textId="77777777" w:rsidR="002D7D6C" w:rsidRPr="00CF77C1" w:rsidRDefault="002D7D6C" w:rsidP="0080044B">
            <w:pPr>
              <w:spacing w:before="40" w:after="40"/>
              <w:jc w:val="center"/>
              <w:rPr>
                <w:lang w:val="sr-Cyrl-RS"/>
              </w:rPr>
            </w:pPr>
            <w:r w:rsidRPr="00CF77C1">
              <w:rPr>
                <w:lang w:val="sr-Cyrl-RS"/>
              </w:rPr>
              <w:t>x</w:t>
            </w:r>
          </w:p>
        </w:tc>
      </w:tr>
      <w:tr w:rsidR="002D7D6C" w:rsidRPr="00CF77C1" w14:paraId="78E8BDDD" w14:textId="77777777" w:rsidTr="002D7D6C">
        <w:tc>
          <w:tcPr>
            <w:tcW w:w="5637" w:type="dxa"/>
            <w:shd w:val="clear" w:color="auto" w:fill="auto"/>
            <w:vAlign w:val="center"/>
          </w:tcPr>
          <w:p w14:paraId="13FBC405" w14:textId="77777777" w:rsidR="002D7D6C" w:rsidRPr="00CF77C1" w:rsidRDefault="002D7D6C" w:rsidP="0080044B">
            <w:pPr>
              <w:spacing w:before="40" w:after="40"/>
              <w:jc w:val="left"/>
              <w:rPr>
                <w:szCs w:val="24"/>
                <w:lang w:val="sr-Cyrl-RS"/>
              </w:rPr>
            </w:pPr>
            <w:r w:rsidRPr="00CF77C1">
              <w:rPr>
                <w:szCs w:val="24"/>
                <w:lang w:val="sr-Cyrl-RS"/>
              </w:rPr>
              <w:t>Откопавање угља угља</w:t>
            </w:r>
          </w:p>
        </w:tc>
        <w:tc>
          <w:tcPr>
            <w:tcW w:w="2409" w:type="dxa"/>
            <w:vMerge/>
            <w:shd w:val="clear" w:color="auto" w:fill="auto"/>
          </w:tcPr>
          <w:p w14:paraId="3C9BAE43" w14:textId="77777777" w:rsidR="002D7D6C" w:rsidRPr="00CF77C1" w:rsidRDefault="002D7D6C" w:rsidP="0080044B">
            <w:pPr>
              <w:spacing w:before="40" w:after="40"/>
              <w:rPr>
                <w:lang w:val="sr-Cyrl-RS"/>
              </w:rPr>
            </w:pPr>
          </w:p>
        </w:tc>
        <w:tc>
          <w:tcPr>
            <w:tcW w:w="972" w:type="dxa"/>
            <w:shd w:val="clear" w:color="auto" w:fill="auto"/>
            <w:vAlign w:val="center"/>
          </w:tcPr>
          <w:p w14:paraId="3B790DE4"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E16BD98"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9743AEC"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B054D3F"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557137BC"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73741CEE"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4886DD68" w14:textId="77777777" w:rsidR="002D7D6C" w:rsidRPr="00CF77C1" w:rsidRDefault="002D7D6C" w:rsidP="0080044B">
            <w:pPr>
              <w:spacing w:before="40" w:after="40"/>
              <w:jc w:val="center"/>
              <w:rPr>
                <w:lang w:val="sr-Cyrl-RS"/>
              </w:rPr>
            </w:pPr>
            <w:r w:rsidRPr="00CF77C1">
              <w:rPr>
                <w:lang w:val="sr-Cyrl-RS"/>
              </w:rPr>
              <w:t>x</w:t>
            </w:r>
          </w:p>
        </w:tc>
      </w:tr>
    </w:tbl>
    <w:p w14:paraId="13C8B462" w14:textId="6A7CC2C4" w:rsidR="002D7D6C" w:rsidRPr="00CF77C1" w:rsidRDefault="002D7D6C" w:rsidP="005621E0">
      <w:pPr>
        <w:ind w:firstLine="720"/>
        <w:rPr>
          <w:lang w:val="sr-Cyrl-RS"/>
        </w:rPr>
      </w:pPr>
      <w:r w:rsidRPr="00CF77C1">
        <w:rPr>
          <w:lang w:val="sr-Cyrl-RS"/>
        </w:rPr>
        <w:t>Ризици: Јавне набавке за извођење радова, измештање инфраструктурних објеката</w:t>
      </w:r>
      <w:r w:rsidR="004231D0" w:rsidRPr="00CF77C1">
        <w:rPr>
          <w:lang w:val="sr-Cyrl-RS"/>
        </w:rPr>
        <w:t xml:space="preserve"> (река, магистрални пут и др.)</w:t>
      </w:r>
      <w:r w:rsidR="002F3839">
        <w:rPr>
          <w:lang w:val="sr-Cyrl-RS"/>
        </w:rPr>
        <w:t>.</w:t>
      </w:r>
    </w:p>
    <w:p w14:paraId="15BCD910" w14:textId="77777777" w:rsidR="00F52323" w:rsidRPr="00CF77C1" w:rsidRDefault="00F52323" w:rsidP="0080044B">
      <w:pPr>
        <w:ind w:left="360"/>
        <w:rPr>
          <w:lang w:val="sr-Cyrl-RS"/>
        </w:rPr>
        <w:sectPr w:rsidR="00F52323" w:rsidRPr="00CF77C1" w:rsidSect="00017454">
          <w:headerReference w:type="default" r:id="rId114"/>
          <w:footerReference w:type="even" r:id="rId115"/>
          <w:footerReference w:type="default" r:id="rId116"/>
          <w:pgSz w:w="16839" w:h="11907" w:orient="landscape" w:code="9"/>
          <w:pgMar w:top="1418" w:right="1134" w:bottom="1134" w:left="1134" w:header="1004" w:footer="720" w:gutter="0"/>
          <w:cols w:space="720"/>
          <w:docGrid w:linePitch="360"/>
        </w:sectPr>
      </w:pPr>
    </w:p>
    <w:p w14:paraId="08DFFCE7" w14:textId="77777777" w:rsidR="00176354" w:rsidRPr="00CF77C1" w:rsidRDefault="00176354" w:rsidP="005621E0">
      <w:pPr>
        <w:keepNext/>
        <w:keepLines/>
        <w:ind w:firstLine="720"/>
        <w:rPr>
          <w:u w:val="single"/>
          <w:lang w:val="sr-Cyrl-RS"/>
        </w:rPr>
      </w:pPr>
      <w:r w:rsidRPr="00CF77C1">
        <w:rPr>
          <w:u w:val="single"/>
          <w:lang w:val="sr-Cyrl-RS"/>
        </w:rPr>
        <w:t>Поље Ц</w:t>
      </w:r>
    </w:p>
    <w:p w14:paraId="13F5E557" w14:textId="77777777" w:rsidR="00176354" w:rsidRPr="00CF77C1" w:rsidRDefault="00176354" w:rsidP="005621E0">
      <w:pPr>
        <w:ind w:firstLine="720"/>
        <w:rPr>
          <w:lang w:val="sr-Cyrl-RS"/>
        </w:rPr>
      </w:pPr>
      <w:r w:rsidRPr="00CF77C1">
        <w:rPr>
          <w:lang w:val="sr-Cyrl-RS"/>
        </w:rPr>
        <w:t xml:space="preserve">Инвестиције у површински коп Поље Ц су у функцији достизања пројектованог капацитета и отварања површинског копа Поље Е које треба да буде заменски капацитет за ПК Поље Д. Пројектовани капацитет </w:t>
      </w:r>
      <w:r w:rsidR="004653CD" w:rsidRPr="00CF77C1">
        <w:rPr>
          <w:lang w:val="sr-Cyrl-RS"/>
        </w:rPr>
        <w:t xml:space="preserve">(према новом Допунском пројекту на основу кога се ушло у процедуру добијања дозвола) се креће од 3.000.000 </w:t>
      </w:r>
      <w:r w:rsidR="004653CD" w:rsidRPr="00CF77C1">
        <w:rPr>
          <w:szCs w:val="24"/>
          <w:lang w:val="sr-Cyrl-RS"/>
        </w:rPr>
        <w:t>t</w:t>
      </w:r>
      <w:r w:rsidR="004653CD" w:rsidRPr="00CF77C1">
        <w:rPr>
          <w:lang w:val="sr-Cyrl-RS"/>
        </w:rPr>
        <w:t xml:space="preserve"> у 2017. години, а затим</w:t>
      </w:r>
      <w:r w:rsidR="00EC7E28" w:rsidRPr="00CF77C1">
        <w:rPr>
          <w:lang w:val="sr-Cyrl-RS"/>
        </w:rPr>
        <w:t xml:space="preserve"> </w:t>
      </w:r>
      <w:r w:rsidR="004653CD" w:rsidRPr="00CF77C1">
        <w:rPr>
          <w:lang w:val="sr-Cyrl-RS"/>
        </w:rPr>
        <w:t xml:space="preserve">4.000.000 </w:t>
      </w:r>
      <w:r w:rsidR="004653CD" w:rsidRPr="00CF77C1">
        <w:rPr>
          <w:szCs w:val="24"/>
          <w:lang w:val="sr-Cyrl-RS"/>
        </w:rPr>
        <w:t>t</w:t>
      </w:r>
      <w:r w:rsidR="004653CD" w:rsidRPr="00CF77C1">
        <w:rPr>
          <w:lang w:val="sr-Cyrl-RS"/>
        </w:rPr>
        <w:t xml:space="preserve"> угља годишње до 2030. године</w:t>
      </w:r>
      <w:r w:rsidRPr="00CF77C1">
        <w:rPr>
          <w:lang w:val="sr-Cyrl-RS"/>
        </w:rPr>
        <w:t>.</w:t>
      </w:r>
    </w:p>
    <w:p w14:paraId="5B6BEFA7" w14:textId="77777777" w:rsidR="00176354" w:rsidRPr="00CF77C1" w:rsidRDefault="00176354" w:rsidP="005621E0">
      <w:pPr>
        <w:ind w:firstLine="357"/>
        <w:rPr>
          <w:lang w:val="sr-Cyrl-RS"/>
        </w:rPr>
      </w:pPr>
      <w:r w:rsidRPr="00CF77C1">
        <w:rPr>
          <w:lang w:val="sr-Cyrl-RS"/>
        </w:rPr>
        <w:t>Да би се отворио површински коп Поље Е као заменски капацитет за површински коп Д неопходно је да се реализују следећи потпројекти:</w:t>
      </w:r>
    </w:p>
    <w:p w14:paraId="56D5CA95" w14:textId="123D41CB"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н</w:t>
      </w:r>
      <w:r w:rsidR="00176354" w:rsidRPr="00CF77C1">
        <w:rPr>
          <w:lang w:val="sr-Cyrl-RS"/>
        </w:rPr>
        <w:t xml:space="preserve">абавка БТО </w:t>
      </w:r>
      <w:r w:rsidR="00A84557" w:rsidRPr="00CF77C1">
        <w:rPr>
          <w:lang w:val="sr-Cyrl-RS"/>
        </w:rPr>
        <w:t>с</w:t>
      </w:r>
      <w:r w:rsidR="00176354" w:rsidRPr="00CF77C1">
        <w:rPr>
          <w:lang w:val="sr-Cyrl-RS"/>
        </w:rPr>
        <w:t>истема капацитета 6600 m</w:t>
      </w:r>
      <w:r w:rsidR="00176354" w:rsidRPr="00CF77C1">
        <w:rPr>
          <w:vertAlign w:val="superscript"/>
          <w:lang w:val="sr-Cyrl-RS"/>
        </w:rPr>
        <w:t>3</w:t>
      </w:r>
      <w:r w:rsidR="00176354" w:rsidRPr="00CF77C1">
        <w:rPr>
          <w:lang w:val="sr-Cyrl-RS"/>
        </w:rPr>
        <w:t>/h (роторни багер систем транспортера Б 2000 mm (</w:t>
      </w:r>
      <w:r w:rsidR="0028026D">
        <w:rPr>
          <w:lang w:val="sr-Cyrl-RS"/>
        </w:rPr>
        <w:t xml:space="preserve">четири </w:t>
      </w:r>
      <w:r w:rsidR="00176354" w:rsidRPr="00CF77C1">
        <w:rPr>
          <w:lang w:val="sr-Cyrl-RS"/>
        </w:rPr>
        <w:t>погонске станице 5000 m трасе) и одлагач капацитета 8800 m</w:t>
      </w:r>
      <w:r w:rsidR="00176354" w:rsidRPr="00CF77C1">
        <w:rPr>
          <w:vertAlign w:val="superscript"/>
          <w:lang w:val="sr-Cyrl-RS"/>
        </w:rPr>
        <w:t>3</w:t>
      </w:r>
      <w:r w:rsidR="00176354" w:rsidRPr="00CF77C1">
        <w:rPr>
          <w:lang w:val="sr-Cyrl-RS"/>
        </w:rPr>
        <w:t>/h;</w:t>
      </w:r>
    </w:p>
    <w:p w14:paraId="62C9AC10" w14:textId="76C0478E"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с</w:t>
      </w:r>
      <w:r w:rsidR="00176354" w:rsidRPr="00CF77C1">
        <w:rPr>
          <w:lang w:val="sr-Cyrl-RS"/>
        </w:rPr>
        <w:t>анација унутрашњег одлагалишта и почетак одлагања на прос</w:t>
      </w:r>
      <w:r w:rsidRPr="00CF77C1">
        <w:rPr>
          <w:lang w:val="sr-Cyrl-RS"/>
        </w:rPr>
        <w:t>тору бившег копа Поље А и Глина.</w:t>
      </w:r>
    </w:p>
    <w:p w14:paraId="6DDADE44" w14:textId="77777777" w:rsidR="00176354" w:rsidRPr="00CF77C1" w:rsidRDefault="00176354" w:rsidP="005621E0">
      <w:pPr>
        <w:keepNext/>
        <w:keepLines/>
        <w:ind w:firstLine="720"/>
        <w:rPr>
          <w:u w:val="single"/>
          <w:lang w:val="sr-Cyrl-RS"/>
        </w:rPr>
      </w:pPr>
      <w:r w:rsidRPr="00CF77C1">
        <w:rPr>
          <w:u w:val="single"/>
          <w:lang w:val="sr-Cyrl-RS"/>
        </w:rPr>
        <w:t>Поље Е</w:t>
      </w:r>
    </w:p>
    <w:p w14:paraId="008DCB98" w14:textId="77777777" w:rsidR="00176354" w:rsidRPr="00CF77C1" w:rsidRDefault="00176354" w:rsidP="005621E0">
      <w:pPr>
        <w:ind w:firstLine="358"/>
        <w:rPr>
          <w:lang w:val="sr-Cyrl-RS"/>
        </w:rPr>
      </w:pPr>
      <w:r w:rsidRPr="00CF77C1">
        <w:rPr>
          <w:lang w:val="sr-Cyrl-RS"/>
        </w:rPr>
        <w:t xml:space="preserve">Површински коп Поље Е се отвара као заменски капацитет за ПК Поље Д. Пројектовани капацитет је 12.000.000 </w:t>
      </w:r>
      <w:r w:rsidR="00537E82" w:rsidRPr="00CF77C1">
        <w:rPr>
          <w:szCs w:val="24"/>
          <w:lang w:val="sr-Cyrl-RS"/>
        </w:rPr>
        <w:t>t</w:t>
      </w:r>
      <w:r w:rsidRPr="00CF77C1">
        <w:rPr>
          <w:lang w:val="sr-Cyrl-RS"/>
        </w:rPr>
        <w:t xml:space="preserve"> угља годишње. Да би се отворио површински коп Поље Е као заменски капацитет за површински коп Д неопходно је да се реализују следећи потпројекти:</w:t>
      </w:r>
    </w:p>
    <w:p w14:paraId="5AC8477B" w14:textId="7A359434"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н</w:t>
      </w:r>
      <w:r w:rsidR="00176354" w:rsidRPr="00CF77C1">
        <w:rPr>
          <w:lang w:val="sr-Cyrl-RS"/>
        </w:rPr>
        <w:t xml:space="preserve">абавка два БТО </w:t>
      </w:r>
      <w:r w:rsidR="00A84557" w:rsidRPr="00CF77C1">
        <w:rPr>
          <w:lang w:val="sr-Cyrl-RS"/>
        </w:rPr>
        <w:t>с</w:t>
      </w:r>
      <w:r w:rsidR="00176354" w:rsidRPr="00CF77C1">
        <w:rPr>
          <w:lang w:val="sr-Cyrl-RS"/>
        </w:rPr>
        <w:t>истема капацитета 6600 m</w:t>
      </w:r>
      <w:r w:rsidR="00176354" w:rsidRPr="00CF77C1">
        <w:rPr>
          <w:vertAlign w:val="superscript"/>
          <w:lang w:val="sr-Cyrl-RS"/>
        </w:rPr>
        <w:t>3</w:t>
      </w:r>
      <w:r w:rsidR="00176354" w:rsidRPr="00CF77C1">
        <w:rPr>
          <w:lang w:val="sr-Cyrl-RS"/>
        </w:rPr>
        <w:t>/h (роторни багер систем транспортера Б 2000 mm и одлагачи капацитета 8800 m</w:t>
      </w:r>
      <w:r w:rsidR="00176354" w:rsidRPr="00CF77C1">
        <w:rPr>
          <w:vertAlign w:val="superscript"/>
          <w:lang w:val="sr-Cyrl-RS"/>
        </w:rPr>
        <w:t>3</w:t>
      </w:r>
      <w:r w:rsidR="00176354" w:rsidRPr="00CF77C1">
        <w:rPr>
          <w:lang w:val="sr-Cyrl-RS"/>
        </w:rPr>
        <w:t>/h</w:t>
      </w:r>
      <w:r w:rsidR="004653CD" w:rsidRPr="00CF77C1">
        <w:rPr>
          <w:lang w:val="sr-Cyrl-RS"/>
        </w:rPr>
        <w:t>)</w:t>
      </w:r>
      <w:r w:rsidR="00176354" w:rsidRPr="00CF77C1">
        <w:rPr>
          <w:lang w:val="sr-Cyrl-RS"/>
        </w:rPr>
        <w:t>;</w:t>
      </w:r>
    </w:p>
    <w:p w14:paraId="506B1B8A" w14:textId="29C173D4"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н</w:t>
      </w:r>
      <w:r w:rsidR="00176354" w:rsidRPr="00CF77C1">
        <w:rPr>
          <w:lang w:val="sr-Cyrl-RS"/>
        </w:rPr>
        <w:t>абавка транспортне опреме</w:t>
      </w:r>
      <w:r w:rsidR="004653CD" w:rsidRPr="00CF77C1">
        <w:rPr>
          <w:lang w:val="sr-Cyrl-RS"/>
        </w:rPr>
        <w:t xml:space="preserve"> и опреме за селективни рад</w:t>
      </w:r>
      <w:r w:rsidR="00176354" w:rsidRPr="00CF77C1">
        <w:rPr>
          <w:lang w:val="sr-Cyrl-RS"/>
        </w:rPr>
        <w:t>;</w:t>
      </w:r>
    </w:p>
    <w:p w14:paraId="380C6AFA" w14:textId="2181F415"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р</w:t>
      </w:r>
      <w:r w:rsidR="00176354" w:rsidRPr="00CF77C1">
        <w:rPr>
          <w:lang w:val="sr-Cyrl-RS"/>
        </w:rPr>
        <w:t>евитализација постојеће опреме;</w:t>
      </w:r>
    </w:p>
    <w:p w14:paraId="4F70DD99" w14:textId="7590DFB1"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н</w:t>
      </w:r>
      <w:r w:rsidR="00176354" w:rsidRPr="00CF77C1">
        <w:rPr>
          <w:lang w:val="sr-Cyrl-RS"/>
        </w:rPr>
        <w:t>абавка помоћне механизације;</w:t>
      </w:r>
    </w:p>
    <w:p w14:paraId="37F21C30" w14:textId="5ECF7FF9"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и</w:t>
      </w:r>
      <w:r w:rsidR="00176354" w:rsidRPr="00CF77C1">
        <w:rPr>
          <w:lang w:val="sr-Cyrl-RS"/>
        </w:rPr>
        <w:t>зрада ретерзионих брана и регул</w:t>
      </w:r>
      <w:r w:rsidR="004653CD" w:rsidRPr="00CF77C1">
        <w:rPr>
          <w:lang w:val="sr-Cyrl-RS"/>
        </w:rPr>
        <w:t>а</w:t>
      </w:r>
      <w:r w:rsidR="00176354" w:rsidRPr="00CF77C1">
        <w:rPr>
          <w:lang w:val="sr-Cyrl-RS"/>
        </w:rPr>
        <w:t>ција реке Пештан;</w:t>
      </w:r>
    </w:p>
    <w:p w14:paraId="5E301C9A" w14:textId="73F1CA90"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и</w:t>
      </w:r>
      <w:r w:rsidR="00176354" w:rsidRPr="00CF77C1">
        <w:rPr>
          <w:lang w:val="sr-Cyrl-RS"/>
        </w:rPr>
        <w:t>зградња инфраструктурних објеката (монтажни плац, радионице и др);</w:t>
      </w:r>
    </w:p>
    <w:p w14:paraId="76C61E80" w14:textId="65090FD7"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и</w:t>
      </w:r>
      <w:r w:rsidR="00176354" w:rsidRPr="00CF77C1">
        <w:rPr>
          <w:lang w:val="sr-Cyrl-RS"/>
        </w:rPr>
        <w:t>змештање путева;</w:t>
      </w:r>
    </w:p>
    <w:p w14:paraId="298D1D8C" w14:textId="0D6EEBB3" w:rsidR="00176354" w:rsidRPr="00CF77C1" w:rsidRDefault="00DE3AA7" w:rsidP="005621E0">
      <w:pPr>
        <w:pStyle w:val="ListParagraph"/>
        <w:numPr>
          <w:ilvl w:val="0"/>
          <w:numId w:val="23"/>
        </w:numPr>
        <w:spacing w:before="60" w:after="60"/>
        <w:ind w:left="0" w:firstLineChars="299" w:firstLine="718"/>
        <w:contextualSpacing w:val="0"/>
        <w:rPr>
          <w:lang w:val="sr-Cyrl-RS"/>
        </w:rPr>
      </w:pPr>
      <w:r w:rsidRPr="00CF77C1">
        <w:rPr>
          <w:lang w:val="sr-Cyrl-RS"/>
        </w:rPr>
        <w:t>о</w:t>
      </w:r>
      <w:r w:rsidR="00A84557" w:rsidRPr="00CF77C1">
        <w:rPr>
          <w:lang w:val="sr-Cyrl-RS"/>
        </w:rPr>
        <w:t>ткуп земљишта.</w:t>
      </w:r>
    </w:p>
    <w:p w14:paraId="25B33FE1" w14:textId="77777777" w:rsidR="00FD6088" w:rsidRPr="00CF77C1" w:rsidRDefault="00FD6088" w:rsidP="0080044B">
      <w:pPr>
        <w:pStyle w:val="ListParagraph"/>
        <w:numPr>
          <w:ilvl w:val="0"/>
          <w:numId w:val="23"/>
        </w:numPr>
        <w:spacing w:before="60" w:after="60"/>
        <w:ind w:left="358" w:hangingChars="149" w:hanging="358"/>
        <w:contextualSpacing w:val="0"/>
        <w:rPr>
          <w:lang w:val="sr-Cyrl-RS"/>
        </w:rPr>
        <w:sectPr w:rsidR="00FD6088" w:rsidRPr="00CF77C1" w:rsidSect="005621E0">
          <w:headerReference w:type="default" r:id="rId117"/>
          <w:footerReference w:type="default" r:id="rId118"/>
          <w:pgSz w:w="11907" w:h="16839" w:code="9"/>
          <w:pgMar w:top="1134" w:right="1377" w:bottom="1134" w:left="1418" w:header="720" w:footer="720" w:gutter="0"/>
          <w:cols w:space="720"/>
          <w:docGrid w:linePitch="360"/>
        </w:sectPr>
      </w:pPr>
    </w:p>
    <w:p w14:paraId="68A6612B" w14:textId="76AD2A0C" w:rsidR="00FD6088" w:rsidRPr="00CF77C1" w:rsidRDefault="00D61BC9" w:rsidP="005621E0">
      <w:pPr>
        <w:pStyle w:val="Caption"/>
        <w:ind w:firstLine="718"/>
        <w:rPr>
          <w:b w:val="0"/>
          <w:lang w:val="sr-Cyrl-RS"/>
        </w:rPr>
      </w:pPr>
      <w:r w:rsidRPr="00CF77C1">
        <w:rPr>
          <w:b w:val="0"/>
          <w:lang w:val="sr-Cyrl-RS"/>
        </w:rPr>
        <w:t>таб.</w:t>
      </w:r>
      <w:r w:rsidR="00FD6088"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113</w:t>
      </w:r>
      <w:r w:rsidR="0092145E" w:rsidRPr="00CF77C1">
        <w:rPr>
          <w:b w:val="0"/>
          <w:lang w:val="sr-Cyrl-RS"/>
        </w:rPr>
        <w:fldChar w:fldCharType="end"/>
      </w:r>
      <w:r w:rsidR="00FD6088" w:rsidRPr="00CF77C1">
        <w:rPr>
          <w:b w:val="0"/>
          <w:lang w:val="sr-Cyrl-RS"/>
        </w:rPr>
        <w:t>: Основне карактеристике и ефекти пројекта „Отварање површинског копа Поље Е (завршетак инвестиционе изградње површинског копа Поље Ц)</w:t>
      </w:r>
      <w:r w:rsidR="00AD5740" w:rsidRPr="00CF77C1">
        <w:rPr>
          <w:b w:val="0"/>
          <w:lang w:val="sr-Cyrl-R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402"/>
        <w:gridCol w:w="4110"/>
        <w:gridCol w:w="3906"/>
      </w:tblGrid>
      <w:tr w:rsidR="00FD6088" w:rsidRPr="00CF77C1" w14:paraId="0E34E141" w14:textId="77777777" w:rsidTr="00AE17CC">
        <w:tc>
          <w:tcPr>
            <w:tcW w:w="3369" w:type="dxa"/>
            <w:shd w:val="clear" w:color="auto" w:fill="auto"/>
            <w:vAlign w:val="center"/>
          </w:tcPr>
          <w:p w14:paraId="51EAA4EF" w14:textId="77777777" w:rsidR="00FD6088" w:rsidRPr="00CF77C1" w:rsidRDefault="00FD6088" w:rsidP="0080044B">
            <w:pPr>
              <w:jc w:val="center"/>
              <w:rPr>
                <w:szCs w:val="24"/>
                <w:lang w:val="sr-Cyrl-RS"/>
              </w:rPr>
            </w:pPr>
            <w:r w:rsidRPr="00CF77C1">
              <w:rPr>
                <w:szCs w:val="24"/>
                <w:lang w:val="sr-Cyrl-RS"/>
              </w:rPr>
              <w:t>Техничке карактеристике</w:t>
            </w:r>
          </w:p>
        </w:tc>
        <w:tc>
          <w:tcPr>
            <w:tcW w:w="3402" w:type="dxa"/>
            <w:shd w:val="clear" w:color="auto" w:fill="auto"/>
            <w:vAlign w:val="center"/>
          </w:tcPr>
          <w:p w14:paraId="31C63765" w14:textId="77777777" w:rsidR="00FD6088" w:rsidRPr="00CF77C1" w:rsidRDefault="00FD6088" w:rsidP="0080044B">
            <w:pPr>
              <w:jc w:val="center"/>
              <w:rPr>
                <w:szCs w:val="24"/>
                <w:lang w:val="sr-Cyrl-RS"/>
              </w:rPr>
            </w:pPr>
            <w:r w:rsidRPr="00CF77C1">
              <w:rPr>
                <w:szCs w:val="24"/>
                <w:lang w:val="sr-Cyrl-RS"/>
              </w:rPr>
              <w:t>Вредност пројекта и извор средстава</w:t>
            </w:r>
          </w:p>
        </w:tc>
        <w:tc>
          <w:tcPr>
            <w:tcW w:w="4110" w:type="dxa"/>
            <w:shd w:val="clear" w:color="auto" w:fill="auto"/>
            <w:vAlign w:val="center"/>
          </w:tcPr>
          <w:p w14:paraId="1C47FDFA" w14:textId="77777777" w:rsidR="00FD6088" w:rsidRPr="00CF77C1" w:rsidRDefault="00FD6088" w:rsidP="0080044B">
            <w:pPr>
              <w:jc w:val="center"/>
              <w:rPr>
                <w:szCs w:val="24"/>
                <w:lang w:val="sr-Cyrl-RS"/>
              </w:rPr>
            </w:pPr>
            <w:r w:rsidRPr="00CF77C1">
              <w:rPr>
                <w:szCs w:val="24"/>
                <w:lang w:val="sr-Cyrl-RS"/>
              </w:rPr>
              <w:t>Опис ефеката реализације</w:t>
            </w:r>
          </w:p>
        </w:tc>
        <w:tc>
          <w:tcPr>
            <w:tcW w:w="3906" w:type="dxa"/>
            <w:shd w:val="clear" w:color="auto" w:fill="auto"/>
            <w:vAlign w:val="center"/>
          </w:tcPr>
          <w:p w14:paraId="10E722F6" w14:textId="77777777" w:rsidR="00FD6088" w:rsidRPr="00CF77C1" w:rsidRDefault="00FD6088" w:rsidP="0080044B">
            <w:pPr>
              <w:jc w:val="center"/>
              <w:rPr>
                <w:szCs w:val="24"/>
                <w:lang w:val="sr-Cyrl-RS"/>
              </w:rPr>
            </w:pPr>
            <w:r w:rsidRPr="00CF77C1">
              <w:rPr>
                <w:szCs w:val="24"/>
                <w:lang w:val="sr-Cyrl-RS"/>
              </w:rPr>
              <w:t>Валоризовани просечни годишњи ефекти реализације на основу расположиве документације</w:t>
            </w:r>
          </w:p>
        </w:tc>
      </w:tr>
      <w:tr w:rsidR="00AE17CC" w:rsidRPr="00CF77C1" w14:paraId="23DC48AA" w14:textId="77777777" w:rsidTr="00AE17CC">
        <w:trPr>
          <w:trHeight w:val="740"/>
        </w:trPr>
        <w:tc>
          <w:tcPr>
            <w:tcW w:w="3369" w:type="dxa"/>
            <w:shd w:val="clear" w:color="auto" w:fill="auto"/>
            <w:vAlign w:val="center"/>
          </w:tcPr>
          <w:p w14:paraId="1DB242B2" w14:textId="77777777" w:rsidR="00AE17CC" w:rsidRPr="00CF77C1" w:rsidRDefault="00AE17CC" w:rsidP="0080044B">
            <w:pPr>
              <w:spacing w:before="0" w:after="0"/>
              <w:jc w:val="left"/>
              <w:rPr>
                <w:szCs w:val="24"/>
                <w:lang w:val="sr-Cyrl-RS"/>
              </w:rPr>
            </w:pPr>
            <w:r w:rsidRPr="00CF77C1">
              <w:rPr>
                <w:szCs w:val="24"/>
                <w:lang w:val="sr-Cyrl-RS"/>
              </w:rPr>
              <w:t>Измештање инфрастуктурних објеката</w:t>
            </w:r>
          </w:p>
        </w:tc>
        <w:tc>
          <w:tcPr>
            <w:tcW w:w="3402" w:type="dxa"/>
            <w:shd w:val="clear" w:color="auto" w:fill="auto"/>
            <w:vAlign w:val="center"/>
          </w:tcPr>
          <w:p w14:paraId="5AB57676" w14:textId="77777777" w:rsidR="00AE17CC" w:rsidRPr="00CF77C1" w:rsidRDefault="00AE17CC" w:rsidP="0080044B">
            <w:pPr>
              <w:jc w:val="center"/>
              <w:rPr>
                <w:szCs w:val="24"/>
                <w:lang w:val="sr-Cyrl-RS"/>
              </w:rPr>
            </w:pPr>
            <w:r w:rsidRPr="00CF77C1">
              <w:rPr>
                <w:szCs w:val="24"/>
                <w:lang w:val="sr-Cyrl-RS"/>
              </w:rPr>
              <w:t>41.230.000 €</w:t>
            </w:r>
          </w:p>
          <w:p w14:paraId="7E8E77DC" w14:textId="1359A571" w:rsidR="00AE17CC" w:rsidRPr="00CF77C1" w:rsidRDefault="00AE17CC"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110" w:type="dxa"/>
            <w:vMerge w:val="restart"/>
            <w:shd w:val="clear" w:color="auto" w:fill="auto"/>
            <w:vAlign w:val="center"/>
          </w:tcPr>
          <w:p w14:paraId="3A9941D0" w14:textId="3189F487" w:rsidR="00AE17CC" w:rsidRPr="00CF77C1" w:rsidRDefault="00AE17CC" w:rsidP="0080044B">
            <w:pPr>
              <w:jc w:val="left"/>
              <w:rPr>
                <w:szCs w:val="24"/>
                <w:lang w:val="sr-Cyrl-RS"/>
              </w:rPr>
            </w:pPr>
            <w:r w:rsidRPr="00CF77C1">
              <w:rPr>
                <w:lang w:val="sr-Cyrl-RS"/>
              </w:rPr>
              <w:t>Отварањем површинског копа Поље Е као заменског капацитета површинског копа Поље Д и Поље Ц обезбеђују се довољне количине угља за сигурно снабдевање термоелектрана Никола Тесла. Планирано је повећање капацитета на ПК Поље Ц на 6.000.000 t</w:t>
            </w:r>
            <w:r w:rsidR="00EA6189" w:rsidRPr="00CF77C1">
              <w:rPr>
                <w:lang w:val="sr-Cyrl-RS"/>
              </w:rPr>
              <w:t xml:space="preserve"> </w:t>
            </w:r>
            <w:r w:rsidRPr="00CF77C1">
              <w:rPr>
                <w:lang w:val="sr-Cyrl-RS"/>
              </w:rPr>
              <w:t>уз експлоатацију на северозападном делу Поља Д од 6.000.000 - 11.000.000 (до 2020</w:t>
            </w:r>
            <w:r w:rsidR="00B265C0">
              <w:rPr>
                <w:lang w:val="sr-Cyrl-RS"/>
              </w:rPr>
              <w:t>.</w:t>
            </w:r>
            <w:r w:rsidRPr="00CF77C1">
              <w:rPr>
                <w:lang w:val="sr-Cyrl-RS"/>
              </w:rPr>
              <w:t xml:space="preserve"> године) и експлоатацију 1.300.000 до 5.000.000 t из кровинског слоја Поља Е са опремом са копа Поље Д. Отварање</w:t>
            </w:r>
            <w:r w:rsidR="00EA6189" w:rsidRPr="00CF77C1">
              <w:rPr>
                <w:lang w:val="sr-Cyrl-RS"/>
              </w:rPr>
              <w:t xml:space="preserve"> </w:t>
            </w:r>
            <w:r w:rsidRPr="00CF77C1">
              <w:rPr>
                <w:lang w:val="sr-Cyrl-RS"/>
              </w:rPr>
              <w:t>копа Поље Е планирано је за 2025.</w:t>
            </w:r>
            <w:r w:rsidR="002D7D6C" w:rsidRPr="00CF77C1">
              <w:rPr>
                <w:lang w:val="sr-Cyrl-RS"/>
              </w:rPr>
              <w:t xml:space="preserve"> годину</w:t>
            </w:r>
            <w:r w:rsidRPr="00CF77C1">
              <w:rPr>
                <w:lang w:val="sr-Cyrl-RS"/>
              </w:rPr>
              <w:t xml:space="preserve">. Укупни планирани капацитет је 12.000.000 t (5.000.000 t кровински слој и </w:t>
            </w:r>
            <w:r w:rsidR="00A84557" w:rsidRPr="00CF77C1">
              <w:rPr>
                <w:lang w:val="sr-Cyrl-RS"/>
              </w:rPr>
              <w:t>7.000.000 t главни слој). У</w:t>
            </w:r>
            <w:r w:rsidRPr="00CF77C1">
              <w:rPr>
                <w:lang w:val="sr-Cyrl-RS"/>
              </w:rPr>
              <w:t xml:space="preserve">купне инвестиције до </w:t>
            </w:r>
            <w:r w:rsidR="00165345" w:rsidRPr="00CF77C1">
              <w:rPr>
                <w:lang w:val="sr-Cyrl-RS"/>
              </w:rPr>
              <w:t>2023</w:t>
            </w:r>
            <w:r w:rsidR="002D7D6C" w:rsidRPr="00CF77C1">
              <w:rPr>
                <w:lang w:val="sr-Cyrl-RS"/>
              </w:rPr>
              <w:t>.</w:t>
            </w:r>
            <w:r w:rsidRPr="00CF77C1">
              <w:rPr>
                <w:lang w:val="sr-Cyrl-RS"/>
              </w:rPr>
              <w:t xml:space="preserve"> године су 235.200.000 €, а до краја века експлоатације још додатних 510.214.000 €</w:t>
            </w:r>
            <w:r w:rsidR="002D7D6C" w:rsidRPr="00CF77C1">
              <w:rPr>
                <w:lang w:val="sr-Cyrl-RS"/>
              </w:rPr>
              <w:t>,</w:t>
            </w:r>
            <w:r w:rsidRPr="00CF77C1">
              <w:rPr>
                <w:lang w:val="sr-Cyrl-RS"/>
              </w:rPr>
              <w:t xml:space="preserve"> односно</w:t>
            </w:r>
            <w:r w:rsidR="002D7D6C" w:rsidRPr="00CF77C1">
              <w:rPr>
                <w:lang w:val="sr-Cyrl-RS"/>
              </w:rPr>
              <w:t>,</w:t>
            </w:r>
            <w:r w:rsidRPr="00CF77C1">
              <w:rPr>
                <w:lang w:val="sr-Cyrl-RS"/>
              </w:rPr>
              <w:t xml:space="preserve"> укупно 745.500.000 €.</w:t>
            </w:r>
            <w:r w:rsidR="00EA6189" w:rsidRPr="00CF77C1">
              <w:rPr>
                <w:lang w:val="sr-Cyrl-RS"/>
              </w:rPr>
              <w:t xml:space="preserve"> </w:t>
            </w:r>
            <w:r w:rsidRPr="00CF77C1">
              <w:rPr>
                <w:lang w:val="sr-Cyrl-RS"/>
              </w:rPr>
              <w:t>Планирани годишњи капацитет је 11.000.000 t.</w:t>
            </w:r>
          </w:p>
        </w:tc>
        <w:tc>
          <w:tcPr>
            <w:tcW w:w="3906" w:type="dxa"/>
            <w:vMerge w:val="restart"/>
            <w:shd w:val="clear" w:color="auto" w:fill="auto"/>
            <w:vAlign w:val="center"/>
          </w:tcPr>
          <w:p w14:paraId="247E8B07" w14:textId="77777777" w:rsidR="00B5219A" w:rsidRPr="00CF77C1" w:rsidRDefault="00B5219A" w:rsidP="0080044B">
            <w:pPr>
              <w:pStyle w:val="BodyText"/>
              <w:jc w:val="center"/>
              <w:rPr>
                <w:szCs w:val="24"/>
                <w:lang w:val="sr-Cyrl-RS"/>
              </w:rPr>
            </w:pPr>
            <w:r w:rsidRPr="00CF77C1">
              <w:rPr>
                <w:szCs w:val="24"/>
                <w:lang w:val="sr-Cyrl-RS"/>
              </w:rPr>
              <w:t xml:space="preserve">Реализација пројекта отварања површинског копа Поље Е омогућава континуитет у производњи електричне енергије. На бази резерви угља са ПК Поље Е могућа је укупна производња од </w:t>
            </w:r>
            <w:r w:rsidRPr="00CF77C1">
              <w:rPr>
                <w:lang w:val="sr-Cyrl-RS"/>
              </w:rPr>
              <w:t xml:space="preserve">190.000 </w:t>
            </w:r>
            <w:r w:rsidRPr="00CF77C1">
              <w:rPr>
                <w:szCs w:val="24"/>
                <w:lang w:val="sr-Cyrl-RS"/>
              </w:rPr>
              <w:t>GWh. Економски ток пројекта даје прорачун интерне стопе повраћаја IRR (Interal rate of return).</w:t>
            </w:r>
          </w:p>
          <w:p w14:paraId="25A84371" w14:textId="77777777" w:rsidR="00B5219A" w:rsidRPr="00CF77C1" w:rsidRDefault="00B5219A" w:rsidP="0080044B">
            <w:pPr>
              <w:pStyle w:val="BodyText"/>
              <w:jc w:val="center"/>
              <w:rPr>
                <w:szCs w:val="24"/>
                <w:lang w:val="sr-Cyrl-RS"/>
              </w:rPr>
            </w:pPr>
            <w:r w:rsidRPr="00CF77C1">
              <w:rPr>
                <w:szCs w:val="24"/>
                <w:lang w:val="sr-Cyrl-RS"/>
              </w:rPr>
              <w:t>IRR = 11,42%</w:t>
            </w:r>
          </w:p>
          <w:p w14:paraId="43300CDC" w14:textId="77777777" w:rsidR="00B5219A" w:rsidRPr="00CF77C1" w:rsidRDefault="00B5219A" w:rsidP="0080044B">
            <w:pPr>
              <w:pStyle w:val="BodyText"/>
              <w:jc w:val="center"/>
              <w:rPr>
                <w:szCs w:val="24"/>
                <w:lang w:val="sr-Cyrl-RS"/>
              </w:rPr>
            </w:pPr>
            <w:r w:rsidRPr="00CF77C1">
              <w:rPr>
                <w:szCs w:val="24"/>
                <w:lang w:val="sr-Cyrl-RS"/>
              </w:rPr>
              <w:t>У економском току израчуната је и нето садашња вредност са дисконтном стопом од 8% и износи</w:t>
            </w:r>
          </w:p>
          <w:p w14:paraId="256A205A" w14:textId="77777777" w:rsidR="00B5219A" w:rsidRPr="00CF77C1" w:rsidRDefault="00B5219A" w:rsidP="0080044B">
            <w:pPr>
              <w:pStyle w:val="BodyText"/>
              <w:jc w:val="center"/>
              <w:rPr>
                <w:szCs w:val="24"/>
                <w:lang w:val="sr-Cyrl-RS"/>
              </w:rPr>
            </w:pPr>
            <w:r w:rsidRPr="00CF77C1">
              <w:rPr>
                <w:szCs w:val="24"/>
                <w:lang w:val="sr-Cyrl-RS"/>
              </w:rPr>
              <w:t>NPV =170.495.911,15 €</w:t>
            </w:r>
          </w:p>
          <w:p w14:paraId="7367DAA8" w14:textId="77777777" w:rsidR="00B5219A" w:rsidRPr="00CF77C1" w:rsidRDefault="00B5219A" w:rsidP="0080044B">
            <w:pPr>
              <w:pStyle w:val="BodyText"/>
              <w:jc w:val="center"/>
              <w:rPr>
                <w:szCs w:val="24"/>
                <w:lang w:val="sr-Cyrl-RS"/>
              </w:rPr>
            </w:pPr>
            <w:r w:rsidRPr="00CF77C1">
              <w:rPr>
                <w:szCs w:val="24"/>
                <w:lang w:val="sr-Cyrl-RS"/>
              </w:rPr>
              <w:t>Просечна нето добит= 2,25 €/tona</w:t>
            </w:r>
          </w:p>
          <w:p w14:paraId="723C678C" w14:textId="77777777" w:rsidR="00B5219A" w:rsidRPr="00CF77C1" w:rsidRDefault="00B5219A" w:rsidP="0080044B">
            <w:pPr>
              <w:pStyle w:val="BodyText"/>
              <w:jc w:val="center"/>
              <w:rPr>
                <w:szCs w:val="24"/>
                <w:lang w:val="sr-Cyrl-RS"/>
              </w:rPr>
            </w:pPr>
            <w:r w:rsidRPr="00CF77C1">
              <w:rPr>
                <w:szCs w:val="24"/>
                <w:lang w:val="sr-Cyrl-RS"/>
              </w:rPr>
              <w:t>NPV по тони угља = 0,41 €/t</w:t>
            </w:r>
          </w:p>
          <w:p w14:paraId="125D6444" w14:textId="73EF4005" w:rsidR="00AE17CC" w:rsidRPr="00CF77C1" w:rsidRDefault="00B5219A" w:rsidP="00B265C0">
            <w:pPr>
              <w:pStyle w:val="BodyText"/>
              <w:jc w:val="center"/>
              <w:rPr>
                <w:szCs w:val="24"/>
                <w:lang w:val="sr-Cyrl-RS"/>
              </w:rPr>
            </w:pPr>
            <w:r w:rsidRPr="00CF77C1">
              <w:rPr>
                <w:szCs w:val="24"/>
                <w:lang w:val="sr-Cyrl-RS"/>
              </w:rPr>
              <w:t>Набављен се нови БТО систем са фреквентно регулисаним погонима (</w:t>
            </w:r>
            <w:r w:rsidR="00B265C0">
              <w:rPr>
                <w:szCs w:val="24"/>
                <w:lang w:val="sr-Cyrl-RS"/>
              </w:rPr>
              <w:t xml:space="preserve">четири </w:t>
            </w:r>
            <w:r w:rsidRPr="00CF77C1">
              <w:rPr>
                <w:szCs w:val="24"/>
                <w:lang w:val="sr-Cyrl-RS"/>
              </w:rPr>
              <w:t>погонске станице) и могућношћу промене брзине у функцији капацитета. Уштеде у енергији су 10 до 30%. За овај систем уштеде око 300000 kWh на годишњем нивоу. Касније се набављају још два оваква система</w:t>
            </w:r>
            <w:r w:rsidR="00B265C0">
              <w:rPr>
                <w:szCs w:val="24"/>
                <w:lang w:val="sr-Cyrl-RS"/>
              </w:rPr>
              <w:t>.</w:t>
            </w:r>
            <w:r w:rsidRPr="00CF77C1">
              <w:rPr>
                <w:szCs w:val="24"/>
                <w:lang w:val="sr-Cyrl-RS"/>
              </w:rPr>
              <w:t xml:space="preserve"> </w:t>
            </w:r>
          </w:p>
        </w:tc>
      </w:tr>
      <w:tr w:rsidR="00AE17CC" w:rsidRPr="00CF77C1" w14:paraId="37B506B8" w14:textId="77777777" w:rsidTr="00AE17CC">
        <w:trPr>
          <w:trHeight w:val="740"/>
        </w:trPr>
        <w:tc>
          <w:tcPr>
            <w:tcW w:w="3369" w:type="dxa"/>
            <w:shd w:val="clear" w:color="auto" w:fill="auto"/>
            <w:vAlign w:val="center"/>
          </w:tcPr>
          <w:p w14:paraId="54DC71EE" w14:textId="77777777" w:rsidR="00AE17CC" w:rsidRPr="00CF77C1" w:rsidRDefault="00AE17CC" w:rsidP="0080044B">
            <w:pPr>
              <w:spacing w:before="0" w:after="0"/>
              <w:jc w:val="left"/>
              <w:rPr>
                <w:szCs w:val="24"/>
                <w:lang w:val="sr-Cyrl-RS"/>
              </w:rPr>
            </w:pPr>
            <w:r w:rsidRPr="00CF77C1">
              <w:rPr>
                <w:szCs w:val="24"/>
                <w:lang w:val="sr-Cyrl-RS"/>
              </w:rPr>
              <w:t xml:space="preserve">Пресељење насеља </w:t>
            </w:r>
          </w:p>
        </w:tc>
        <w:tc>
          <w:tcPr>
            <w:tcW w:w="3402" w:type="dxa"/>
            <w:shd w:val="clear" w:color="auto" w:fill="auto"/>
            <w:vAlign w:val="center"/>
          </w:tcPr>
          <w:p w14:paraId="280B9EF0" w14:textId="77777777" w:rsidR="00AE17CC" w:rsidRPr="00CF77C1" w:rsidRDefault="00AE17CC" w:rsidP="0080044B">
            <w:pPr>
              <w:jc w:val="center"/>
              <w:rPr>
                <w:bCs/>
                <w:szCs w:val="24"/>
                <w:lang w:val="sr-Cyrl-RS"/>
              </w:rPr>
            </w:pPr>
            <w:r w:rsidRPr="00CF77C1">
              <w:rPr>
                <w:bCs/>
                <w:szCs w:val="24"/>
                <w:lang w:val="sr-Cyrl-RS"/>
              </w:rPr>
              <w:t>9.340.000 €</w:t>
            </w:r>
          </w:p>
          <w:p w14:paraId="60DD311B" w14:textId="3407F385" w:rsidR="00AE17CC" w:rsidRPr="00CF77C1" w:rsidRDefault="00AE17CC" w:rsidP="0080044B">
            <w:pPr>
              <w:jc w:val="center"/>
              <w:rPr>
                <w:szCs w:val="24"/>
                <w:lang w:val="sr-Cyrl-RS"/>
              </w:rPr>
            </w:pPr>
            <w:r w:rsidRPr="00CF77C1">
              <w:rPr>
                <w:bCs/>
                <w:szCs w:val="24"/>
                <w:lang w:val="sr-Cyrl-RS"/>
              </w:rPr>
              <w:t xml:space="preserve">(сопствена средства </w:t>
            </w:r>
            <w:r w:rsidR="001741AC" w:rsidRPr="00CF77C1">
              <w:rPr>
                <w:szCs w:val="24"/>
                <w:lang w:val="sr-Cyrl-RS"/>
              </w:rPr>
              <w:t>ЕПС</w:t>
            </w:r>
            <w:r w:rsidRPr="00CF77C1">
              <w:rPr>
                <w:bCs/>
                <w:szCs w:val="24"/>
                <w:lang w:val="sr-Cyrl-RS"/>
              </w:rPr>
              <w:t>)</w:t>
            </w:r>
          </w:p>
        </w:tc>
        <w:tc>
          <w:tcPr>
            <w:tcW w:w="4110" w:type="dxa"/>
            <w:vMerge/>
            <w:shd w:val="clear" w:color="auto" w:fill="auto"/>
            <w:vAlign w:val="center"/>
          </w:tcPr>
          <w:p w14:paraId="20B1C36F" w14:textId="77777777" w:rsidR="00AE17CC" w:rsidRPr="00CF77C1" w:rsidRDefault="00AE17CC" w:rsidP="0080044B">
            <w:pPr>
              <w:jc w:val="left"/>
              <w:rPr>
                <w:lang w:val="sr-Cyrl-RS"/>
              </w:rPr>
            </w:pPr>
          </w:p>
        </w:tc>
        <w:tc>
          <w:tcPr>
            <w:tcW w:w="3906" w:type="dxa"/>
            <w:vMerge/>
            <w:shd w:val="clear" w:color="auto" w:fill="auto"/>
            <w:vAlign w:val="center"/>
          </w:tcPr>
          <w:p w14:paraId="5EA33F02" w14:textId="77777777" w:rsidR="00AE17CC" w:rsidRPr="00CF77C1" w:rsidRDefault="00AE17CC" w:rsidP="0080044B">
            <w:pPr>
              <w:jc w:val="left"/>
              <w:rPr>
                <w:lang w:val="sr-Cyrl-RS"/>
              </w:rPr>
            </w:pPr>
          </w:p>
        </w:tc>
      </w:tr>
      <w:tr w:rsidR="00AE17CC" w:rsidRPr="00CF77C1" w14:paraId="73874189" w14:textId="77777777" w:rsidTr="00AE17CC">
        <w:trPr>
          <w:trHeight w:val="741"/>
        </w:trPr>
        <w:tc>
          <w:tcPr>
            <w:tcW w:w="3369" w:type="dxa"/>
            <w:shd w:val="clear" w:color="auto" w:fill="auto"/>
            <w:vAlign w:val="center"/>
          </w:tcPr>
          <w:p w14:paraId="36CF9643" w14:textId="77777777" w:rsidR="00AE17CC" w:rsidRPr="00CF77C1" w:rsidRDefault="00AE17CC" w:rsidP="0080044B">
            <w:pPr>
              <w:spacing w:before="0" w:after="0"/>
              <w:jc w:val="left"/>
              <w:rPr>
                <w:szCs w:val="24"/>
                <w:lang w:val="sr-Cyrl-RS"/>
              </w:rPr>
            </w:pPr>
            <w:r w:rsidRPr="00CF77C1">
              <w:rPr>
                <w:szCs w:val="24"/>
                <w:lang w:val="sr-Cyrl-RS"/>
              </w:rPr>
              <w:t>Изградња инфрастуктурних објеката</w:t>
            </w:r>
          </w:p>
        </w:tc>
        <w:tc>
          <w:tcPr>
            <w:tcW w:w="3402" w:type="dxa"/>
            <w:shd w:val="clear" w:color="auto" w:fill="auto"/>
            <w:vAlign w:val="center"/>
          </w:tcPr>
          <w:p w14:paraId="54C464E0" w14:textId="77777777" w:rsidR="00AE17CC" w:rsidRPr="00CF77C1" w:rsidRDefault="00AE17CC" w:rsidP="0080044B">
            <w:pPr>
              <w:jc w:val="center"/>
              <w:rPr>
                <w:bCs/>
                <w:szCs w:val="24"/>
                <w:lang w:val="sr-Cyrl-RS"/>
              </w:rPr>
            </w:pPr>
            <w:r w:rsidRPr="00CF77C1">
              <w:rPr>
                <w:bCs/>
                <w:szCs w:val="24"/>
                <w:lang w:val="sr-Cyrl-RS"/>
              </w:rPr>
              <w:t>7.200.000 €</w:t>
            </w:r>
          </w:p>
          <w:p w14:paraId="0D5ECBBB" w14:textId="5BCBE386" w:rsidR="00AE17CC" w:rsidRPr="00CF77C1" w:rsidRDefault="00AE17CC" w:rsidP="0080044B">
            <w:pPr>
              <w:jc w:val="center"/>
              <w:rPr>
                <w:szCs w:val="24"/>
                <w:lang w:val="sr-Cyrl-RS"/>
              </w:rPr>
            </w:pPr>
            <w:r w:rsidRPr="00CF77C1">
              <w:rPr>
                <w:bCs/>
                <w:szCs w:val="24"/>
                <w:lang w:val="sr-Cyrl-RS"/>
              </w:rPr>
              <w:t xml:space="preserve">(сопствена средства </w:t>
            </w:r>
            <w:r w:rsidR="001741AC" w:rsidRPr="00CF77C1">
              <w:rPr>
                <w:szCs w:val="24"/>
                <w:lang w:val="sr-Cyrl-RS"/>
              </w:rPr>
              <w:t>ЕПС</w:t>
            </w:r>
            <w:r w:rsidRPr="00CF77C1">
              <w:rPr>
                <w:bCs/>
                <w:szCs w:val="24"/>
                <w:lang w:val="sr-Cyrl-RS"/>
              </w:rPr>
              <w:t>)</w:t>
            </w:r>
          </w:p>
        </w:tc>
        <w:tc>
          <w:tcPr>
            <w:tcW w:w="4110" w:type="dxa"/>
            <w:vMerge/>
            <w:shd w:val="clear" w:color="auto" w:fill="auto"/>
            <w:vAlign w:val="center"/>
          </w:tcPr>
          <w:p w14:paraId="08BA7D0F" w14:textId="77777777" w:rsidR="00AE17CC" w:rsidRPr="00CF77C1" w:rsidRDefault="00AE17CC" w:rsidP="0080044B">
            <w:pPr>
              <w:jc w:val="left"/>
              <w:rPr>
                <w:lang w:val="sr-Cyrl-RS"/>
              </w:rPr>
            </w:pPr>
          </w:p>
        </w:tc>
        <w:tc>
          <w:tcPr>
            <w:tcW w:w="3906" w:type="dxa"/>
            <w:vMerge/>
            <w:shd w:val="clear" w:color="auto" w:fill="auto"/>
            <w:vAlign w:val="center"/>
          </w:tcPr>
          <w:p w14:paraId="755C5DCC" w14:textId="77777777" w:rsidR="00AE17CC" w:rsidRPr="00CF77C1" w:rsidRDefault="00AE17CC" w:rsidP="0080044B">
            <w:pPr>
              <w:jc w:val="left"/>
              <w:rPr>
                <w:lang w:val="sr-Cyrl-RS"/>
              </w:rPr>
            </w:pPr>
          </w:p>
        </w:tc>
      </w:tr>
      <w:tr w:rsidR="00AE17CC" w:rsidRPr="00CF77C1" w14:paraId="667DABFB" w14:textId="77777777" w:rsidTr="00AE17CC">
        <w:trPr>
          <w:trHeight w:val="740"/>
        </w:trPr>
        <w:tc>
          <w:tcPr>
            <w:tcW w:w="3369" w:type="dxa"/>
            <w:shd w:val="clear" w:color="auto" w:fill="auto"/>
            <w:vAlign w:val="center"/>
          </w:tcPr>
          <w:p w14:paraId="26EA0A4D" w14:textId="77777777" w:rsidR="00AE17CC" w:rsidRPr="00CF77C1" w:rsidRDefault="00AE17CC" w:rsidP="0080044B">
            <w:pPr>
              <w:spacing w:before="0" w:after="0"/>
              <w:jc w:val="left"/>
              <w:rPr>
                <w:szCs w:val="24"/>
                <w:lang w:val="sr-Cyrl-RS"/>
              </w:rPr>
            </w:pPr>
            <w:r w:rsidRPr="00CF77C1">
              <w:rPr>
                <w:szCs w:val="24"/>
                <w:lang w:val="sr-Cyrl-RS"/>
              </w:rPr>
              <w:t>Поље Ц нова опрема (БТО систем)</w:t>
            </w:r>
          </w:p>
        </w:tc>
        <w:tc>
          <w:tcPr>
            <w:tcW w:w="3402" w:type="dxa"/>
            <w:shd w:val="clear" w:color="auto" w:fill="auto"/>
            <w:vAlign w:val="center"/>
          </w:tcPr>
          <w:p w14:paraId="7B99E43E" w14:textId="7B083E71" w:rsidR="00AE17CC" w:rsidRPr="00CF77C1" w:rsidRDefault="00BF18E8" w:rsidP="0080044B">
            <w:pPr>
              <w:jc w:val="center"/>
              <w:rPr>
                <w:bCs/>
                <w:szCs w:val="24"/>
                <w:lang w:val="sr-Cyrl-RS"/>
              </w:rPr>
            </w:pPr>
            <w:r w:rsidRPr="00CF77C1">
              <w:rPr>
                <w:bCs/>
                <w:szCs w:val="24"/>
                <w:lang w:val="sr-Cyrl-RS"/>
              </w:rPr>
              <w:t>79</w:t>
            </w:r>
            <w:r w:rsidR="00AE17CC" w:rsidRPr="00CF77C1">
              <w:rPr>
                <w:bCs/>
                <w:szCs w:val="24"/>
                <w:lang w:val="sr-Cyrl-RS"/>
              </w:rPr>
              <w:t>.</w:t>
            </w:r>
            <w:r w:rsidRPr="00CF77C1">
              <w:rPr>
                <w:bCs/>
                <w:szCs w:val="24"/>
                <w:lang w:val="sr-Cyrl-RS"/>
              </w:rPr>
              <w:t>000</w:t>
            </w:r>
            <w:r w:rsidR="00AE17CC" w:rsidRPr="00CF77C1">
              <w:rPr>
                <w:bCs/>
                <w:szCs w:val="24"/>
                <w:lang w:val="sr-Cyrl-RS"/>
              </w:rPr>
              <w:t>.000 €</w:t>
            </w:r>
          </w:p>
          <w:p w14:paraId="59D6082C" w14:textId="77777777" w:rsidR="00AE17CC" w:rsidRPr="00CF77C1" w:rsidRDefault="00AE17CC" w:rsidP="0080044B">
            <w:pPr>
              <w:jc w:val="center"/>
              <w:rPr>
                <w:szCs w:val="24"/>
                <w:lang w:val="sr-Cyrl-RS"/>
              </w:rPr>
            </w:pPr>
            <w:r w:rsidRPr="00CF77C1">
              <w:rPr>
                <w:bCs/>
                <w:szCs w:val="24"/>
                <w:lang w:val="sr-Cyrl-RS"/>
              </w:rPr>
              <w:t>(</w:t>
            </w:r>
            <w:r w:rsidR="00165345" w:rsidRPr="00CF77C1">
              <w:rPr>
                <w:szCs w:val="24"/>
                <w:lang w:val="sr-Cyrl-RS"/>
              </w:rPr>
              <w:t>EBRD банка</w:t>
            </w:r>
            <w:r w:rsidRPr="00CF77C1">
              <w:rPr>
                <w:bCs/>
                <w:szCs w:val="24"/>
                <w:lang w:val="sr-Cyrl-RS"/>
              </w:rPr>
              <w:t>)</w:t>
            </w:r>
          </w:p>
        </w:tc>
        <w:tc>
          <w:tcPr>
            <w:tcW w:w="4110" w:type="dxa"/>
            <w:vMerge/>
            <w:shd w:val="clear" w:color="auto" w:fill="auto"/>
            <w:vAlign w:val="center"/>
          </w:tcPr>
          <w:p w14:paraId="03045E53" w14:textId="77777777" w:rsidR="00AE17CC" w:rsidRPr="00CF77C1" w:rsidRDefault="00AE17CC" w:rsidP="0080044B">
            <w:pPr>
              <w:jc w:val="left"/>
              <w:rPr>
                <w:lang w:val="sr-Cyrl-RS"/>
              </w:rPr>
            </w:pPr>
          </w:p>
        </w:tc>
        <w:tc>
          <w:tcPr>
            <w:tcW w:w="3906" w:type="dxa"/>
            <w:vMerge/>
            <w:shd w:val="clear" w:color="auto" w:fill="auto"/>
            <w:vAlign w:val="center"/>
          </w:tcPr>
          <w:p w14:paraId="59A33D90" w14:textId="77777777" w:rsidR="00AE17CC" w:rsidRPr="00CF77C1" w:rsidRDefault="00AE17CC" w:rsidP="0080044B">
            <w:pPr>
              <w:jc w:val="left"/>
              <w:rPr>
                <w:lang w:val="sr-Cyrl-RS"/>
              </w:rPr>
            </w:pPr>
          </w:p>
        </w:tc>
      </w:tr>
      <w:tr w:rsidR="00AE17CC" w:rsidRPr="00CF77C1" w14:paraId="55ED02AD" w14:textId="77777777" w:rsidTr="00AE17CC">
        <w:trPr>
          <w:trHeight w:val="740"/>
        </w:trPr>
        <w:tc>
          <w:tcPr>
            <w:tcW w:w="3369" w:type="dxa"/>
            <w:shd w:val="clear" w:color="auto" w:fill="auto"/>
            <w:vAlign w:val="center"/>
          </w:tcPr>
          <w:p w14:paraId="7E3BB7E3" w14:textId="77777777" w:rsidR="00AE17CC" w:rsidRPr="00CF77C1" w:rsidRDefault="00AE17CC" w:rsidP="0080044B">
            <w:pPr>
              <w:spacing w:before="0" w:after="0"/>
              <w:jc w:val="left"/>
              <w:rPr>
                <w:szCs w:val="24"/>
                <w:lang w:val="sr-Cyrl-RS"/>
              </w:rPr>
            </w:pPr>
            <w:r w:rsidRPr="00CF77C1">
              <w:rPr>
                <w:szCs w:val="24"/>
                <w:lang w:val="sr-Cyrl-RS"/>
              </w:rPr>
              <w:t>Опрема за Поље Д јужно крило (повратни слој Поља Е)</w:t>
            </w:r>
          </w:p>
        </w:tc>
        <w:tc>
          <w:tcPr>
            <w:tcW w:w="3402" w:type="dxa"/>
            <w:shd w:val="clear" w:color="auto" w:fill="auto"/>
            <w:vAlign w:val="center"/>
          </w:tcPr>
          <w:p w14:paraId="540A7B65" w14:textId="77777777" w:rsidR="00AE17CC" w:rsidRPr="00CF77C1" w:rsidRDefault="00AE17CC" w:rsidP="0080044B">
            <w:pPr>
              <w:jc w:val="center"/>
              <w:rPr>
                <w:bCs/>
                <w:szCs w:val="24"/>
                <w:lang w:val="sr-Cyrl-RS"/>
              </w:rPr>
            </w:pPr>
            <w:r w:rsidRPr="00CF77C1">
              <w:rPr>
                <w:bCs/>
                <w:szCs w:val="24"/>
                <w:lang w:val="sr-Cyrl-RS"/>
              </w:rPr>
              <w:t>80.400.000 €</w:t>
            </w:r>
          </w:p>
          <w:p w14:paraId="312CBC51" w14:textId="3B31224B" w:rsidR="00AE17CC" w:rsidRPr="00CF77C1" w:rsidRDefault="00AE17CC" w:rsidP="0080044B">
            <w:pPr>
              <w:jc w:val="center"/>
              <w:rPr>
                <w:szCs w:val="24"/>
                <w:lang w:val="sr-Cyrl-RS"/>
              </w:rPr>
            </w:pPr>
            <w:r w:rsidRPr="00CF77C1">
              <w:rPr>
                <w:bCs/>
                <w:szCs w:val="24"/>
                <w:lang w:val="sr-Cyrl-RS"/>
              </w:rPr>
              <w:t xml:space="preserve">(сопствена средства </w:t>
            </w:r>
            <w:r w:rsidR="001741AC" w:rsidRPr="00CF77C1">
              <w:rPr>
                <w:szCs w:val="24"/>
                <w:lang w:val="sr-Cyrl-RS"/>
              </w:rPr>
              <w:t>ЕПС</w:t>
            </w:r>
            <w:r w:rsidRPr="00CF77C1">
              <w:rPr>
                <w:bCs/>
                <w:szCs w:val="24"/>
                <w:lang w:val="sr-Cyrl-RS"/>
              </w:rPr>
              <w:t>)</w:t>
            </w:r>
          </w:p>
        </w:tc>
        <w:tc>
          <w:tcPr>
            <w:tcW w:w="4110" w:type="dxa"/>
            <w:vMerge/>
            <w:shd w:val="clear" w:color="auto" w:fill="auto"/>
            <w:vAlign w:val="center"/>
          </w:tcPr>
          <w:p w14:paraId="1C41351D" w14:textId="77777777" w:rsidR="00AE17CC" w:rsidRPr="00CF77C1" w:rsidRDefault="00AE17CC" w:rsidP="0080044B">
            <w:pPr>
              <w:jc w:val="left"/>
              <w:rPr>
                <w:lang w:val="sr-Cyrl-RS"/>
              </w:rPr>
            </w:pPr>
          </w:p>
        </w:tc>
        <w:tc>
          <w:tcPr>
            <w:tcW w:w="3906" w:type="dxa"/>
            <w:vMerge/>
            <w:shd w:val="clear" w:color="auto" w:fill="auto"/>
            <w:vAlign w:val="center"/>
          </w:tcPr>
          <w:p w14:paraId="0C9F4A2B" w14:textId="77777777" w:rsidR="00AE17CC" w:rsidRPr="00CF77C1" w:rsidRDefault="00AE17CC" w:rsidP="0080044B">
            <w:pPr>
              <w:jc w:val="left"/>
              <w:rPr>
                <w:lang w:val="sr-Cyrl-RS"/>
              </w:rPr>
            </w:pPr>
          </w:p>
        </w:tc>
      </w:tr>
      <w:tr w:rsidR="00AE17CC" w:rsidRPr="00CF77C1" w14:paraId="032BAEBB" w14:textId="77777777" w:rsidTr="00AE17CC">
        <w:trPr>
          <w:trHeight w:val="741"/>
        </w:trPr>
        <w:tc>
          <w:tcPr>
            <w:tcW w:w="3369" w:type="dxa"/>
            <w:shd w:val="clear" w:color="auto" w:fill="auto"/>
            <w:vAlign w:val="center"/>
          </w:tcPr>
          <w:p w14:paraId="008C8363" w14:textId="77777777" w:rsidR="00AE17CC" w:rsidRPr="00CF77C1" w:rsidRDefault="00AE17CC" w:rsidP="0080044B">
            <w:pPr>
              <w:spacing w:before="0" w:after="0"/>
              <w:jc w:val="left"/>
              <w:rPr>
                <w:szCs w:val="24"/>
                <w:lang w:val="sr-Cyrl-RS"/>
              </w:rPr>
            </w:pPr>
            <w:r w:rsidRPr="00CF77C1">
              <w:rPr>
                <w:szCs w:val="24"/>
                <w:lang w:val="sr-Cyrl-RS"/>
              </w:rPr>
              <w:t>Поље E (опрема до 2020.)</w:t>
            </w:r>
          </w:p>
        </w:tc>
        <w:tc>
          <w:tcPr>
            <w:tcW w:w="3402" w:type="dxa"/>
            <w:shd w:val="clear" w:color="auto" w:fill="auto"/>
            <w:vAlign w:val="center"/>
          </w:tcPr>
          <w:p w14:paraId="29992CF5" w14:textId="77777777" w:rsidR="00AE17CC" w:rsidRPr="00CF77C1" w:rsidRDefault="00AE17CC" w:rsidP="0080044B">
            <w:pPr>
              <w:jc w:val="center"/>
              <w:rPr>
                <w:bCs/>
                <w:szCs w:val="24"/>
                <w:lang w:val="sr-Cyrl-RS"/>
              </w:rPr>
            </w:pPr>
            <w:r w:rsidRPr="00CF77C1">
              <w:rPr>
                <w:bCs/>
                <w:szCs w:val="24"/>
                <w:lang w:val="sr-Cyrl-RS"/>
              </w:rPr>
              <w:t>3.500.000 €</w:t>
            </w:r>
          </w:p>
          <w:p w14:paraId="745E6B20" w14:textId="47AF4E9A" w:rsidR="00AE17CC" w:rsidRPr="00CF77C1" w:rsidRDefault="00AE17CC" w:rsidP="0080044B">
            <w:pPr>
              <w:jc w:val="center"/>
              <w:rPr>
                <w:szCs w:val="24"/>
                <w:lang w:val="sr-Cyrl-RS"/>
              </w:rPr>
            </w:pPr>
            <w:r w:rsidRPr="00CF77C1">
              <w:rPr>
                <w:bCs/>
                <w:szCs w:val="24"/>
                <w:lang w:val="sr-Cyrl-RS"/>
              </w:rPr>
              <w:t xml:space="preserve">(сопствена средства </w:t>
            </w:r>
            <w:r w:rsidR="001741AC" w:rsidRPr="00CF77C1">
              <w:rPr>
                <w:szCs w:val="24"/>
                <w:lang w:val="sr-Cyrl-RS"/>
              </w:rPr>
              <w:t>ЕПС</w:t>
            </w:r>
            <w:r w:rsidRPr="00CF77C1">
              <w:rPr>
                <w:bCs/>
                <w:szCs w:val="24"/>
                <w:lang w:val="sr-Cyrl-RS"/>
              </w:rPr>
              <w:t>)</w:t>
            </w:r>
          </w:p>
        </w:tc>
        <w:tc>
          <w:tcPr>
            <w:tcW w:w="4110" w:type="dxa"/>
            <w:vMerge/>
            <w:shd w:val="clear" w:color="auto" w:fill="auto"/>
            <w:vAlign w:val="center"/>
          </w:tcPr>
          <w:p w14:paraId="654091D6" w14:textId="77777777" w:rsidR="00AE17CC" w:rsidRPr="00CF77C1" w:rsidRDefault="00AE17CC" w:rsidP="0080044B">
            <w:pPr>
              <w:jc w:val="left"/>
              <w:rPr>
                <w:lang w:val="sr-Cyrl-RS"/>
              </w:rPr>
            </w:pPr>
          </w:p>
        </w:tc>
        <w:tc>
          <w:tcPr>
            <w:tcW w:w="3906" w:type="dxa"/>
            <w:vMerge/>
            <w:shd w:val="clear" w:color="auto" w:fill="auto"/>
            <w:vAlign w:val="center"/>
          </w:tcPr>
          <w:p w14:paraId="7927B3DA" w14:textId="77777777" w:rsidR="00AE17CC" w:rsidRPr="00CF77C1" w:rsidRDefault="00AE17CC" w:rsidP="0080044B">
            <w:pPr>
              <w:jc w:val="left"/>
              <w:rPr>
                <w:lang w:val="sr-Cyrl-RS"/>
              </w:rPr>
            </w:pPr>
          </w:p>
        </w:tc>
      </w:tr>
      <w:tr w:rsidR="00AE17CC" w:rsidRPr="00CF77C1" w14:paraId="696040B3" w14:textId="77777777" w:rsidTr="00AE17CC">
        <w:trPr>
          <w:trHeight w:val="740"/>
        </w:trPr>
        <w:tc>
          <w:tcPr>
            <w:tcW w:w="3369" w:type="dxa"/>
            <w:shd w:val="clear" w:color="auto" w:fill="auto"/>
            <w:vAlign w:val="center"/>
          </w:tcPr>
          <w:p w14:paraId="3DDAEB37" w14:textId="77777777" w:rsidR="00AE17CC" w:rsidRPr="00CF77C1" w:rsidRDefault="00AE17CC" w:rsidP="0080044B">
            <w:pPr>
              <w:spacing w:before="0" w:after="0"/>
              <w:jc w:val="left"/>
              <w:rPr>
                <w:szCs w:val="24"/>
                <w:lang w:val="sr-Cyrl-RS"/>
              </w:rPr>
            </w:pPr>
            <w:r w:rsidRPr="00CF77C1">
              <w:rPr>
                <w:szCs w:val="24"/>
                <w:lang w:val="sr-Cyrl-RS"/>
              </w:rPr>
              <w:t>Одводњавање</w:t>
            </w:r>
          </w:p>
        </w:tc>
        <w:tc>
          <w:tcPr>
            <w:tcW w:w="3402" w:type="dxa"/>
            <w:shd w:val="clear" w:color="auto" w:fill="auto"/>
            <w:vAlign w:val="center"/>
          </w:tcPr>
          <w:p w14:paraId="127E6810" w14:textId="77777777" w:rsidR="00AE17CC" w:rsidRPr="00CF77C1" w:rsidRDefault="00AE17CC" w:rsidP="0080044B">
            <w:pPr>
              <w:jc w:val="center"/>
              <w:rPr>
                <w:szCs w:val="24"/>
                <w:lang w:val="sr-Cyrl-RS"/>
              </w:rPr>
            </w:pPr>
            <w:r w:rsidRPr="00CF77C1">
              <w:rPr>
                <w:szCs w:val="24"/>
                <w:lang w:val="sr-Cyrl-RS"/>
              </w:rPr>
              <w:t>15.000.000 €</w:t>
            </w:r>
          </w:p>
          <w:p w14:paraId="166AF872" w14:textId="66491CE7" w:rsidR="00AE17CC" w:rsidRPr="00CF77C1" w:rsidRDefault="00AE17CC"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110" w:type="dxa"/>
            <w:vMerge/>
            <w:shd w:val="clear" w:color="auto" w:fill="auto"/>
            <w:vAlign w:val="center"/>
          </w:tcPr>
          <w:p w14:paraId="20C9DD98" w14:textId="77777777" w:rsidR="00AE17CC" w:rsidRPr="00CF77C1" w:rsidRDefault="00AE17CC" w:rsidP="0080044B">
            <w:pPr>
              <w:jc w:val="left"/>
              <w:rPr>
                <w:lang w:val="sr-Cyrl-RS"/>
              </w:rPr>
            </w:pPr>
          </w:p>
        </w:tc>
        <w:tc>
          <w:tcPr>
            <w:tcW w:w="3906" w:type="dxa"/>
            <w:vMerge/>
            <w:shd w:val="clear" w:color="auto" w:fill="auto"/>
            <w:vAlign w:val="center"/>
          </w:tcPr>
          <w:p w14:paraId="7B46E230" w14:textId="77777777" w:rsidR="00AE17CC" w:rsidRPr="00CF77C1" w:rsidRDefault="00AE17CC" w:rsidP="0080044B">
            <w:pPr>
              <w:jc w:val="left"/>
              <w:rPr>
                <w:lang w:val="sr-Cyrl-RS"/>
              </w:rPr>
            </w:pPr>
          </w:p>
        </w:tc>
      </w:tr>
      <w:tr w:rsidR="00AE17CC" w:rsidRPr="00CF77C1" w14:paraId="4674579E" w14:textId="77777777" w:rsidTr="00AE17CC">
        <w:trPr>
          <w:trHeight w:val="740"/>
        </w:trPr>
        <w:tc>
          <w:tcPr>
            <w:tcW w:w="3369" w:type="dxa"/>
            <w:shd w:val="clear" w:color="auto" w:fill="auto"/>
            <w:vAlign w:val="center"/>
          </w:tcPr>
          <w:p w14:paraId="2C9EF735" w14:textId="77777777" w:rsidR="00AE17CC" w:rsidRPr="00CF77C1" w:rsidRDefault="00AE17CC" w:rsidP="0080044B">
            <w:pPr>
              <w:spacing w:before="0" w:after="0"/>
              <w:jc w:val="left"/>
              <w:rPr>
                <w:szCs w:val="24"/>
                <w:lang w:val="sr-Cyrl-RS"/>
              </w:rPr>
            </w:pPr>
            <w:r w:rsidRPr="00CF77C1">
              <w:rPr>
                <w:szCs w:val="24"/>
                <w:lang w:val="sr-Cyrl-RS"/>
              </w:rPr>
              <w:t xml:space="preserve">Геолошка истраживања </w:t>
            </w:r>
          </w:p>
        </w:tc>
        <w:tc>
          <w:tcPr>
            <w:tcW w:w="3402" w:type="dxa"/>
            <w:shd w:val="clear" w:color="auto" w:fill="auto"/>
            <w:vAlign w:val="center"/>
          </w:tcPr>
          <w:p w14:paraId="697E8079" w14:textId="77777777" w:rsidR="00AE17CC" w:rsidRPr="00CF77C1" w:rsidRDefault="00AE17CC" w:rsidP="0080044B">
            <w:pPr>
              <w:jc w:val="center"/>
              <w:rPr>
                <w:szCs w:val="24"/>
                <w:lang w:val="sr-Cyrl-RS"/>
              </w:rPr>
            </w:pPr>
            <w:r w:rsidRPr="00CF77C1">
              <w:rPr>
                <w:szCs w:val="24"/>
                <w:lang w:val="sr-Cyrl-RS"/>
              </w:rPr>
              <w:t>7.780.000 €</w:t>
            </w:r>
          </w:p>
          <w:p w14:paraId="35138217" w14:textId="3BB4780C" w:rsidR="00AE17CC" w:rsidRPr="00CF77C1" w:rsidRDefault="00AE17CC"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110" w:type="dxa"/>
            <w:vMerge/>
            <w:shd w:val="clear" w:color="auto" w:fill="auto"/>
            <w:vAlign w:val="center"/>
          </w:tcPr>
          <w:p w14:paraId="487287EB" w14:textId="77777777" w:rsidR="00AE17CC" w:rsidRPr="00CF77C1" w:rsidRDefault="00AE17CC" w:rsidP="0080044B">
            <w:pPr>
              <w:jc w:val="left"/>
              <w:rPr>
                <w:lang w:val="sr-Cyrl-RS"/>
              </w:rPr>
            </w:pPr>
          </w:p>
        </w:tc>
        <w:tc>
          <w:tcPr>
            <w:tcW w:w="3906" w:type="dxa"/>
            <w:vMerge/>
            <w:shd w:val="clear" w:color="auto" w:fill="auto"/>
            <w:vAlign w:val="center"/>
          </w:tcPr>
          <w:p w14:paraId="6CD51ADC" w14:textId="77777777" w:rsidR="00AE17CC" w:rsidRPr="00CF77C1" w:rsidRDefault="00AE17CC" w:rsidP="0080044B">
            <w:pPr>
              <w:jc w:val="left"/>
              <w:rPr>
                <w:lang w:val="sr-Cyrl-RS"/>
              </w:rPr>
            </w:pPr>
          </w:p>
        </w:tc>
      </w:tr>
      <w:tr w:rsidR="00AE17CC" w:rsidRPr="00CF77C1" w14:paraId="0D594BCA" w14:textId="77777777" w:rsidTr="00AE17CC">
        <w:trPr>
          <w:trHeight w:val="741"/>
        </w:trPr>
        <w:tc>
          <w:tcPr>
            <w:tcW w:w="3369" w:type="dxa"/>
            <w:shd w:val="clear" w:color="auto" w:fill="auto"/>
            <w:vAlign w:val="center"/>
          </w:tcPr>
          <w:p w14:paraId="78521F3D" w14:textId="77777777" w:rsidR="00AE17CC" w:rsidRPr="00CF77C1" w:rsidRDefault="00AE17CC" w:rsidP="0080044B">
            <w:pPr>
              <w:spacing w:before="0" w:after="0"/>
              <w:jc w:val="left"/>
              <w:rPr>
                <w:szCs w:val="24"/>
                <w:lang w:val="sr-Cyrl-RS"/>
              </w:rPr>
            </w:pPr>
            <w:r w:rsidRPr="00CF77C1">
              <w:rPr>
                <w:szCs w:val="24"/>
                <w:lang w:val="sr-Cyrl-RS"/>
              </w:rPr>
              <w:t>Набавка нове помоћне механизације</w:t>
            </w:r>
          </w:p>
        </w:tc>
        <w:tc>
          <w:tcPr>
            <w:tcW w:w="3402" w:type="dxa"/>
            <w:shd w:val="clear" w:color="auto" w:fill="auto"/>
            <w:vAlign w:val="center"/>
          </w:tcPr>
          <w:p w14:paraId="01855502" w14:textId="77777777" w:rsidR="004231D0" w:rsidRPr="00CF77C1" w:rsidRDefault="004231D0" w:rsidP="0080044B">
            <w:pPr>
              <w:jc w:val="center"/>
              <w:rPr>
                <w:szCs w:val="24"/>
                <w:lang w:val="sr-Cyrl-RS"/>
              </w:rPr>
            </w:pPr>
            <w:r w:rsidRPr="00CF77C1">
              <w:rPr>
                <w:szCs w:val="24"/>
                <w:lang w:val="sr-Cyrl-RS"/>
              </w:rPr>
              <w:t>34.000.000 €</w:t>
            </w:r>
          </w:p>
          <w:p w14:paraId="731AEC4A" w14:textId="422269F4" w:rsidR="00AE17CC" w:rsidRPr="00CF77C1" w:rsidRDefault="001741AC" w:rsidP="0080044B">
            <w:pPr>
              <w:jc w:val="center"/>
              <w:rPr>
                <w:szCs w:val="24"/>
                <w:lang w:val="sr-Cyrl-RS"/>
              </w:rPr>
            </w:pPr>
            <w:r w:rsidRPr="00CF77C1">
              <w:rPr>
                <w:szCs w:val="24"/>
                <w:lang w:val="sr-Cyrl-RS"/>
              </w:rPr>
              <w:t>(сопствена средства ЕПС</w:t>
            </w:r>
            <w:r w:rsidR="004231D0" w:rsidRPr="00CF77C1">
              <w:rPr>
                <w:szCs w:val="24"/>
                <w:lang w:val="sr-Cyrl-RS"/>
              </w:rPr>
              <w:t>)</w:t>
            </w:r>
          </w:p>
        </w:tc>
        <w:tc>
          <w:tcPr>
            <w:tcW w:w="4110" w:type="dxa"/>
            <w:vMerge/>
            <w:shd w:val="clear" w:color="auto" w:fill="auto"/>
            <w:vAlign w:val="center"/>
          </w:tcPr>
          <w:p w14:paraId="6AE7C66C" w14:textId="77777777" w:rsidR="00AE17CC" w:rsidRPr="00CF77C1" w:rsidRDefault="00AE17CC" w:rsidP="0080044B">
            <w:pPr>
              <w:jc w:val="left"/>
              <w:rPr>
                <w:lang w:val="sr-Cyrl-RS"/>
              </w:rPr>
            </w:pPr>
          </w:p>
        </w:tc>
        <w:tc>
          <w:tcPr>
            <w:tcW w:w="3906" w:type="dxa"/>
            <w:vMerge/>
            <w:shd w:val="clear" w:color="auto" w:fill="auto"/>
            <w:vAlign w:val="center"/>
          </w:tcPr>
          <w:p w14:paraId="58B4060F" w14:textId="77777777" w:rsidR="00AE17CC" w:rsidRPr="00CF77C1" w:rsidRDefault="00AE17CC" w:rsidP="0080044B">
            <w:pPr>
              <w:jc w:val="left"/>
              <w:rPr>
                <w:lang w:val="sr-Cyrl-RS"/>
              </w:rPr>
            </w:pPr>
          </w:p>
        </w:tc>
      </w:tr>
    </w:tbl>
    <w:p w14:paraId="35BD2BCC" w14:textId="6A0E9579"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114</w:t>
      </w:r>
      <w:r w:rsidR="0092145E" w:rsidRPr="00CF77C1">
        <w:rPr>
          <w:b w:val="0"/>
          <w:lang w:val="sr-Cyrl-RS"/>
        </w:rPr>
        <w:fldChar w:fldCharType="end"/>
      </w:r>
      <w:r w:rsidR="002D7D6C"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670"/>
        <w:gridCol w:w="4819"/>
      </w:tblGrid>
      <w:tr w:rsidR="002D7D6C" w:rsidRPr="00CF77C1" w14:paraId="7FA0FAE5" w14:textId="77777777" w:rsidTr="002D7D6C">
        <w:trPr>
          <w:cantSplit/>
          <w:tblHeader/>
        </w:trPr>
        <w:tc>
          <w:tcPr>
            <w:tcW w:w="4361" w:type="dxa"/>
            <w:shd w:val="clear" w:color="auto" w:fill="auto"/>
            <w:vAlign w:val="center"/>
          </w:tcPr>
          <w:p w14:paraId="3545F96B" w14:textId="77777777" w:rsidR="002D7D6C" w:rsidRPr="00CF77C1" w:rsidRDefault="002D7D6C" w:rsidP="0080044B">
            <w:pPr>
              <w:jc w:val="center"/>
              <w:rPr>
                <w:lang w:val="sr-Cyrl-RS"/>
              </w:rPr>
            </w:pPr>
            <w:r w:rsidRPr="00CF77C1">
              <w:rPr>
                <w:lang w:val="sr-Cyrl-RS"/>
              </w:rPr>
              <w:t>Пројекат</w:t>
            </w:r>
          </w:p>
        </w:tc>
        <w:tc>
          <w:tcPr>
            <w:tcW w:w="5670" w:type="dxa"/>
            <w:shd w:val="clear" w:color="auto" w:fill="auto"/>
            <w:vAlign w:val="center"/>
          </w:tcPr>
          <w:p w14:paraId="587E3C36" w14:textId="77777777" w:rsidR="002D7D6C" w:rsidRPr="00CF77C1" w:rsidRDefault="002D7D6C" w:rsidP="0080044B">
            <w:pPr>
              <w:jc w:val="center"/>
              <w:rPr>
                <w:lang w:val="sr-Cyrl-RS"/>
              </w:rPr>
            </w:pPr>
            <w:r w:rsidRPr="00CF77C1">
              <w:rPr>
                <w:lang w:val="sr-Cyrl-RS"/>
              </w:rPr>
              <w:t>Статус припреме пројекта</w:t>
            </w:r>
          </w:p>
        </w:tc>
        <w:tc>
          <w:tcPr>
            <w:tcW w:w="4819" w:type="dxa"/>
            <w:shd w:val="clear" w:color="auto" w:fill="auto"/>
            <w:vAlign w:val="center"/>
          </w:tcPr>
          <w:p w14:paraId="7DD8C240" w14:textId="77777777" w:rsidR="002D7D6C" w:rsidRPr="00CF77C1" w:rsidRDefault="002D7D6C" w:rsidP="0080044B">
            <w:pPr>
              <w:jc w:val="center"/>
              <w:rPr>
                <w:lang w:val="sr-Cyrl-RS"/>
              </w:rPr>
            </w:pPr>
            <w:r w:rsidRPr="00CF77C1">
              <w:rPr>
                <w:lang w:val="sr-Cyrl-RS"/>
              </w:rPr>
              <w:t>Недостајућа планска и техничка документација</w:t>
            </w:r>
          </w:p>
        </w:tc>
      </w:tr>
      <w:tr w:rsidR="002D7D6C" w:rsidRPr="00CF77C1" w14:paraId="131B0AA2" w14:textId="77777777" w:rsidTr="002D7D6C">
        <w:trPr>
          <w:cantSplit/>
        </w:trPr>
        <w:tc>
          <w:tcPr>
            <w:tcW w:w="4361" w:type="dxa"/>
            <w:shd w:val="clear" w:color="auto" w:fill="auto"/>
            <w:vAlign w:val="center"/>
          </w:tcPr>
          <w:p w14:paraId="5DC627E3" w14:textId="77777777" w:rsidR="002D7D6C" w:rsidRPr="00CF77C1" w:rsidRDefault="002D7D6C" w:rsidP="0080044B">
            <w:pPr>
              <w:jc w:val="left"/>
              <w:rPr>
                <w:lang w:val="sr-Cyrl-RS"/>
              </w:rPr>
            </w:pPr>
            <w:r w:rsidRPr="00CF77C1">
              <w:rPr>
                <w:lang w:val="sr-Cyrl-RS"/>
              </w:rPr>
              <w:t>Отварање површинског копа Поље Е</w:t>
            </w:r>
          </w:p>
        </w:tc>
        <w:tc>
          <w:tcPr>
            <w:tcW w:w="5670" w:type="dxa"/>
            <w:shd w:val="clear" w:color="auto" w:fill="auto"/>
            <w:vAlign w:val="center"/>
          </w:tcPr>
          <w:p w14:paraId="15F523AE" w14:textId="77777777" w:rsidR="002D7D6C" w:rsidRPr="00CF77C1" w:rsidRDefault="002D7D6C" w:rsidP="0080044B">
            <w:pPr>
              <w:jc w:val="left"/>
              <w:rPr>
                <w:lang w:val="sr-Cyrl-RS"/>
              </w:rPr>
            </w:pPr>
            <w:r w:rsidRPr="00CF77C1">
              <w:rPr>
                <w:lang w:val="sr-Cyrl-RS"/>
              </w:rPr>
              <w:t>Урађена студија оправданости и Главни рударски пројекат</w:t>
            </w:r>
          </w:p>
        </w:tc>
        <w:tc>
          <w:tcPr>
            <w:tcW w:w="4819" w:type="dxa"/>
            <w:shd w:val="clear" w:color="auto" w:fill="auto"/>
            <w:vAlign w:val="center"/>
          </w:tcPr>
          <w:p w14:paraId="7866997B" w14:textId="77777777" w:rsidR="002D7D6C" w:rsidRPr="00CF77C1" w:rsidRDefault="004231D0" w:rsidP="0080044B">
            <w:pPr>
              <w:jc w:val="left"/>
              <w:rPr>
                <w:lang w:val="sr-Cyrl-RS"/>
              </w:rPr>
            </w:pPr>
            <w:r w:rsidRPr="00CF77C1">
              <w:rPr>
                <w:lang w:val="sr-Cyrl-RS"/>
              </w:rPr>
              <w:t>Иновирање студије изводљивости, главни рударски пројекат за ПК Поље Е, Студија процене утицаја.</w:t>
            </w:r>
          </w:p>
        </w:tc>
      </w:tr>
    </w:tbl>
    <w:p w14:paraId="0F73A193" w14:textId="0495872F"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115</w:t>
      </w:r>
      <w:r w:rsidR="0092145E" w:rsidRPr="00CF77C1">
        <w:rPr>
          <w:b w:val="0"/>
          <w:lang w:val="sr-Cyrl-RS"/>
        </w:rPr>
        <w:fldChar w:fldCharType="end"/>
      </w:r>
      <w:r w:rsidR="002D7D6C" w:rsidRPr="00CF77C1">
        <w:rPr>
          <w:b w:val="0"/>
          <w:lang w:val="sr-Cyrl-RS"/>
        </w:rPr>
        <w:t>: Динамика реализације активн</w:t>
      </w:r>
      <w:r w:rsidR="005E7F26">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2268"/>
        <w:gridCol w:w="972"/>
        <w:gridCol w:w="972"/>
        <w:gridCol w:w="972"/>
        <w:gridCol w:w="972"/>
        <w:gridCol w:w="972"/>
        <w:gridCol w:w="972"/>
        <w:gridCol w:w="972"/>
      </w:tblGrid>
      <w:tr w:rsidR="002D7D6C" w:rsidRPr="00CF77C1" w14:paraId="1D36B52A" w14:textId="77777777" w:rsidTr="002D7D6C">
        <w:trPr>
          <w:tblHeader/>
        </w:trPr>
        <w:tc>
          <w:tcPr>
            <w:tcW w:w="5778" w:type="dxa"/>
            <w:shd w:val="clear" w:color="auto" w:fill="auto"/>
            <w:vAlign w:val="center"/>
          </w:tcPr>
          <w:p w14:paraId="620A4B22" w14:textId="77777777" w:rsidR="002D7D6C" w:rsidRPr="00CF77C1" w:rsidRDefault="002D7D6C" w:rsidP="0080044B">
            <w:pPr>
              <w:jc w:val="center"/>
              <w:rPr>
                <w:lang w:val="sr-Cyrl-RS"/>
              </w:rPr>
            </w:pPr>
            <w:r w:rsidRPr="00CF77C1">
              <w:rPr>
                <w:lang w:val="sr-Cyrl-RS"/>
              </w:rPr>
              <w:t>Пројекат:</w:t>
            </w:r>
          </w:p>
          <w:p w14:paraId="3FF1432C" w14:textId="77777777" w:rsidR="002D7D6C" w:rsidRPr="00CF77C1" w:rsidRDefault="002D7D6C" w:rsidP="0080044B">
            <w:pPr>
              <w:jc w:val="center"/>
              <w:rPr>
                <w:lang w:val="sr-Cyrl-RS"/>
              </w:rPr>
            </w:pPr>
            <w:r w:rsidRPr="00CF77C1">
              <w:rPr>
                <w:lang w:val="sr-Cyrl-RS"/>
              </w:rPr>
              <w:t>Отварање површинског копа Поље Е</w:t>
            </w:r>
          </w:p>
        </w:tc>
        <w:tc>
          <w:tcPr>
            <w:tcW w:w="2268" w:type="dxa"/>
            <w:shd w:val="clear" w:color="auto" w:fill="auto"/>
            <w:vAlign w:val="center"/>
          </w:tcPr>
          <w:p w14:paraId="25AAD770" w14:textId="77777777" w:rsidR="002D7D6C" w:rsidRPr="00CF77C1" w:rsidRDefault="00DD69C2" w:rsidP="0080044B">
            <w:pPr>
              <w:jc w:val="center"/>
              <w:rPr>
                <w:lang w:val="sr-Cyrl-RS"/>
              </w:rPr>
            </w:pPr>
            <w:r w:rsidRPr="00CF77C1">
              <w:rPr>
                <w:lang w:val="sr-Cyrl-RS"/>
              </w:rPr>
              <w:t>Одговорни субјекат</w:t>
            </w:r>
          </w:p>
        </w:tc>
        <w:tc>
          <w:tcPr>
            <w:tcW w:w="972" w:type="dxa"/>
            <w:shd w:val="clear" w:color="auto" w:fill="auto"/>
            <w:vAlign w:val="center"/>
          </w:tcPr>
          <w:p w14:paraId="26179F1C" w14:textId="77777777" w:rsidR="002D7D6C" w:rsidRPr="00CF77C1" w:rsidRDefault="002D7D6C" w:rsidP="0080044B">
            <w:pPr>
              <w:jc w:val="center"/>
              <w:rPr>
                <w:lang w:val="sr-Cyrl-RS"/>
              </w:rPr>
            </w:pPr>
            <w:r w:rsidRPr="00CF77C1">
              <w:rPr>
                <w:lang w:val="sr-Cyrl-RS"/>
              </w:rPr>
              <w:t>2017.</w:t>
            </w:r>
          </w:p>
        </w:tc>
        <w:tc>
          <w:tcPr>
            <w:tcW w:w="972" w:type="dxa"/>
            <w:shd w:val="clear" w:color="auto" w:fill="auto"/>
            <w:vAlign w:val="center"/>
          </w:tcPr>
          <w:p w14:paraId="733FAA38" w14:textId="77777777" w:rsidR="002D7D6C" w:rsidRPr="00CF77C1" w:rsidRDefault="002D7D6C" w:rsidP="0080044B">
            <w:pPr>
              <w:jc w:val="center"/>
              <w:rPr>
                <w:lang w:val="sr-Cyrl-RS"/>
              </w:rPr>
            </w:pPr>
            <w:r w:rsidRPr="00CF77C1">
              <w:rPr>
                <w:lang w:val="sr-Cyrl-RS"/>
              </w:rPr>
              <w:t>2018.</w:t>
            </w:r>
          </w:p>
        </w:tc>
        <w:tc>
          <w:tcPr>
            <w:tcW w:w="972" w:type="dxa"/>
            <w:shd w:val="clear" w:color="auto" w:fill="auto"/>
            <w:vAlign w:val="center"/>
          </w:tcPr>
          <w:p w14:paraId="6C721742" w14:textId="77777777" w:rsidR="002D7D6C" w:rsidRPr="00CF77C1" w:rsidRDefault="002D7D6C" w:rsidP="0080044B">
            <w:pPr>
              <w:jc w:val="center"/>
              <w:rPr>
                <w:lang w:val="sr-Cyrl-RS"/>
              </w:rPr>
            </w:pPr>
            <w:r w:rsidRPr="00CF77C1">
              <w:rPr>
                <w:lang w:val="sr-Cyrl-RS"/>
              </w:rPr>
              <w:t>2019.</w:t>
            </w:r>
          </w:p>
        </w:tc>
        <w:tc>
          <w:tcPr>
            <w:tcW w:w="972" w:type="dxa"/>
            <w:shd w:val="clear" w:color="auto" w:fill="auto"/>
            <w:vAlign w:val="center"/>
          </w:tcPr>
          <w:p w14:paraId="6FF334FC" w14:textId="77777777" w:rsidR="002D7D6C" w:rsidRPr="00CF77C1" w:rsidRDefault="002D7D6C" w:rsidP="0080044B">
            <w:pPr>
              <w:jc w:val="center"/>
              <w:rPr>
                <w:lang w:val="sr-Cyrl-RS"/>
              </w:rPr>
            </w:pPr>
            <w:r w:rsidRPr="00CF77C1">
              <w:rPr>
                <w:lang w:val="sr-Cyrl-RS"/>
              </w:rPr>
              <w:t>2020.</w:t>
            </w:r>
          </w:p>
        </w:tc>
        <w:tc>
          <w:tcPr>
            <w:tcW w:w="972" w:type="dxa"/>
            <w:shd w:val="clear" w:color="auto" w:fill="auto"/>
            <w:vAlign w:val="center"/>
          </w:tcPr>
          <w:p w14:paraId="6044AB0B" w14:textId="77777777" w:rsidR="002D7D6C" w:rsidRPr="00CF77C1" w:rsidRDefault="002D7D6C" w:rsidP="0080044B">
            <w:pPr>
              <w:jc w:val="center"/>
              <w:rPr>
                <w:lang w:val="sr-Cyrl-RS"/>
              </w:rPr>
            </w:pPr>
            <w:r w:rsidRPr="00CF77C1">
              <w:rPr>
                <w:lang w:val="sr-Cyrl-RS"/>
              </w:rPr>
              <w:t>2021.</w:t>
            </w:r>
          </w:p>
        </w:tc>
        <w:tc>
          <w:tcPr>
            <w:tcW w:w="972" w:type="dxa"/>
            <w:shd w:val="clear" w:color="auto" w:fill="auto"/>
            <w:vAlign w:val="center"/>
          </w:tcPr>
          <w:p w14:paraId="4562BCCE" w14:textId="77777777" w:rsidR="002D7D6C" w:rsidRPr="00CF77C1" w:rsidRDefault="002D7D6C" w:rsidP="0080044B">
            <w:pPr>
              <w:jc w:val="center"/>
              <w:rPr>
                <w:lang w:val="sr-Cyrl-RS"/>
              </w:rPr>
            </w:pPr>
            <w:r w:rsidRPr="00CF77C1">
              <w:rPr>
                <w:lang w:val="sr-Cyrl-RS"/>
              </w:rPr>
              <w:t>2022.</w:t>
            </w:r>
          </w:p>
        </w:tc>
        <w:tc>
          <w:tcPr>
            <w:tcW w:w="972" w:type="dxa"/>
            <w:shd w:val="clear" w:color="auto" w:fill="auto"/>
            <w:vAlign w:val="center"/>
          </w:tcPr>
          <w:p w14:paraId="77F215AE" w14:textId="77777777" w:rsidR="002D7D6C" w:rsidRPr="00CF77C1" w:rsidRDefault="002D7D6C" w:rsidP="0080044B">
            <w:pPr>
              <w:jc w:val="center"/>
              <w:rPr>
                <w:lang w:val="sr-Cyrl-RS"/>
              </w:rPr>
            </w:pPr>
            <w:r w:rsidRPr="00CF77C1">
              <w:rPr>
                <w:lang w:val="sr-Cyrl-RS"/>
              </w:rPr>
              <w:t>2023.</w:t>
            </w:r>
          </w:p>
        </w:tc>
      </w:tr>
      <w:tr w:rsidR="004231D0" w:rsidRPr="00CF77C1" w14:paraId="600E566C" w14:textId="77777777" w:rsidTr="002D7D6C">
        <w:tc>
          <w:tcPr>
            <w:tcW w:w="5778" w:type="dxa"/>
            <w:shd w:val="clear" w:color="auto" w:fill="auto"/>
            <w:vAlign w:val="center"/>
          </w:tcPr>
          <w:p w14:paraId="56D0D6F6" w14:textId="77777777" w:rsidR="004231D0" w:rsidRPr="00CF77C1" w:rsidRDefault="004231D0" w:rsidP="0080044B">
            <w:pPr>
              <w:spacing w:before="20" w:after="20"/>
              <w:jc w:val="left"/>
              <w:rPr>
                <w:szCs w:val="24"/>
                <w:lang w:val="sr-Cyrl-RS"/>
              </w:rPr>
            </w:pPr>
            <w:r w:rsidRPr="00CF77C1">
              <w:rPr>
                <w:szCs w:val="24"/>
                <w:lang w:val="sr-Cyrl-RS"/>
              </w:rPr>
              <w:t>Пројектна документација</w:t>
            </w:r>
          </w:p>
        </w:tc>
        <w:tc>
          <w:tcPr>
            <w:tcW w:w="2268" w:type="dxa"/>
            <w:vMerge w:val="restart"/>
            <w:shd w:val="clear" w:color="auto" w:fill="auto"/>
            <w:vAlign w:val="center"/>
          </w:tcPr>
          <w:p w14:paraId="24D378E1" w14:textId="77777777" w:rsidR="004231D0" w:rsidRPr="00CF77C1" w:rsidRDefault="004231D0" w:rsidP="0080044B">
            <w:pPr>
              <w:spacing w:before="40" w:after="40"/>
              <w:jc w:val="left"/>
              <w:rPr>
                <w:lang w:val="sr-Cyrl-RS"/>
              </w:rPr>
            </w:pPr>
            <w:r w:rsidRPr="00CF77C1">
              <w:rPr>
                <w:lang w:val="sr-Cyrl-RS"/>
              </w:rPr>
              <w:t>ЕПС</w:t>
            </w:r>
          </w:p>
        </w:tc>
        <w:tc>
          <w:tcPr>
            <w:tcW w:w="972" w:type="dxa"/>
            <w:shd w:val="clear" w:color="auto" w:fill="auto"/>
            <w:vAlign w:val="center"/>
          </w:tcPr>
          <w:p w14:paraId="5FD11D96"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7468F920"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7A2A4791"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43088B20"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39CE116F"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317F9BC1"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0786F915" w14:textId="77777777" w:rsidR="004231D0" w:rsidRPr="00CF77C1" w:rsidRDefault="004231D0" w:rsidP="0080044B">
            <w:pPr>
              <w:spacing w:before="20" w:after="20"/>
              <w:jc w:val="center"/>
              <w:rPr>
                <w:lang w:val="sr-Cyrl-RS"/>
              </w:rPr>
            </w:pPr>
          </w:p>
        </w:tc>
      </w:tr>
      <w:tr w:rsidR="004231D0" w:rsidRPr="00CF77C1" w14:paraId="466BA6A8" w14:textId="77777777" w:rsidTr="002D7D6C">
        <w:tc>
          <w:tcPr>
            <w:tcW w:w="5778" w:type="dxa"/>
            <w:shd w:val="clear" w:color="auto" w:fill="auto"/>
            <w:vAlign w:val="center"/>
          </w:tcPr>
          <w:p w14:paraId="21164521" w14:textId="77777777" w:rsidR="004231D0" w:rsidRPr="00CF77C1" w:rsidRDefault="004231D0" w:rsidP="0080044B">
            <w:pPr>
              <w:spacing w:before="20" w:after="20"/>
              <w:jc w:val="left"/>
              <w:rPr>
                <w:szCs w:val="24"/>
                <w:lang w:val="sr-Cyrl-RS"/>
              </w:rPr>
            </w:pPr>
            <w:r w:rsidRPr="00CF77C1">
              <w:rPr>
                <w:szCs w:val="24"/>
                <w:lang w:val="sr-Cyrl-RS"/>
              </w:rPr>
              <w:t>Припрема техничке документације</w:t>
            </w:r>
          </w:p>
        </w:tc>
        <w:tc>
          <w:tcPr>
            <w:tcW w:w="2268" w:type="dxa"/>
            <w:vMerge/>
            <w:shd w:val="clear" w:color="auto" w:fill="auto"/>
          </w:tcPr>
          <w:p w14:paraId="6E66B8EF" w14:textId="77777777" w:rsidR="004231D0" w:rsidRPr="00CF77C1" w:rsidRDefault="004231D0" w:rsidP="0080044B">
            <w:pPr>
              <w:spacing w:before="40" w:after="40"/>
              <w:rPr>
                <w:lang w:val="sr-Cyrl-RS"/>
              </w:rPr>
            </w:pPr>
          </w:p>
        </w:tc>
        <w:tc>
          <w:tcPr>
            <w:tcW w:w="972" w:type="dxa"/>
            <w:shd w:val="clear" w:color="auto" w:fill="auto"/>
            <w:vAlign w:val="center"/>
          </w:tcPr>
          <w:p w14:paraId="75D1A0A2"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060C51C7"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21A9FA90"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10FE33CB"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03159F2F"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6F887688"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613842E8" w14:textId="77777777" w:rsidR="004231D0" w:rsidRPr="00CF77C1" w:rsidRDefault="004231D0" w:rsidP="0080044B">
            <w:pPr>
              <w:spacing w:before="20" w:after="20"/>
              <w:jc w:val="center"/>
              <w:rPr>
                <w:lang w:val="sr-Cyrl-RS"/>
              </w:rPr>
            </w:pPr>
          </w:p>
        </w:tc>
      </w:tr>
      <w:tr w:rsidR="00B5219A" w:rsidRPr="00CF77C1" w14:paraId="6D086386" w14:textId="77777777" w:rsidTr="002D7D6C">
        <w:tc>
          <w:tcPr>
            <w:tcW w:w="5778" w:type="dxa"/>
            <w:shd w:val="clear" w:color="auto" w:fill="auto"/>
            <w:vAlign w:val="center"/>
          </w:tcPr>
          <w:p w14:paraId="2AE555D9" w14:textId="77777777" w:rsidR="00B5219A" w:rsidRPr="00CF77C1" w:rsidRDefault="00B5219A" w:rsidP="0080044B">
            <w:pPr>
              <w:spacing w:before="0" w:after="0"/>
              <w:jc w:val="left"/>
              <w:rPr>
                <w:szCs w:val="24"/>
                <w:lang w:val="sr-Cyrl-RS"/>
              </w:rPr>
            </w:pPr>
            <w:r w:rsidRPr="00CF77C1">
              <w:rPr>
                <w:szCs w:val="24"/>
                <w:lang w:val="sr-Cyrl-RS"/>
              </w:rPr>
              <w:t>Дозволе министарстава и других институција</w:t>
            </w:r>
          </w:p>
        </w:tc>
        <w:tc>
          <w:tcPr>
            <w:tcW w:w="2268" w:type="dxa"/>
            <w:vMerge/>
            <w:shd w:val="clear" w:color="auto" w:fill="auto"/>
          </w:tcPr>
          <w:p w14:paraId="3B1B1F01" w14:textId="77777777" w:rsidR="00B5219A" w:rsidRPr="00CF77C1" w:rsidRDefault="00B5219A" w:rsidP="0080044B">
            <w:pPr>
              <w:keepNext/>
              <w:keepLines/>
              <w:spacing w:before="40" w:after="40"/>
              <w:rPr>
                <w:lang w:val="sr-Cyrl-RS"/>
              </w:rPr>
            </w:pPr>
          </w:p>
        </w:tc>
        <w:tc>
          <w:tcPr>
            <w:tcW w:w="972" w:type="dxa"/>
            <w:shd w:val="clear" w:color="auto" w:fill="auto"/>
            <w:vAlign w:val="center"/>
          </w:tcPr>
          <w:p w14:paraId="1A81338B" w14:textId="77777777" w:rsidR="00B5219A" w:rsidRPr="00CF77C1" w:rsidRDefault="00B5219A" w:rsidP="0080044B">
            <w:pPr>
              <w:spacing w:before="20" w:after="20"/>
              <w:jc w:val="center"/>
              <w:rPr>
                <w:lang w:val="sr-Cyrl-RS"/>
              </w:rPr>
            </w:pPr>
          </w:p>
        </w:tc>
        <w:tc>
          <w:tcPr>
            <w:tcW w:w="972" w:type="dxa"/>
            <w:shd w:val="clear" w:color="auto" w:fill="auto"/>
            <w:vAlign w:val="center"/>
          </w:tcPr>
          <w:p w14:paraId="69A32E97" w14:textId="77777777" w:rsidR="00B5219A" w:rsidRPr="00CF77C1" w:rsidRDefault="00B5219A" w:rsidP="0080044B">
            <w:pPr>
              <w:spacing w:before="20" w:after="20"/>
              <w:jc w:val="center"/>
              <w:rPr>
                <w:lang w:val="sr-Cyrl-RS"/>
              </w:rPr>
            </w:pPr>
            <w:r w:rsidRPr="00CF77C1">
              <w:rPr>
                <w:lang w:val="sr-Cyrl-RS"/>
              </w:rPr>
              <w:t>x</w:t>
            </w:r>
          </w:p>
        </w:tc>
        <w:tc>
          <w:tcPr>
            <w:tcW w:w="972" w:type="dxa"/>
            <w:shd w:val="clear" w:color="auto" w:fill="auto"/>
            <w:vAlign w:val="center"/>
          </w:tcPr>
          <w:p w14:paraId="343F418E" w14:textId="77777777" w:rsidR="00B5219A" w:rsidRPr="00CF77C1" w:rsidRDefault="00B5219A" w:rsidP="0080044B">
            <w:pPr>
              <w:spacing w:before="20" w:after="20"/>
              <w:jc w:val="center"/>
              <w:rPr>
                <w:lang w:val="sr-Cyrl-RS"/>
              </w:rPr>
            </w:pPr>
            <w:r w:rsidRPr="00CF77C1">
              <w:rPr>
                <w:lang w:val="sr-Cyrl-RS"/>
              </w:rPr>
              <w:t>x</w:t>
            </w:r>
          </w:p>
        </w:tc>
        <w:tc>
          <w:tcPr>
            <w:tcW w:w="972" w:type="dxa"/>
            <w:shd w:val="clear" w:color="auto" w:fill="auto"/>
            <w:vAlign w:val="center"/>
          </w:tcPr>
          <w:p w14:paraId="79C2B13C" w14:textId="77777777" w:rsidR="00B5219A" w:rsidRPr="00CF77C1" w:rsidRDefault="00B5219A" w:rsidP="0080044B">
            <w:pPr>
              <w:spacing w:before="20" w:after="20"/>
              <w:jc w:val="center"/>
              <w:rPr>
                <w:lang w:val="sr-Cyrl-RS"/>
              </w:rPr>
            </w:pPr>
          </w:p>
        </w:tc>
        <w:tc>
          <w:tcPr>
            <w:tcW w:w="972" w:type="dxa"/>
            <w:shd w:val="clear" w:color="auto" w:fill="auto"/>
            <w:vAlign w:val="center"/>
          </w:tcPr>
          <w:p w14:paraId="3D164408" w14:textId="77777777" w:rsidR="00B5219A" w:rsidRPr="00CF77C1" w:rsidRDefault="00B5219A" w:rsidP="0080044B">
            <w:pPr>
              <w:spacing w:before="20" w:after="20"/>
              <w:jc w:val="center"/>
              <w:rPr>
                <w:lang w:val="sr-Cyrl-RS"/>
              </w:rPr>
            </w:pPr>
          </w:p>
        </w:tc>
        <w:tc>
          <w:tcPr>
            <w:tcW w:w="972" w:type="dxa"/>
            <w:shd w:val="clear" w:color="auto" w:fill="auto"/>
            <w:vAlign w:val="center"/>
          </w:tcPr>
          <w:p w14:paraId="1A3CBCDA" w14:textId="77777777" w:rsidR="00B5219A" w:rsidRPr="00CF77C1" w:rsidRDefault="00B5219A" w:rsidP="0080044B">
            <w:pPr>
              <w:spacing w:before="20" w:after="20"/>
              <w:jc w:val="center"/>
              <w:rPr>
                <w:lang w:val="sr-Cyrl-RS"/>
              </w:rPr>
            </w:pPr>
          </w:p>
        </w:tc>
        <w:tc>
          <w:tcPr>
            <w:tcW w:w="972" w:type="dxa"/>
            <w:shd w:val="clear" w:color="auto" w:fill="auto"/>
            <w:vAlign w:val="center"/>
          </w:tcPr>
          <w:p w14:paraId="2725B7C9" w14:textId="77777777" w:rsidR="00B5219A" w:rsidRPr="00CF77C1" w:rsidRDefault="00B5219A" w:rsidP="0080044B">
            <w:pPr>
              <w:spacing w:before="20" w:after="20"/>
              <w:jc w:val="center"/>
              <w:rPr>
                <w:lang w:val="sr-Cyrl-RS"/>
              </w:rPr>
            </w:pPr>
          </w:p>
        </w:tc>
      </w:tr>
      <w:tr w:rsidR="004231D0" w:rsidRPr="00CF77C1" w14:paraId="19AB5D07" w14:textId="77777777" w:rsidTr="002D7D6C">
        <w:tc>
          <w:tcPr>
            <w:tcW w:w="5778" w:type="dxa"/>
            <w:shd w:val="clear" w:color="auto" w:fill="auto"/>
            <w:vAlign w:val="center"/>
          </w:tcPr>
          <w:p w14:paraId="75DEECC9" w14:textId="77777777" w:rsidR="004231D0" w:rsidRPr="00CF77C1" w:rsidRDefault="004231D0" w:rsidP="0080044B">
            <w:pPr>
              <w:spacing w:before="0" w:after="0"/>
              <w:jc w:val="left"/>
              <w:rPr>
                <w:szCs w:val="24"/>
                <w:lang w:val="sr-Cyrl-RS"/>
              </w:rPr>
            </w:pPr>
            <w:r w:rsidRPr="00CF77C1">
              <w:rPr>
                <w:szCs w:val="24"/>
                <w:lang w:val="sr-Cyrl-RS"/>
              </w:rPr>
              <w:t>Измештање инфрастуктурних објеката</w:t>
            </w:r>
          </w:p>
        </w:tc>
        <w:tc>
          <w:tcPr>
            <w:tcW w:w="2268" w:type="dxa"/>
            <w:vMerge/>
            <w:shd w:val="clear" w:color="auto" w:fill="auto"/>
          </w:tcPr>
          <w:p w14:paraId="042EC473" w14:textId="77777777" w:rsidR="004231D0" w:rsidRPr="00CF77C1" w:rsidRDefault="004231D0" w:rsidP="0080044B">
            <w:pPr>
              <w:keepNext/>
              <w:keepLines/>
              <w:spacing w:before="40" w:after="40"/>
              <w:rPr>
                <w:lang w:val="sr-Cyrl-RS"/>
              </w:rPr>
            </w:pPr>
          </w:p>
        </w:tc>
        <w:tc>
          <w:tcPr>
            <w:tcW w:w="972" w:type="dxa"/>
            <w:shd w:val="clear" w:color="auto" w:fill="auto"/>
            <w:vAlign w:val="center"/>
          </w:tcPr>
          <w:p w14:paraId="113312C6"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6F63E2BC"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65FE37F6"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64B5C756"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2CAD0875"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052A3EA8"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40B277D1" w14:textId="77777777" w:rsidR="004231D0" w:rsidRPr="00CF77C1" w:rsidRDefault="004231D0" w:rsidP="0080044B">
            <w:pPr>
              <w:spacing w:before="20" w:after="20"/>
              <w:jc w:val="center"/>
              <w:rPr>
                <w:lang w:val="sr-Cyrl-RS"/>
              </w:rPr>
            </w:pPr>
          </w:p>
        </w:tc>
      </w:tr>
      <w:tr w:rsidR="004231D0" w:rsidRPr="00CF77C1" w14:paraId="17354D14" w14:textId="77777777" w:rsidTr="002D7D6C">
        <w:tc>
          <w:tcPr>
            <w:tcW w:w="5778" w:type="dxa"/>
            <w:shd w:val="clear" w:color="auto" w:fill="auto"/>
            <w:vAlign w:val="center"/>
          </w:tcPr>
          <w:p w14:paraId="5E1C8FB0" w14:textId="77777777" w:rsidR="004231D0" w:rsidRPr="00CF77C1" w:rsidRDefault="004231D0" w:rsidP="0080044B">
            <w:pPr>
              <w:spacing w:before="0" w:after="0"/>
              <w:jc w:val="left"/>
              <w:rPr>
                <w:szCs w:val="24"/>
                <w:lang w:val="sr-Cyrl-RS"/>
              </w:rPr>
            </w:pPr>
            <w:r w:rsidRPr="00CF77C1">
              <w:rPr>
                <w:szCs w:val="24"/>
                <w:lang w:val="sr-Cyrl-RS"/>
              </w:rPr>
              <w:t xml:space="preserve">Пресељење насеља </w:t>
            </w:r>
          </w:p>
        </w:tc>
        <w:tc>
          <w:tcPr>
            <w:tcW w:w="2268" w:type="dxa"/>
            <w:vMerge/>
            <w:shd w:val="clear" w:color="auto" w:fill="auto"/>
          </w:tcPr>
          <w:p w14:paraId="08C12AFB" w14:textId="77777777" w:rsidR="004231D0" w:rsidRPr="00CF77C1" w:rsidRDefault="004231D0" w:rsidP="0080044B">
            <w:pPr>
              <w:spacing w:before="40" w:after="40"/>
              <w:rPr>
                <w:lang w:val="sr-Cyrl-RS"/>
              </w:rPr>
            </w:pPr>
          </w:p>
        </w:tc>
        <w:tc>
          <w:tcPr>
            <w:tcW w:w="972" w:type="dxa"/>
            <w:shd w:val="clear" w:color="auto" w:fill="auto"/>
            <w:vAlign w:val="center"/>
          </w:tcPr>
          <w:p w14:paraId="759AA311"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86EB2BE"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59CC0EB2"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045C9D2E"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7006B15E"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4BCF642D"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6E42E418" w14:textId="77777777" w:rsidR="004231D0" w:rsidRPr="00CF77C1" w:rsidRDefault="004231D0" w:rsidP="0080044B">
            <w:pPr>
              <w:spacing w:before="20" w:after="20"/>
              <w:jc w:val="center"/>
              <w:rPr>
                <w:lang w:val="sr-Cyrl-RS"/>
              </w:rPr>
            </w:pPr>
          </w:p>
        </w:tc>
      </w:tr>
      <w:tr w:rsidR="004231D0" w:rsidRPr="00CF77C1" w14:paraId="41A92AD2" w14:textId="77777777" w:rsidTr="002D7D6C">
        <w:tc>
          <w:tcPr>
            <w:tcW w:w="5778" w:type="dxa"/>
            <w:shd w:val="clear" w:color="auto" w:fill="auto"/>
            <w:vAlign w:val="center"/>
          </w:tcPr>
          <w:p w14:paraId="72DAC284" w14:textId="77777777" w:rsidR="004231D0" w:rsidRPr="00CF77C1" w:rsidRDefault="004231D0" w:rsidP="0080044B">
            <w:pPr>
              <w:spacing w:before="0" w:after="0"/>
              <w:jc w:val="left"/>
              <w:rPr>
                <w:szCs w:val="24"/>
                <w:lang w:val="sr-Cyrl-RS"/>
              </w:rPr>
            </w:pPr>
            <w:r w:rsidRPr="00CF77C1">
              <w:rPr>
                <w:szCs w:val="24"/>
                <w:lang w:val="sr-Cyrl-RS"/>
              </w:rPr>
              <w:t>Изградња инфрастуктурних објеката</w:t>
            </w:r>
          </w:p>
        </w:tc>
        <w:tc>
          <w:tcPr>
            <w:tcW w:w="2268" w:type="dxa"/>
            <w:vMerge/>
            <w:shd w:val="clear" w:color="auto" w:fill="auto"/>
          </w:tcPr>
          <w:p w14:paraId="4D654261" w14:textId="77777777" w:rsidR="004231D0" w:rsidRPr="00CF77C1" w:rsidRDefault="004231D0" w:rsidP="0080044B">
            <w:pPr>
              <w:spacing w:before="40" w:after="40"/>
              <w:rPr>
                <w:lang w:val="sr-Cyrl-RS"/>
              </w:rPr>
            </w:pPr>
          </w:p>
        </w:tc>
        <w:tc>
          <w:tcPr>
            <w:tcW w:w="972" w:type="dxa"/>
            <w:shd w:val="clear" w:color="auto" w:fill="auto"/>
            <w:vAlign w:val="center"/>
          </w:tcPr>
          <w:p w14:paraId="40B069F7"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4ADE03B1"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2408AC5"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1188FDE"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66540B7E"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149C46E"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60179C4" w14:textId="77777777" w:rsidR="004231D0" w:rsidRPr="00CF77C1" w:rsidRDefault="004231D0" w:rsidP="0080044B">
            <w:pPr>
              <w:spacing w:before="20" w:after="20"/>
              <w:jc w:val="center"/>
              <w:rPr>
                <w:lang w:val="sr-Cyrl-RS"/>
              </w:rPr>
            </w:pPr>
            <w:r w:rsidRPr="00CF77C1">
              <w:rPr>
                <w:lang w:val="sr-Cyrl-RS"/>
              </w:rPr>
              <w:t>x</w:t>
            </w:r>
          </w:p>
        </w:tc>
      </w:tr>
      <w:tr w:rsidR="004231D0" w:rsidRPr="00CF77C1" w14:paraId="06448275" w14:textId="77777777" w:rsidTr="002D7D6C">
        <w:tc>
          <w:tcPr>
            <w:tcW w:w="5778" w:type="dxa"/>
            <w:shd w:val="clear" w:color="auto" w:fill="auto"/>
            <w:vAlign w:val="center"/>
          </w:tcPr>
          <w:p w14:paraId="11DC933B" w14:textId="77777777" w:rsidR="004231D0" w:rsidRPr="00CF77C1" w:rsidRDefault="004231D0" w:rsidP="0080044B">
            <w:pPr>
              <w:spacing w:before="0" w:after="0"/>
              <w:jc w:val="left"/>
              <w:rPr>
                <w:szCs w:val="24"/>
                <w:lang w:val="sr-Cyrl-RS"/>
              </w:rPr>
            </w:pPr>
            <w:r w:rsidRPr="00CF77C1">
              <w:rPr>
                <w:szCs w:val="24"/>
                <w:lang w:val="sr-Cyrl-RS"/>
              </w:rPr>
              <w:t>Поље Ц нова опрема (БТО систем)</w:t>
            </w:r>
          </w:p>
        </w:tc>
        <w:tc>
          <w:tcPr>
            <w:tcW w:w="2268" w:type="dxa"/>
            <w:vMerge/>
            <w:shd w:val="clear" w:color="auto" w:fill="auto"/>
          </w:tcPr>
          <w:p w14:paraId="56090936" w14:textId="77777777" w:rsidR="004231D0" w:rsidRPr="00CF77C1" w:rsidRDefault="004231D0" w:rsidP="0080044B">
            <w:pPr>
              <w:spacing w:before="40" w:after="40"/>
              <w:rPr>
                <w:lang w:val="sr-Cyrl-RS"/>
              </w:rPr>
            </w:pPr>
          </w:p>
        </w:tc>
        <w:tc>
          <w:tcPr>
            <w:tcW w:w="972" w:type="dxa"/>
            <w:shd w:val="clear" w:color="auto" w:fill="auto"/>
            <w:vAlign w:val="center"/>
          </w:tcPr>
          <w:p w14:paraId="33B34119"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7ED525CF"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52186C36"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0DFC30C2"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1EE72D7D"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25C8D1EE"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242A4FCF" w14:textId="77777777" w:rsidR="004231D0" w:rsidRPr="00CF77C1" w:rsidRDefault="004231D0" w:rsidP="0080044B">
            <w:pPr>
              <w:spacing w:before="20" w:after="20"/>
              <w:jc w:val="center"/>
              <w:rPr>
                <w:lang w:val="sr-Cyrl-RS"/>
              </w:rPr>
            </w:pPr>
          </w:p>
        </w:tc>
      </w:tr>
      <w:tr w:rsidR="004231D0" w:rsidRPr="00CF77C1" w14:paraId="0AE6ADDE" w14:textId="77777777" w:rsidTr="002D7D6C">
        <w:tc>
          <w:tcPr>
            <w:tcW w:w="5778" w:type="dxa"/>
            <w:shd w:val="clear" w:color="auto" w:fill="auto"/>
            <w:vAlign w:val="center"/>
          </w:tcPr>
          <w:p w14:paraId="0D4D7635" w14:textId="77777777" w:rsidR="004231D0" w:rsidRPr="00CF77C1" w:rsidRDefault="004231D0" w:rsidP="0080044B">
            <w:pPr>
              <w:spacing w:before="0" w:after="0"/>
              <w:jc w:val="left"/>
              <w:rPr>
                <w:szCs w:val="24"/>
                <w:lang w:val="sr-Cyrl-RS"/>
              </w:rPr>
            </w:pPr>
            <w:r w:rsidRPr="00CF77C1">
              <w:rPr>
                <w:szCs w:val="24"/>
                <w:lang w:val="sr-Cyrl-RS"/>
              </w:rPr>
              <w:t>Опрема Поље Д јужно крило (повлатни слој Поља Е)</w:t>
            </w:r>
          </w:p>
        </w:tc>
        <w:tc>
          <w:tcPr>
            <w:tcW w:w="2268" w:type="dxa"/>
            <w:vMerge/>
            <w:shd w:val="clear" w:color="auto" w:fill="auto"/>
          </w:tcPr>
          <w:p w14:paraId="6FBC8F77" w14:textId="77777777" w:rsidR="004231D0" w:rsidRPr="00CF77C1" w:rsidRDefault="004231D0" w:rsidP="0080044B">
            <w:pPr>
              <w:spacing w:before="40" w:after="40"/>
              <w:rPr>
                <w:lang w:val="sr-Cyrl-RS"/>
              </w:rPr>
            </w:pPr>
          </w:p>
        </w:tc>
        <w:tc>
          <w:tcPr>
            <w:tcW w:w="972" w:type="dxa"/>
            <w:shd w:val="clear" w:color="auto" w:fill="auto"/>
            <w:vAlign w:val="center"/>
          </w:tcPr>
          <w:p w14:paraId="2FD8BB9F"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28A2921D"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7FCC23B8"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55834B18"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28E4BE4C"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6A6536A2"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47EDDA90" w14:textId="77777777" w:rsidR="004231D0" w:rsidRPr="00CF77C1" w:rsidRDefault="004231D0" w:rsidP="0080044B">
            <w:pPr>
              <w:spacing w:before="20" w:after="20"/>
              <w:jc w:val="center"/>
              <w:rPr>
                <w:lang w:val="sr-Cyrl-RS"/>
              </w:rPr>
            </w:pPr>
          </w:p>
        </w:tc>
      </w:tr>
      <w:tr w:rsidR="004231D0" w:rsidRPr="00CF77C1" w14:paraId="3D1C9FF5" w14:textId="77777777" w:rsidTr="002D7D6C">
        <w:tc>
          <w:tcPr>
            <w:tcW w:w="5778" w:type="dxa"/>
            <w:shd w:val="clear" w:color="auto" w:fill="auto"/>
            <w:vAlign w:val="center"/>
          </w:tcPr>
          <w:p w14:paraId="4EA8D22C" w14:textId="77777777" w:rsidR="004231D0" w:rsidRPr="00CF77C1" w:rsidRDefault="004231D0" w:rsidP="0080044B">
            <w:pPr>
              <w:spacing w:before="0" w:after="0"/>
              <w:jc w:val="left"/>
              <w:rPr>
                <w:szCs w:val="24"/>
                <w:lang w:val="sr-Cyrl-RS"/>
              </w:rPr>
            </w:pPr>
            <w:r w:rsidRPr="00CF77C1">
              <w:rPr>
                <w:szCs w:val="24"/>
                <w:lang w:val="sr-Cyrl-RS"/>
              </w:rPr>
              <w:t>Поље E (опрема до 2020)</w:t>
            </w:r>
          </w:p>
        </w:tc>
        <w:tc>
          <w:tcPr>
            <w:tcW w:w="2268" w:type="dxa"/>
            <w:vMerge/>
            <w:shd w:val="clear" w:color="auto" w:fill="auto"/>
          </w:tcPr>
          <w:p w14:paraId="3D93C87D" w14:textId="77777777" w:rsidR="004231D0" w:rsidRPr="00CF77C1" w:rsidRDefault="004231D0" w:rsidP="0080044B">
            <w:pPr>
              <w:spacing w:before="40" w:after="40"/>
              <w:rPr>
                <w:lang w:val="sr-Cyrl-RS"/>
              </w:rPr>
            </w:pPr>
          </w:p>
        </w:tc>
        <w:tc>
          <w:tcPr>
            <w:tcW w:w="972" w:type="dxa"/>
            <w:shd w:val="clear" w:color="auto" w:fill="auto"/>
            <w:vAlign w:val="center"/>
          </w:tcPr>
          <w:p w14:paraId="697F2977"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4E66B410"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5516B0FD"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6290B851"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64FBF688"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312DA9F5"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3FDDDAB8" w14:textId="77777777" w:rsidR="004231D0" w:rsidRPr="00CF77C1" w:rsidRDefault="004231D0" w:rsidP="0080044B">
            <w:pPr>
              <w:spacing w:before="20" w:after="20"/>
              <w:jc w:val="center"/>
              <w:rPr>
                <w:lang w:val="sr-Cyrl-RS"/>
              </w:rPr>
            </w:pPr>
          </w:p>
        </w:tc>
      </w:tr>
      <w:tr w:rsidR="004231D0" w:rsidRPr="00CF77C1" w14:paraId="7197D09B" w14:textId="77777777" w:rsidTr="002D7D6C">
        <w:tc>
          <w:tcPr>
            <w:tcW w:w="5778" w:type="dxa"/>
            <w:shd w:val="clear" w:color="auto" w:fill="auto"/>
            <w:vAlign w:val="center"/>
          </w:tcPr>
          <w:p w14:paraId="0E314F0D" w14:textId="77777777" w:rsidR="004231D0" w:rsidRPr="00CF77C1" w:rsidRDefault="004231D0" w:rsidP="0080044B">
            <w:pPr>
              <w:spacing w:before="0" w:after="0"/>
              <w:jc w:val="left"/>
              <w:rPr>
                <w:szCs w:val="24"/>
                <w:lang w:val="sr-Cyrl-RS"/>
              </w:rPr>
            </w:pPr>
            <w:r w:rsidRPr="00CF77C1">
              <w:rPr>
                <w:szCs w:val="24"/>
                <w:lang w:val="sr-Cyrl-RS"/>
              </w:rPr>
              <w:t>Одводњавање</w:t>
            </w:r>
          </w:p>
        </w:tc>
        <w:tc>
          <w:tcPr>
            <w:tcW w:w="2268" w:type="dxa"/>
            <w:vMerge/>
            <w:shd w:val="clear" w:color="auto" w:fill="auto"/>
          </w:tcPr>
          <w:p w14:paraId="14B25F6C" w14:textId="77777777" w:rsidR="004231D0" w:rsidRPr="00CF77C1" w:rsidRDefault="004231D0" w:rsidP="0080044B">
            <w:pPr>
              <w:spacing w:before="40" w:after="40"/>
              <w:rPr>
                <w:lang w:val="sr-Cyrl-RS"/>
              </w:rPr>
            </w:pPr>
          </w:p>
        </w:tc>
        <w:tc>
          <w:tcPr>
            <w:tcW w:w="972" w:type="dxa"/>
            <w:shd w:val="clear" w:color="auto" w:fill="auto"/>
            <w:vAlign w:val="center"/>
          </w:tcPr>
          <w:p w14:paraId="1A036078"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0E9891D8"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0E1FD26E"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75D879F5"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0CCBAE75"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7CF07B1E"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30B02C14" w14:textId="77777777" w:rsidR="004231D0" w:rsidRPr="00CF77C1" w:rsidRDefault="004231D0" w:rsidP="0080044B">
            <w:pPr>
              <w:spacing w:before="20" w:after="20"/>
              <w:jc w:val="center"/>
              <w:rPr>
                <w:lang w:val="sr-Cyrl-RS"/>
              </w:rPr>
            </w:pPr>
          </w:p>
        </w:tc>
      </w:tr>
      <w:tr w:rsidR="004231D0" w:rsidRPr="00CF77C1" w14:paraId="68EB4323" w14:textId="77777777" w:rsidTr="002D7D6C">
        <w:tc>
          <w:tcPr>
            <w:tcW w:w="5778" w:type="dxa"/>
            <w:shd w:val="clear" w:color="auto" w:fill="auto"/>
            <w:vAlign w:val="center"/>
          </w:tcPr>
          <w:p w14:paraId="682AC63D" w14:textId="77777777" w:rsidR="004231D0" w:rsidRPr="00CF77C1" w:rsidRDefault="004231D0" w:rsidP="0080044B">
            <w:pPr>
              <w:spacing w:before="0" w:after="0"/>
              <w:jc w:val="left"/>
              <w:rPr>
                <w:szCs w:val="24"/>
                <w:lang w:val="sr-Cyrl-RS"/>
              </w:rPr>
            </w:pPr>
            <w:r w:rsidRPr="00CF77C1">
              <w:rPr>
                <w:szCs w:val="24"/>
                <w:lang w:val="sr-Cyrl-RS"/>
              </w:rPr>
              <w:t xml:space="preserve">Геолошка истраживања </w:t>
            </w:r>
          </w:p>
        </w:tc>
        <w:tc>
          <w:tcPr>
            <w:tcW w:w="2268" w:type="dxa"/>
            <w:vMerge/>
            <w:shd w:val="clear" w:color="auto" w:fill="auto"/>
          </w:tcPr>
          <w:p w14:paraId="4C03FCC8" w14:textId="77777777" w:rsidR="004231D0" w:rsidRPr="00CF77C1" w:rsidRDefault="004231D0" w:rsidP="0080044B">
            <w:pPr>
              <w:spacing w:before="40" w:after="40"/>
              <w:rPr>
                <w:lang w:val="sr-Cyrl-RS"/>
              </w:rPr>
            </w:pPr>
          </w:p>
        </w:tc>
        <w:tc>
          <w:tcPr>
            <w:tcW w:w="972" w:type="dxa"/>
            <w:shd w:val="clear" w:color="auto" w:fill="auto"/>
            <w:vAlign w:val="center"/>
          </w:tcPr>
          <w:p w14:paraId="500570B4"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7BC18061"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9670505"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10386D5B"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5FC7FC0C"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161D36D9"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79CDD82E" w14:textId="77777777" w:rsidR="004231D0" w:rsidRPr="00CF77C1" w:rsidRDefault="004231D0" w:rsidP="0080044B">
            <w:pPr>
              <w:spacing w:before="20" w:after="20"/>
              <w:jc w:val="center"/>
              <w:rPr>
                <w:lang w:val="sr-Cyrl-RS"/>
              </w:rPr>
            </w:pPr>
            <w:r w:rsidRPr="00CF77C1">
              <w:rPr>
                <w:lang w:val="sr-Cyrl-RS"/>
              </w:rPr>
              <w:t>x</w:t>
            </w:r>
          </w:p>
        </w:tc>
      </w:tr>
      <w:tr w:rsidR="004231D0" w:rsidRPr="00CF77C1" w14:paraId="362AB72D" w14:textId="77777777" w:rsidTr="002D7D6C">
        <w:tc>
          <w:tcPr>
            <w:tcW w:w="5778" w:type="dxa"/>
            <w:shd w:val="clear" w:color="auto" w:fill="auto"/>
            <w:vAlign w:val="center"/>
          </w:tcPr>
          <w:p w14:paraId="247B7B3F" w14:textId="77777777" w:rsidR="004231D0" w:rsidRPr="00CF77C1" w:rsidRDefault="004231D0" w:rsidP="0080044B">
            <w:pPr>
              <w:spacing w:before="20" w:after="20"/>
              <w:jc w:val="left"/>
              <w:rPr>
                <w:szCs w:val="24"/>
                <w:lang w:val="sr-Cyrl-RS"/>
              </w:rPr>
            </w:pPr>
            <w:r w:rsidRPr="00CF77C1">
              <w:rPr>
                <w:szCs w:val="24"/>
                <w:lang w:val="sr-Cyrl-RS"/>
              </w:rPr>
              <w:t>Откопавање јаловине (рачунајући и Поље Ц)</w:t>
            </w:r>
          </w:p>
        </w:tc>
        <w:tc>
          <w:tcPr>
            <w:tcW w:w="2268" w:type="dxa"/>
            <w:vMerge/>
            <w:shd w:val="clear" w:color="auto" w:fill="auto"/>
          </w:tcPr>
          <w:p w14:paraId="3033D816" w14:textId="77777777" w:rsidR="004231D0" w:rsidRPr="00CF77C1" w:rsidRDefault="004231D0" w:rsidP="0080044B">
            <w:pPr>
              <w:spacing w:before="40" w:after="40"/>
              <w:rPr>
                <w:lang w:val="sr-Cyrl-RS"/>
              </w:rPr>
            </w:pPr>
          </w:p>
        </w:tc>
        <w:tc>
          <w:tcPr>
            <w:tcW w:w="972" w:type="dxa"/>
            <w:shd w:val="clear" w:color="auto" w:fill="auto"/>
            <w:vAlign w:val="center"/>
          </w:tcPr>
          <w:p w14:paraId="4FF5804F" w14:textId="77777777" w:rsidR="004231D0" w:rsidRPr="00CF77C1" w:rsidRDefault="004231D0" w:rsidP="0080044B">
            <w:pPr>
              <w:spacing w:before="20" w:after="20"/>
              <w:jc w:val="center"/>
              <w:rPr>
                <w:lang w:val="sr-Cyrl-RS"/>
              </w:rPr>
            </w:pPr>
          </w:p>
        </w:tc>
        <w:tc>
          <w:tcPr>
            <w:tcW w:w="972" w:type="dxa"/>
            <w:shd w:val="clear" w:color="auto" w:fill="auto"/>
            <w:vAlign w:val="center"/>
          </w:tcPr>
          <w:p w14:paraId="18483902"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25BFC131"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86348DF"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23EF6536"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320A860F"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58C5C530" w14:textId="77777777" w:rsidR="004231D0" w:rsidRPr="00CF77C1" w:rsidRDefault="004231D0" w:rsidP="0080044B">
            <w:pPr>
              <w:spacing w:before="20" w:after="20"/>
              <w:jc w:val="center"/>
              <w:rPr>
                <w:lang w:val="sr-Cyrl-RS"/>
              </w:rPr>
            </w:pPr>
            <w:r w:rsidRPr="00CF77C1">
              <w:rPr>
                <w:lang w:val="sr-Cyrl-RS"/>
              </w:rPr>
              <w:t>x</w:t>
            </w:r>
          </w:p>
        </w:tc>
      </w:tr>
      <w:tr w:rsidR="004231D0" w:rsidRPr="00CF77C1" w14:paraId="4E199D39" w14:textId="77777777" w:rsidTr="002D7D6C">
        <w:tc>
          <w:tcPr>
            <w:tcW w:w="5778" w:type="dxa"/>
            <w:shd w:val="clear" w:color="auto" w:fill="auto"/>
            <w:vAlign w:val="center"/>
          </w:tcPr>
          <w:p w14:paraId="1FC2130A" w14:textId="77777777" w:rsidR="004231D0" w:rsidRPr="00CF77C1" w:rsidRDefault="004231D0" w:rsidP="0080044B">
            <w:pPr>
              <w:spacing w:before="20" w:after="20"/>
              <w:jc w:val="left"/>
              <w:rPr>
                <w:szCs w:val="24"/>
                <w:lang w:val="sr-Cyrl-RS"/>
              </w:rPr>
            </w:pPr>
            <w:r w:rsidRPr="00CF77C1">
              <w:rPr>
                <w:szCs w:val="24"/>
                <w:lang w:val="sr-Cyrl-RS"/>
              </w:rPr>
              <w:t>Откопавање угља угља (рачунајући и Поље Ц)</w:t>
            </w:r>
          </w:p>
        </w:tc>
        <w:tc>
          <w:tcPr>
            <w:tcW w:w="2268" w:type="dxa"/>
            <w:vMerge/>
            <w:shd w:val="clear" w:color="auto" w:fill="auto"/>
          </w:tcPr>
          <w:p w14:paraId="73612A5D" w14:textId="77777777" w:rsidR="004231D0" w:rsidRPr="00CF77C1" w:rsidRDefault="004231D0" w:rsidP="0080044B">
            <w:pPr>
              <w:spacing w:before="40" w:after="40"/>
              <w:rPr>
                <w:lang w:val="sr-Cyrl-RS"/>
              </w:rPr>
            </w:pPr>
          </w:p>
        </w:tc>
        <w:tc>
          <w:tcPr>
            <w:tcW w:w="972" w:type="dxa"/>
            <w:shd w:val="clear" w:color="auto" w:fill="auto"/>
            <w:vAlign w:val="center"/>
          </w:tcPr>
          <w:p w14:paraId="71A339C7"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1DEC7B36"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143F7A19"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623BBC64"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28B721B8"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14955E12" w14:textId="77777777" w:rsidR="004231D0" w:rsidRPr="00CF77C1" w:rsidRDefault="004231D0" w:rsidP="0080044B">
            <w:pPr>
              <w:spacing w:before="20" w:after="20"/>
              <w:jc w:val="center"/>
              <w:rPr>
                <w:lang w:val="sr-Cyrl-RS"/>
              </w:rPr>
            </w:pPr>
            <w:r w:rsidRPr="00CF77C1">
              <w:rPr>
                <w:lang w:val="sr-Cyrl-RS"/>
              </w:rPr>
              <w:t>x</w:t>
            </w:r>
          </w:p>
        </w:tc>
        <w:tc>
          <w:tcPr>
            <w:tcW w:w="972" w:type="dxa"/>
            <w:shd w:val="clear" w:color="auto" w:fill="auto"/>
            <w:vAlign w:val="center"/>
          </w:tcPr>
          <w:p w14:paraId="4146A44B" w14:textId="77777777" w:rsidR="004231D0" w:rsidRPr="00CF77C1" w:rsidRDefault="004231D0" w:rsidP="0080044B">
            <w:pPr>
              <w:spacing w:before="20" w:after="20"/>
              <w:jc w:val="center"/>
              <w:rPr>
                <w:lang w:val="sr-Cyrl-RS"/>
              </w:rPr>
            </w:pPr>
            <w:r w:rsidRPr="00CF77C1">
              <w:rPr>
                <w:lang w:val="sr-Cyrl-RS"/>
              </w:rPr>
              <w:t>x</w:t>
            </w:r>
          </w:p>
        </w:tc>
      </w:tr>
    </w:tbl>
    <w:p w14:paraId="47B17497" w14:textId="6FAC876D" w:rsidR="002D7D6C" w:rsidRPr="00CF77C1" w:rsidRDefault="002D7D6C" w:rsidP="005621E0">
      <w:pPr>
        <w:ind w:firstLine="720"/>
        <w:rPr>
          <w:lang w:val="sr-Cyrl-RS"/>
        </w:rPr>
      </w:pPr>
      <w:r w:rsidRPr="00CF77C1">
        <w:rPr>
          <w:lang w:val="sr-Cyrl-RS"/>
        </w:rPr>
        <w:t xml:space="preserve">Ризици: Јавне набавке за извођење радова, </w:t>
      </w:r>
      <w:r w:rsidR="0012184E" w:rsidRPr="00CF77C1">
        <w:rPr>
          <w:lang w:val="sr-Cyrl-RS"/>
        </w:rPr>
        <w:t xml:space="preserve">санација </w:t>
      </w:r>
      <w:r w:rsidR="005259F9" w:rsidRPr="00CF77C1">
        <w:rPr>
          <w:lang w:val="sr-Cyrl-RS"/>
        </w:rPr>
        <w:t xml:space="preserve">откопних етажа и </w:t>
      </w:r>
      <w:r w:rsidRPr="00CF77C1">
        <w:rPr>
          <w:lang w:val="sr-Cyrl-RS"/>
        </w:rPr>
        <w:t>унутрашњег одлагалишта Поља Ц</w:t>
      </w:r>
      <w:r w:rsidR="004231D0" w:rsidRPr="00CF77C1">
        <w:rPr>
          <w:lang w:val="sr-Cyrl-RS"/>
        </w:rPr>
        <w:t xml:space="preserve"> и Поља Д</w:t>
      </w:r>
      <w:r w:rsidRPr="00CF77C1">
        <w:rPr>
          <w:lang w:val="sr-Cyrl-RS"/>
        </w:rPr>
        <w:t xml:space="preserve">, </w:t>
      </w:r>
      <w:r w:rsidR="0012184E" w:rsidRPr="00CF77C1">
        <w:rPr>
          <w:lang w:val="sr-Cyrl-RS"/>
        </w:rPr>
        <w:t xml:space="preserve">измештање </w:t>
      </w:r>
      <w:r w:rsidRPr="00CF77C1">
        <w:rPr>
          <w:lang w:val="sr-Cyrl-RS"/>
        </w:rPr>
        <w:t xml:space="preserve">инфраструктурних објеката, </w:t>
      </w:r>
      <w:r w:rsidR="0012184E" w:rsidRPr="00CF77C1">
        <w:rPr>
          <w:lang w:val="sr-Cyrl-RS"/>
        </w:rPr>
        <w:t>финансирање</w:t>
      </w:r>
      <w:r w:rsidR="0012184E">
        <w:rPr>
          <w:lang w:val="sr-Cyrl-RS"/>
        </w:rPr>
        <w:t>.</w:t>
      </w:r>
    </w:p>
    <w:p w14:paraId="7DD2995F" w14:textId="77777777" w:rsidR="00FD6088" w:rsidRPr="00CF77C1" w:rsidRDefault="00FD6088" w:rsidP="0080044B">
      <w:pPr>
        <w:rPr>
          <w:lang w:val="sr-Cyrl-RS"/>
        </w:rPr>
      </w:pPr>
    </w:p>
    <w:p w14:paraId="1352CD85" w14:textId="77777777" w:rsidR="002D7D6C" w:rsidRPr="00CF77C1" w:rsidRDefault="002D7D6C" w:rsidP="0080044B">
      <w:pPr>
        <w:rPr>
          <w:lang w:val="sr-Cyrl-RS"/>
        </w:rPr>
      </w:pPr>
    </w:p>
    <w:p w14:paraId="6AA33278" w14:textId="77777777" w:rsidR="00FD6088" w:rsidRPr="00CF77C1" w:rsidRDefault="00FD6088" w:rsidP="0080044B">
      <w:pPr>
        <w:ind w:left="360"/>
        <w:rPr>
          <w:lang w:val="sr-Cyrl-RS"/>
        </w:rPr>
        <w:sectPr w:rsidR="00FD6088" w:rsidRPr="00CF77C1" w:rsidSect="00017454">
          <w:headerReference w:type="default" r:id="rId119"/>
          <w:footerReference w:type="even" r:id="rId120"/>
          <w:footerReference w:type="default" r:id="rId121"/>
          <w:pgSz w:w="16839" w:h="11907" w:orient="landscape" w:code="9"/>
          <w:pgMar w:top="1418" w:right="1134" w:bottom="1134" w:left="1134" w:header="1004" w:footer="720" w:gutter="0"/>
          <w:cols w:space="720"/>
          <w:docGrid w:linePitch="360"/>
        </w:sectPr>
      </w:pPr>
    </w:p>
    <w:p w14:paraId="11D4068E" w14:textId="77777777" w:rsidR="00176354" w:rsidRPr="00CF77C1" w:rsidRDefault="00176354" w:rsidP="005621E0">
      <w:pPr>
        <w:keepNext/>
        <w:keepLines/>
        <w:ind w:firstLine="720"/>
        <w:rPr>
          <w:u w:val="single"/>
          <w:lang w:val="sr-Cyrl-RS"/>
        </w:rPr>
      </w:pPr>
      <w:r w:rsidRPr="00CF77C1">
        <w:rPr>
          <w:u w:val="single"/>
          <w:lang w:val="sr-Cyrl-RS"/>
        </w:rPr>
        <w:t>Поље Радљево</w:t>
      </w:r>
    </w:p>
    <w:p w14:paraId="0E0C2AB7" w14:textId="77777777" w:rsidR="00176354" w:rsidRPr="00CF77C1" w:rsidRDefault="00176354" w:rsidP="00583D71">
      <w:pPr>
        <w:ind w:firstLine="720"/>
        <w:rPr>
          <w:lang w:val="sr-Cyrl-RS"/>
        </w:rPr>
      </w:pPr>
      <w:r w:rsidRPr="00CF77C1">
        <w:rPr>
          <w:lang w:val="sr-Cyrl-RS"/>
        </w:rPr>
        <w:t>Површински коп Радљево се отвара као допунски капацитет у западном делу колубарског</w:t>
      </w:r>
      <w:r w:rsidR="002D7D6C" w:rsidRPr="00CF77C1">
        <w:rPr>
          <w:lang w:val="sr-Cyrl-RS"/>
        </w:rPr>
        <w:t xml:space="preserve"> басена ради уједначавања квали</w:t>
      </w:r>
      <w:r w:rsidRPr="00CF77C1">
        <w:rPr>
          <w:lang w:val="sr-Cyrl-RS"/>
        </w:rPr>
        <w:t xml:space="preserve">тета угља. Наиме, у западном делу колубарског бесена угљена серија је са великим бројем јалових прослојака и са веома променљивим квалитетом. Да би се извршило уједначавање квалитета угља и максимално искористиле нискоквалитетне партије, угаљ за ПК Радљево ће се мешати са угљем са ПК Тамнава западно поље и ПК Поље Г. У том случају капацитет на Пољу Г ће се смањити и сачуваће се квалитетан угаљ за хомогенизацију. У случају отварања новог термоенергетског капацитета капацитет на ПК Радљево ће се повећати за потребне количине угља. </w:t>
      </w:r>
      <w:r w:rsidR="004653CD" w:rsidRPr="00CF77C1">
        <w:rPr>
          <w:lang w:val="sr-Cyrl-RS"/>
        </w:rPr>
        <w:t xml:space="preserve">Тренутно је у процедури добијање одобрења за експлоатацију на овом пољу, а након тога следи процедура прибављања одобрења за изградњу рударских објеката и извођење рударских радова. </w:t>
      </w:r>
      <w:r w:rsidRPr="00CF77C1">
        <w:rPr>
          <w:lang w:val="sr-Cyrl-RS"/>
        </w:rPr>
        <w:t>Да би се отворио површински коп Радљево неопходно је да се реализују следећи потпројекти:</w:t>
      </w:r>
    </w:p>
    <w:p w14:paraId="03CF59A5" w14:textId="7AEDA1A0"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о</w:t>
      </w:r>
      <w:r w:rsidR="00176354" w:rsidRPr="00CF77C1">
        <w:rPr>
          <w:lang w:val="sr-Cyrl-RS"/>
        </w:rPr>
        <w:t>ткуп земљишта;</w:t>
      </w:r>
    </w:p>
    <w:p w14:paraId="44AEB408" w14:textId="2E4AEA47"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и</w:t>
      </w:r>
      <w:r w:rsidR="00176354" w:rsidRPr="00CF77C1">
        <w:rPr>
          <w:lang w:val="sr-Cyrl-RS"/>
        </w:rPr>
        <w:t>змештање инфраструктурних објеката;</w:t>
      </w:r>
    </w:p>
    <w:p w14:paraId="7D3D6D5F" w14:textId="6FCE7CCB"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н</w:t>
      </w:r>
      <w:r w:rsidR="00176354" w:rsidRPr="00CF77C1">
        <w:rPr>
          <w:lang w:val="sr-Cyrl-RS"/>
        </w:rPr>
        <w:t>абавка основне и помоћне опреме;</w:t>
      </w:r>
    </w:p>
    <w:p w14:paraId="3899C6E1" w14:textId="3B052D84"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н</w:t>
      </w:r>
      <w:r w:rsidR="00A84557" w:rsidRPr="00CF77C1">
        <w:rPr>
          <w:lang w:val="sr-Cyrl-RS"/>
        </w:rPr>
        <w:t>абавка БТО с</w:t>
      </w:r>
      <w:r w:rsidR="00176354" w:rsidRPr="00CF77C1">
        <w:rPr>
          <w:lang w:val="sr-Cyrl-RS"/>
        </w:rPr>
        <w:t>истема капацитета 6600 m</w:t>
      </w:r>
      <w:r w:rsidR="00A72B5B">
        <w:rPr>
          <w:vertAlign w:val="superscript"/>
          <w:lang w:val="sr-Cyrl-RS"/>
        </w:rPr>
        <w:t>3</w:t>
      </w:r>
      <w:r w:rsidR="00176354" w:rsidRPr="00CF77C1">
        <w:rPr>
          <w:lang w:val="sr-Cyrl-RS"/>
        </w:rPr>
        <w:t>/h (роторни багер систем транспортера Б 2000 mm (</w:t>
      </w:r>
      <w:r w:rsidR="00A72B5B">
        <w:rPr>
          <w:lang w:val="sr-Cyrl-RS"/>
        </w:rPr>
        <w:t xml:space="preserve">четири </w:t>
      </w:r>
      <w:r w:rsidR="00176354" w:rsidRPr="00CF77C1">
        <w:rPr>
          <w:lang w:val="sr-Cyrl-RS"/>
        </w:rPr>
        <w:t xml:space="preserve">погонске станице 5000 m трасе) и одлагач капацитета 8800 </w:t>
      </w:r>
      <w:r w:rsidR="00A72B5B" w:rsidRPr="00CF77C1">
        <w:rPr>
          <w:lang w:val="sr-Cyrl-RS"/>
        </w:rPr>
        <w:t>m</w:t>
      </w:r>
      <w:r w:rsidR="00A72B5B">
        <w:rPr>
          <w:vertAlign w:val="superscript"/>
          <w:lang w:val="sr-Cyrl-RS"/>
        </w:rPr>
        <w:t>3</w:t>
      </w:r>
      <w:r w:rsidR="00176354" w:rsidRPr="00CF77C1">
        <w:rPr>
          <w:lang w:val="sr-Cyrl-RS"/>
        </w:rPr>
        <w:t>/h;</w:t>
      </w:r>
    </w:p>
    <w:p w14:paraId="7E6F78D5" w14:textId="23C0F892"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н</w:t>
      </w:r>
      <w:r w:rsidR="00176354" w:rsidRPr="00CF77C1">
        <w:rPr>
          <w:lang w:val="sr-Cyrl-RS"/>
        </w:rPr>
        <w:t xml:space="preserve">абавка половног система капацитета 4100 </w:t>
      </w:r>
      <w:r w:rsidR="002B4537" w:rsidRPr="00CF77C1">
        <w:rPr>
          <w:lang w:val="sr-Cyrl-RS"/>
        </w:rPr>
        <w:t>m</w:t>
      </w:r>
      <w:r w:rsidR="002B4537">
        <w:rPr>
          <w:vertAlign w:val="superscript"/>
          <w:lang w:val="sr-Cyrl-RS"/>
        </w:rPr>
        <w:t>3</w:t>
      </w:r>
      <w:r w:rsidR="00176354" w:rsidRPr="00CF77C1">
        <w:rPr>
          <w:lang w:val="sr-Cyrl-RS"/>
        </w:rPr>
        <w:t>/h;</w:t>
      </w:r>
    </w:p>
    <w:p w14:paraId="157B6E14" w14:textId="0718C7FB"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н</w:t>
      </w:r>
      <w:r w:rsidR="00176354" w:rsidRPr="00CF77C1">
        <w:rPr>
          <w:lang w:val="sr-Cyrl-RS"/>
        </w:rPr>
        <w:t xml:space="preserve">абавка два БТД система капацитета 4100 </w:t>
      </w:r>
      <w:r w:rsidR="002B4537" w:rsidRPr="00CF77C1">
        <w:rPr>
          <w:lang w:val="sr-Cyrl-RS"/>
        </w:rPr>
        <w:t>m</w:t>
      </w:r>
      <w:r w:rsidR="002B4537">
        <w:rPr>
          <w:vertAlign w:val="superscript"/>
          <w:lang w:val="sr-Cyrl-RS"/>
        </w:rPr>
        <w:t>3</w:t>
      </w:r>
      <w:r w:rsidR="00176354" w:rsidRPr="00CF77C1">
        <w:rPr>
          <w:lang w:val="sr-Cyrl-RS"/>
        </w:rPr>
        <w:t>/h;</w:t>
      </w:r>
    </w:p>
    <w:p w14:paraId="3B3AC1EB" w14:textId="54A87E63"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н</w:t>
      </w:r>
      <w:r w:rsidR="00176354" w:rsidRPr="00CF77C1">
        <w:rPr>
          <w:lang w:val="sr-Cyrl-RS"/>
        </w:rPr>
        <w:t>абавка одлагача за међуслојну јаловину;</w:t>
      </w:r>
    </w:p>
    <w:p w14:paraId="582E273E" w14:textId="497C7FC7"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н</w:t>
      </w:r>
      <w:r w:rsidR="00176354" w:rsidRPr="00CF77C1">
        <w:rPr>
          <w:lang w:val="sr-Cyrl-RS"/>
        </w:rPr>
        <w:t>абавка транспортне опреме;</w:t>
      </w:r>
    </w:p>
    <w:p w14:paraId="7DA44B50" w14:textId="67869238"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и</w:t>
      </w:r>
      <w:r w:rsidR="00176354" w:rsidRPr="00CF77C1">
        <w:rPr>
          <w:lang w:val="sr-Cyrl-RS"/>
        </w:rPr>
        <w:t>зрада објеката одводњавања;</w:t>
      </w:r>
    </w:p>
    <w:p w14:paraId="22EA3B71" w14:textId="4CD5C985"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и</w:t>
      </w:r>
      <w:r w:rsidR="00176354" w:rsidRPr="00CF77C1">
        <w:rPr>
          <w:lang w:val="sr-Cyrl-RS"/>
        </w:rPr>
        <w:t>зградња инфраструктурних објеката;</w:t>
      </w:r>
    </w:p>
    <w:p w14:paraId="0EF72FCD" w14:textId="55BF95CC" w:rsidR="00176354" w:rsidRPr="00CF77C1" w:rsidRDefault="00DE3AA7" w:rsidP="005621E0">
      <w:pPr>
        <w:pStyle w:val="ListParagraph"/>
        <w:numPr>
          <w:ilvl w:val="0"/>
          <w:numId w:val="23"/>
        </w:numPr>
        <w:spacing w:before="60" w:after="60"/>
        <w:ind w:left="0" w:firstLine="720"/>
        <w:contextualSpacing w:val="0"/>
        <w:rPr>
          <w:lang w:val="sr-Cyrl-RS"/>
        </w:rPr>
      </w:pPr>
      <w:r w:rsidRPr="00CF77C1">
        <w:rPr>
          <w:lang w:val="sr-Cyrl-RS"/>
        </w:rPr>
        <w:t>и</w:t>
      </w:r>
      <w:r w:rsidR="00A84557" w:rsidRPr="00CF77C1">
        <w:rPr>
          <w:lang w:val="sr-Cyrl-RS"/>
        </w:rPr>
        <w:t>змештање путева.</w:t>
      </w:r>
    </w:p>
    <w:p w14:paraId="3BF18578" w14:textId="77777777" w:rsidR="00FD6088" w:rsidRPr="00CF77C1" w:rsidRDefault="00FD6088" w:rsidP="0080044B">
      <w:pPr>
        <w:rPr>
          <w:lang w:val="sr-Cyrl-RS"/>
        </w:rPr>
      </w:pPr>
    </w:p>
    <w:p w14:paraId="3B9A16B3" w14:textId="77777777" w:rsidR="00FD6088" w:rsidRPr="00CF77C1" w:rsidRDefault="00FD6088" w:rsidP="0080044B">
      <w:pPr>
        <w:pStyle w:val="ListParagraph"/>
        <w:numPr>
          <w:ilvl w:val="0"/>
          <w:numId w:val="22"/>
        </w:numPr>
        <w:rPr>
          <w:lang w:val="sr-Cyrl-RS"/>
        </w:rPr>
        <w:sectPr w:rsidR="00FD6088" w:rsidRPr="00CF77C1" w:rsidSect="00017454">
          <w:headerReference w:type="default" r:id="rId122"/>
          <w:footerReference w:type="default" r:id="rId123"/>
          <w:pgSz w:w="11907" w:h="16839" w:code="9"/>
          <w:pgMar w:top="1134" w:right="1134" w:bottom="1134" w:left="1418" w:header="720" w:footer="720" w:gutter="0"/>
          <w:cols w:space="720"/>
          <w:docGrid w:linePitch="360"/>
        </w:sectPr>
      </w:pPr>
    </w:p>
    <w:p w14:paraId="21659D28" w14:textId="0D3F987B" w:rsidR="00FD6088" w:rsidRPr="00CF77C1" w:rsidRDefault="00D61BC9" w:rsidP="005621E0">
      <w:pPr>
        <w:pStyle w:val="Caption"/>
        <w:ind w:firstLine="720"/>
        <w:rPr>
          <w:b w:val="0"/>
          <w:lang w:val="sr-Cyrl-RS"/>
        </w:rPr>
      </w:pPr>
      <w:r w:rsidRPr="00CF77C1">
        <w:rPr>
          <w:b w:val="0"/>
          <w:lang w:val="sr-Cyrl-RS"/>
        </w:rPr>
        <w:t>таб.</w:t>
      </w:r>
      <w:r w:rsidR="00FD6088"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116</w:t>
      </w:r>
      <w:r w:rsidR="0092145E" w:rsidRPr="00CF77C1">
        <w:rPr>
          <w:b w:val="0"/>
          <w:lang w:val="sr-Cyrl-RS"/>
        </w:rPr>
        <w:fldChar w:fldCharType="end"/>
      </w:r>
      <w:r w:rsidR="00FD6088" w:rsidRPr="00CF77C1">
        <w:rPr>
          <w:b w:val="0"/>
          <w:lang w:val="sr-Cyrl-RS"/>
        </w:rPr>
        <w:t>: Основне карактеристике и ефекти пројекта „Отварање површинског копа Радљево</w:t>
      </w:r>
      <w:r w:rsidR="00AD5740" w:rsidRPr="00CF77C1">
        <w:rPr>
          <w:b w:val="0"/>
          <w:lang w:val="sr-Cyrl-R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402"/>
        <w:gridCol w:w="4252"/>
        <w:gridCol w:w="4473"/>
      </w:tblGrid>
      <w:tr w:rsidR="00FD6088" w:rsidRPr="00CF77C1" w14:paraId="31C058A7" w14:textId="77777777" w:rsidTr="00FD6088">
        <w:tc>
          <w:tcPr>
            <w:tcW w:w="2660" w:type="dxa"/>
            <w:shd w:val="clear" w:color="auto" w:fill="auto"/>
            <w:vAlign w:val="center"/>
          </w:tcPr>
          <w:p w14:paraId="524ACFFC" w14:textId="77777777" w:rsidR="00FD6088" w:rsidRPr="00CF77C1" w:rsidRDefault="00FD6088" w:rsidP="0080044B">
            <w:pPr>
              <w:jc w:val="center"/>
              <w:rPr>
                <w:szCs w:val="24"/>
                <w:lang w:val="sr-Cyrl-RS"/>
              </w:rPr>
            </w:pPr>
            <w:r w:rsidRPr="00CF77C1">
              <w:rPr>
                <w:szCs w:val="24"/>
                <w:lang w:val="sr-Cyrl-RS"/>
              </w:rPr>
              <w:t>Техничке карактеристике</w:t>
            </w:r>
          </w:p>
        </w:tc>
        <w:tc>
          <w:tcPr>
            <w:tcW w:w="3402" w:type="dxa"/>
            <w:shd w:val="clear" w:color="auto" w:fill="auto"/>
            <w:vAlign w:val="center"/>
          </w:tcPr>
          <w:p w14:paraId="1B19E931" w14:textId="77777777" w:rsidR="00FD6088" w:rsidRPr="00CF77C1" w:rsidRDefault="00FD6088" w:rsidP="0080044B">
            <w:pPr>
              <w:jc w:val="center"/>
              <w:rPr>
                <w:szCs w:val="24"/>
                <w:lang w:val="sr-Cyrl-RS"/>
              </w:rPr>
            </w:pPr>
            <w:r w:rsidRPr="00CF77C1">
              <w:rPr>
                <w:szCs w:val="24"/>
                <w:lang w:val="sr-Cyrl-RS"/>
              </w:rPr>
              <w:t>Вредност пројекта и извор средстава</w:t>
            </w:r>
          </w:p>
        </w:tc>
        <w:tc>
          <w:tcPr>
            <w:tcW w:w="4252" w:type="dxa"/>
            <w:shd w:val="clear" w:color="auto" w:fill="auto"/>
            <w:vAlign w:val="center"/>
          </w:tcPr>
          <w:p w14:paraId="4C13ACD4" w14:textId="77777777" w:rsidR="00FD6088" w:rsidRPr="00CF77C1" w:rsidRDefault="00FD6088" w:rsidP="0080044B">
            <w:pPr>
              <w:jc w:val="center"/>
              <w:rPr>
                <w:szCs w:val="24"/>
                <w:lang w:val="sr-Cyrl-RS"/>
              </w:rPr>
            </w:pPr>
            <w:r w:rsidRPr="00CF77C1">
              <w:rPr>
                <w:szCs w:val="24"/>
                <w:lang w:val="sr-Cyrl-RS"/>
              </w:rPr>
              <w:t>Опис ефеката реализације</w:t>
            </w:r>
          </w:p>
        </w:tc>
        <w:tc>
          <w:tcPr>
            <w:tcW w:w="4473" w:type="dxa"/>
            <w:shd w:val="clear" w:color="auto" w:fill="auto"/>
            <w:vAlign w:val="center"/>
          </w:tcPr>
          <w:p w14:paraId="29DA2B6A" w14:textId="77777777" w:rsidR="00FD6088" w:rsidRPr="00CF77C1" w:rsidRDefault="00FD6088" w:rsidP="0080044B">
            <w:pPr>
              <w:jc w:val="center"/>
              <w:rPr>
                <w:szCs w:val="24"/>
                <w:lang w:val="sr-Cyrl-RS"/>
              </w:rPr>
            </w:pPr>
            <w:r w:rsidRPr="00CF77C1">
              <w:rPr>
                <w:szCs w:val="24"/>
                <w:lang w:val="sr-Cyrl-RS"/>
              </w:rPr>
              <w:t>Валоризовани просечни годишњи ефекти реализације на основу расположиве документације</w:t>
            </w:r>
          </w:p>
        </w:tc>
      </w:tr>
      <w:tr w:rsidR="00FD6088" w:rsidRPr="00CF77C1" w14:paraId="785918FD" w14:textId="77777777" w:rsidTr="00FD6088">
        <w:trPr>
          <w:trHeight w:val="868"/>
        </w:trPr>
        <w:tc>
          <w:tcPr>
            <w:tcW w:w="2660" w:type="dxa"/>
            <w:shd w:val="clear" w:color="auto" w:fill="auto"/>
            <w:vAlign w:val="center"/>
          </w:tcPr>
          <w:p w14:paraId="3B15BBA9" w14:textId="77777777" w:rsidR="00FD6088" w:rsidRPr="00CF77C1" w:rsidRDefault="00FD6088" w:rsidP="0080044B">
            <w:pPr>
              <w:jc w:val="left"/>
              <w:rPr>
                <w:lang w:val="sr-Cyrl-RS"/>
              </w:rPr>
            </w:pPr>
            <w:r w:rsidRPr="00CF77C1">
              <w:rPr>
                <w:lang w:val="sr-Cyrl-RS"/>
              </w:rPr>
              <w:t>Експропријација и инфраструктура</w:t>
            </w:r>
          </w:p>
        </w:tc>
        <w:tc>
          <w:tcPr>
            <w:tcW w:w="3402" w:type="dxa"/>
            <w:shd w:val="clear" w:color="auto" w:fill="auto"/>
            <w:vAlign w:val="center"/>
          </w:tcPr>
          <w:p w14:paraId="4BCD16B0" w14:textId="77777777" w:rsidR="00FD6088" w:rsidRPr="00CF77C1" w:rsidRDefault="00FD6088" w:rsidP="0080044B">
            <w:pPr>
              <w:jc w:val="center"/>
              <w:rPr>
                <w:szCs w:val="24"/>
                <w:lang w:val="sr-Cyrl-RS"/>
              </w:rPr>
            </w:pPr>
            <w:r w:rsidRPr="00CF77C1">
              <w:rPr>
                <w:szCs w:val="24"/>
                <w:lang w:val="sr-Cyrl-RS"/>
              </w:rPr>
              <w:t>17.500.000 €</w:t>
            </w:r>
          </w:p>
          <w:p w14:paraId="15EC450B" w14:textId="70327F23"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252" w:type="dxa"/>
            <w:vMerge w:val="restart"/>
            <w:shd w:val="clear" w:color="auto" w:fill="auto"/>
            <w:vAlign w:val="center"/>
          </w:tcPr>
          <w:p w14:paraId="24216813" w14:textId="5848F46F" w:rsidR="00FD6088" w:rsidRPr="00CF77C1" w:rsidRDefault="00FD6088" w:rsidP="00BF18E8">
            <w:pPr>
              <w:jc w:val="left"/>
              <w:rPr>
                <w:szCs w:val="24"/>
                <w:lang w:val="sr-Cyrl-RS"/>
              </w:rPr>
            </w:pPr>
            <w:r w:rsidRPr="00CF77C1">
              <w:rPr>
                <w:szCs w:val="24"/>
                <w:lang w:val="sr-Cyrl-RS"/>
              </w:rPr>
              <w:t>Отварањем површинског копа Радљево надок</w:t>
            </w:r>
            <w:r w:rsidR="00A1292B">
              <w:rPr>
                <w:szCs w:val="24"/>
                <w:lang w:val="sr-Cyrl-RS"/>
              </w:rPr>
              <w:t>н</w:t>
            </w:r>
            <w:r w:rsidRPr="00CF77C1">
              <w:rPr>
                <w:szCs w:val="24"/>
                <w:lang w:val="sr-Cyrl-RS"/>
              </w:rPr>
              <w:t>адиће се недостатак производње у западном делу колубарског басена уз истовремено смањивање капацитета на ПК Поље Г, чиме ће се сачувати потребни квалитет угља за с</w:t>
            </w:r>
            <w:r w:rsidR="00A1292B">
              <w:rPr>
                <w:szCs w:val="24"/>
                <w:lang w:val="sr-Cyrl-RS"/>
              </w:rPr>
              <w:t>а</w:t>
            </w:r>
            <w:r w:rsidRPr="00CF77C1">
              <w:rPr>
                <w:szCs w:val="24"/>
                <w:lang w:val="sr-Cyrl-RS"/>
              </w:rPr>
              <w:t xml:space="preserve">горевање у термоелектранама. Наиме, угљена серија у ПК Радљево је раслојена са великим учешћем нискоквалитетних угљева који нису погодни за сагоревање у ТЕ. Мешањем са угљем са ПК Поље Г омогућиће се неопходан квалитет угља и искоришћење нискоквалитетних </w:t>
            </w:r>
            <w:r w:rsidRPr="00655D7B">
              <w:rPr>
                <w:szCs w:val="24"/>
                <w:lang w:val="sr-Cyrl-RS"/>
              </w:rPr>
              <w:t>угљева</w:t>
            </w:r>
            <w:r w:rsidRPr="00CF77C1">
              <w:rPr>
                <w:szCs w:val="24"/>
                <w:lang w:val="sr-Cyrl-RS"/>
              </w:rPr>
              <w:t>. У случају потребе за снабдевањем угља нових термоенергетских капацитета</w:t>
            </w:r>
            <w:r w:rsidR="00AE17CC" w:rsidRPr="00CF77C1">
              <w:rPr>
                <w:szCs w:val="24"/>
                <w:lang w:val="sr-Cyrl-RS"/>
              </w:rPr>
              <w:t>,</w:t>
            </w:r>
            <w:r w:rsidRPr="00CF77C1">
              <w:rPr>
                <w:szCs w:val="24"/>
                <w:lang w:val="sr-Cyrl-RS"/>
              </w:rPr>
              <w:t xml:space="preserve"> планирани капацитет копа Радљево се лако може повећати. Потребне инвест</w:t>
            </w:r>
            <w:r w:rsidR="002D7D6C" w:rsidRPr="00CF77C1">
              <w:rPr>
                <w:szCs w:val="24"/>
                <w:lang w:val="sr-Cyrl-RS"/>
              </w:rPr>
              <w:t xml:space="preserve">иције за капацитет од 6.000.000 t </w:t>
            </w:r>
            <w:r w:rsidRPr="00CF77C1">
              <w:rPr>
                <w:szCs w:val="24"/>
                <w:lang w:val="sr-Cyrl-RS"/>
              </w:rPr>
              <w:t>угља годишње износе</w:t>
            </w:r>
            <w:r w:rsidR="00AE17CC" w:rsidRPr="00CF77C1">
              <w:rPr>
                <w:szCs w:val="24"/>
                <w:lang w:val="sr-Cyrl-RS"/>
              </w:rPr>
              <w:t xml:space="preserve"> </w:t>
            </w:r>
            <w:r w:rsidR="00B5219A" w:rsidRPr="00CF77C1">
              <w:rPr>
                <w:szCs w:val="24"/>
                <w:lang w:val="sr-Cyrl-RS"/>
              </w:rPr>
              <w:t>6</w:t>
            </w:r>
            <w:r w:rsidR="00BF18E8" w:rsidRPr="00CF77C1">
              <w:rPr>
                <w:szCs w:val="24"/>
                <w:lang w:val="sr-Cyrl-RS"/>
              </w:rPr>
              <w:t>4</w:t>
            </w:r>
            <w:r w:rsidR="00B5219A" w:rsidRPr="00CF77C1">
              <w:rPr>
                <w:szCs w:val="24"/>
                <w:lang w:val="sr-Cyrl-RS"/>
              </w:rPr>
              <w:t xml:space="preserve">0.000.000 </w:t>
            </w:r>
            <w:r w:rsidR="002D7D6C" w:rsidRPr="00CF77C1">
              <w:rPr>
                <w:szCs w:val="24"/>
                <w:lang w:val="sr-Cyrl-RS"/>
              </w:rPr>
              <w:t>€</w:t>
            </w:r>
            <w:r w:rsidRPr="00CF77C1">
              <w:rPr>
                <w:szCs w:val="24"/>
                <w:lang w:val="sr-Cyrl-RS"/>
              </w:rPr>
              <w:t>. Почетак производње угља је планиран за 2021</w:t>
            </w:r>
            <w:r w:rsidR="00AE17CC" w:rsidRPr="00CF77C1">
              <w:rPr>
                <w:szCs w:val="24"/>
                <w:lang w:val="sr-Cyrl-RS"/>
              </w:rPr>
              <w:t>.</w:t>
            </w:r>
            <w:r w:rsidRPr="00CF77C1">
              <w:rPr>
                <w:szCs w:val="24"/>
                <w:lang w:val="sr-Cyrl-RS"/>
              </w:rPr>
              <w:t xml:space="preserve"> годину. Укупне инвестиције до 202</w:t>
            </w:r>
            <w:r w:rsidR="00165345" w:rsidRPr="00CF77C1">
              <w:rPr>
                <w:szCs w:val="24"/>
                <w:lang w:val="sr-Cyrl-RS"/>
              </w:rPr>
              <w:t>3</w:t>
            </w:r>
            <w:r w:rsidR="00AE17CC" w:rsidRPr="00CF77C1">
              <w:rPr>
                <w:szCs w:val="24"/>
                <w:lang w:val="sr-Cyrl-RS"/>
              </w:rPr>
              <w:t>.</w:t>
            </w:r>
            <w:r w:rsidRPr="00CF77C1">
              <w:rPr>
                <w:szCs w:val="24"/>
                <w:lang w:val="sr-Cyrl-RS"/>
              </w:rPr>
              <w:t xml:space="preserve"> године износе </w:t>
            </w:r>
            <w:r w:rsidR="002D7D6C" w:rsidRPr="00CF77C1">
              <w:rPr>
                <w:szCs w:val="24"/>
                <w:lang w:val="sr-Cyrl-RS"/>
              </w:rPr>
              <w:t xml:space="preserve">око </w:t>
            </w:r>
            <w:r w:rsidR="00BF18E8" w:rsidRPr="00CF77C1">
              <w:rPr>
                <w:szCs w:val="24"/>
                <w:lang w:val="sr-Cyrl-RS"/>
              </w:rPr>
              <w:t>245</w:t>
            </w:r>
            <w:r w:rsidR="00B5219A" w:rsidRPr="00CF77C1">
              <w:rPr>
                <w:szCs w:val="24"/>
                <w:lang w:val="sr-Cyrl-RS"/>
              </w:rPr>
              <w:t xml:space="preserve">.000.000 €, а до краја века експлоатације </w:t>
            </w:r>
            <w:r w:rsidR="00BF18E8" w:rsidRPr="00CF77C1">
              <w:rPr>
                <w:szCs w:val="24"/>
                <w:lang w:val="sr-Cyrl-RS"/>
              </w:rPr>
              <w:t>640</w:t>
            </w:r>
            <w:r w:rsidR="00B5219A" w:rsidRPr="00CF77C1">
              <w:rPr>
                <w:szCs w:val="24"/>
                <w:lang w:val="sr-Cyrl-RS"/>
              </w:rPr>
              <w:t>.000.000 €</w:t>
            </w:r>
            <w:r w:rsidR="002D7D6C" w:rsidRPr="00CF77C1">
              <w:rPr>
                <w:szCs w:val="24"/>
                <w:lang w:val="sr-Cyrl-RS"/>
              </w:rPr>
              <w:t>.</w:t>
            </w:r>
          </w:p>
        </w:tc>
        <w:tc>
          <w:tcPr>
            <w:tcW w:w="4473" w:type="dxa"/>
            <w:vMerge w:val="restart"/>
            <w:shd w:val="clear" w:color="auto" w:fill="auto"/>
            <w:vAlign w:val="center"/>
          </w:tcPr>
          <w:p w14:paraId="30A279C5" w14:textId="77777777" w:rsidR="00B5219A" w:rsidRPr="00CF77C1" w:rsidRDefault="00B5219A" w:rsidP="0080044B">
            <w:pPr>
              <w:pStyle w:val="BodyText"/>
              <w:jc w:val="center"/>
              <w:rPr>
                <w:szCs w:val="24"/>
                <w:lang w:val="sr-Cyrl-RS"/>
              </w:rPr>
            </w:pPr>
            <w:r w:rsidRPr="00CF77C1">
              <w:rPr>
                <w:szCs w:val="24"/>
                <w:lang w:val="sr-Cyrl-RS"/>
              </w:rPr>
              <w:t>Реализација пројекта отварања површинског копа Поље Радљево омогућава континуитет у производњи електричне енергије, а лако се може повећати капацитет у случају да се отворе нови термоенергетски капацитети на локацији ТЕНТ-а или Колубаре.</w:t>
            </w:r>
          </w:p>
          <w:p w14:paraId="64263E60" w14:textId="77777777" w:rsidR="00B5219A" w:rsidRPr="00CF77C1" w:rsidRDefault="00B5219A" w:rsidP="0080044B">
            <w:pPr>
              <w:pStyle w:val="BodyText"/>
              <w:jc w:val="center"/>
              <w:rPr>
                <w:szCs w:val="24"/>
                <w:lang w:val="sr-Cyrl-RS"/>
              </w:rPr>
            </w:pPr>
            <w:r w:rsidRPr="00CF77C1">
              <w:rPr>
                <w:szCs w:val="24"/>
                <w:lang w:val="sr-Cyrl-RS"/>
              </w:rPr>
              <w:t>Економски ток пројекта даје прорачун интерне стопе повраћаја IRR (Interal rate of return):</w:t>
            </w:r>
          </w:p>
          <w:p w14:paraId="2A33D17A" w14:textId="77777777" w:rsidR="00B5219A" w:rsidRPr="00CF77C1" w:rsidRDefault="00B5219A" w:rsidP="0080044B">
            <w:pPr>
              <w:pStyle w:val="BodyText"/>
              <w:jc w:val="center"/>
              <w:rPr>
                <w:szCs w:val="24"/>
                <w:lang w:val="sr-Cyrl-RS"/>
              </w:rPr>
            </w:pPr>
            <w:r w:rsidRPr="00CF77C1">
              <w:rPr>
                <w:szCs w:val="24"/>
                <w:lang w:val="sr-Cyrl-RS"/>
              </w:rPr>
              <w:t>IRR = 11,76%</w:t>
            </w:r>
          </w:p>
          <w:p w14:paraId="20F7FEAD" w14:textId="77777777" w:rsidR="00B5219A" w:rsidRPr="00CF77C1" w:rsidRDefault="00B5219A" w:rsidP="0080044B">
            <w:pPr>
              <w:pStyle w:val="BodyText"/>
              <w:jc w:val="center"/>
              <w:rPr>
                <w:szCs w:val="24"/>
                <w:lang w:val="sr-Cyrl-RS"/>
              </w:rPr>
            </w:pPr>
            <w:r w:rsidRPr="00CF77C1">
              <w:rPr>
                <w:szCs w:val="24"/>
                <w:lang w:val="sr-Cyrl-RS"/>
              </w:rPr>
              <w:t>У економском току израчуната је и нето садашња вредност са дисконтном стопом од 8% и износи NPV =129.731.120 €</w:t>
            </w:r>
          </w:p>
          <w:p w14:paraId="64F20604" w14:textId="77777777" w:rsidR="00B5219A" w:rsidRPr="00CF77C1" w:rsidRDefault="00B5219A" w:rsidP="0080044B">
            <w:pPr>
              <w:pStyle w:val="BodyText"/>
              <w:jc w:val="center"/>
              <w:rPr>
                <w:szCs w:val="24"/>
                <w:lang w:val="sr-Cyrl-RS"/>
              </w:rPr>
            </w:pPr>
            <w:r w:rsidRPr="00CF77C1">
              <w:rPr>
                <w:szCs w:val="24"/>
                <w:lang w:val="sr-Cyrl-RS"/>
              </w:rPr>
              <w:t>Просечна нето добит= 6,92 €/tona</w:t>
            </w:r>
          </w:p>
          <w:p w14:paraId="33DDB91F" w14:textId="77777777" w:rsidR="00B5219A" w:rsidRPr="00CF77C1" w:rsidRDefault="00B5219A" w:rsidP="0080044B">
            <w:pPr>
              <w:pStyle w:val="BodyText"/>
              <w:jc w:val="center"/>
              <w:rPr>
                <w:szCs w:val="24"/>
                <w:lang w:val="sr-Cyrl-RS"/>
              </w:rPr>
            </w:pPr>
            <w:r w:rsidRPr="00CF77C1">
              <w:rPr>
                <w:szCs w:val="24"/>
                <w:lang w:val="sr-Cyrl-RS"/>
              </w:rPr>
              <w:t>NPV по тони угља = 0,54 €/t</w:t>
            </w:r>
          </w:p>
          <w:p w14:paraId="5C13A2CA" w14:textId="77777777" w:rsidR="00FD6088" w:rsidRPr="00CF77C1" w:rsidRDefault="00B5219A" w:rsidP="0080044B">
            <w:pPr>
              <w:pStyle w:val="BodyText"/>
              <w:jc w:val="center"/>
              <w:rPr>
                <w:szCs w:val="24"/>
                <w:lang w:val="sr-Cyrl-RS"/>
              </w:rPr>
            </w:pPr>
            <w:r w:rsidRPr="00CF77C1">
              <w:rPr>
                <w:szCs w:val="24"/>
                <w:lang w:val="sr-Cyrl-RS"/>
              </w:rPr>
              <w:t>Набавља се нови БТО систем са фреквентно регулисаним погонима</w:t>
            </w:r>
            <w:r w:rsidR="007938E0" w:rsidRPr="00CF77C1">
              <w:rPr>
                <w:szCs w:val="24"/>
                <w:lang w:val="sr-Cyrl-RS"/>
              </w:rPr>
              <w:t xml:space="preserve"> </w:t>
            </w:r>
            <w:r w:rsidRPr="00CF77C1">
              <w:rPr>
                <w:szCs w:val="24"/>
                <w:lang w:val="sr-Cyrl-RS"/>
              </w:rPr>
              <w:t>и могућношћу промене брзине у функцији капацитета. Уштеде у енергији су 10 до 30%. За овај систем уштеде око 540000 kWh на годишњем нивоу.</w:t>
            </w:r>
          </w:p>
        </w:tc>
      </w:tr>
      <w:tr w:rsidR="00FD6088" w:rsidRPr="00CF77C1" w14:paraId="053E9F0B" w14:textId="77777777" w:rsidTr="00FD6088">
        <w:trPr>
          <w:trHeight w:val="869"/>
        </w:trPr>
        <w:tc>
          <w:tcPr>
            <w:tcW w:w="2660" w:type="dxa"/>
            <w:shd w:val="clear" w:color="auto" w:fill="auto"/>
            <w:vAlign w:val="center"/>
          </w:tcPr>
          <w:p w14:paraId="0D209A8C" w14:textId="77777777" w:rsidR="00FD6088" w:rsidRPr="00CF77C1" w:rsidRDefault="00FD6088" w:rsidP="0080044B">
            <w:pPr>
              <w:jc w:val="left"/>
              <w:rPr>
                <w:lang w:val="sr-Cyrl-RS"/>
              </w:rPr>
            </w:pPr>
            <w:r w:rsidRPr="00CF77C1">
              <w:rPr>
                <w:lang w:val="sr-Cyrl-RS"/>
              </w:rPr>
              <w:t>Инвестициона откривка</w:t>
            </w:r>
          </w:p>
        </w:tc>
        <w:tc>
          <w:tcPr>
            <w:tcW w:w="3402" w:type="dxa"/>
            <w:shd w:val="clear" w:color="auto" w:fill="auto"/>
            <w:vAlign w:val="center"/>
          </w:tcPr>
          <w:p w14:paraId="36D5B16B" w14:textId="77777777" w:rsidR="00FD6088" w:rsidRPr="00CF77C1" w:rsidRDefault="00FD6088" w:rsidP="0080044B">
            <w:pPr>
              <w:jc w:val="center"/>
              <w:rPr>
                <w:szCs w:val="24"/>
                <w:lang w:val="sr-Cyrl-RS"/>
              </w:rPr>
            </w:pPr>
            <w:r w:rsidRPr="00CF77C1">
              <w:rPr>
                <w:szCs w:val="24"/>
                <w:lang w:val="sr-Cyrl-RS"/>
              </w:rPr>
              <w:t>10.500.000 €</w:t>
            </w:r>
          </w:p>
          <w:p w14:paraId="3F04376E" w14:textId="7128567C"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 xml:space="preserve">) </w:t>
            </w:r>
          </w:p>
        </w:tc>
        <w:tc>
          <w:tcPr>
            <w:tcW w:w="4252" w:type="dxa"/>
            <w:vMerge/>
            <w:shd w:val="clear" w:color="auto" w:fill="auto"/>
            <w:vAlign w:val="center"/>
          </w:tcPr>
          <w:p w14:paraId="1FCF3D79" w14:textId="77777777" w:rsidR="00FD6088" w:rsidRPr="00CF77C1" w:rsidRDefault="00FD6088" w:rsidP="0080044B">
            <w:pPr>
              <w:jc w:val="left"/>
              <w:rPr>
                <w:lang w:val="sr-Cyrl-RS"/>
              </w:rPr>
            </w:pPr>
          </w:p>
        </w:tc>
        <w:tc>
          <w:tcPr>
            <w:tcW w:w="4473" w:type="dxa"/>
            <w:vMerge/>
            <w:shd w:val="clear" w:color="auto" w:fill="auto"/>
            <w:vAlign w:val="center"/>
          </w:tcPr>
          <w:p w14:paraId="6C75FB82" w14:textId="77777777" w:rsidR="00FD6088" w:rsidRPr="00CF77C1" w:rsidRDefault="00FD6088" w:rsidP="0080044B">
            <w:pPr>
              <w:jc w:val="left"/>
              <w:rPr>
                <w:lang w:val="sr-Cyrl-RS"/>
              </w:rPr>
            </w:pPr>
          </w:p>
        </w:tc>
      </w:tr>
      <w:tr w:rsidR="00FD6088" w:rsidRPr="00CF77C1" w14:paraId="00A5386C" w14:textId="77777777" w:rsidTr="00FD6088">
        <w:trPr>
          <w:trHeight w:val="868"/>
        </w:trPr>
        <w:tc>
          <w:tcPr>
            <w:tcW w:w="2660" w:type="dxa"/>
            <w:shd w:val="clear" w:color="auto" w:fill="auto"/>
            <w:vAlign w:val="center"/>
          </w:tcPr>
          <w:p w14:paraId="4E68235D" w14:textId="77777777" w:rsidR="00FD6088" w:rsidRPr="00CF77C1" w:rsidRDefault="00FD6088" w:rsidP="0080044B">
            <w:pPr>
              <w:jc w:val="left"/>
              <w:rPr>
                <w:lang w:val="sr-Cyrl-RS"/>
              </w:rPr>
            </w:pPr>
            <w:r w:rsidRPr="00CF77C1">
              <w:rPr>
                <w:lang w:val="sr-Cyrl-RS"/>
              </w:rPr>
              <w:t>Основна опрема</w:t>
            </w:r>
          </w:p>
        </w:tc>
        <w:tc>
          <w:tcPr>
            <w:tcW w:w="3402" w:type="dxa"/>
            <w:shd w:val="clear" w:color="auto" w:fill="auto"/>
            <w:vAlign w:val="center"/>
          </w:tcPr>
          <w:p w14:paraId="0C2193BC" w14:textId="77777777" w:rsidR="00FD6088" w:rsidRPr="00CF77C1" w:rsidRDefault="00FD6088" w:rsidP="0080044B">
            <w:pPr>
              <w:jc w:val="center"/>
              <w:rPr>
                <w:szCs w:val="24"/>
                <w:lang w:val="sr-Cyrl-RS"/>
              </w:rPr>
            </w:pPr>
            <w:r w:rsidRPr="00CF77C1">
              <w:rPr>
                <w:szCs w:val="24"/>
                <w:lang w:val="sr-Cyrl-RS"/>
              </w:rPr>
              <w:t>142.500.000 €</w:t>
            </w:r>
          </w:p>
          <w:p w14:paraId="7F2D4AD1" w14:textId="60D2B11B"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252" w:type="dxa"/>
            <w:vMerge/>
            <w:shd w:val="clear" w:color="auto" w:fill="auto"/>
            <w:vAlign w:val="center"/>
          </w:tcPr>
          <w:p w14:paraId="079C249F" w14:textId="77777777" w:rsidR="00FD6088" w:rsidRPr="00CF77C1" w:rsidRDefault="00FD6088" w:rsidP="0080044B">
            <w:pPr>
              <w:jc w:val="left"/>
              <w:rPr>
                <w:lang w:val="sr-Cyrl-RS"/>
              </w:rPr>
            </w:pPr>
          </w:p>
        </w:tc>
        <w:tc>
          <w:tcPr>
            <w:tcW w:w="4473" w:type="dxa"/>
            <w:vMerge/>
            <w:shd w:val="clear" w:color="auto" w:fill="auto"/>
            <w:vAlign w:val="center"/>
          </w:tcPr>
          <w:p w14:paraId="0C35A26F" w14:textId="77777777" w:rsidR="00FD6088" w:rsidRPr="00CF77C1" w:rsidRDefault="00FD6088" w:rsidP="0080044B">
            <w:pPr>
              <w:jc w:val="left"/>
              <w:rPr>
                <w:lang w:val="sr-Cyrl-RS"/>
              </w:rPr>
            </w:pPr>
          </w:p>
        </w:tc>
      </w:tr>
      <w:tr w:rsidR="00FD6088" w:rsidRPr="00CF77C1" w14:paraId="69626B38" w14:textId="77777777" w:rsidTr="00FD6088">
        <w:trPr>
          <w:trHeight w:val="869"/>
        </w:trPr>
        <w:tc>
          <w:tcPr>
            <w:tcW w:w="2660" w:type="dxa"/>
            <w:shd w:val="clear" w:color="auto" w:fill="auto"/>
            <w:vAlign w:val="center"/>
          </w:tcPr>
          <w:p w14:paraId="5D722E45" w14:textId="77777777" w:rsidR="00FD6088" w:rsidRPr="00CF77C1" w:rsidRDefault="00FD6088" w:rsidP="0080044B">
            <w:pPr>
              <w:jc w:val="left"/>
              <w:rPr>
                <w:lang w:val="sr-Cyrl-RS"/>
              </w:rPr>
            </w:pPr>
            <w:r w:rsidRPr="00CF77C1">
              <w:rPr>
                <w:lang w:val="sr-Cyrl-RS"/>
              </w:rPr>
              <w:t>Помоћна опрема</w:t>
            </w:r>
          </w:p>
        </w:tc>
        <w:tc>
          <w:tcPr>
            <w:tcW w:w="3402" w:type="dxa"/>
            <w:shd w:val="clear" w:color="auto" w:fill="auto"/>
            <w:vAlign w:val="center"/>
          </w:tcPr>
          <w:p w14:paraId="0065FF43" w14:textId="77777777" w:rsidR="00FD6088" w:rsidRPr="00CF77C1" w:rsidRDefault="00FD6088" w:rsidP="0080044B">
            <w:pPr>
              <w:jc w:val="center"/>
              <w:rPr>
                <w:szCs w:val="24"/>
                <w:lang w:val="sr-Cyrl-RS"/>
              </w:rPr>
            </w:pPr>
            <w:r w:rsidRPr="00CF77C1">
              <w:rPr>
                <w:szCs w:val="24"/>
                <w:lang w:val="sr-Cyrl-RS"/>
              </w:rPr>
              <w:t>6.760.000 €</w:t>
            </w:r>
          </w:p>
          <w:p w14:paraId="63FE6562" w14:textId="3E25560A"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252" w:type="dxa"/>
            <w:vMerge/>
            <w:shd w:val="clear" w:color="auto" w:fill="auto"/>
            <w:vAlign w:val="center"/>
          </w:tcPr>
          <w:p w14:paraId="31845BB6" w14:textId="77777777" w:rsidR="00FD6088" w:rsidRPr="00CF77C1" w:rsidRDefault="00FD6088" w:rsidP="0080044B">
            <w:pPr>
              <w:jc w:val="left"/>
              <w:rPr>
                <w:lang w:val="sr-Cyrl-RS"/>
              </w:rPr>
            </w:pPr>
          </w:p>
        </w:tc>
        <w:tc>
          <w:tcPr>
            <w:tcW w:w="4473" w:type="dxa"/>
            <w:vMerge/>
            <w:shd w:val="clear" w:color="auto" w:fill="auto"/>
            <w:vAlign w:val="center"/>
          </w:tcPr>
          <w:p w14:paraId="3DBF27B0" w14:textId="77777777" w:rsidR="00FD6088" w:rsidRPr="00CF77C1" w:rsidRDefault="00FD6088" w:rsidP="0080044B">
            <w:pPr>
              <w:jc w:val="left"/>
              <w:rPr>
                <w:lang w:val="sr-Cyrl-RS"/>
              </w:rPr>
            </w:pPr>
          </w:p>
        </w:tc>
      </w:tr>
      <w:tr w:rsidR="00FD6088" w:rsidRPr="00CF77C1" w14:paraId="33F86D2B" w14:textId="77777777" w:rsidTr="00FD6088">
        <w:trPr>
          <w:trHeight w:val="869"/>
        </w:trPr>
        <w:tc>
          <w:tcPr>
            <w:tcW w:w="2660" w:type="dxa"/>
            <w:shd w:val="clear" w:color="auto" w:fill="auto"/>
            <w:vAlign w:val="center"/>
          </w:tcPr>
          <w:p w14:paraId="7FB82CD7" w14:textId="77777777" w:rsidR="00FD6088" w:rsidRPr="00CF77C1" w:rsidRDefault="00FD6088" w:rsidP="0080044B">
            <w:pPr>
              <w:jc w:val="left"/>
              <w:rPr>
                <w:lang w:val="sr-Cyrl-RS"/>
              </w:rPr>
            </w:pPr>
            <w:r w:rsidRPr="00CF77C1">
              <w:rPr>
                <w:lang w:val="sr-Cyrl-RS"/>
              </w:rPr>
              <w:t>Напајање електричном енергијом</w:t>
            </w:r>
          </w:p>
        </w:tc>
        <w:tc>
          <w:tcPr>
            <w:tcW w:w="3402" w:type="dxa"/>
            <w:shd w:val="clear" w:color="auto" w:fill="auto"/>
            <w:vAlign w:val="center"/>
          </w:tcPr>
          <w:p w14:paraId="579D2AB7" w14:textId="77777777" w:rsidR="00FD6088" w:rsidRPr="00CF77C1" w:rsidRDefault="00FD6088" w:rsidP="0080044B">
            <w:pPr>
              <w:jc w:val="center"/>
              <w:rPr>
                <w:szCs w:val="24"/>
                <w:lang w:val="sr-Cyrl-RS"/>
              </w:rPr>
            </w:pPr>
            <w:r w:rsidRPr="00CF77C1">
              <w:rPr>
                <w:szCs w:val="24"/>
                <w:lang w:val="sr-Cyrl-RS"/>
              </w:rPr>
              <w:t>4.590.000 €</w:t>
            </w:r>
          </w:p>
          <w:p w14:paraId="437C9D00" w14:textId="52250C6F"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252" w:type="dxa"/>
            <w:vMerge/>
            <w:shd w:val="clear" w:color="auto" w:fill="auto"/>
            <w:vAlign w:val="center"/>
          </w:tcPr>
          <w:p w14:paraId="1E9FDFC5" w14:textId="77777777" w:rsidR="00FD6088" w:rsidRPr="00CF77C1" w:rsidRDefault="00FD6088" w:rsidP="0080044B">
            <w:pPr>
              <w:jc w:val="left"/>
              <w:rPr>
                <w:lang w:val="sr-Cyrl-RS"/>
              </w:rPr>
            </w:pPr>
          </w:p>
        </w:tc>
        <w:tc>
          <w:tcPr>
            <w:tcW w:w="4473" w:type="dxa"/>
            <w:vMerge/>
            <w:shd w:val="clear" w:color="auto" w:fill="auto"/>
            <w:vAlign w:val="center"/>
          </w:tcPr>
          <w:p w14:paraId="76584914" w14:textId="77777777" w:rsidR="00FD6088" w:rsidRPr="00CF77C1" w:rsidRDefault="00FD6088" w:rsidP="0080044B">
            <w:pPr>
              <w:jc w:val="left"/>
              <w:rPr>
                <w:lang w:val="sr-Cyrl-RS"/>
              </w:rPr>
            </w:pPr>
          </w:p>
        </w:tc>
      </w:tr>
      <w:tr w:rsidR="00FD6088" w:rsidRPr="00CF77C1" w14:paraId="16DC07EE" w14:textId="77777777" w:rsidTr="00FD6088">
        <w:trPr>
          <w:trHeight w:val="868"/>
        </w:trPr>
        <w:tc>
          <w:tcPr>
            <w:tcW w:w="2660" w:type="dxa"/>
            <w:shd w:val="clear" w:color="auto" w:fill="auto"/>
            <w:vAlign w:val="center"/>
          </w:tcPr>
          <w:p w14:paraId="5C80C97C" w14:textId="77777777" w:rsidR="00FD6088" w:rsidRPr="00CF77C1" w:rsidRDefault="00FD6088" w:rsidP="0080044B">
            <w:pPr>
              <w:jc w:val="left"/>
              <w:rPr>
                <w:lang w:val="sr-Cyrl-RS"/>
              </w:rPr>
            </w:pPr>
            <w:r w:rsidRPr="00CF77C1">
              <w:rPr>
                <w:lang w:val="sr-Cyrl-RS"/>
              </w:rPr>
              <w:t xml:space="preserve">Управљање квалитетом угља </w:t>
            </w:r>
          </w:p>
        </w:tc>
        <w:tc>
          <w:tcPr>
            <w:tcW w:w="3402" w:type="dxa"/>
            <w:shd w:val="clear" w:color="auto" w:fill="auto"/>
            <w:vAlign w:val="center"/>
          </w:tcPr>
          <w:p w14:paraId="53BE8318" w14:textId="77777777" w:rsidR="00FD6088" w:rsidRPr="00CF77C1" w:rsidRDefault="00FD6088" w:rsidP="0080044B">
            <w:pPr>
              <w:jc w:val="center"/>
              <w:rPr>
                <w:szCs w:val="24"/>
                <w:lang w:val="sr-Cyrl-RS"/>
              </w:rPr>
            </w:pPr>
            <w:r w:rsidRPr="00CF77C1">
              <w:rPr>
                <w:szCs w:val="24"/>
                <w:lang w:val="sr-Cyrl-RS"/>
              </w:rPr>
              <w:t>5.500.000 €</w:t>
            </w:r>
          </w:p>
          <w:p w14:paraId="4EB822E2" w14:textId="13629158"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252" w:type="dxa"/>
            <w:vMerge/>
            <w:shd w:val="clear" w:color="auto" w:fill="auto"/>
            <w:vAlign w:val="center"/>
          </w:tcPr>
          <w:p w14:paraId="091F18EA" w14:textId="77777777" w:rsidR="00FD6088" w:rsidRPr="00CF77C1" w:rsidRDefault="00FD6088" w:rsidP="0080044B">
            <w:pPr>
              <w:jc w:val="left"/>
              <w:rPr>
                <w:lang w:val="sr-Cyrl-RS"/>
              </w:rPr>
            </w:pPr>
          </w:p>
        </w:tc>
        <w:tc>
          <w:tcPr>
            <w:tcW w:w="4473" w:type="dxa"/>
            <w:vMerge/>
            <w:shd w:val="clear" w:color="auto" w:fill="auto"/>
            <w:vAlign w:val="center"/>
          </w:tcPr>
          <w:p w14:paraId="090B7033" w14:textId="77777777" w:rsidR="00FD6088" w:rsidRPr="00CF77C1" w:rsidRDefault="00FD6088" w:rsidP="0080044B">
            <w:pPr>
              <w:jc w:val="left"/>
              <w:rPr>
                <w:lang w:val="sr-Cyrl-RS"/>
              </w:rPr>
            </w:pPr>
          </w:p>
        </w:tc>
      </w:tr>
      <w:tr w:rsidR="00FD6088" w:rsidRPr="00CF77C1" w14:paraId="2740E031" w14:textId="77777777" w:rsidTr="00FD6088">
        <w:trPr>
          <w:trHeight w:val="869"/>
        </w:trPr>
        <w:tc>
          <w:tcPr>
            <w:tcW w:w="2660" w:type="dxa"/>
            <w:shd w:val="clear" w:color="auto" w:fill="auto"/>
            <w:vAlign w:val="center"/>
          </w:tcPr>
          <w:p w14:paraId="1229002B" w14:textId="77777777" w:rsidR="00FD6088" w:rsidRPr="00CF77C1" w:rsidRDefault="00FD6088" w:rsidP="0080044B">
            <w:pPr>
              <w:jc w:val="left"/>
              <w:rPr>
                <w:lang w:val="sr-Cyrl-RS"/>
              </w:rPr>
            </w:pPr>
            <w:r w:rsidRPr="00CF77C1">
              <w:rPr>
                <w:lang w:val="sr-Cyrl-RS"/>
              </w:rPr>
              <w:t>Одводњавање</w:t>
            </w:r>
          </w:p>
        </w:tc>
        <w:tc>
          <w:tcPr>
            <w:tcW w:w="3402" w:type="dxa"/>
            <w:shd w:val="clear" w:color="auto" w:fill="auto"/>
            <w:vAlign w:val="center"/>
          </w:tcPr>
          <w:p w14:paraId="49F828C5" w14:textId="77777777" w:rsidR="00FD6088" w:rsidRPr="00CF77C1" w:rsidRDefault="00FD6088" w:rsidP="0080044B">
            <w:pPr>
              <w:jc w:val="center"/>
              <w:rPr>
                <w:szCs w:val="24"/>
                <w:lang w:val="sr-Cyrl-RS"/>
              </w:rPr>
            </w:pPr>
            <w:r w:rsidRPr="00CF77C1">
              <w:rPr>
                <w:szCs w:val="24"/>
                <w:lang w:val="sr-Cyrl-RS"/>
              </w:rPr>
              <w:t>10.190.000 €</w:t>
            </w:r>
          </w:p>
          <w:p w14:paraId="5040DB6B" w14:textId="0C7338A5"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252" w:type="dxa"/>
            <w:vMerge/>
            <w:shd w:val="clear" w:color="auto" w:fill="auto"/>
            <w:vAlign w:val="center"/>
          </w:tcPr>
          <w:p w14:paraId="632E6725" w14:textId="77777777" w:rsidR="00FD6088" w:rsidRPr="00CF77C1" w:rsidRDefault="00FD6088" w:rsidP="0080044B">
            <w:pPr>
              <w:jc w:val="left"/>
              <w:rPr>
                <w:lang w:val="sr-Cyrl-RS"/>
              </w:rPr>
            </w:pPr>
          </w:p>
        </w:tc>
        <w:tc>
          <w:tcPr>
            <w:tcW w:w="4473" w:type="dxa"/>
            <w:vMerge/>
            <w:shd w:val="clear" w:color="auto" w:fill="auto"/>
            <w:vAlign w:val="center"/>
          </w:tcPr>
          <w:p w14:paraId="0637D707" w14:textId="77777777" w:rsidR="00FD6088" w:rsidRPr="00CF77C1" w:rsidRDefault="00FD6088" w:rsidP="0080044B">
            <w:pPr>
              <w:jc w:val="left"/>
              <w:rPr>
                <w:lang w:val="sr-Cyrl-RS"/>
              </w:rPr>
            </w:pPr>
          </w:p>
        </w:tc>
      </w:tr>
      <w:tr w:rsidR="00FD6088" w:rsidRPr="00CF77C1" w14:paraId="2BE5E6CC" w14:textId="77777777" w:rsidTr="00FD6088">
        <w:trPr>
          <w:trHeight w:val="869"/>
        </w:trPr>
        <w:tc>
          <w:tcPr>
            <w:tcW w:w="2660" w:type="dxa"/>
            <w:shd w:val="clear" w:color="auto" w:fill="auto"/>
            <w:vAlign w:val="center"/>
          </w:tcPr>
          <w:p w14:paraId="7EE57790" w14:textId="77777777" w:rsidR="00FD6088" w:rsidRPr="00CF77C1" w:rsidRDefault="00FD6088" w:rsidP="0080044B">
            <w:pPr>
              <w:jc w:val="left"/>
              <w:rPr>
                <w:lang w:val="sr-Cyrl-RS"/>
              </w:rPr>
            </w:pPr>
            <w:r w:rsidRPr="00CF77C1">
              <w:rPr>
                <w:lang w:val="sr-Cyrl-RS"/>
              </w:rPr>
              <w:t>Геолошка истраживања</w:t>
            </w:r>
          </w:p>
        </w:tc>
        <w:tc>
          <w:tcPr>
            <w:tcW w:w="3402" w:type="dxa"/>
            <w:shd w:val="clear" w:color="auto" w:fill="auto"/>
            <w:vAlign w:val="center"/>
          </w:tcPr>
          <w:p w14:paraId="4428BF41" w14:textId="77777777" w:rsidR="00FD6088" w:rsidRPr="00CF77C1" w:rsidRDefault="00FD6088" w:rsidP="0080044B">
            <w:pPr>
              <w:jc w:val="center"/>
              <w:rPr>
                <w:szCs w:val="24"/>
                <w:lang w:val="sr-Cyrl-RS"/>
              </w:rPr>
            </w:pPr>
            <w:r w:rsidRPr="00CF77C1">
              <w:rPr>
                <w:szCs w:val="24"/>
                <w:lang w:val="sr-Cyrl-RS"/>
              </w:rPr>
              <w:t>8.300.000 €</w:t>
            </w:r>
          </w:p>
          <w:p w14:paraId="6A3E08D6" w14:textId="6AFCB44B" w:rsidR="00FD6088" w:rsidRPr="00CF77C1" w:rsidRDefault="00FD6088"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252" w:type="dxa"/>
            <w:vMerge/>
            <w:shd w:val="clear" w:color="auto" w:fill="auto"/>
            <w:vAlign w:val="center"/>
          </w:tcPr>
          <w:p w14:paraId="68E5ECFB" w14:textId="77777777" w:rsidR="00FD6088" w:rsidRPr="00CF77C1" w:rsidRDefault="00FD6088" w:rsidP="0080044B">
            <w:pPr>
              <w:jc w:val="left"/>
              <w:rPr>
                <w:lang w:val="sr-Cyrl-RS"/>
              </w:rPr>
            </w:pPr>
          </w:p>
        </w:tc>
        <w:tc>
          <w:tcPr>
            <w:tcW w:w="4473" w:type="dxa"/>
            <w:vMerge/>
            <w:shd w:val="clear" w:color="auto" w:fill="auto"/>
            <w:vAlign w:val="center"/>
          </w:tcPr>
          <w:p w14:paraId="57C140F5" w14:textId="77777777" w:rsidR="00FD6088" w:rsidRPr="00CF77C1" w:rsidRDefault="00FD6088" w:rsidP="0080044B">
            <w:pPr>
              <w:jc w:val="left"/>
              <w:rPr>
                <w:lang w:val="sr-Cyrl-RS"/>
              </w:rPr>
            </w:pPr>
          </w:p>
        </w:tc>
      </w:tr>
    </w:tbl>
    <w:p w14:paraId="2DD3FA40" w14:textId="3EF5AEF4"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117</w:t>
      </w:r>
      <w:r w:rsidR="0092145E" w:rsidRPr="00CF77C1">
        <w:rPr>
          <w:b w:val="0"/>
          <w:lang w:val="sr-Cyrl-RS"/>
        </w:rPr>
        <w:fldChar w:fldCharType="end"/>
      </w:r>
      <w:r w:rsidR="002D7D6C"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670"/>
        <w:gridCol w:w="4819"/>
      </w:tblGrid>
      <w:tr w:rsidR="002D7D6C" w:rsidRPr="00CF77C1" w14:paraId="6E57808F" w14:textId="77777777" w:rsidTr="002D7D6C">
        <w:trPr>
          <w:cantSplit/>
          <w:tblHeader/>
        </w:trPr>
        <w:tc>
          <w:tcPr>
            <w:tcW w:w="4361" w:type="dxa"/>
            <w:shd w:val="clear" w:color="auto" w:fill="auto"/>
            <w:vAlign w:val="center"/>
          </w:tcPr>
          <w:p w14:paraId="3834306F" w14:textId="77777777" w:rsidR="002D7D6C" w:rsidRPr="00CF77C1" w:rsidRDefault="002D7D6C" w:rsidP="0080044B">
            <w:pPr>
              <w:jc w:val="center"/>
              <w:rPr>
                <w:lang w:val="sr-Cyrl-RS"/>
              </w:rPr>
            </w:pPr>
            <w:r w:rsidRPr="00CF77C1">
              <w:rPr>
                <w:lang w:val="sr-Cyrl-RS"/>
              </w:rPr>
              <w:t>Пројекат</w:t>
            </w:r>
          </w:p>
        </w:tc>
        <w:tc>
          <w:tcPr>
            <w:tcW w:w="5670" w:type="dxa"/>
            <w:shd w:val="clear" w:color="auto" w:fill="auto"/>
            <w:vAlign w:val="center"/>
          </w:tcPr>
          <w:p w14:paraId="4532DB3B" w14:textId="77777777" w:rsidR="002D7D6C" w:rsidRPr="00CF77C1" w:rsidRDefault="002D7D6C" w:rsidP="0080044B">
            <w:pPr>
              <w:jc w:val="center"/>
              <w:rPr>
                <w:lang w:val="sr-Cyrl-RS"/>
              </w:rPr>
            </w:pPr>
            <w:r w:rsidRPr="00CF77C1">
              <w:rPr>
                <w:lang w:val="sr-Cyrl-RS"/>
              </w:rPr>
              <w:t>Статус припреме пројекта</w:t>
            </w:r>
          </w:p>
        </w:tc>
        <w:tc>
          <w:tcPr>
            <w:tcW w:w="4819" w:type="dxa"/>
            <w:shd w:val="clear" w:color="auto" w:fill="auto"/>
            <w:vAlign w:val="center"/>
          </w:tcPr>
          <w:p w14:paraId="4B113628" w14:textId="77777777" w:rsidR="002D7D6C" w:rsidRPr="00CF77C1" w:rsidRDefault="002D7D6C" w:rsidP="0080044B">
            <w:pPr>
              <w:jc w:val="center"/>
              <w:rPr>
                <w:lang w:val="sr-Cyrl-RS"/>
              </w:rPr>
            </w:pPr>
            <w:r w:rsidRPr="00CF77C1">
              <w:rPr>
                <w:lang w:val="sr-Cyrl-RS"/>
              </w:rPr>
              <w:t>Недостајућа планска и техничка документација</w:t>
            </w:r>
          </w:p>
        </w:tc>
      </w:tr>
      <w:tr w:rsidR="002D7D6C" w:rsidRPr="00CF77C1" w14:paraId="4FC07AA2" w14:textId="77777777" w:rsidTr="002D7D6C">
        <w:trPr>
          <w:cantSplit/>
        </w:trPr>
        <w:tc>
          <w:tcPr>
            <w:tcW w:w="4361" w:type="dxa"/>
            <w:shd w:val="clear" w:color="auto" w:fill="auto"/>
            <w:vAlign w:val="center"/>
          </w:tcPr>
          <w:p w14:paraId="2DEBDA99" w14:textId="77777777" w:rsidR="002D7D6C" w:rsidRPr="00CF77C1" w:rsidRDefault="002D7D6C" w:rsidP="0080044B">
            <w:pPr>
              <w:jc w:val="left"/>
              <w:rPr>
                <w:lang w:val="sr-Cyrl-RS"/>
              </w:rPr>
            </w:pPr>
            <w:r w:rsidRPr="00CF77C1">
              <w:rPr>
                <w:lang w:val="sr-Cyrl-RS"/>
              </w:rPr>
              <w:t>Отварање површинског копа Радљево</w:t>
            </w:r>
          </w:p>
        </w:tc>
        <w:tc>
          <w:tcPr>
            <w:tcW w:w="5670" w:type="dxa"/>
            <w:shd w:val="clear" w:color="auto" w:fill="auto"/>
            <w:vAlign w:val="center"/>
          </w:tcPr>
          <w:p w14:paraId="4C2DE1BE" w14:textId="77777777" w:rsidR="002D7D6C" w:rsidRPr="00CF77C1" w:rsidRDefault="002D7D6C" w:rsidP="0080044B">
            <w:pPr>
              <w:jc w:val="left"/>
              <w:rPr>
                <w:lang w:val="sr-Cyrl-RS"/>
              </w:rPr>
            </w:pPr>
            <w:r w:rsidRPr="00CF77C1">
              <w:rPr>
                <w:lang w:val="sr-Cyrl-RS"/>
              </w:rPr>
              <w:t>Урађена студија оправданости и Главни рударски пројекат</w:t>
            </w:r>
          </w:p>
        </w:tc>
        <w:tc>
          <w:tcPr>
            <w:tcW w:w="4819" w:type="dxa"/>
            <w:shd w:val="clear" w:color="auto" w:fill="auto"/>
            <w:vAlign w:val="center"/>
          </w:tcPr>
          <w:p w14:paraId="173A1EC7" w14:textId="77777777" w:rsidR="004231D0" w:rsidRPr="00CF77C1" w:rsidRDefault="004231D0" w:rsidP="0080044B">
            <w:pPr>
              <w:jc w:val="left"/>
              <w:rPr>
                <w:lang w:val="sr-Cyrl-RS"/>
              </w:rPr>
            </w:pPr>
            <w:r w:rsidRPr="00CF77C1">
              <w:rPr>
                <w:lang w:val="sr-Cyrl-RS"/>
              </w:rPr>
              <w:t>Просторни план је на усвајању</w:t>
            </w:r>
          </w:p>
          <w:p w14:paraId="2BBB6939" w14:textId="77777777" w:rsidR="002D7D6C" w:rsidRPr="00CF77C1" w:rsidRDefault="004231D0" w:rsidP="0080044B">
            <w:pPr>
              <w:jc w:val="left"/>
              <w:rPr>
                <w:lang w:val="sr-Cyrl-RS"/>
              </w:rPr>
            </w:pPr>
            <w:r w:rsidRPr="00CF77C1">
              <w:rPr>
                <w:lang w:val="sr-Cyrl-RS"/>
              </w:rPr>
              <w:t>Пројекат заштите од пожара</w:t>
            </w:r>
          </w:p>
        </w:tc>
      </w:tr>
    </w:tbl>
    <w:p w14:paraId="262D8B45" w14:textId="4E0C1235"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118</w:t>
      </w:r>
      <w:r w:rsidR="0092145E" w:rsidRPr="00CF77C1">
        <w:rPr>
          <w:b w:val="0"/>
          <w:lang w:val="sr-Cyrl-RS"/>
        </w:rPr>
        <w:fldChar w:fldCharType="end"/>
      </w:r>
      <w:r w:rsidR="002D7D6C" w:rsidRPr="00CF77C1">
        <w:rPr>
          <w:b w:val="0"/>
          <w:lang w:val="sr-Cyrl-RS"/>
        </w:rPr>
        <w:t>: Динамика реализације активн</w:t>
      </w:r>
      <w:r w:rsidR="005E7F26">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2268"/>
        <w:gridCol w:w="972"/>
        <w:gridCol w:w="972"/>
        <w:gridCol w:w="972"/>
        <w:gridCol w:w="972"/>
        <w:gridCol w:w="972"/>
        <w:gridCol w:w="972"/>
        <w:gridCol w:w="972"/>
      </w:tblGrid>
      <w:tr w:rsidR="002D7D6C" w:rsidRPr="00CF77C1" w14:paraId="4D58A9FF" w14:textId="77777777" w:rsidTr="002D7D6C">
        <w:trPr>
          <w:tblHeader/>
        </w:trPr>
        <w:tc>
          <w:tcPr>
            <w:tcW w:w="5778" w:type="dxa"/>
            <w:shd w:val="clear" w:color="auto" w:fill="auto"/>
            <w:vAlign w:val="center"/>
          </w:tcPr>
          <w:p w14:paraId="3C44978E" w14:textId="77777777" w:rsidR="002D7D6C" w:rsidRPr="00CF77C1" w:rsidRDefault="002D7D6C" w:rsidP="0080044B">
            <w:pPr>
              <w:jc w:val="center"/>
              <w:rPr>
                <w:lang w:val="sr-Cyrl-RS"/>
              </w:rPr>
            </w:pPr>
            <w:r w:rsidRPr="00CF77C1">
              <w:rPr>
                <w:lang w:val="sr-Cyrl-RS"/>
              </w:rPr>
              <w:t>Пројекат:</w:t>
            </w:r>
          </w:p>
          <w:p w14:paraId="2E76F2FC" w14:textId="77777777" w:rsidR="002D7D6C" w:rsidRPr="00CF77C1" w:rsidRDefault="002D7D6C" w:rsidP="0080044B">
            <w:pPr>
              <w:jc w:val="center"/>
              <w:rPr>
                <w:lang w:val="sr-Cyrl-RS"/>
              </w:rPr>
            </w:pPr>
            <w:r w:rsidRPr="00CF77C1">
              <w:rPr>
                <w:lang w:val="sr-Cyrl-RS"/>
              </w:rPr>
              <w:t>Отварање површинског копа Радљево</w:t>
            </w:r>
          </w:p>
        </w:tc>
        <w:tc>
          <w:tcPr>
            <w:tcW w:w="2268" w:type="dxa"/>
            <w:shd w:val="clear" w:color="auto" w:fill="auto"/>
            <w:vAlign w:val="center"/>
          </w:tcPr>
          <w:p w14:paraId="24548391" w14:textId="77777777" w:rsidR="002D7D6C" w:rsidRPr="00CF77C1" w:rsidRDefault="00DD69C2" w:rsidP="0080044B">
            <w:pPr>
              <w:jc w:val="center"/>
              <w:rPr>
                <w:lang w:val="sr-Cyrl-RS"/>
              </w:rPr>
            </w:pPr>
            <w:r w:rsidRPr="00CF77C1">
              <w:rPr>
                <w:lang w:val="sr-Cyrl-RS"/>
              </w:rPr>
              <w:t>Одговорни субјекат</w:t>
            </w:r>
          </w:p>
        </w:tc>
        <w:tc>
          <w:tcPr>
            <w:tcW w:w="972" w:type="dxa"/>
            <w:shd w:val="clear" w:color="auto" w:fill="auto"/>
            <w:vAlign w:val="center"/>
          </w:tcPr>
          <w:p w14:paraId="5948193B" w14:textId="77777777" w:rsidR="002D7D6C" w:rsidRPr="00CF77C1" w:rsidRDefault="002D7D6C" w:rsidP="0080044B">
            <w:pPr>
              <w:jc w:val="center"/>
              <w:rPr>
                <w:lang w:val="sr-Cyrl-RS"/>
              </w:rPr>
            </w:pPr>
            <w:r w:rsidRPr="00CF77C1">
              <w:rPr>
                <w:lang w:val="sr-Cyrl-RS"/>
              </w:rPr>
              <w:t>2017.</w:t>
            </w:r>
          </w:p>
        </w:tc>
        <w:tc>
          <w:tcPr>
            <w:tcW w:w="972" w:type="dxa"/>
            <w:shd w:val="clear" w:color="auto" w:fill="auto"/>
            <w:vAlign w:val="center"/>
          </w:tcPr>
          <w:p w14:paraId="3DFCD82E" w14:textId="77777777" w:rsidR="002D7D6C" w:rsidRPr="00CF77C1" w:rsidRDefault="002D7D6C" w:rsidP="0080044B">
            <w:pPr>
              <w:jc w:val="center"/>
              <w:rPr>
                <w:lang w:val="sr-Cyrl-RS"/>
              </w:rPr>
            </w:pPr>
            <w:r w:rsidRPr="00CF77C1">
              <w:rPr>
                <w:lang w:val="sr-Cyrl-RS"/>
              </w:rPr>
              <w:t>2018.</w:t>
            </w:r>
          </w:p>
        </w:tc>
        <w:tc>
          <w:tcPr>
            <w:tcW w:w="972" w:type="dxa"/>
            <w:shd w:val="clear" w:color="auto" w:fill="auto"/>
            <w:vAlign w:val="center"/>
          </w:tcPr>
          <w:p w14:paraId="27FE3E32" w14:textId="77777777" w:rsidR="002D7D6C" w:rsidRPr="00CF77C1" w:rsidRDefault="002D7D6C" w:rsidP="0080044B">
            <w:pPr>
              <w:jc w:val="center"/>
              <w:rPr>
                <w:lang w:val="sr-Cyrl-RS"/>
              </w:rPr>
            </w:pPr>
            <w:r w:rsidRPr="00CF77C1">
              <w:rPr>
                <w:lang w:val="sr-Cyrl-RS"/>
              </w:rPr>
              <w:t>2019.</w:t>
            </w:r>
          </w:p>
        </w:tc>
        <w:tc>
          <w:tcPr>
            <w:tcW w:w="972" w:type="dxa"/>
            <w:shd w:val="clear" w:color="auto" w:fill="auto"/>
            <w:vAlign w:val="center"/>
          </w:tcPr>
          <w:p w14:paraId="5FA4C3B4" w14:textId="77777777" w:rsidR="002D7D6C" w:rsidRPr="00CF77C1" w:rsidRDefault="002D7D6C" w:rsidP="0080044B">
            <w:pPr>
              <w:jc w:val="center"/>
              <w:rPr>
                <w:lang w:val="sr-Cyrl-RS"/>
              </w:rPr>
            </w:pPr>
            <w:r w:rsidRPr="00CF77C1">
              <w:rPr>
                <w:lang w:val="sr-Cyrl-RS"/>
              </w:rPr>
              <w:t>2020.</w:t>
            </w:r>
          </w:p>
        </w:tc>
        <w:tc>
          <w:tcPr>
            <w:tcW w:w="972" w:type="dxa"/>
            <w:shd w:val="clear" w:color="auto" w:fill="auto"/>
            <w:vAlign w:val="center"/>
          </w:tcPr>
          <w:p w14:paraId="4EF4AB6E" w14:textId="77777777" w:rsidR="002D7D6C" w:rsidRPr="00CF77C1" w:rsidRDefault="002D7D6C" w:rsidP="0080044B">
            <w:pPr>
              <w:jc w:val="center"/>
              <w:rPr>
                <w:lang w:val="sr-Cyrl-RS"/>
              </w:rPr>
            </w:pPr>
            <w:r w:rsidRPr="00CF77C1">
              <w:rPr>
                <w:lang w:val="sr-Cyrl-RS"/>
              </w:rPr>
              <w:t>2021.</w:t>
            </w:r>
          </w:p>
        </w:tc>
        <w:tc>
          <w:tcPr>
            <w:tcW w:w="972" w:type="dxa"/>
            <w:shd w:val="clear" w:color="auto" w:fill="auto"/>
            <w:vAlign w:val="center"/>
          </w:tcPr>
          <w:p w14:paraId="1B61690A" w14:textId="77777777" w:rsidR="002D7D6C" w:rsidRPr="00CF77C1" w:rsidRDefault="002D7D6C" w:rsidP="0080044B">
            <w:pPr>
              <w:jc w:val="center"/>
              <w:rPr>
                <w:lang w:val="sr-Cyrl-RS"/>
              </w:rPr>
            </w:pPr>
            <w:r w:rsidRPr="00CF77C1">
              <w:rPr>
                <w:lang w:val="sr-Cyrl-RS"/>
              </w:rPr>
              <w:t>2022.</w:t>
            </w:r>
          </w:p>
        </w:tc>
        <w:tc>
          <w:tcPr>
            <w:tcW w:w="972" w:type="dxa"/>
            <w:shd w:val="clear" w:color="auto" w:fill="auto"/>
            <w:vAlign w:val="center"/>
          </w:tcPr>
          <w:p w14:paraId="03076274" w14:textId="77777777" w:rsidR="002D7D6C" w:rsidRPr="00CF77C1" w:rsidRDefault="002D7D6C" w:rsidP="0080044B">
            <w:pPr>
              <w:jc w:val="center"/>
              <w:rPr>
                <w:lang w:val="sr-Cyrl-RS"/>
              </w:rPr>
            </w:pPr>
            <w:r w:rsidRPr="00CF77C1">
              <w:rPr>
                <w:lang w:val="sr-Cyrl-RS"/>
              </w:rPr>
              <w:t>2023.</w:t>
            </w:r>
          </w:p>
        </w:tc>
      </w:tr>
      <w:tr w:rsidR="002D7D6C" w:rsidRPr="00CF77C1" w14:paraId="37E2E41E" w14:textId="77777777" w:rsidTr="002D7D6C">
        <w:tc>
          <w:tcPr>
            <w:tcW w:w="5778" w:type="dxa"/>
            <w:shd w:val="clear" w:color="auto" w:fill="auto"/>
            <w:vAlign w:val="center"/>
          </w:tcPr>
          <w:p w14:paraId="5D7E7BC5" w14:textId="77777777" w:rsidR="002D7D6C" w:rsidRPr="00CF77C1" w:rsidRDefault="002D7D6C" w:rsidP="0080044B">
            <w:pPr>
              <w:spacing w:before="40" w:after="40"/>
              <w:jc w:val="left"/>
              <w:rPr>
                <w:szCs w:val="24"/>
                <w:lang w:val="sr-Cyrl-RS"/>
              </w:rPr>
            </w:pPr>
            <w:r w:rsidRPr="00CF77C1">
              <w:rPr>
                <w:szCs w:val="24"/>
                <w:lang w:val="sr-Cyrl-RS"/>
              </w:rPr>
              <w:t>Пројектна документација</w:t>
            </w:r>
          </w:p>
        </w:tc>
        <w:tc>
          <w:tcPr>
            <w:tcW w:w="2268" w:type="dxa"/>
            <w:vMerge w:val="restart"/>
            <w:shd w:val="clear" w:color="auto" w:fill="auto"/>
            <w:vAlign w:val="center"/>
          </w:tcPr>
          <w:p w14:paraId="585F2721" w14:textId="77777777" w:rsidR="002D7D6C" w:rsidRPr="00CF77C1" w:rsidRDefault="001B761F" w:rsidP="0080044B">
            <w:pPr>
              <w:spacing w:before="40" w:after="40"/>
              <w:jc w:val="left"/>
              <w:rPr>
                <w:lang w:val="sr-Cyrl-RS"/>
              </w:rPr>
            </w:pPr>
            <w:r w:rsidRPr="00CF77C1">
              <w:rPr>
                <w:lang w:val="sr-Cyrl-RS"/>
              </w:rPr>
              <w:t>ЕПС</w:t>
            </w:r>
          </w:p>
        </w:tc>
        <w:tc>
          <w:tcPr>
            <w:tcW w:w="972" w:type="dxa"/>
            <w:shd w:val="clear" w:color="auto" w:fill="auto"/>
            <w:vAlign w:val="center"/>
          </w:tcPr>
          <w:p w14:paraId="556D12C6"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5476247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361268B"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110895F"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272EA6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D97A360"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D635C91" w14:textId="77777777" w:rsidR="002D7D6C" w:rsidRPr="00CF77C1" w:rsidRDefault="002D7D6C" w:rsidP="0080044B">
            <w:pPr>
              <w:spacing w:before="40" w:after="40"/>
              <w:jc w:val="center"/>
              <w:rPr>
                <w:lang w:val="sr-Cyrl-RS"/>
              </w:rPr>
            </w:pPr>
          </w:p>
        </w:tc>
      </w:tr>
      <w:tr w:rsidR="00B5219A" w:rsidRPr="00CF77C1" w14:paraId="6446E738" w14:textId="77777777" w:rsidTr="002D7D6C">
        <w:tc>
          <w:tcPr>
            <w:tcW w:w="5778" w:type="dxa"/>
            <w:shd w:val="clear" w:color="auto" w:fill="auto"/>
            <w:vAlign w:val="center"/>
          </w:tcPr>
          <w:p w14:paraId="16562AA4" w14:textId="77777777" w:rsidR="00B5219A" w:rsidRPr="00CF77C1" w:rsidRDefault="00B5219A" w:rsidP="0080044B">
            <w:pPr>
              <w:spacing w:before="40" w:after="40"/>
              <w:jc w:val="left"/>
              <w:rPr>
                <w:szCs w:val="24"/>
                <w:lang w:val="sr-Cyrl-RS"/>
              </w:rPr>
            </w:pPr>
            <w:r w:rsidRPr="00CF77C1">
              <w:rPr>
                <w:szCs w:val="24"/>
                <w:lang w:val="sr-Cyrl-RS"/>
              </w:rPr>
              <w:t>Дозволе министарстава и других институција</w:t>
            </w:r>
          </w:p>
        </w:tc>
        <w:tc>
          <w:tcPr>
            <w:tcW w:w="2268" w:type="dxa"/>
            <w:vMerge/>
            <w:shd w:val="clear" w:color="auto" w:fill="auto"/>
          </w:tcPr>
          <w:p w14:paraId="02AEA3F5" w14:textId="77777777" w:rsidR="00B5219A" w:rsidRPr="00CF77C1" w:rsidRDefault="00B5219A" w:rsidP="0080044B">
            <w:pPr>
              <w:spacing w:before="40" w:after="40"/>
              <w:rPr>
                <w:lang w:val="sr-Cyrl-RS"/>
              </w:rPr>
            </w:pPr>
          </w:p>
        </w:tc>
        <w:tc>
          <w:tcPr>
            <w:tcW w:w="972" w:type="dxa"/>
            <w:shd w:val="clear" w:color="auto" w:fill="auto"/>
            <w:vAlign w:val="center"/>
          </w:tcPr>
          <w:p w14:paraId="00D4A155" w14:textId="77777777" w:rsidR="00B5219A" w:rsidRPr="00CF77C1" w:rsidRDefault="00B5219A" w:rsidP="0080044B">
            <w:pPr>
              <w:spacing w:before="40" w:after="40"/>
              <w:jc w:val="center"/>
              <w:rPr>
                <w:lang w:val="sr-Cyrl-RS"/>
              </w:rPr>
            </w:pPr>
            <w:r w:rsidRPr="00CF77C1">
              <w:rPr>
                <w:lang w:val="sr-Cyrl-RS"/>
              </w:rPr>
              <w:t>x</w:t>
            </w:r>
          </w:p>
        </w:tc>
        <w:tc>
          <w:tcPr>
            <w:tcW w:w="972" w:type="dxa"/>
            <w:shd w:val="clear" w:color="auto" w:fill="auto"/>
            <w:vAlign w:val="center"/>
          </w:tcPr>
          <w:p w14:paraId="783DFD9D" w14:textId="77777777" w:rsidR="00B5219A" w:rsidRPr="00CF77C1" w:rsidRDefault="00B5219A" w:rsidP="0080044B">
            <w:pPr>
              <w:spacing w:before="40" w:after="40"/>
              <w:jc w:val="center"/>
              <w:rPr>
                <w:lang w:val="sr-Cyrl-RS"/>
              </w:rPr>
            </w:pPr>
            <w:r w:rsidRPr="00CF77C1">
              <w:rPr>
                <w:lang w:val="sr-Cyrl-RS"/>
              </w:rPr>
              <w:t>x</w:t>
            </w:r>
          </w:p>
        </w:tc>
        <w:tc>
          <w:tcPr>
            <w:tcW w:w="972" w:type="dxa"/>
            <w:shd w:val="clear" w:color="auto" w:fill="auto"/>
            <w:vAlign w:val="center"/>
          </w:tcPr>
          <w:p w14:paraId="7D3768A9" w14:textId="77777777" w:rsidR="00B5219A" w:rsidRPr="00CF77C1" w:rsidRDefault="00B5219A" w:rsidP="0080044B">
            <w:pPr>
              <w:spacing w:before="40" w:after="40"/>
              <w:jc w:val="center"/>
              <w:rPr>
                <w:lang w:val="sr-Cyrl-RS"/>
              </w:rPr>
            </w:pPr>
          </w:p>
        </w:tc>
        <w:tc>
          <w:tcPr>
            <w:tcW w:w="972" w:type="dxa"/>
            <w:shd w:val="clear" w:color="auto" w:fill="auto"/>
            <w:vAlign w:val="center"/>
          </w:tcPr>
          <w:p w14:paraId="51B71980" w14:textId="77777777" w:rsidR="00B5219A" w:rsidRPr="00CF77C1" w:rsidRDefault="00B5219A" w:rsidP="0080044B">
            <w:pPr>
              <w:spacing w:before="40" w:after="40"/>
              <w:jc w:val="center"/>
              <w:rPr>
                <w:lang w:val="sr-Cyrl-RS"/>
              </w:rPr>
            </w:pPr>
          </w:p>
        </w:tc>
        <w:tc>
          <w:tcPr>
            <w:tcW w:w="972" w:type="dxa"/>
            <w:shd w:val="clear" w:color="auto" w:fill="auto"/>
            <w:vAlign w:val="center"/>
          </w:tcPr>
          <w:p w14:paraId="785A11F2" w14:textId="77777777" w:rsidR="00B5219A" w:rsidRPr="00CF77C1" w:rsidRDefault="00B5219A" w:rsidP="0080044B">
            <w:pPr>
              <w:spacing w:before="40" w:after="40"/>
              <w:jc w:val="center"/>
              <w:rPr>
                <w:lang w:val="sr-Cyrl-RS"/>
              </w:rPr>
            </w:pPr>
          </w:p>
        </w:tc>
        <w:tc>
          <w:tcPr>
            <w:tcW w:w="972" w:type="dxa"/>
            <w:shd w:val="clear" w:color="auto" w:fill="auto"/>
            <w:vAlign w:val="center"/>
          </w:tcPr>
          <w:p w14:paraId="326F77F0" w14:textId="77777777" w:rsidR="00B5219A" w:rsidRPr="00CF77C1" w:rsidRDefault="00B5219A" w:rsidP="0080044B">
            <w:pPr>
              <w:spacing w:before="40" w:after="40"/>
              <w:jc w:val="center"/>
              <w:rPr>
                <w:lang w:val="sr-Cyrl-RS"/>
              </w:rPr>
            </w:pPr>
          </w:p>
        </w:tc>
        <w:tc>
          <w:tcPr>
            <w:tcW w:w="972" w:type="dxa"/>
            <w:shd w:val="clear" w:color="auto" w:fill="auto"/>
            <w:vAlign w:val="center"/>
          </w:tcPr>
          <w:p w14:paraId="7958F1F3" w14:textId="77777777" w:rsidR="00B5219A" w:rsidRPr="00CF77C1" w:rsidRDefault="00B5219A" w:rsidP="0080044B">
            <w:pPr>
              <w:spacing w:before="40" w:after="40"/>
              <w:jc w:val="center"/>
              <w:rPr>
                <w:lang w:val="sr-Cyrl-RS"/>
              </w:rPr>
            </w:pPr>
          </w:p>
        </w:tc>
      </w:tr>
      <w:tr w:rsidR="002D7D6C" w:rsidRPr="00CF77C1" w14:paraId="3AC0BE33" w14:textId="77777777" w:rsidTr="002D7D6C">
        <w:tc>
          <w:tcPr>
            <w:tcW w:w="5778" w:type="dxa"/>
            <w:shd w:val="clear" w:color="auto" w:fill="auto"/>
            <w:vAlign w:val="center"/>
          </w:tcPr>
          <w:p w14:paraId="0F213793" w14:textId="77777777" w:rsidR="002D7D6C" w:rsidRPr="00CF77C1" w:rsidRDefault="002D7D6C" w:rsidP="0080044B">
            <w:pPr>
              <w:spacing w:before="40" w:after="40"/>
              <w:jc w:val="left"/>
              <w:rPr>
                <w:szCs w:val="24"/>
                <w:lang w:val="sr-Cyrl-RS"/>
              </w:rPr>
            </w:pPr>
            <w:r w:rsidRPr="00CF77C1">
              <w:rPr>
                <w:szCs w:val="24"/>
                <w:lang w:val="sr-Cyrl-RS"/>
              </w:rPr>
              <w:t>Експропријација и инфраструктура</w:t>
            </w:r>
          </w:p>
        </w:tc>
        <w:tc>
          <w:tcPr>
            <w:tcW w:w="2268" w:type="dxa"/>
            <w:vMerge/>
            <w:shd w:val="clear" w:color="auto" w:fill="auto"/>
          </w:tcPr>
          <w:p w14:paraId="085DA8EB" w14:textId="77777777" w:rsidR="002D7D6C" w:rsidRPr="00CF77C1" w:rsidRDefault="002D7D6C" w:rsidP="0080044B">
            <w:pPr>
              <w:spacing w:before="40" w:after="40"/>
              <w:rPr>
                <w:lang w:val="sr-Cyrl-RS"/>
              </w:rPr>
            </w:pPr>
          </w:p>
        </w:tc>
        <w:tc>
          <w:tcPr>
            <w:tcW w:w="972" w:type="dxa"/>
            <w:shd w:val="clear" w:color="auto" w:fill="auto"/>
            <w:vAlign w:val="center"/>
          </w:tcPr>
          <w:p w14:paraId="0C2600C9"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8F8E873"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FFA5DEA"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72F1C78D"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40815BA4"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DA58050"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11385FD2" w14:textId="77777777" w:rsidR="002D7D6C" w:rsidRPr="00CF77C1" w:rsidRDefault="002D7D6C" w:rsidP="0080044B">
            <w:pPr>
              <w:spacing w:before="40" w:after="40"/>
              <w:jc w:val="center"/>
              <w:rPr>
                <w:lang w:val="sr-Cyrl-RS"/>
              </w:rPr>
            </w:pPr>
            <w:r w:rsidRPr="00CF77C1">
              <w:rPr>
                <w:lang w:val="sr-Cyrl-RS"/>
              </w:rPr>
              <w:t>x</w:t>
            </w:r>
          </w:p>
        </w:tc>
      </w:tr>
      <w:tr w:rsidR="002D7D6C" w:rsidRPr="00CF77C1" w14:paraId="23CD7847" w14:textId="77777777" w:rsidTr="002D7D6C">
        <w:tc>
          <w:tcPr>
            <w:tcW w:w="5778" w:type="dxa"/>
            <w:shd w:val="clear" w:color="auto" w:fill="auto"/>
            <w:vAlign w:val="center"/>
          </w:tcPr>
          <w:p w14:paraId="0F4D8C3D" w14:textId="77777777" w:rsidR="002D7D6C" w:rsidRPr="00CF77C1" w:rsidRDefault="002D7D6C" w:rsidP="0080044B">
            <w:pPr>
              <w:spacing w:before="40" w:after="40"/>
              <w:jc w:val="left"/>
              <w:rPr>
                <w:szCs w:val="24"/>
                <w:lang w:val="sr-Cyrl-RS"/>
              </w:rPr>
            </w:pPr>
            <w:r w:rsidRPr="00CF77C1">
              <w:rPr>
                <w:szCs w:val="24"/>
                <w:lang w:val="sr-Cyrl-RS"/>
              </w:rPr>
              <w:t>Инвестициона откривка</w:t>
            </w:r>
          </w:p>
        </w:tc>
        <w:tc>
          <w:tcPr>
            <w:tcW w:w="2268" w:type="dxa"/>
            <w:vMerge/>
            <w:shd w:val="clear" w:color="auto" w:fill="auto"/>
          </w:tcPr>
          <w:p w14:paraId="2D09AE3E" w14:textId="77777777" w:rsidR="002D7D6C" w:rsidRPr="00CF77C1" w:rsidRDefault="002D7D6C" w:rsidP="0080044B">
            <w:pPr>
              <w:keepNext/>
              <w:keepLines/>
              <w:spacing w:before="40" w:after="40"/>
              <w:rPr>
                <w:lang w:val="sr-Cyrl-RS"/>
              </w:rPr>
            </w:pPr>
          </w:p>
        </w:tc>
        <w:tc>
          <w:tcPr>
            <w:tcW w:w="972" w:type="dxa"/>
            <w:shd w:val="clear" w:color="auto" w:fill="auto"/>
            <w:vAlign w:val="center"/>
          </w:tcPr>
          <w:p w14:paraId="676E4F32"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DE126BB"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1978730"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D29F93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E4A25A5"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0D92F832"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A48540E" w14:textId="77777777" w:rsidR="002D7D6C" w:rsidRPr="00CF77C1" w:rsidRDefault="002D7D6C" w:rsidP="0080044B">
            <w:pPr>
              <w:spacing w:before="40" w:after="40"/>
              <w:jc w:val="center"/>
              <w:rPr>
                <w:lang w:val="sr-Cyrl-RS"/>
              </w:rPr>
            </w:pPr>
          </w:p>
        </w:tc>
      </w:tr>
      <w:tr w:rsidR="002D7D6C" w:rsidRPr="00CF77C1" w14:paraId="25868E10" w14:textId="77777777" w:rsidTr="002D7D6C">
        <w:tc>
          <w:tcPr>
            <w:tcW w:w="5778" w:type="dxa"/>
            <w:shd w:val="clear" w:color="auto" w:fill="auto"/>
            <w:vAlign w:val="center"/>
          </w:tcPr>
          <w:p w14:paraId="1C8BF172" w14:textId="70770156" w:rsidR="002D7D6C" w:rsidRPr="00CF77C1" w:rsidRDefault="004739C9" w:rsidP="0080044B">
            <w:pPr>
              <w:spacing w:before="40" w:after="40"/>
              <w:jc w:val="left"/>
              <w:rPr>
                <w:szCs w:val="24"/>
                <w:lang w:val="sr-Cyrl-RS"/>
              </w:rPr>
            </w:pPr>
            <w:r>
              <w:rPr>
                <w:szCs w:val="24"/>
                <w:lang w:val="sr-Cyrl-RS"/>
              </w:rPr>
              <w:t>Набавка</w:t>
            </w:r>
            <w:r w:rsidR="002D7D6C" w:rsidRPr="00CF77C1">
              <w:rPr>
                <w:szCs w:val="24"/>
                <w:lang w:val="sr-Cyrl-RS"/>
              </w:rPr>
              <w:t xml:space="preserve"> половног багера</w:t>
            </w:r>
            <w:r w:rsidR="004231D0" w:rsidRPr="00CF77C1">
              <w:rPr>
                <w:szCs w:val="24"/>
                <w:lang w:val="sr-Cyrl-RS"/>
              </w:rPr>
              <w:t xml:space="preserve"> одлагача</w:t>
            </w:r>
          </w:p>
        </w:tc>
        <w:tc>
          <w:tcPr>
            <w:tcW w:w="2268" w:type="dxa"/>
            <w:vMerge/>
            <w:shd w:val="clear" w:color="auto" w:fill="auto"/>
          </w:tcPr>
          <w:p w14:paraId="3FBA57FD" w14:textId="77777777" w:rsidR="002D7D6C" w:rsidRPr="00CF77C1" w:rsidRDefault="002D7D6C" w:rsidP="0080044B">
            <w:pPr>
              <w:spacing w:before="40" w:after="40"/>
              <w:rPr>
                <w:lang w:val="sr-Cyrl-RS"/>
              </w:rPr>
            </w:pPr>
          </w:p>
        </w:tc>
        <w:tc>
          <w:tcPr>
            <w:tcW w:w="972" w:type="dxa"/>
            <w:shd w:val="clear" w:color="auto" w:fill="auto"/>
            <w:vAlign w:val="center"/>
          </w:tcPr>
          <w:p w14:paraId="6ACE59E0"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095AE5D5"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7F2FCECD"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681D980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25EA45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3D4000B"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7125653" w14:textId="77777777" w:rsidR="002D7D6C" w:rsidRPr="00CF77C1" w:rsidRDefault="002D7D6C" w:rsidP="0080044B">
            <w:pPr>
              <w:spacing w:before="40" w:after="40"/>
              <w:jc w:val="center"/>
              <w:rPr>
                <w:lang w:val="sr-Cyrl-RS"/>
              </w:rPr>
            </w:pPr>
          </w:p>
        </w:tc>
      </w:tr>
      <w:tr w:rsidR="002D7D6C" w:rsidRPr="00CF77C1" w14:paraId="270B15AC" w14:textId="77777777" w:rsidTr="002D7D6C">
        <w:tc>
          <w:tcPr>
            <w:tcW w:w="5778" w:type="dxa"/>
            <w:shd w:val="clear" w:color="auto" w:fill="auto"/>
            <w:vAlign w:val="center"/>
          </w:tcPr>
          <w:p w14:paraId="3604C279" w14:textId="77777777" w:rsidR="002D7D6C" w:rsidRPr="00CF77C1" w:rsidRDefault="002D7D6C" w:rsidP="0080044B">
            <w:pPr>
              <w:spacing w:before="40" w:after="40"/>
              <w:jc w:val="left"/>
              <w:rPr>
                <w:szCs w:val="24"/>
                <w:lang w:val="sr-Cyrl-RS"/>
              </w:rPr>
            </w:pPr>
            <w:r w:rsidRPr="00CF77C1">
              <w:rPr>
                <w:szCs w:val="24"/>
                <w:lang w:val="sr-Cyrl-RS"/>
              </w:rPr>
              <w:t>Основна опрема</w:t>
            </w:r>
          </w:p>
        </w:tc>
        <w:tc>
          <w:tcPr>
            <w:tcW w:w="2268" w:type="dxa"/>
            <w:vMerge/>
            <w:shd w:val="clear" w:color="auto" w:fill="auto"/>
          </w:tcPr>
          <w:p w14:paraId="6FA55A72" w14:textId="77777777" w:rsidR="002D7D6C" w:rsidRPr="00CF77C1" w:rsidRDefault="002D7D6C" w:rsidP="0080044B">
            <w:pPr>
              <w:spacing w:before="40" w:after="40"/>
              <w:rPr>
                <w:lang w:val="sr-Cyrl-RS"/>
              </w:rPr>
            </w:pPr>
          </w:p>
        </w:tc>
        <w:tc>
          <w:tcPr>
            <w:tcW w:w="972" w:type="dxa"/>
            <w:shd w:val="clear" w:color="auto" w:fill="auto"/>
            <w:vAlign w:val="center"/>
          </w:tcPr>
          <w:p w14:paraId="358BB3FC"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B84AC0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BC86E72"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1341E674"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232BE3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4FB82829"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6E9811D" w14:textId="77777777" w:rsidR="002D7D6C" w:rsidRPr="00CF77C1" w:rsidRDefault="002D7D6C" w:rsidP="0080044B">
            <w:pPr>
              <w:spacing w:before="40" w:after="40"/>
              <w:jc w:val="center"/>
              <w:rPr>
                <w:lang w:val="sr-Cyrl-RS"/>
              </w:rPr>
            </w:pPr>
            <w:r w:rsidRPr="00CF77C1">
              <w:rPr>
                <w:lang w:val="sr-Cyrl-RS"/>
              </w:rPr>
              <w:t>x</w:t>
            </w:r>
          </w:p>
        </w:tc>
      </w:tr>
      <w:tr w:rsidR="002D7D6C" w:rsidRPr="00CF77C1" w14:paraId="48AD9AA6" w14:textId="77777777" w:rsidTr="002D7D6C">
        <w:tc>
          <w:tcPr>
            <w:tcW w:w="5778" w:type="dxa"/>
            <w:shd w:val="clear" w:color="auto" w:fill="auto"/>
            <w:vAlign w:val="center"/>
          </w:tcPr>
          <w:p w14:paraId="6F4B1CAE" w14:textId="77777777" w:rsidR="002D7D6C" w:rsidRPr="00CF77C1" w:rsidRDefault="002D7D6C" w:rsidP="0080044B">
            <w:pPr>
              <w:spacing w:before="40" w:after="40"/>
              <w:jc w:val="left"/>
              <w:rPr>
                <w:szCs w:val="24"/>
                <w:lang w:val="sr-Cyrl-RS"/>
              </w:rPr>
            </w:pPr>
            <w:r w:rsidRPr="00CF77C1">
              <w:rPr>
                <w:szCs w:val="24"/>
                <w:lang w:val="sr-Cyrl-RS"/>
              </w:rPr>
              <w:t>Помоћна опрема</w:t>
            </w:r>
          </w:p>
        </w:tc>
        <w:tc>
          <w:tcPr>
            <w:tcW w:w="2268" w:type="dxa"/>
            <w:vMerge/>
            <w:shd w:val="clear" w:color="auto" w:fill="auto"/>
          </w:tcPr>
          <w:p w14:paraId="2F983E11" w14:textId="77777777" w:rsidR="002D7D6C" w:rsidRPr="00CF77C1" w:rsidRDefault="002D7D6C" w:rsidP="0080044B">
            <w:pPr>
              <w:spacing w:before="40" w:after="40"/>
              <w:rPr>
                <w:lang w:val="sr-Cyrl-RS"/>
              </w:rPr>
            </w:pPr>
          </w:p>
        </w:tc>
        <w:tc>
          <w:tcPr>
            <w:tcW w:w="972" w:type="dxa"/>
            <w:shd w:val="clear" w:color="auto" w:fill="auto"/>
            <w:vAlign w:val="center"/>
          </w:tcPr>
          <w:p w14:paraId="7E91D994"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C5506F1"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4F80EEA"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B60E5CC"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F5CA531"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103A19BA"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1FF9AEA4" w14:textId="77777777" w:rsidR="002D7D6C" w:rsidRPr="00CF77C1" w:rsidRDefault="002D7D6C" w:rsidP="0080044B">
            <w:pPr>
              <w:spacing w:before="40" w:after="40"/>
              <w:jc w:val="center"/>
              <w:rPr>
                <w:lang w:val="sr-Cyrl-RS"/>
              </w:rPr>
            </w:pPr>
            <w:r w:rsidRPr="00CF77C1">
              <w:rPr>
                <w:lang w:val="sr-Cyrl-RS"/>
              </w:rPr>
              <w:t>x</w:t>
            </w:r>
          </w:p>
        </w:tc>
      </w:tr>
      <w:tr w:rsidR="002D7D6C" w:rsidRPr="00CF77C1" w14:paraId="1EADEC3F" w14:textId="77777777" w:rsidTr="002D7D6C">
        <w:tc>
          <w:tcPr>
            <w:tcW w:w="5778" w:type="dxa"/>
            <w:shd w:val="clear" w:color="auto" w:fill="auto"/>
            <w:vAlign w:val="center"/>
          </w:tcPr>
          <w:p w14:paraId="4712C0AD" w14:textId="77777777" w:rsidR="002D7D6C" w:rsidRPr="00CF77C1" w:rsidRDefault="002D7D6C" w:rsidP="0080044B">
            <w:pPr>
              <w:spacing w:before="40" w:after="40"/>
              <w:jc w:val="left"/>
              <w:rPr>
                <w:szCs w:val="24"/>
                <w:lang w:val="sr-Cyrl-RS"/>
              </w:rPr>
            </w:pPr>
            <w:r w:rsidRPr="00CF77C1">
              <w:rPr>
                <w:szCs w:val="24"/>
                <w:lang w:val="sr-Cyrl-RS"/>
              </w:rPr>
              <w:t>Напајање електричном енергијом</w:t>
            </w:r>
          </w:p>
        </w:tc>
        <w:tc>
          <w:tcPr>
            <w:tcW w:w="2268" w:type="dxa"/>
            <w:vMerge/>
            <w:shd w:val="clear" w:color="auto" w:fill="auto"/>
          </w:tcPr>
          <w:p w14:paraId="357675AE" w14:textId="77777777" w:rsidR="002D7D6C" w:rsidRPr="00CF77C1" w:rsidRDefault="002D7D6C" w:rsidP="0080044B">
            <w:pPr>
              <w:spacing w:before="40" w:after="40"/>
              <w:rPr>
                <w:lang w:val="sr-Cyrl-RS"/>
              </w:rPr>
            </w:pPr>
          </w:p>
        </w:tc>
        <w:tc>
          <w:tcPr>
            <w:tcW w:w="972" w:type="dxa"/>
            <w:shd w:val="clear" w:color="auto" w:fill="auto"/>
            <w:vAlign w:val="center"/>
          </w:tcPr>
          <w:p w14:paraId="1C8D5CF8"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63457E1"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11C3F02"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3AA1BB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6FF5720C"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625364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C9F8493" w14:textId="77777777" w:rsidR="002D7D6C" w:rsidRPr="00CF77C1" w:rsidRDefault="002D7D6C" w:rsidP="0080044B">
            <w:pPr>
              <w:spacing w:before="40" w:after="40"/>
              <w:jc w:val="center"/>
              <w:rPr>
                <w:lang w:val="sr-Cyrl-RS"/>
              </w:rPr>
            </w:pPr>
          </w:p>
        </w:tc>
      </w:tr>
      <w:tr w:rsidR="002D7D6C" w:rsidRPr="00CF77C1" w14:paraId="64BD5826" w14:textId="77777777" w:rsidTr="002D7D6C">
        <w:tc>
          <w:tcPr>
            <w:tcW w:w="5778" w:type="dxa"/>
            <w:shd w:val="clear" w:color="auto" w:fill="auto"/>
            <w:vAlign w:val="center"/>
          </w:tcPr>
          <w:p w14:paraId="114CF57F" w14:textId="77777777" w:rsidR="002D7D6C" w:rsidRPr="00CF77C1" w:rsidRDefault="002D7D6C" w:rsidP="0080044B">
            <w:pPr>
              <w:spacing w:before="40" w:after="40"/>
              <w:jc w:val="left"/>
              <w:rPr>
                <w:szCs w:val="24"/>
                <w:lang w:val="sr-Cyrl-RS"/>
              </w:rPr>
            </w:pPr>
            <w:r w:rsidRPr="00CF77C1">
              <w:rPr>
                <w:szCs w:val="24"/>
                <w:lang w:val="sr-Cyrl-RS"/>
              </w:rPr>
              <w:t xml:space="preserve">Управљање квалитетом угља </w:t>
            </w:r>
          </w:p>
        </w:tc>
        <w:tc>
          <w:tcPr>
            <w:tcW w:w="2268" w:type="dxa"/>
            <w:vMerge/>
            <w:shd w:val="clear" w:color="auto" w:fill="auto"/>
          </w:tcPr>
          <w:p w14:paraId="5072BCFD" w14:textId="77777777" w:rsidR="002D7D6C" w:rsidRPr="00CF77C1" w:rsidRDefault="002D7D6C" w:rsidP="0080044B">
            <w:pPr>
              <w:spacing w:before="40" w:after="40"/>
              <w:rPr>
                <w:lang w:val="sr-Cyrl-RS"/>
              </w:rPr>
            </w:pPr>
          </w:p>
        </w:tc>
        <w:tc>
          <w:tcPr>
            <w:tcW w:w="972" w:type="dxa"/>
            <w:shd w:val="clear" w:color="auto" w:fill="auto"/>
            <w:vAlign w:val="center"/>
          </w:tcPr>
          <w:p w14:paraId="5CC9040F"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6AD9E99"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DAA23AE"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327AAB8"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13CD2CE3"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413FC45A"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465C79E6" w14:textId="77777777" w:rsidR="002D7D6C" w:rsidRPr="00CF77C1" w:rsidRDefault="002D7D6C" w:rsidP="0080044B">
            <w:pPr>
              <w:spacing w:before="40" w:after="40"/>
              <w:jc w:val="center"/>
              <w:rPr>
                <w:lang w:val="sr-Cyrl-RS"/>
              </w:rPr>
            </w:pPr>
          </w:p>
        </w:tc>
      </w:tr>
      <w:tr w:rsidR="002D7D6C" w:rsidRPr="00CF77C1" w14:paraId="21986FB8" w14:textId="77777777" w:rsidTr="002D7D6C">
        <w:tc>
          <w:tcPr>
            <w:tcW w:w="5778" w:type="dxa"/>
            <w:shd w:val="clear" w:color="auto" w:fill="auto"/>
            <w:vAlign w:val="center"/>
          </w:tcPr>
          <w:p w14:paraId="4EEBA3B6" w14:textId="77777777" w:rsidR="002D7D6C" w:rsidRPr="00CF77C1" w:rsidRDefault="002D7D6C" w:rsidP="0080044B">
            <w:pPr>
              <w:spacing w:before="40" w:after="40"/>
              <w:jc w:val="left"/>
              <w:rPr>
                <w:szCs w:val="24"/>
                <w:lang w:val="sr-Cyrl-RS"/>
              </w:rPr>
            </w:pPr>
            <w:r w:rsidRPr="00CF77C1">
              <w:rPr>
                <w:szCs w:val="24"/>
                <w:lang w:val="sr-Cyrl-RS"/>
              </w:rPr>
              <w:t>Одводњавање</w:t>
            </w:r>
          </w:p>
        </w:tc>
        <w:tc>
          <w:tcPr>
            <w:tcW w:w="2268" w:type="dxa"/>
            <w:vMerge/>
            <w:shd w:val="clear" w:color="auto" w:fill="auto"/>
          </w:tcPr>
          <w:p w14:paraId="40F46B43" w14:textId="77777777" w:rsidR="002D7D6C" w:rsidRPr="00CF77C1" w:rsidRDefault="002D7D6C" w:rsidP="0080044B">
            <w:pPr>
              <w:spacing w:before="40" w:after="40"/>
              <w:rPr>
                <w:lang w:val="sr-Cyrl-RS"/>
              </w:rPr>
            </w:pPr>
          </w:p>
        </w:tc>
        <w:tc>
          <w:tcPr>
            <w:tcW w:w="972" w:type="dxa"/>
            <w:shd w:val="clear" w:color="auto" w:fill="auto"/>
            <w:vAlign w:val="center"/>
          </w:tcPr>
          <w:p w14:paraId="7BC3C3A0"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034CC9C"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49A3D56"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4C2FDCB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333357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E970008"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41E8F8AA" w14:textId="77777777" w:rsidR="002D7D6C" w:rsidRPr="00CF77C1" w:rsidRDefault="002D7D6C" w:rsidP="0080044B">
            <w:pPr>
              <w:spacing w:before="40" w:after="40"/>
              <w:jc w:val="center"/>
              <w:rPr>
                <w:lang w:val="sr-Cyrl-RS"/>
              </w:rPr>
            </w:pPr>
          </w:p>
        </w:tc>
      </w:tr>
      <w:tr w:rsidR="002D7D6C" w:rsidRPr="00CF77C1" w14:paraId="0029C6EF" w14:textId="77777777" w:rsidTr="002D7D6C">
        <w:tc>
          <w:tcPr>
            <w:tcW w:w="5778" w:type="dxa"/>
            <w:shd w:val="clear" w:color="auto" w:fill="auto"/>
            <w:vAlign w:val="center"/>
          </w:tcPr>
          <w:p w14:paraId="7002B723" w14:textId="77777777" w:rsidR="002D7D6C" w:rsidRPr="00CF77C1" w:rsidRDefault="002D7D6C" w:rsidP="0080044B">
            <w:pPr>
              <w:spacing w:before="40" w:after="40"/>
              <w:jc w:val="left"/>
              <w:rPr>
                <w:szCs w:val="24"/>
                <w:lang w:val="sr-Cyrl-RS"/>
              </w:rPr>
            </w:pPr>
            <w:r w:rsidRPr="00CF77C1">
              <w:rPr>
                <w:szCs w:val="24"/>
                <w:lang w:val="sr-Cyrl-RS"/>
              </w:rPr>
              <w:t>Геолошка истраживања</w:t>
            </w:r>
          </w:p>
        </w:tc>
        <w:tc>
          <w:tcPr>
            <w:tcW w:w="2268" w:type="dxa"/>
            <w:vMerge/>
            <w:shd w:val="clear" w:color="auto" w:fill="auto"/>
          </w:tcPr>
          <w:p w14:paraId="3338BCFE" w14:textId="77777777" w:rsidR="002D7D6C" w:rsidRPr="00CF77C1" w:rsidRDefault="002D7D6C" w:rsidP="0080044B">
            <w:pPr>
              <w:spacing w:before="40" w:after="40"/>
              <w:rPr>
                <w:lang w:val="sr-Cyrl-RS"/>
              </w:rPr>
            </w:pPr>
          </w:p>
        </w:tc>
        <w:tc>
          <w:tcPr>
            <w:tcW w:w="972" w:type="dxa"/>
            <w:shd w:val="clear" w:color="auto" w:fill="auto"/>
            <w:vAlign w:val="center"/>
          </w:tcPr>
          <w:p w14:paraId="22B718BE"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53CFAE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F724D80"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0F1422AF"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12835EBB"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54D5E687"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CF9A488" w14:textId="77777777" w:rsidR="002D7D6C" w:rsidRPr="00CF77C1" w:rsidRDefault="002D7D6C" w:rsidP="0080044B">
            <w:pPr>
              <w:spacing w:before="40" w:after="40"/>
              <w:jc w:val="center"/>
              <w:rPr>
                <w:lang w:val="sr-Cyrl-RS"/>
              </w:rPr>
            </w:pPr>
            <w:r w:rsidRPr="00CF77C1">
              <w:rPr>
                <w:lang w:val="sr-Cyrl-RS"/>
              </w:rPr>
              <w:t>x</w:t>
            </w:r>
          </w:p>
        </w:tc>
      </w:tr>
      <w:tr w:rsidR="002D7D6C" w:rsidRPr="00CF77C1" w14:paraId="0068323C" w14:textId="77777777" w:rsidTr="002D7D6C">
        <w:tc>
          <w:tcPr>
            <w:tcW w:w="5778" w:type="dxa"/>
            <w:shd w:val="clear" w:color="auto" w:fill="auto"/>
            <w:vAlign w:val="center"/>
          </w:tcPr>
          <w:p w14:paraId="5DC163EA" w14:textId="77777777" w:rsidR="002D7D6C" w:rsidRPr="00CF77C1" w:rsidRDefault="002D7D6C" w:rsidP="0080044B">
            <w:pPr>
              <w:spacing w:before="40" w:after="40"/>
              <w:jc w:val="left"/>
              <w:rPr>
                <w:szCs w:val="24"/>
                <w:lang w:val="sr-Cyrl-RS"/>
              </w:rPr>
            </w:pPr>
            <w:r w:rsidRPr="00CF77C1">
              <w:rPr>
                <w:szCs w:val="24"/>
                <w:lang w:val="sr-Cyrl-RS"/>
              </w:rPr>
              <w:t xml:space="preserve">Откопавање јаловине </w:t>
            </w:r>
          </w:p>
        </w:tc>
        <w:tc>
          <w:tcPr>
            <w:tcW w:w="2268" w:type="dxa"/>
            <w:vMerge/>
            <w:shd w:val="clear" w:color="auto" w:fill="auto"/>
          </w:tcPr>
          <w:p w14:paraId="5F22DE7A" w14:textId="77777777" w:rsidR="002D7D6C" w:rsidRPr="00CF77C1" w:rsidRDefault="002D7D6C" w:rsidP="0080044B">
            <w:pPr>
              <w:spacing w:before="40" w:after="40"/>
              <w:rPr>
                <w:lang w:val="sr-Cyrl-RS"/>
              </w:rPr>
            </w:pPr>
          </w:p>
        </w:tc>
        <w:tc>
          <w:tcPr>
            <w:tcW w:w="972" w:type="dxa"/>
            <w:shd w:val="clear" w:color="auto" w:fill="auto"/>
            <w:vAlign w:val="center"/>
          </w:tcPr>
          <w:p w14:paraId="57BDC7B5"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26A35F58"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48D7EB8"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23434B30"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67A82AF4"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984CD86"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36CD6353" w14:textId="77777777" w:rsidR="002D7D6C" w:rsidRPr="00CF77C1" w:rsidRDefault="002D7D6C" w:rsidP="0080044B">
            <w:pPr>
              <w:spacing w:before="40" w:after="40"/>
              <w:jc w:val="center"/>
              <w:rPr>
                <w:lang w:val="sr-Cyrl-RS"/>
              </w:rPr>
            </w:pPr>
            <w:r w:rsidRPr="00CF77C1">
              <w:rPr>
                <w:lang w:val="sr-Cyrl-RS"/>
              </w:rPr>
              <w:t>x</w:t>
            </w:r>
          </w:p>
        </w:tc>
      </w:tr>
      <w:tr w:rsidR="002D7D6C" w:rsidRPr="00CF77C1" w14:paraId="472AFFC9" w14:textId="77777777" w:rsidTr="002D7D6C">
        <w:tc>
          <w:tcPr>
            <w:tcW w:w="5778" w:type="dxa"/>
            <w:shd w:val="clear" w:color="auto" w:fill="auto"/>
            <w:vAlign w:val="center"/>
          </w:tcPr>
          <w:p w14:paraId="385BDB6C" w14:textId="77777777" w:rsidR="002D7D6C" w:rsidRPr="00CF77C1" w:rsidRDefault="002D7D6C" w:rsidP="0080044B">
            <w:pPr>
              <w:spacing w:before="40" w:after="40"/>
              <w:jc w:val="left"/>
              <w:rPr>
                <w:szCs w:val="24"/>
                <w:lang w:val="sr-Cyrl-RS"/>
              </w:rPr>
            </w:pPr>
            <w:r w:rsidRPr="00CF77C1">
              <w:rPr>
                <w:szCs w:val="24"/>
                <w:lang w:val="sr-Cyrl-RS"/>
              </w:rPr>
              <w:t>Откопавање угља</w:t>
            </w:r>
          </w:p>
        </w:tc>
        <w:tc>
          <w:tcPr>
            <w:tcW w:w="2268" w:type="dxa"/>
            <w:vMerge/>
            <w:shd w:val="clear" w:color="auto" w:fill="auto"/>
          </w:tcPr>
          <w:p w14:paraId="36FD9DD8" w14:textId="77777777" w:rsidR="002D7D6C" w:rsidRPr="00CF77C1" w:rsidRDefault="002D7D6C" w:rsidP="0080044B">
            <w:pPr>
              <w:spacing w:before="40" w:after="40"/>
              <w:rPr>
                <w:lang w:val="sr-Cyrl-RS"/>
              </w:rPr>
            </w:pPr>
          </w:p>
        </w:tc>
        <w:tc>
          <w:tcPr>
            <w:tcW w:w="972" w:type="dxa"/>
            <w:shd w:val="clear" w:color="auto" w:fill="auto"/>
            <w:vAlign w:val="center"/>
          </w:tcPr>
          <w:p w14:paraId="3A9D4701"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3EB9BB8B"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65C9697"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590A098D" w14:textId="77777777" w:rsidR="002D7D6C" w:rsidRPr="00CF77C1" w:rsidRDefault="002D7D6C" w:rsidP="0080044B">
            <w:pPr>
              <w:spacing w:before="40" w:after="40"/>
              <w:jc w:val="center"/>
              <w:rPr>
                <w:lang w:val="sr-Cyrl-RS"/>
              </w:rPr>
            </w:pPr>
          </w:p>
        </w:tc>
        <w:tc>
          <w:tcPr>
            <w:tcW w:w="972" w:type="dxa"/>
            <w:shd w:val="clear" w:color="auto" w:fill="auto"/>
            <w:vAlign w:val="center"/>
          </w:tcPr>
          <w:p w14:paraId="711D593C"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0DF54C09" w14:textId="77777777" w:rsidR="002D7D6C" w:rsidRPr="00CF77C1" w:rsidRDefault="002D7D6C" w:rsidP="0080044B">
            <w:pPr>
              <w:spacing w:before="40" w:after="40"/>
              <w:jc w:val="center"/>
              <w:rPr>
                <w:lang w:val="sr-Cyrl-RS"/>
              </w:rPr>
            </w:pPr>
            <w:r w:rsidRPr="00CF77C1">
              <w:rPr>
                <w:lang w:val="sr-Cyrl-RS"/>
              </w:rPr>
              <w:t>x</w:t>
            </w:r>
          </w:p>
        </w:tc>
        <w:tc>
          <w:tcPr>
            <w:tcW w:w="972" w:type="dxa"/>
            <w:shd w:val="clear" w:color="auto" w:fill="auto"/>
            <w:vAlign w:val="center"/>
          </w:tcPr>
          <w:p w14:paraId="1672A4DA" w14:textId="77777777" w:rsidR="002D7D6C" w:rsidRPr="00CF77C1" w:rsidRDefault="002D7D6C" w:rsidP="0080044B">
            <w:pPr>
              <w:spacing w:before="40" w:after="40"/>
              <w:jc w:val="center"/>
              <w:rPr>
                <w:lang w:val="sr-Cyrl-RS"/>
              </w:rPr>
            </w:pPr>
            <w:r w:rsidRPr="00CF77C1">
              <w:rPr>
                <w:lang w:val="sr-Cyrl-RS"/>
              </w:rPr>
              <w:t>x</w:t>
            </w:r>
          </w:p>
        </w:tc>
      </w:tr>
    </w:tbl>
    <w:p w14:paraId="57A38B86" w14:textId="3E783C4B" w:rsidR="002D7D6C" w:rsidRPr="00CF77C1" w:rsidRDefault="002D7D6C" w:rsidP="005621E0">
      <w:pPr>
        <w:ind w:firstLine="720"/>
        <w:rPr>
          <w:lang w:val="sr-Cyrl-RS"/>
        </w:rPr>
      </w:pPr>
      <w:r w:rsidRPr="00CF77C1">
        <w:rPr>
          <w:lang w:val="sr-Cyrl-RS"/>
        </w:rPr>
        <w:t xml:space="preserve">Ризици: Јавне набавке за извођење радова, </w:t>
      </w:r>
      <w:r w:rsidR="00D44DD7" w:rsidRPr="00CF77C1">
        <w:rPr>
          <w:lang w:val="sr-Cyrl-RS"/>
        </w:rPr>
        <w:t xml:space="preserve">инвестициона </w:t>
      </w:r>
      <w:r w:rsidRPr="00CF77C1">
        <w:rPr>
          <w:lang w:val="sr-Cyrl-RS"/>
        </w:rPr>
        <w:t>средства</w:t>
      </w:r>
    </w:p>
    <w:p w14:paraId="382C74CA" w14:textId="77777777" w:rsidR="00FD6088" w:rsidRPr="00CF77C1" w:rsidRDefault="00FD6088" w:rsidP="0080044B">
      <w:pPr>
        <w:rPr>
          <w:lang w:val="sr-Cyrl-RS"/>
        </w:rPr>
      </w:pPr>
    </w:p>
    <w:p w14:paraId="1C892C72" w14:textId="77777777" w:rsidR="002D7D6C" w:rsidRPr="00CF77C1" w:rsidRDefault="002D7D6C" w:rsidP="0080044B">
      <w:pPr>
        <w:rPr>
          <w:lang w:val="sr-Cyrl-RS"/>
        </w:rPr>
      </w:pPr>
    </w:p>
    <w:p w14:paraId="557ADAB1" w14:textId="77777777" w:rsidR="00FD6088" w:rsidRPr="00CF77C1" w:rsidRDefault="00FD6088" w:rsidP="0080044B">
      <w:pPr>
        <w:ind w:left="360"/>
        <w:rPr>
          <w:lang w:val="sr-Cyrl-RS"/>
        </w:rPr>
        <w:sectPr w:rsidR="00FD6088" w:rsidRPr="00CF77C1" w:rsidSect="00017454">
          <w:headerReference w:type="default" r:id="rId124"/>
          <w:footerReference w:type="even" r:id="rId125"/>
          <w:footerReference w:type="default" r:id="rId126"/>
          <w:pgSz w:w="16839" w:h="11907" w:orient="landscape" w:code="9"/>
          <w:pgMar w:top="1418" w:right="1134" w:bottom="1134" w:left="1134" w:header="1004" w:footer="720" w:gutter="0"/>
          <w:cols w:space="720"/>
          <w:docGrid w:linePitch="360"/>
        </w:sectPr>
      </w:pPr>
    </w:p>
    <w:p w14:paraId="6524AADD" w14:textId="77777777" w:rsidR="00176354" w:rsidRPr="00CF77C1" w:rsidRDefault="00176354" w:rsidP="005621E0">
      <w:pPr>
        <w:keepNext/>
        <w:keepLines/>
        <w:ind w:firstLine="720"/>
        <w:rPr>
          <w:u w:val="single"/>
          <w:lang w:val="sr-Cyrl-RS"/>
        </w:rPr>
      </w:pPr>
      <w:r w:rsidRPr="00CF77C1">
        <w:rPr>
          <w:u w:val="single"/>
          <w:lang w:val="sr-Cyrl-RS"/>
        </w:rPr>
        <w:t>Тамнава западно поље</w:t>
      </w:r>
    </w:p>
    <w:p w14:paraId="4ABBD612" w14:textId="77777777" w:rsidR="00176354" w:rsidRPr="00CF77C1" w:rsidRDefault="00176354" w:rsidP="005621E0">
      <w:pPr>
        <w:ind w:firstLine="720"/>
        <w:rPr>
          <w:lang w:val="sr-Cyrl-RS"/>
        </w:rPr>
      </w:pPr>
      <w:r w:rsidRPr="00CF77C1">
        <w:rPr>
          <w:lang w:val="sr-Cyrl-RS"/>
        </w:rPr>
        <w:t>За завршетак инвестиционе изградње површинског копа Тамнава западно поље неопходна је набавка одлагача и транспортера за међуслојну јаловину капацитета 12000 m</w:t>
      </w:r>
      <w:r w:rsidRPr="00CF77C1">
        <w:rPr>
          <w:vertAlign w:val="superscript"/>
          <w:lang w:val="sr-Cyrl-RS"/>
        </w:rPr>
        <w:t>3</w:t>
      </w:r>
      <w:r w:rsidRPr="00CF77C1">
        <w:rPr>
          <w:lang w:val="sr-Cyrl-RS"/>
        </w:rPr>
        <w:t>/h, роторног багера и самоходног транспортера капацитета 4500 m</w:t>
      </w:r>
      <w:r w:rsidRPr="00CF77C1">
        <w:rPr>
          <w:vertAlign w:val="superscript"/>
          <w:lang w:val="sr-Cyrl-RS"/>
        </w:rPr>
        <w:t>3</w:t>
      </w:r>
      <w:r w:rsidRPr="00CF77C1">
        <w:rPr>
          <w:lang w:val="sr-Cyrl-RS"/>
        </w:rPr>
        <w:t>/h</w:t>
      </w:r>
      <w:r w:rsidR="002D7D6C" w:rsidRPr="00CF77C1">
        <w:rPr>
          <w:lang w:val="sr-Cyrl-RS"/>
        </w:rPr>
        <w:t>,</w:t>
      </w:r>
      <w:r w:rsidRPr="00CF77C1">
        <w:rPr>
          <w:lang w:val="sr-Cyrl-RS"/>
        </w:rPr>
        <w:t xml:space="preserve"> као и завршетак дробилане и израде друге линије СУП и увођење система за управљање квалитетом угља. Такође</w:t>
      </w:r>
      <w:r w:rsidR="002D7D6C" w:rsidRPr="00CF77C1">
        <w:rPr>
          <w:lang w:val="sr-Cyrl-RS"/>
        </w:rPr>
        <w:t>,</w:t>
      </w:r>
      <w:r w:rsidRPr="00CF77C1">
        <w:rPr>
          <w:lang w:val="sr-Cyrl-RS"/>
        </w:rPr>
        <w:t xml:space="preserve"> потребно је завршити ревитализацију и модернизацију опреме оштећене поплавом, као и решити проблем преосталог муља и у функцији стабилности одлагалишта.</w:t>
      </w:r>
    </w:p>
    <w:p w14:paraId="23105F0F" w14:textId="77777777" w:rsidR="00915572" w:rsidRPr="00CF77C1" w:rsidRDefault="00915572" w:rsidP="0080044B">
      <w:pPr>
        <w:pStyle w:val="ListParagraph"/>
        <w:numPr>
          <w:ilvl w:val="0"/>
          <w:numId w:val="22"/>
        </w:numPr>
        <w:rPr>
          <w:lang w:val="sr-Cyrl-RS"/>
        </w:rPr>
        <w:sectPr w:rsidR="00915572" w:rsidRPr="00CF77C1" w:rsidSect="005621E0">
          <w:headerReference w:type="default" r:id="rId127"/>
          <w:footerReference w:type="default" r:id="rId128"/>
          <w:pgSz w:w="11907" w:h="16839" w:code="9"/>
          <w:pgMar w:top="1134" w:right="1377" w:bottom="1134" w:left="1418" w:header="720" w:footer="720" w:gutter="0"/>
          <w:cols w:space="720"/>
          <w:docGrid w:linePitch="360"/>
        </w:sectPr>
      </w:pPr>
    </w:p>
    <w:p w14:paraId="461B9937" w14:textId="4AAC3AE9" w:rsidR="00915572" w:rsidRPr="00CF77C1" w:rsidRDefault="00D61BC9" w:rsidP="005621E0">
      <w:pPr>
        <w:pStyle w:val="Caption"/>
        <w:ind w:firstLine="720"/>
        <w:rPr>
          <w:b w:val="0"/>
          <w:lang w:val="sr-Cyrl-RS"/>
        </w:rPr>
      </w:pPr>
      <w:r w:rsidRPr="00CF77C1">
        <w:rPr>
          <w:b w:val="0"/>
          <w:lang w:val="sr-Cyrl-RS"/>
        </w:rPr>
        <w:t>таб.</w:t>
      </w:r>
      <w:r w:rsidR="00915572"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119</w:t>
      </w:r>
      <w:r w:rsidR="0092145E" w:rsidRPr="00CF77C1">
        <w:rPr>
          <w:b w:val="0"/>
          <w:lang w:val="sr-Cyrl-RS"/>
        </w:rPr>
        <w:fldChar w:fldCharType="end"/>
      </w:r>
      <w:r w:rsidR="00915572" w:rsidRPr="00CF77C1">
        <w:rPr>
          <w:b w:val="0"/>
          <w:lang w:val="sr-Cyrl-RS"/>
        </w:rPr>
        <w:t>: Основне карактеристике и ефекти пројекта „Завршетак инвестиционе изградње површинског копа Тамнава западно поље</w:t>
      </w:r>
      <w:r w:rsidR="00AD5740" w:rsidRPr="00CF77C1">
        <w:rPr>
          <w:b w:val="0"/>
          <w:lang w:val="sr-Cyrl-R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260"/>
        <w:gridCol w:w="4394"/>
        <w:gridCol w:w="3764"/>
      </w:tblGrid>
      <w:tr w:rsidR="00915572" w:rsidRPr="00CF77C1" w14:paraId="779D4658" w14:textId="77777777" w:rsidTr="00915572">
        <w:tc>
          <w:tcPr>
            <w:tcW w:w="3369" w:type="dxa"/>
            <w:shd w:val="clear" w:color="auto" w:fill="auto"/>
            <w:vAlign w:val="center"/>
          </w:tcPr>
          <w:p w14:paraId="2BD1B9DC" w14:textId="77777777" w:rsidR="00915572" w:rsidRPr="00CF77C1" w:rsidRDefault="00915572" w:rsidP="0080044B">
            <w:pPr>
              <w:jc w:val="center"/>
              <w:rPr>
                <w:szCs w:val="24"/>
                <w:lang w:val="sr-Cyrl-RS"/>
              </w:rPr>
            </w:pPr>
            <w:r w:rsidRPr="00CF77C1">
              <w:rPr>
                <w:szCs w:val="24"/>
                <w:lang w:val="sr-Cyrl-RS"/>
              </w:rPr>
              <w:t>Техничке карактеристике</w:t>
            </w:r>
          </w:p>
        </w:tc>
        <w:tc>
          <w:tcPr>
            <w:tcW w:w="3260" w:type="dxa"/>
            <w:shd w:val="clear" w:color="auto" w:fill="auto"/>
            <w:vAlign w:val="center"/>
          </w:tcPr>
          <w:p w14:paraId="27D3EF76" w14:textId="77777777" w:rsidR="00915572" w:rsidRPr="00CF77C1" w:rsidRDefault="00915572" w:rsidP="0080044B">
            <w:pPr>
              <w:jc w:val="center"/>
              <w:rPr>
                <w:szCs w:val="24"/>
                <w:lang w:val="sr-Cyrl-RS"/>
              </w:rPr>
            </w:pPr>
            <w:r w:rsidRPr="00CF77C1">
              <w:rPr>
                <w:szCs w:val="24"/>
                <w:lang w:val="sr-Cyrl-RS"/>
              </w:rPr>
              <w:t>Вредност пројекта и извор средстава</w:t>
            </w:r>
          </w:p>
        </w:tc>
        <w:tc>
          <w:tcPr>
            <w:tcW w:w="4394" w:type="dxa"/>
            <w:shd w:val="clear" w:color="auto" w:fill="auto"/>
            <w:vAlign w:val="center"/>
          </w:tcPr>
          <w:p w14:paraId="089640BC" w14:textId="77777777" w:rsidR="00915572" w:rsidRPr="00CF77C1" w:rsidRDefault="00915572" w:rsidP="0080044B">
            <w:pPr>
              <w:jc w:val="center"/>
              <w:rPr>
                <w:szCs w:val="24"/>
                <w:lang w:val="sr-Cyrl-RS"/>
              </w:rPr>
            </w:pPr>
            <w:r w:rsidRPr="00CF77C1">
              <w:rPr>
                <w:szCs w:val="24"/>
                <w:lang w:val="sr-Cyrl-RS"/>
              </w:rPr>
              <w:t>Опис ефеката реализације</w:t>
            </w:r>
          </w:p>
        </w:tc>
        <w:tc>
          <w:tcPr>
            <w:tcW w:w="3764" w:type="dxa"/>
            <w:shd w:val="clear" w:color="auto" w:fill="auto"/>
            <w:vAlign w:val="center"/>
          </w:tcPr>
          <w:p w14:paraId="073E2EFD" w14:textId="77777777" w:rsidR="00915572" w:rsidRPr="00CF77C1" w:rsidRDefault="00915572" w:rsidP="0080044B">
            <w:pPr>
              <w:jc w:val="center"/>
              <w:rPr>
                <w:szCs w:val="24"/>
                <w:lang w:val="sr-Cyrl-RS"/>
              </w:rPr>
            </w:pPr>
            <w:r w:rsidRPr="00CF77C1">
              <w:rPr>
                <w:szCs w:val="24"/>
                <w:lang w:val="sr-Cyrl-RS"/>
              </w:rPr>
              <w:t>Валоризовани просечни годишњи ефекти реализације на основу расположиве документације</w:t>
            </w:r>
          </w:p>
        </w:tc>
      </w:tr>
      <w:tr w:rsidR="00915572" w:rsidRPr="00CF77C1" w14:paraId="53A2695C" w14:textId="77777777" w:rsidTr="00915572">
        <w:tc>
          <w:tcPr>
            <w:tcW w:w="3369" w:type="dxa"/>
            <w:shd w:val="clear" w:color="auto" w:fill="auto"/>
            <w:vAlign w:val="center"/>
          </w:tcPr>
          <w:p w14:paraId="67A0A523" w14:textId="77777777" w:rsidR="00915572" w:rsidRPr="00CF77C1" w:rsidRDefault="00915572" w:rsidP="0080044B">
            <w:pPr>
              <w:jc w:val="left"/>
              <w:rPr>
                <w:lang w:val="sr-Cyrl-RS"/>
              </w:rPr>
            </w:pPr>
            <w:r w:rsidRPr="00CF77C1">
              <w:rPr>
                <w:lang w:val="sr-Cyrl-RS"/>
              </w:rPr>
              <w:t>Изградња путних праваца Паљуви - Јабучје, Јабучје - Скобаљ, Јабучје - Виш и хидрограђевински објекти</w:t>
            </w:r>
          </w:p>
        </w:tc>
        <w:tc>
          <w:tcPr>
            <w:tcW w:w="3260" w:type="dxa"/>
            <w:shd w:val="clear" w:color="auto" w:fill="auto"/>
            <w:vAlign w:val="center"/>
          </w:tcPr>
          <w:p w14:paraId="18EC23A2" w14:textId="77777777" w:rsidR="00915572" w:rsidRPr="00CF77C1" w:rsidRDefault="00915572" w:rsidP="0080044B">
            <w:pPr>
              <w:jc w:val="center"/>
              <w:rPr>
                <w:szCs w:val="24"/>
                <w:lang w:val="sr-Cyrl-RS"/>
              </w:rPr>
            </w:pPr>
            <w:r w:rsidRPr="00CF77C1">
              <w:rPr>
                <w:szCs w:val="24"/>
                <w:lang w:val="sr-Cyrl-RS"/>
              </w:rPr>
              <w:t>2.750.000 €</w:t>
            </w:r>
          </w:p>
          <w:p w14:paraId="361FB141" w14:textId="469FD135" w:rsidR="00915572" w:rsidRPr="00CF77C1" w:rsidRDefault="00915572"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394" w:type="dxa"/>
            <w:vMerge w:val="restart"/>
            <w:shd w:val="clear" w:color="auto" w:fill="auto"/>
            <w:vAlign w:val="center"/>
          </w:tcPr>
          <w:p w14:paraId="78DFD550" w14:textId="77777777" w:rsidR="00915572" w:rsidRPr="00CF77C1" w:rsidRDefault="00915572" w:rsidP="0080044B">
            <w:pPr>
              <w:jc w:val="left"/>
              <w:rPr>
                <w:szCs w:val="24"/>
                <w:lang w:val="sr-Cyrl-RS"/>
              </w:rPr>
            </w:pPr>
            <w:r w:rsidRPr="00CF77C1">
              <w:rPr>
                <w:szCs w:val="24"/>
                <w:lang w:val="sr-Cyrl-RS"/>
              </w:rPr>
              <w:t>Завршетак изградње површинског копа Тамнава западно поље представља завршетак инвестиционог циклуса на овом копу који се фазно изграђује још од 1986. године. Постигнут је пројектовани капацитет, али инвестициона улагања нису завршена. Поред тога, катастрофалне поплаве из 2014. године су у великој мери оштетилe коп. У овом инвестиционом циклусу планира се набавка недостајуће опреме (пре свега за међуслојну јаловину, транспорт угља, завршетак депоније и увођење процеса управљањa квалитетом угља), затим ревитализација и модернизација потопљене опреме као и набавка нове опреме. Завршетком инвестиционог циклуса стварају се предуслови</w:t>
            </w:r>
            <w:r w:rsidR="00EA6189" w:rsidRPr="00CF77C1">
              <w:rPr>
                <w:szCs w:val="24"/>
                <w:lang w:val="sr-Cyrl-RS"/>
              </w:rPr>
              <w:t xml:space="preserve"> </w:t>
            </w:r>
            <w:r w:rsidR="00A84557" w:rsidRPr="00CF77C1">
              <w:rPr>
                <w:szCs w:val="24"/>
                <w:lang w:val="sr-Cyrl-RS"/>
              </w:rPr>
              <w:t>за обезбеђивање</w:t>
            </w:r>
            <w:r w:rsidRPr="00CF77C1">
              <w:rPr>
                <w:szCs w:val="24"/>
                <w:lang w:val="sr-Cyrl-RS"/>
              </w:rPr>
              <w:t xml:space="preserve"> довољне количине угља за сигурно снабдевање термоелектрана Никола Тесла. Планирани годишњи капацитет је до 14.000.000 </w:t>
            </w:r>
            <w:r w:rsidR="002D7D6C" w:rsidRPr="00CF77C1">
              <w:rPr>
                <w:szCs w:val="24"/>
                <w:lang w:val="sr-Cyrl-RS"/>
              </w:rPr>
              <w:t>t</w:t>
            </w:r>
            <w:r w:rsidRPr="00CF77C1">
              <w:rPr>
                <w:szCs w:val="24"/>
                <w:lang w:val="sr-Cyrl-RS"/>
              </w:rPr>
              <w:t xml:space="preserve"> до 2018, а након тога по 11.000.000 </w:t>
            </w:r>
            <w:r w:rsidR="002D7D6C" w:rsidRPr="00CF77C1">
              <w:rPr>
                <w:szCs w:val="24"/>
                <w:lang w:val="sr-Cyrl-RS"/>
              </w:rPr>
              <w:t>t</w:t>
            </w:r>
            <w:r w:rsidRPr="00CF77C1">
              <w:rPr>
                <w:szCs w:val="24"/>
                <w:lang w:val="sr-Cyrl-RS"/>
              </w:rPr>
              <w:t xml:space="preserve"> угља који је просечног квалитета</w:t>
            </w:r>
            <w:r w:rsidR="00EA6189" w:rsidRPr="00CF77C1">
              <w:rPr>
                <w:szCs w:val="24"/>
                <w:lang w:val="sr-Cyrl-RS"/>
              </w:rPr>
              <w:t xml:space="preserve"> </w:t>
            </w:r>
            <w:r w:rsidRPr="00CF77C1">
              <w:rPr>
                <w:szCs w:val="24"/>
                <w:lang w:val="sr-Cyrl-RS"/>
              </w:rPr>
              <w:t>7000</w:t>
            </w:r>
            <w:r w:rsidR="00EA6189" w:rsidRPr="00CF77C1">
              <w:rPr>
                <w:szCs w:val="24"/>
                <w:lang w:val="sr-Cyrl-RS"/>
              </w:rPr>
              <w:t xml:space="preserve"> </w:t>
            </w:r>
            <w:r w:rsidRPr="00CF77C1">
              <w:rPr>
                <w:szCs w:val="24"/>
                <w:lang w:val="sr-Cyrl-RS"/>
              </w:rPr>
              <w:t>kJ/kg.</w:t>
            </w:r>
            <w:r w:rsidR="00EA6189" w:rsidRPr="00CF77C1">
              <w:rPr>
                <w:szCs w:val="24"/>
                <w:lang w:val="sr-Cyrl-RS"/>
              </w:rPr>
              <w:t xml:space="preserve"> </w:t>
            </w:r>
            <w:r w:rsidRPr="00CF77C1">
              <w:rPr>
                <w:szCs w:val="24"/>
                <w:lang w:val="sr-Cyrl-RS"/>
              </w:rPr>
              <w:t>Укупна улагања до 2025. износе око 250.000.000 €, а до краја века експлоатације 351.389.540 €.</w:t>
            </w:r>
          </w:p>
        </w:tc>
        <w:tc>
          <w:tcPr>
            <w:tcW w:w="3764" w:type="dxa"/>
            <w:vMerge w:val="restart"/>
            <w:shd w:val="clear" w:color="auto" w:fill="auto"/>
            <w:vAlign w:val="center"/>
          </w:tcPr>
          <w:p w14:paraId="3E0761F0" w14:textId="77777777" w:rsidR="00B5219A" w:rsidRPr="00CF77C1" w:rsidRDefault="00B5219A" w:rsidP="0080044B">
            <w:pPr>
              <w:pStyle w:val="BodyText"/>
              <w:jc w:val="center"/>
              <w:rPr>
                <w:szCs w:val="24"/>
                <w:lang w:val="sr-Cyrl-RS"/>
              </w:rPr>
            </w:pPr>
            <w:r w:rsidRPr="00CF77C1">
              <w:rPr>
                <w:szCs w:val="24"/>
                <w:lang w:val="sr-Cyrl-RS"/>
              </w:rPr>
              <w:t xml:space="preserve">Реализација завршетка инвестиционе изградње пројекта отварања површинског копа Тамнава западно поље омогућава континуитет у производњи електричне енергије. На бази резерви угља са ПК Тамнава западно поље могућа је укупна производња од </w:t>
            </w:r>
            <w:r w:rsidRPr="00CF77C1">
              <w:rPr>
                <w:lang w:val="sr-Cyrl-RS"/>
              </w:rPr>
              <w:t xml:space="preserve">180.000 </w:t>
            </w:r>
            <w:r w:rsidRPr="00CF77C1">
              <w:rPr>
                <w:szCs w:val="24"/>
                <w:lang w:val="sr-Cyrl-RS"/>
              </w:rPr>
              <w:t>GWh.</w:t>
            </w:r>
          </w:p>
          <w:p w14:paraId="3C45020A" w14:textId="77777777" w:rsidR="00B5219A" w:rsidRPr="00CF77C1" w:rsidRDefault="00B5219A" w:rsidP="0080044B">
            <w:pPr>
              <w:pStyle w:val="BodyText"/>
              <w:jc w:val="center"/>
              <w:rPr>
                <w:szCs w:val="24"/>
                <w:lang w:val="sr-Cyrl-RS"/>
              </w:rPr>
            </w:pPr>
            <w:r w:rsidRPr="00CF77C1">
              <w:rPr>
                <w:szCs w:val="24"/>
                <w:lang w:val="sr-Cyrl-RS"/>
              </w:rPr>
              <w:t>Економски ток пројекта даје прорачун интерне стопе повраћаја IRR (Interal rate of return).</w:t>
            </w:r>
          </w:p>
          <w:p w14:paraId="3E6C08E8" w14:textId="77777777" w:rsidR="00B5219A" w:rsidRPr="00CF77C1" w:rsidRDefault="00B5219A" w:rsidP="0080044B">
            <w:pPr>
              <w:pStyle w:val="BodyText"/>
              <w:jc w:val="center"/>
              <w:rPr>
                <w:szCs w:val="24"/>
                <w:lang w:val="sr-Cyrl-RS"/>
              </w:rPr>
            </w:pPr>
            <w:r w:rsidRPr="00CF77C1">
              <w:rPr>
                <w:szCs w:val="24"/>
                <w:lang w:val="sr-Cyrl-RS"/>
              </w:rPr>
              <w:t>IRR = 35,57%</w:t>
            </w:r>
          </w:p>
          <w:p w14:paraId="519E8CDD" w14:textId="77777777" w:rsidR="00B5219A" w:rsidRPr="00CF77C1" w:rsidRDefault="00B5219A" w:rsidP="0080044B">
            <w:pPr>
              <w:pStyle w:val="BodyText"/>
              <w:jc w:val="center"/>
              <w:rPr>
                <w:szCs w:val="24"/>
                <w:lang w:val="sr-Cyrl-RS"/>
              </w:rPr>
            </w:pPr>
            <w:r w:rsidRPr="00CF77C1">
              <w:rPr>
                <w:szCs w:val="24"/>
                <w:lang w:val="sr-Cyrl-RS"/>
              </w:rPr>
              <w:t>У економском току израчуната је и нето садашња вредност са дисконтном стопом од 8% и износи</w:t>
            </w:r>
          </w:p>
          <w:p w14:paraId="4A8ED94B" w14:textId="77777777" w:rsidR="00B5219A" w:rsidRPr="00CF77C1" w:rsidRDefault="00B5219A" w:rsidP="0080044B">
            <w:pPr>
              <w:pStyle w:val="BodyText"/>
              <w:jc w:val="center"/>
              <w:rPr>
                <w:szCs w:val="24"/>
                <w:lang w:val="sr-Cyrl-RS"/>
              </w:rPr>
            </w:pPr>
            <w:r w:rsidRPr="00CF77C1">
              <w:rPr>
                <w:szCs w:val="24"/>
                <w:lang w:val="sr-Cyrl-RS"/>
              </w:rPr>
              <w:t>NPV =519.305.043,35 €</w:t>
            </w:r>
          </w:p>
          <w:p w14:paraId="6532F85F" w14:textId="77777777" w:rsidR="00B5219A" w:rsidRPr="00CF77C1" w:rsidRDefault="00B5219A" w:rsidP="0080044B">
            <w:pPr>
              <w:pStyle w:val="BodyText"/>
              <w:jc w:val="center"/>
              <w:rPr>
                <w:szCs w:val="24"/>
                <w:lang w:val="sr-Cyrl-RS"/>
              </w:rPr>
            </w:pPr>
            <w:r w:rsidRPr="00CF77C1">
              <w:rPr>
                <w:szCs w:val="24"/>
                <w:lang w:val="sr-Cyrl-RS"/>
              </w:rPr>
              <w:t>Просечна нето добит=</w:t>
            </w:r>
            <w:r w:rsidRPr="00CF77C1">
              <w:rPr>
                <w:szCs w:val="24"/>
                <w:lang w:val="sr-Cyrl-RS"/>
              </w:rPr>
              <w:br/>
              <w:t>8,44 €/tona</w:t>
            </w:r>
          </w:p>
          <w:p w14:paraId="6F6F4474" w14:textId="77777777" w:rsidR="00B5219A" w:rsidRPr="00CF77C1" w:rsidRDefault="00B5219A" w:rsidP="0080044B">
            <w:pPr>
              <w:pStyle w:val="BodyText"/>
              <w:jc w:val="center"/>
              <w:rPr>
                <w:szCs w:val="24"/>
                <w:lang w:val="sr-Cyrl-RS"/>
              </w:rPr>
            </w:pPr>
            <w:r w:rsidRPr="00CF77C1">
              <w:rPr>
                <w:szCs w:val="24"/>
                <w:lang w:val="sr-Cyrl-RS"/>
              </w:rPr>
              <w:t>NPV по тони угља = 1,95 €/t</w:t>
            </w:r>
          </w:p>
          <w:p w14:paraId="1AA1FE38" w14:textId="77777777" w:rsidR="00915572" w:rsidRPr="00CF77C1" w:rsidRDefault="00B5219A" w:rsidP="0080044B">
            <w:pPr>
              <w:spacing w:before="0" w:after="0"/>
              <w:jc w:val="center"/>
              <w:rPr>
                <w:szCs w:val="24"/>
                <w:lang w:val="sr-Cyrl-RS"/>
              </w:rPr>
            </w:pPr>
            <w:r w:rsidRPr="00CF77C1">
              <w:rPr>
                <w:szCs w:val="24"/>
                <w:lang w:val="sr-Cyrl-RS"/>
              </w:rPr>
              <w:t xml:space="preserve">Стара опрема која је поплављена комлетно је модернизована са новом електро опремом. Уштеде у енергији су 10 до 30%. </w:t>
            </w:r>
          </w:p>
        </w:tc>
      </w:tr>
      <w:tr w:rsidR="00915572" w:rsidRPr="00CF77C1" w14:paraId="63814969" w14:textId="77777777" w:rsidTr="00915572">
        <w:tc>
          <w:tcPr>
            <w:tcW w:w="3369" w:type="dxa"/>
            <w:shd w:val="clear" w:color="auto" w:fill="auto"/>
            <w:vAlign w:val="center"/>
          </w:tcPr>
          <w:p w14:paraId="18B0BF0C" w14:textId="77777777" w:rsidR="00915572" w:rsidRPr="00CF77C1" w:rsidRDefault="00915572" w:rsidP="0080044B">
            <w:pPr>
              <w:jc w:val="left"/>
              <w:rPr>
                <w:lang w:val="sr-Cyrl-RS"/>
              </w:rPr>
            </w:pPr>
            <w:r w:rsidRPr="00CF77C1">
              <w:rPr>
                <w:lang w:val="sr-Cyrl-RS"/>
              </w:rPr>
              <w:t>Откуп земљишта и пресељење гробља Скобаљ</w:t>
            </w:r>
          </w:p>
        </w:tc>
        <w:tc>
          <w:tcPr>
            <w:tcW w:w="3260" w:type="dxa"/>
            <w:shd w:val="clear" w:color="auto" w:fill="auto"/>
            <w:vAlign w:val="center"/>
          </w:tcPr>
          <w:p w14:paraId="4F9DF3EB" w14:textId="77777777" w:rsidR="00915572" w:rsidRPr="00CF77C1" w:rsidRDefault="00915572" w:rsidP="0080044B">
            <w:pPr>
              <w:jc w:val="center"/>
              <w:rPr>
                <w:szCs w:val="24"/>
                <w:lang w:val="sr-Cyrl-RS"/>
              </w:rPr>
            </w:pPr>
            <w:r w:rsidRPr="00CF77C1">
              <w:rPr>
                <w:szCs w:val="24"/>
                <w:lang w:val="sr-Cyrl-RS"/>
              </w:rPr>
              <w:t>31.000.000 €</w:t>
            </w:r>
          </w:p>
          <w:p w14:paraId="79A35FED" w14:textId="64C596AC" w:rsidR="00915572" w:rsidRPr="00CF77C1" w:rsidRDefault="00915572"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394" w:type="dxa"/>
            <w:vMerge/>
            <w:shd w:val="clear" w:color="auto" w:fill="auto"/>
            <w:vAlign w:val="center"/>
          </w:tcPr>
          <w:p w14:paraId="0BA3F3F9" w14:textId="77777777" w:rsidR="00915572" w:rsidRPr="00CF77C1" w:rsidRDefault="00915572" w:rsidP="0080044B">
            <w:pPr>
              <w:jc w:val="left"/>
              <w:rPr>
                <w:lang w:val="sr-Cyrl-RS"/>
              </w:rPr>
            </w:pPr>
          </w:p>
        </w:tc>
        <w:tc>
          <w:tcPr>
            <w:tcW w:w="3764" w:type="dxa"/>
            <w:vMerge/>
            <w:shd w:val="clear" w:color="auto" w:fill="auto"/>
            <w:vAlign w:val="center"/>
          </w:tcPr>
          <w:p w14:paraId="2BD34816" w14:textId="77777777" w:rsidR="00915572" w:rsidRPr="00CF77C1" w:rsidRDefault="00915572" w:rsidP="0080044B">
            <w:pPr>
              <w:jc w:val="left"/>
              <w:rPr>
                <w:lang w:val="sr-Cyrl-RS"/>
              </w:rPr>
            </w:pPr>
          </w:p>
        </w:tc>
      </w:tr>
      <w:tr w:rsidR="00915572" w:rsidRPr="00CF77C1" w14:paraId="472A096A" w14:textId="77777777" w:rsidTr="00915572">
        <w:tc>
          <w:tcPr>
            <w:tcW w:w="3369" w:type="dxa"/>
            <w:shd w:val="clear" w:color="auto" w:fill="auto"/>
            <w:vAlign w:val="center"/>
          </w:tcPr>
          <w:p w14:paraId="71EA1DAE" w14:textId="18473330" w:rsidR="00915572" w:rsidRPr="00CF77C1" w:rsidRDefault="00915572" w:rsidP="0080044B">
            <w:pPr>
              <w:jc w:val="left"/>
              <w:rPr>
                <w:lang w:val="sr-Cyrl-RS"/>
              </w:rPr>
            </w:pPr>
            <w:r w:rsidRPr="00CF77C1">
              <w:rPr>
                <w:lang w:val="sr-Cyrl-RS"/>
              </w:rPr>
              <w:t xml:space="preserve">Изградња нове депоније и увођење </w:t>
            </w:r>
            <w:r w:rsidR="00D44DD7">
              <w:rPr>
                <w:lang w:val="sr-Cyrl-RS"/>
              </w:rPr>
              <w:t>си</w:t>
            </w:r>
            <w:r w:rsidRPr="00CF77C1">
              <w:rPr>
                <w:lang w:val="sr-Cyrl-RS"/>
              </w:rPr>
              <w:t>стема за хомогенизацију угља</w:t>
            </w:r>
          </w:p>
        </w:tc>
        <w:tc>
          <w:tcPr>
            <w:tcW w:w="3260" w:type="dxa"/>
            <w:shd w:val="clear" w:color="auto" w:fill="auto"/>
            <w:vAlign w:val="center"/>
          </w:tcPr>
          <w:p w14:paraId="3D818290" w14:textId="77777777" w:rsidR="00915572" w:rsidRPr="00CF77C1" w:rsidRDefault="00915572" w:rsidP="0080044B">
            <w:pPr>
              <w:jc w:val="center"/>
              <w:rPr>
                <w:szCs w:val="24"/>
                <w:lang w:val="sr-Cyrl-RS"/>
              </w:rPr>
            </w:pPr>
            <w:r w:rsidRPr="00CF77C1">
              <w:rPr>
                <w:szCs w:val="24"/>
                <w:lang w:val="sr-Cyrl-RS"/>
              </w:rPr>
              <w:t>54.400.000 €</w:t>
            </w:r>
          </w:p>
          <w:p w14:paraId="2C7AACF3" w14:textId="77777777" w:rsidR="00915572" w:rsidRPr="00CF77C1" w:rsidRDefault="00915572" w:rsidP="0080044B">
            <w:pPr>
              <w:jc w:val="center"/>
              <w:rPr>
                <w:szCs w:val="24"/>
                <w:lang w:val="sr-Cyrl-RS"/>
              </w:rPr>
            </w:pPr>
            <w:r w:rsidRPr="00CF77C1">
              <w:rPr>
                <w:szCs w:val="24"/>
                <w:lang w:val="sr-Cyrl-RS"/>
              </w:rPr>
              <w:t>(KfW банка)</w:t>
            </w:r>
          </w:p>
        </w:tc>
        <w:tc>
          <w:tcPr>
            <w:tcW w:w="4394" w:type="dxa"/>
            <w:vMerge/>
            <w:shd w:val="clear" w:color="auto" w:fill="auto"/>
            <w:vAlign w:val="center"/>
          </w:tcPr>
          <w:p w14:paraId="7949A98F" w14:textId="77777777" w:rsidR="00915572" w:rsidRPr="00CF77C1" w:rsidRDefault="00915572" w:rsidP="0080044B">
            <w:pPr>
              <w:jc w:val="left"/>
              <w:rPr>
                <w:lang w:val="sr-Cyrl-RS"/>
              </w:rPr>
            </w:pPr>
          </w:p>
        </w:tc>
        <w:tc>
          <w:tcPr>
            <w:tcW w:w="3764" w:type="dxa"/>
            <w:vMerge/>
            <w:shd w:val="clear" w:color="auto" w:fill="auto"/>
            <w:vAlign w:val="center"/>
          </w:tcPr>
          <w:p w14:paraId="19FAD780" w14:textId="77777777" w:rsidR="00915572" w:rsidRPr="00CF77C1" w:rsidRDefault="00915572" w:rsidP="0080044B">
            <w:pPr>
              <w:jc w:val="left"/>
              <w:rPr>
                <w:lang w:val="sr-Cyrl-RS"/>
              </w:rPr>
            </w:pPr>
          </w:p>
        </w:tc>
      </w:tr>
      <w:tr w:rsidR="00915572" w:rsidRPr="00CF77C1" w14:paraId="31CE764D" w14:textId="77777777" w:rsidTr="00915572">
        <w:tc>
          <w:tcPr>
            <w:tcW w:w="3369" w:type="dxa"/>
            <w:shd w:val="clear" w:color="auto" w:fill="auto"/>
            <w:vAlign w:val="center"/>
          </w:tcPr>
          <w:p w14:paraId="32B7FF06" w14:textId="77777777" w:rsidR="00915572" w:rsidRPr="00CF77C1" w:rsidRDefault="00915572" w:rsidP="0080044B">
            <w:pPr>
              <w:jc w:val="left"/>
              <w:rPr>
                <w:lang w:val="sr-Cyrl-RS"/>
              </w:rPr>
            </w:pPr>
            <w:r w:rsidRPr="00CF77C1">
              <w:rPr>
                <w:lang w:val="sr-Cyrl-RS"/>
              </w:rPr>
              <w:t>Одлагач за међуслојну јаловину 12.000 m</w:t>
            </w:r>
            <w:r w:rsidRPr="00CF77C1">
              <w:rPr>
                <w:vertAlign w:val="superscript"/>
                <w:lang w:val="sr-Cyrl-RS"/>
              </w:rPr>
              <w:t>3</w:t>
            </w:r>
            <w:r w:rsidRPr="00CF77C1">
              <w:rPr>
                <w:lang w:val="sr-Cyrl-RS"/>
              </w:rPr>
              <w:t>/h</w:t>
            </w:r>
          </w:p>
        </w:tc>
        <w:tc>
          <w:tcPr>
            <w:tcW w:w="3260" w:type="dxa"/>
            <w:shd w:val="clear" w:color="auto" w:fill="auto"/>
            <w:vAlign w:val="center"/>
          </w:tcPr>
          <w:p w14:paraId="57BF6903" w14:textId="77777777" w:rsidR="00915572" w:rsidRPr="00CF77C1" w:rsidRDefault="00915572" w:rsidP="0080044B">
            <w:pPr>
              <w:jc w:val="center"/>
              <w:rPr>
                <w:szCs w:val="24"/>
                <w:lang w:val="sr-Cyrl-RS"/>
              </w:rPr>
            </w:pPr>
            <w:r w:rsidRPr="00CF77C1">
              <w:rPr>
                <w:szCs w:val="24"/>
                <w:lang w:val="sr-Cyrl-RS"/>
              </w:rPr>
              <w:t>18.700.000 €</w:t>
            </w:r>
          </w:p>
          <w:p w14:paraId="652C7E24" w14:textId="77777777" w:rsidR="00915572" w:rsidRPr="00CF77C1" w:rsidRDefault="00915572" w:rsidP="0080044B">
            <w:pPr>
              <w:jc w:val="center"/>
              <w:rPr>
                <w:szCs w:val="24"/>
                <w:lang w:val="sr-Cyrl-RS"/>
              </w:rPr>
            </w:pPr>
            <w:r w:rsidRPr="00CF77C1">
              <w:rPr>
                <w:szCs w:val="24"/>
                <w:lang w:val="sr-Cyrl-RS"/>
              </w:rPr>
              <w:t>(KfW банка)</w:t>
            </w:r>
          </w:p>
        </w:tc>
        <w:tc>
          <w:tcPr>
            <w:tcW w:w="4394" w:type="dxa"/>
            <w:vMerge/>
            <w:shd w:val="clear" w:color="auto" w:fill="auto"/>
            <w:vAlign w:val="center"/>
          </w:tcPr>
          <w:p w14:paraId="76F0140D" w14:textId="77777777" w:rsidR="00915572" w:rsidRPr="00CF77C1" w:rsidRDefault="00915572" w:rsidP="0080044B">
            <w:pPr>
              <w:jc w:val="left"/>
              <w:rPr>
                <w:lang w:val="sr-Cyrl-RS"/>
              </w:rPr>
            </w:pPr>
          </w:p>
        </w:tc>
        <w:tc>
          <w:tcPr>
            <w:tcW w:w="3764" w:type="dxa"/>
            <w:vMerge/>
            <w:shd w:val="clear" w:color="auto" w:fill="auto"/>
            <w:vAlign w:val="center"/>
          </w:tcPr>
          <w:p w14:paraId="733E22EB" w14:textId="77777777" w:rsidR="00915572" w:rsidRPr="00CF77C1" w:rsidRDefault="00915572" w:rsidP="0080044B">
            <w:pPr>
              <w:jc w:val="left"/>
              <w:rPr>
                <w:lang w:val="sr-Cyrl-RS"/>
              </w:rPr>
            </w:pPr>
          </w:p>
        </w:tc>
      </w:tr>
      <w:tr w:rsidR="00915572" w:rsidRPr="00CF77C1" w14:paraId="6B8ABA48" w14:textId="77777777" w:rsidTr="00915572">
        <w:tc>
          <w:tcPr>
            <w:tcW w:w="3369" w:type="dxa"/>
            <w:shd w:val="clear" w:color="auto" w:fill="auto"/>
            <w:vAlign w:val="center"/>
          </w:tcPr>
          <w:p w14:paraId="589D3539" w14:textId="77777777" w:rsidR="00915572" w:rsidRPr="00CF77C1" w:rsidRDefault="00915572" w:rsidP="0080044B">
            <w:pPr>
              <w:jc w:val="left"/>
              <w:rPr>
                <w:lang w:val="sr-Cyrl-RS"/>
              </w:rPr>
            </w:pPr>
            <w:r w:rsidRPr="00CF77C1">
              <w:rPr>
                <w:lang w:val="sr-Cyrl-RS"/>
              </w:rPr>
              <w:t>Нови роторни багер 4500 m</w:t>
            </w:r>
            <w:r w:rsidRPr="00CF77C1">
              <w:rPr>
                <w:vertAlign w:val="superscript"/>
                <w:lang w:val="sr-Cyrl-RS"/>
              </w:rPr>
              <w:t>3</w:t>
            </w:r>
            <w:r w:rsidRPr="00CF77C1">
              <w:rPr>
                <w:lang w:val="sr-Cyrl-RS"/>
              </w:rPr>
              <w:t>/h и самоходни транспортер</w:t>
            </w:r>
          </w:p>
        </w:tc>
        <w:tc>
          <w:tcPr>
            <w:tcW w:w="3260" w:type="dxa"/>
            <w:shd w:val="clear" w:color="auto" w:fill="auto"/>
            <w:vAlign w:val="center"/>
          </w:tcPr>
          <w:p w14:paraId="220FAFF7" w14:textId="77777777" w:rsidR="00915572" w:rsidRPr="00CF77C1" w:rsidRDefault="00915572" w:rsidP="0080044B">
            <w:pPr>
              <w:jc w:val="center"/>
              <w:rPr>
                <w:szCs w:val="24"/>
                <w:lang w:val="sr-Cyrl-RS"/>
              </w:rPr>
            </w:pPr>
            <w:r w:rsidRPr="00CF77C1">
              <w:rPr>
                <w:szCs w:val="24"/>
                <w:lang w:val="sr-Cyrl-RS"/>
              </w:rPr>
              <w:t>24.500.000</w:t>
            </w:r>
            <w:r w:rsidR="004231D0" w:rsidRPr="00CF77C1">
              <w:rPr>
                <w:szCs w:val="24"/>
                <w:lang w:val="sr-Cyrl-RS"/>
              </w:rPr>
              <w:t xml:space="preserve"> €</w:t>
            </w:r>
          </w:p>
          <w:p w14:paraId="4EDE4B8E" w14:textId="400811FE" w:rsidR="00915572" w:rsidRPr="00CF77C1" w:rsidRDefault="00915572"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394" w:type="dxa"/>
            <w:vMerge/>
            <w:shd w:val="clear" w:color="auto" w:fill="auto"/>
            <w:vAlign w:val="center"/>
          </w:tcPr>
          <w:p w14:paraId="41056299" w14:textId="77777777" w:rsidR="00915572" w:rsidRPr="00CF77C1" w:rsidRDefault="00915572" w:rsidP="0080044B">
            <w:pPr>
              <w:jc w:val="left"/>
              <w:rPr>
                <w:lang w:val="sr-Cyrl-RS"/>
              </w:rPr>
            </w:pPr>
          </w:p>
        </w:tc>
        <w:tc>
          <w:tcPr>
            <w:tcW w:w="3764" w:type="dxa"/>
            <w:vMerge/>
            <w:shd w:val="clear" w:color="auto" w:fill="auto"/>
            <w:vAlign w:val="center"/>
          </w:tcPr>
          <w:p w14:paraId="06A46386" w14:textId="77777777" w:rsidR="00915572" w:rsidRPr="00CF77C1" w:rsidRDefault="00915572" w:rsidP="0080044B">
            <w:pPr>
              <w:jc w:val="left"/>
              <w:rPr>
                <w:lang w:val="sr-Cyrl-RS"/>
              </w:rPr>
            </w:pPr>
          </w:p>
        </w:tc>
      </w:tr>
      <w:tr w:rsidR="00915572" w:rsidRPr="00CF77C1" w14:paraId="5DD7205A" w14:textId="77777777" w:rsidTr="00915572">
        <w:tc>
          <w:tcPr>
            <w:tcW w:w="3369" w:type="dxa"/>
            <w:shd w:val="clear" w:color="auto" w:fill="auto"/>
            <w:vAlign w:val="center"/>
          </w:tcPr>
          <w:p w14:paraId="44195B9C" w14:textId="77777777" w:rsidR="00915572" w:rsidRPr="00CF77C1" w:rsidRDefault="00915572" w:rsidP="0080044B">
            <w:pPr>
              <w:jc w:val="left"/>
              <w:rPr>
                <w:lang w:val="sr-Cyrl-RS"/>
              </w:rPr>
            </w:pPr>
            <w:r w:rsidRPr="00CF77C1">
              <w:rPr>
                <w:lang w:val="sr-Cyrl-RS"/>
              </w:rPr>
              <w:t>Ревитализација и модернизације старе опреме оштећене поплавама</w:t>
            </w:r>
          </w:p>
        </w:tc>
        <w:tc>
          <w:tcPr>
            <w:tcW w:w="3260" w:type="dxa"/>
            <w:shd w:val="clear" w:color="auto" w:fill="auto"/>
            <w:vAlign w:val="center"/>
          </w:tcPr>
          <w:p w14:paraId="1BDC4877" w14:textId="77777777" w:rsidR="00915572" w:rsidRPr="00CF77C1" w:rsidRDefault="00915572" w:rsidP="0080044B">
            <w:pPr>
              <w:jc w:val="center"/>
              <w:rPr>
                <w:szCs w:val="24"/>
                <w:lang w:val="sr-Cyrl-RS"/>
              </w:rPr>
            </w:pPr>
            <w:r w:rsidRPr="00CF77C1">
              <w:rPr>
                <w:szCs w:val="24"/>
                <w:lang w:val="sr-Cyrl-RS"/>
              </w:rPr>
              <w:t>29.500.000 €</w:t>
            </w:r>
          </w:p>
          <w:p w14:paraId="6CD4BA12" w14:textId="024AF827" w:rsidR="00915572" w:rsidRPr="00CF77C1" w:rsidRDefault="00915572"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 Светска банка)</w:t>
            </w:r>
          </w:p>
        </w:tc>
        <w:tc>
          <w:tcPr>
            <w:tcW w:w="4394" w:type="dxa"/>
            <w:vMerge/>
            <w:shd w:val="clear" w:color="auto" w:fill="auto"/>
            <w:vAlign w:val="center"/>
          </w:tcPr>
          <w:p w14:paraId="37F33143" w14:textId="77777777" w:rsidR="00915572" w:rsidRPr="00CF77C1" w:rsidRDefault="00915572" w:rsidP="0080044B">
            <w:pPr>
              <w:jc w:val="left"/>
              <w:rPr>
                <w:lang w:val="sr-Cyrl-RS"/>
              </w:rPr>
            </w:pPr>
          </w:p>
        </w:tc>
        <w:tc>
          <w:tcPr>
            <w:tcW w:w="3764" w:type="dxa"/>
            <w:vMerge/>
            <w:shd w:val="clear" w:color="auto" w:fill="auto"/>
            <w:vAlign w:val="center"/>
          </w:tcPr>
          <w:p w14:paraId="07B5A066" w14:textId="77777777" w:rsidR="00915572" w:rsidRPr="00CF77C1" w:rsidRDefault="00915572" w:rsidP="0080044B">
            <w:pPr>
              <w:jc w:val="left"/>
              <w:rPr>
                <w:lang w:val="sr-Cyrl-RS"/>
              </w:rPr>
            </w:pPr>
          </w:p>
        </w:tc>
      </w:tr>
      <w:tr w:rsidR="00915572" w:rsidRPr="00CF77C1" w14:paraId="54CD9967" w14:textId="77777777" w:rsidTr="00915572">
        <w:tc>
          <w:tcPr>
            <w:tcW w:w="3369" w:type="dxa"/>
            <w:shd w:val="clear" w:color="auto" w:fill="auto"/>
            <w:vAlign w:val="center"/>
          </w:tcPr>
          <w:p w14:paraId="2100F87C" w14:textId="77777777" w:rsidR="00915572" w:rsidRPr="00CF77C1" w:rsidRDefault="00915572" w:rsidP="0080044B">
            <w:pPr>
              <w:jc w:val="left"/>
              <w:rPr>
                <w:lang w:val="sr-Cyrl-RS"/>
              </w:rPr>
            </w:pPr>
            <w:r w:rsidRPr="00CF77C1">
              <w:rPr>
                <w:lang w:val="sr-Cyrl-RS"/>
              </w:rPr>
              <w:t>Транспортери за међуслојну јаловину и угаљ</w:t>
            </w:r>
          </w:p>
        </w:tc>
        <w:tc>
          <w:tcPr>
            <w:tcW w:w="3260" w:type="dxa"/>
            <w:shd w:val="clear" w:color="auto" w:fill="auto"/>
            <w:vAlign w:val="center"/>
          </w:tcPr>
          <w:p w14:paraId="3D497414" w14:textId="77777777" w:rsidR="00915572" w:rsidRPr="00CF77C1" w:rsidRDefault="00915572" w:rsidP="0080044B">
            <w:pPr>
              <w:jc w:val="center"/>
              <w:rPr>
                <w:szCs w:val="24"/>
                <w:lang w:val="sr-Cyrl-RS"/>
              </w:rPr>
            </w:pPr>
            <w:r w:rsidRPr="00CF77C1">
              <w:rPr>
                <w:szCs w:val="24"/>
                <w:lang w:val="sr-Cyrl-RS"/>
              </w:rPr>
              <w:t>30.300.000</w:t>
            </w:r>
          </w:p>
          <w:p w14:paraId="45F70499" w14:textId="16286F76" w:rsidR="00915572" w:rsidRPr="00CF77C1" w:rsidRDefault="00915572"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394" w:type="dxa"/>
            <w:vMerge/>
            <w:shd w:val="clear" w:color="auto" w:fill="auto"/>
            <w:vAlign w:val="center"/>
          </w:tcPr>
          <w:p w14:paraId="3078398D" w14:textId="77777777" w:rsidR="00915572" w:rsidRPr="00CF77C1" w:rsidRDefault="00915572" w:rsidP="0080044B">
            <w:pPr>
              <w:jc w:val="left"/>
              <w:rPr>
                <w:lang w:val="sr-Cyrl-RS"/>
              </w:rPr>
            </w:pPr>
          </w:p>
        </w:tc>
        <w:tc>
          <w:tcPr>
            <w:tcW w:w="3764" w:type="dxa"/>
            <w:vMerge/>
            <w:shd w:val="clear" w:color="auto" w:fill="auto"/>
            <w:vAlign w:val="center"/>
          </w:tcPr>
          <w:p w14:paraId="0F449325" w14:textId="77777777" w:rsidR="00915572" w:rsidRPr="00CF77C1" w:rsidRDefault="00915572" w:rsidP="0080044B">
            <w:pPr>
              <w:jc w:val="left"/>
              <w:rPr>
                <w:lang w:val="sr-Cyrl-RS"/>
              </w:rPr>
            </w:pPr>
          </w:p>
        </w:tc>
      </w:tr>
      <w:tr w:rsidR="00915572" w:rsidRPr="00CF77C1" w14:paraId="3DDD72CF" w14:textId="77777777" w:rsidTr="00915572">
        <w:tc>
          <w:tcPr>
            <w:tcW w:w="3369" w:type="dxa"/>
            <w:shd w:val="clear" w:color="auto" w:fill="auto"/>
            <w:vAlign w:val="center"/>
          </w:tcPr>
          <w:p w14:paraId="6E82EFA3" w14:textId="77777777" w:rsidR="00915572" w:rsidRPr="00CF77C1" w:rsidRDefault="00915572" w:rsidP="0080044B">
            <w:pPr>
              <w:jc w:val="left"/>
              <w:rPr>
                <w:lang w:val="sr-Cyrl-RS"/>
              </w:rPr>
            </w:pPr>
            <w:r w:rsidRPr="00CF77C1">
              <w:rPr>
                <w:lang w:val="sr-Cyrl-RS"/>
              </w:rPr>
              <w:t>Набавка помоћне механизације</w:t>
            </w:r>
          </w:p>
        </w:tc>
        <w:tc>
          <w:tcPr>
            <w:tcW w:w="3260" w:type="dxa"/>
            <w:shd w:val="clear" w:color="auto" w:fill="auto"/>
            <w:vAlign w:val="center"/>
          </w:tcPr>
          <w:p w14:paraId="30303DA5" w14:textId="4B0800C6" w:rsidR="00915572" w:rsidRPr="00CF77C1" w:rsidRDefault="00915572" w:rsidP="0080044B">
            <w:pPr>
              <w:jc w:val="center"/>
              <w:rPr>
                <w:szCs w:val="24"/>
                <w:lang w:val="sr-Cyrl-RS"/>
              </w:rPr>
            </w:pPr>
            <w:r w:rsidRPr="00CF77C1">
              <w:rPr>
                <w:szCs w:val="24"/>
                <w:lang w:val="sr-Cyrl-RS"/>
              </w:rPr>
              <w:t>15.400.00</w:t>
            </w:r>
            <w:r w:rsidR="003C278C" w:rsidRPr="00CF77C1">
              <w:rPr>
                <w:szCs w:val="24"/>
                <w:lang w:val="sr-Cyrl-RS"/>
              </w:rPr>
              <w:t>0</w:t>
            </w:r>
            <w:r w:rsidRPr="00CF77C1">
              <w:rPr>
                <w:szCs w:val="24"/>
                <w:lang w:val="sr-Cyrl-RS"/>
              </w:rPr>
              <w:t xml:space="preserve"> €</w:t>
            </w:r>
          </w:p>
          <w:p w14:paraId="45B9BF7A" w14:textId="4A92B512" w:rsidR="00915572" w:rsidRPr="00CF77C1" w:rsidRDefault="00915572"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394" w:type="dxa"/>
            <w:vMerge/>
            <w:shd w:val="clear" w:color="auto" w:fill="auto"/>
            <w:vAlign w:val="center"/>
          </w:tcPr>
          <w:p w14:paraId="01F391AD" w14:textId="77777777" w:rsidR="00915572" w:rsidRPr="00CF77C1" w:rsidRDefault="00915572" w:rsidP="0080044B">
            <w:pPr>
              <w:jc w:val="left"/>
              <w:rPr>
                <w:lang w:val="sr-Cyrl-RS"/>
              </w:rPr>
            </w:pPr>
          </w:p>
        </w:tc>
        <w:tc>
          <w:tcPr>
            <w:tcW w:w="3764" w:type="dxa"/>
            <w:vMerge/>
            <w:shd w:val="clear" w:color="auto" w:fill="auto"/>
            <w:vAlign w:val="center"/>
          </w:tcPr>
          <w:p w14:paraId="782851F7" w14:textId="77777777" w:rsidR="00915572" w:rsidRPr="00CF77C1" w:rsidRDefault="00915572" w:rsidP="0080044B">
            <w:pPr>
              <w:jc w:val="left"/>
              <w:rPr>
                <w:lang w:val="sr-Cyrl-RS"/>
              </w:rPr>
            </w:pPr>
          </w:p>
        </w:tc>
      </w:tr>
      <w:tr w:rsidR="00915572" w:rsidRPr="00CF77C1" w14:paraId="69082309" w14:textId="77777777" w:rsidTr="00915572">
        <w:tc>
          <w:tcPr>
            <w:tcW w:w="3369" w:type="dxa"/>
            <w:shd w:val="clear" w:color="auto" w:fill="auto"/>
            <w:vAlign w:val="center"/>
          </w:tcPr>
          <w:p w14:paraId="738A4657" w14:textId="77777777" w:rsidR="00915572" w:rsidRPr="00CF77C1" w:rsidRDefault="00915572" w:rsidP="0080044B">
            <w:pPr>
              <w:jc w:val="left"/>
              <w:rPr>
                <w:lang w:val="sr-Cyrl-RS"/>
              </w:rPr>
            </w:pPr>
            <w:r w:rsidRPr="00CF77C1">
              <w:rPr>
                <w:lang w:val="sr-Cyrl-RS"/>
              </w:rPr>
              <w:t>Одводњавање</w:t>
            </w:r>
          </w:p>
        </w:tc>
        <w:tc>
          <w:tcPr>
            <w:tcW w:w="3260" w:type="dxa"/>
            <w:shd w:val="clear" w:color="auto" w:fill="auto"/>
            <w:vAlign w:val="center"/>
          </w:tcPr>
          <w:p w14:paraId="1AB95AF7" w14:textId="77777777" w:rsidR="00915572" w:rsidRPr="00CF77C1" w:rsidRDefault="00915572" w:rsidP="0080044B">
            <w:pPr>
              <w:jc w:val="center"/>
              <w:rPr>
                <w:szCs w:val="24"/>
                <w:lang w:val="sr-Cyrl-RS"/>
              </w:rPr>
            </w:pPr>
            <w:r w:rsidRPr="00CF77C1">
              <w:rPr>
                <w:szCs w:val="24"/>
                <w:lang w:val="sr-Cyrl-RS"/>
              </w:rPr>
              <w:t>15.000.000 €</w:t>
            </w:r>
          </w:p>
          <w:p w14:paraId="53E363CF" w14:textId="21F99F71" w:rsidR="00915572" w:rsidRPr="00CF77C1" w:rsidRDefault="00915572" w:rsidP="0080044B">
            <w:pPr>
              <w:jc w:val="center"/>
              <w:rPr>
                <w:szCs w:val="24"/>
                <w:lang w:val="sr-Cyrl-RS"/>
              </w:rPr>
            </w:pPr>
            <w:r w:rsidRPr="00CF77C1">
              <w:rPr>
                <w:szCs w:val="24"/>
                <w:lang w:val="sr-Cyrl-RS"/>
              </w:rPr>
              <w:t xml:space="preserve">(сопствена средства </w:t>
            </w:r>
            <w:r w:rsidR="001741AC" w:rsidRPr="00CF77C1">
              <w:rPr>
                <w:szCs w:val="24"/>
                <w:lang w:val="sr-Cyrl-RS"/>
              </w:rPr>
              <w:t>ЕПС</w:t>
            </w:r>
            <w:r w:rsidRPr="00CF77C1">
              <w:rPr>
                <w:szCs w:val="24"/>
                <w:lang w:val="sr-Cyrl-RS"/>
              </w:rPr>
              <w:t>)</w:t>
            </w:r>
          </w:p>
        </w:tc>
        <w:tc>
          <w:tcPr>
            <w:tcW w:w="4394" w:type="dxa"/>
            <w:vMerge/>
            <w:shd w:val="clear" w:color="auto" w:fill="auto"/>
            <w:vAlign w:val="center"/>
          </w:tcPr>
          <w:p w14:paraId="5578F13C" w14:textId="77777777" w:rsidR="00915572" w:rsidRPr="00CF77C1" w:rsidRDefault="00915572" w:rsidP="0080044B">
            <w:pPr>
              <w:jc w:val="left"/>
              <w:rPr>
                <w:lang w:val="sr-Cyrl-RS"/>
              </w:rPr>
            </w:pPr>
          </w:p>
        </w:tc>
        <w:tc>
          <w:tcPr>
            <w:tcW w:w="3764" w:type="dxa"/>
            <w:vMerge/>
            <w:shd w:val="clear" w:color="auto" w:fill="auto"/>
            <w:vAlign w:val="center"/>
          </w:tcPr>
          <w:p w14:paraId="1BCB805D" w14:textId="77777777" w:rsidR="00915572" w:rsidRPr="00CF77C1" w:rsidRDefault="00915572" w:rsidP="0080044B">
            <w:pPr>
              <w:jc w:val="left"/>
              <w:rPr>
                <w:lang w:val="sr-Cyrl-RS"/>
              </w:rPr>
            </w:pPr>
          </w:p>
        </w:tc>
      </w:tr>
    </w:tbl>
    <w:p w14:paraId="7834F366" w14:textId="15326D4C"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120</w:t>
      </w:r>
      <w:r w:rsidR="0092145E" w:rsidRPr="00CF77C1">
        <w:rPr>
          <w:b w:val="0"/>
          <w:lang w:val="sr-Cyrl-RS"/>
        </w:rPr>
        <w:fldChar w:fldCharType="end"/>
      </w:r>
      <w:r w:rsidR="002D7D6C"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670"/>
        <w:gridCol w:w="4819"/>
      </w:tblGrid>
      <w:tr w:rsidR="002D7D6C" w:rsidRPr="00CF77C1" w14:paraId="11ADD919" w14:textId="77777777" w:rsidTr="002D7D6C">
        <w:trPr>
          <w:cantSplit/>
          <w:tblHeader/>
        </w:trPr>
        <w:tc>
          <w:tcPr>
            <w:tcW w:w="4361" w:type="dxa"/>
            <w:shd w:val="clear" w:color="auto" w:fill="auto"/>
            <w:vAlign w:val="center"/>
          </w:tcPr>
          <w:p w14:paraId="226A75CF" w14:textId="77777777" w:rsidR="002D7D6C" w:rsidRPr="00CF77C1" w:rsidRDefault="002D7D6C" w:rsidP="0080044B">
            <w:pPr>
              <w:jc w:val="center"/>
              <w:rPr>
                <w:lang w:val="sr-Cyrl-RS"/>
              </w:rPr>
            </w:pPr>
            <w:r w:rsidRPr="00CF77C1">
              <w:rPr>
                <w:lang w:val="sr-Cyrl-RS"/>
              </w:rPr>
              <w:t>Пројекат</w:t>
            </w:r>
          </w:p>
        </w:tc>
        <w:tc>
          <w:tcPr>
            <w:tcW w:w="5670" w:type="dxa"/>
            <w:shd w:val="clear" w:color="auto" w:fill="auto"/>
            <w:vAlign w:val="center"/>
          </w:tcPr>
          <w:p w14:paraId="69365373" w14:textId="77777777" w:rsidR="002D7D6C" w:rsidRPr="00CF77C1" w:rsidRDefault="002D7D6C" w:rsidP="0080044B">
            <w:pPr>
              <w:jc w:val="center"/>
              <w:rPr>
                <w:lang w:val="sr-Cyrl-RS"/>
              </w:rPr>
            </w:pPr>
            <w:r w:rsidRPr="00CF77C1">
              <w:rPr>
                <w:lang w:val="sr-Cyrl-RS"/>
              </w:rPr>
              <w:t>Статус припреме пројекта</w:t>
            </w:r>
          </w:p>
        </w:tc>
        <w:tc>
          <w:tcPr>
            <w:tcW w:w="4819" w:type="dxa"/>
            <w:shd w:val="clear" w:color="auto" w:fill="auto"/>
            <w:vAlign w:val="center"/>
          </w:tcPr>
          <w:p w14:paraId="642C4708" w14:textId="77777777" w:rsidR="002D7D6C" w:rsidRPr="00CF77C1" w:rsidRDefault="002D7D6C" w:rsidP="0080044B">
            <w:pPr>
              <w:jc w:val="center"/>
              <w:rPr>
                <w:lang w:val="sr-Cyrl-RS"/>
              </w:rPr>
            </w:pPr>
            <w:r w:rsidRPr="00CF77C1">
              <w:rPr>
                <w:lang w:val="sr-Cyrl-RS"/>
              </w:rPr>
              <w:t>Недостајућа планска и техничка документација</w:t>
            </w:r>
          </w:p>
        </w:tc>
      </w:tr>
      <w:tr w:rsidR="002D7D6C" w:rsidRPr="00CF77C1" w14:paraId="37BE6F47" w14:textId="77777777" w:rsidTr="002D7D6C">
        <w:trPr>
          <w:cantSplit/>
        </w:trPr>
        <w:tc>
          <w:tcPr>
            <w:tcW w:w="4361" w:type="dxa"/>
            <w:shd w:val="clear" w:color="auto" w:fill="auto"/>
            <w:vAlign w:val="center"/>
          </w:tcPr>
          <w:p w14:paraId="556E49BB" w14:textId="77777777" w:rsidR="002D7D6C" w:rsidRPr="00CF77C1" w:rsidRDefault="002D7D6C" w:rsidP="0080044B">
            <w:pPr>
              <w:jc w:val="left"/>
              <w:rPr>
                <w:lang w:val="sr-Cyrl-RS"/>
              </w:rPr>
            </w:pPr>
            <w:r w:rsidRPr="00CF77C1">
              <w:rPr>
                <w:lang w:val="sr-Cyrl-RS"/>
              </w:rPr>
              <w:t>Завршетак инвестиционе изградње површинског копа Тамнава западно поље</w:t>
            </w:r>
          </w:p>
        </w:tc>
        <w:tc>
          <w:tcPr>
            <w:tcW w:w="5670" w:type="dxa"/>
            <w:shd w:val="clear" w:color="auto" w:fill="auto"/>
            <w:vAlign w:val="center"/>
          </w:tcPr>
          <w:p w14:paraId="030F66E0" w14:textId="77777777" w:rsidR="002D7D6C" w:rsidRPr="00CF77C1" w:rsidRDefault="002D7D6C" w:rsidP="0080044B">
            <w:pPr>
              <w:jc w:val="left"/>
              <w:rPr>
                <w:lang w:val="sr-Cyrl-RS"/>
              </w:rPr>
            </w:pPr>
            <w:r w:rsidRPr="00CF77C1">
              <w:rPr>
                <w:lang w:val="sr-Cyrl-RS"/>
              </w:rPr>
              <w:t>Пројектна документација је комплетно урађена</w:t>
            </w:r>
          </w:p>
        </w:tc>
        <w:tc>
          <w:tcPr>
            <w:tcW w:w="4819" w:type="dxa"/>
            <w:shd w:val="clear" w:color="auto" w:fill="auto"/>
            <w:vAlign w:val="center"/>
          </w:tcPr>
          <w:p w14:paraId="00EA4DFC" w14:textId="77777777" w:rsidR="002D7D6C" w:rsidRPr="00CF77C1" w:rsidRDefault="002D7D6C" w:rsidP="0080044B">
            <w:pPr>
              <w:jc w:val="left"/>
              <w:rPr>
                <w:lang w:val="sr-Cyrl-RS"/>
              </w:rPr>
            </w:pPr>
            <w:r w:rsidRPr="00CF77C1">
              <w:rPr>
                <w:lang w:val="sr-Cyrl-RS"/>
              </w:rPr>
              <w:t>План посебне намене за откуп земљишта и пресељење гробља Скобаљ</w:t>
            </w:r>
          </w:p>
        </w:tc>
      </w:tr>
    </w:tbl>
    <w:p w14:paraId="1FBFC025" w14:textId="20EB7E19" w:rsidR="002D7D6C" w:rsidRPr="00CF77C1" w:rsidRDefault="00D61BC9" w:rsidP="005621E0">
      <w:pPr>
        <w:pStyle w:val="Caption"/>
        <w:ind w:firstLine="720"/>
        <w:rPr>
          <w:b w:val="0"/>
          <w:lang w:val="sr-Cyrl-RS"/>
        </w:rPr>
      </w:pPr>
      <w:r w:rsidRPr="00CF77C1">
        <w:rPr>
          <w:b w:val="0"/>
          <w:lang w:val="sr-Cyrl-RS"/>
        </w:rPr>
        <w:t>таб.</w:t>
      </w:r>
      <w:r w:rsidR="002D7D6C"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121</w:t>
      </w:r>
      <w:r w:rsidR="0092145E" w:rsidRPr="00CF77C1">
        <w:rPr>
          <w:b w:val="0"/>
          <w:lang w:val="sr-Cyrl-RS"/>
        </w:rPr>
        <w:fldChar w:fldCharType="end"/>
      </w:r>
      <w:r w:rsidR="002D7D6C" w:rsidRPr="00CF77C1">
        <w:rPr>
          <w:b w:val="0"/>
          <w:lang w:val="sr-Cyrl-RS"/>
        </w:rPr>
        <w:t>: Динамика реализације активн</w:t>
      </w:r>
      <w:r w:rsidR="005E7F26">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2268"/>
        <w:gridCol w:w="972"/>
        <w:gridCol w:w="972"/>
        <w:gridCol w:w="972"/>
        <w:gridCol w:w="972"/>
        <w:gridCol w:w="972"/>
        <w:gridCol w:w="972"/>
        <w:gridCol w:w="972"/>
      </w:tblGrid>
      <w:tr w:rsidR="002D7D6C" w:rsidRPr="00CF77C1" w14:paraId="41975232" w14:textId="77777777" w:rsidTr="002D7D6C">
        <w:trPr>
          <w:tblHeader/>
        </w:trPr>
        <w:tc>
          <w:tcPr>
            <w:tcW w:w="5778" w:type="dxa"/>
            <w:shd w:val="clear" w:color="auto" w:fill="auto"/>
            <w:vAlign w:val="center"/>
          </w:tcPr>
          <w:p w14:paraId="1A3B0B82" w14:textId="77777777" w:rsidR="002D7D6C" w:rsidRPr="00CF77C1" w:rsidRDefault="002D7D6C" w:rsidP="0080044B">
            <w:pPr>
              <w:jc w:val="center"/>
              <w:rPr>
                <w:lang w:val="sr-Cyrl-RS"/>
              </w:rPr>
            </w:pPr>
            <w:r w:rsidRPr="00CF77C1">
              <w:rPr>
                <w:lang w:val="sr-Cyrl-RS"/>
              </w:rPr>
              <w:t>Пројекат:</w:t>
            </w:r>
          </w:p>
          <w:p w14:paraId="66353950" w14:textId="77777777" w:rsidR="002D7D6C" w:rsidRPr="00CF77C1" w:rsidRDefault="002D7D6C" w:rsidP="0080044B">
            <w:pPr>
              <w:jc w:val="center"/>
              <w:rPr>
                <w:lang w:val="sr-Cyrl-RS"/>
              </w:rPr>
            </w:pPr>
            <w:r w:rsidRPr="00CF77C1">
              <w:rPr>
                <w:lang w:val="sr-Cyrl-RS"/>
              </w:rPr>
              <w:t>Завршетак инвестиционе изградње површинског копа Тамнава западно поље</w:t>
            </w:r>
          </w:p>
        </w:tc>
        <w:tc>
          <w:tcPr>
            <w:tcW w:w="2268" w:type="dxa"/>
            <w:shd w:val="clear" w:color="auto" w:fill="auto"/>
            <w:vAlign w:val="center"/>
          </w:tcPr>
          <w:p w14:paraId="22E4B005" w14:textId="77777777" w:rsidR="002D7D6C" w:rsidRPr="00CF77C1" w:rsidRDefault="00DD69C2" w:rsidP="0080044B">
            <w:pPr>
              <w:jc w:val="center"/>
              <w:rPr>
                <w:lang w:val="sr-Cyrl-RS"/>
              </w:rPr>
            </w:pPr>
            <w:r w:rsidRPr="00CF77C1">
              <w:rPr>
                <w:lang w:val="sr-Cyrl-RS"/>
              </w:rPr>
              <w:t>Одговорни субјекат</w:t>
            </w:r>
          </w:p>
        </w:tc>
        <w:tc>
          <w:tcPr>
            <w:tcW w:w="972" w:type="dxa"/>
            <w:shd w:val="clear" w:color="auto" w:fill="auto"/>
            <w:vAlign w:val="center"/>
          </w:tcPr>
          <w:p w14:paraId="3A417041" w14:textId="77777777" w:rsidR="002D7D6C" w:rsidRPr="00CF77C1" w:rsidRDefault="002D7D6C" w:rsidP="0080044B">
            <w:pPr>
              <w:jc w:val="center"/>
              <w:rPr>
                <w:lang w:val="sr-Cyrl-RS"/>
              </w:rPr>
            </w:pPr>
            <w:r w:rsidRPr="00CF77C1">
              <w:rPr>
                <w:lang w:val="sr-Cyrl-RS"/>
              </w:rPr>
              <w:t>2017.</w:t>
            </w:r>
          </w:p>
        </w:tc>
        <w:tc>
          <w:tcPr>
            <w:tcW w:w="972" w:type="dxa"/>
            <w:shd w:val="clear" w:color="auto" w:fill="auto"/>
            <w:vAlign w:val="center"/>
          </w:tcPr>
          <w:p w14:paraId="7B7C4F8B" w14:textId="77777777" w:rsidR="002D7D6C" w:rsidRPr="00CF77C1" w:rsidRDefault="002D7D6C" w:rsidP="0080044B">
            <w:pPr>
              <w:jc w:val="center"/>
              <w:rPr>
                <w:lang w:val="sr-Cyrl-RS"/>
              </w:rPr>
            </w:pPr>
            <w:r w:rsidRPr="00CF77C1">
              <w:rPr>
                <w:lang w:val="sr-Cyrl-RS"/>
              </w:rPr>
              <w:t>2018.</w:t>
            </w:r>
          </w:p>
        </w:tc>
        <w:tc>
          <w:tcPr>
            <w:tcW w:w="972" w:type="dxa"/>
            <w:shd w:val="clear" w:color="auto" w:fill="auto"/>
            <w:vAlign w:val="center"/>
          </w:tcPr>
          <w:p w14:paraId="6B0470D8" w14:textId="77777777" w:rsidR="002D7D6C" w:rsidRPr="00CF77C1" w:rsidRDefault="002D7D6C" w:rsidP="0080044B">
            <w:pPr>
              <w:jc w:val="center"/>
              <w:rPr>
                <w:lang w:val="sr-Cyrl-RS"/>
              </w:rPr>
            </w:pPr>
            <w:r w:rsidRPr="00CF77C1">
              <w:rPr>
                <w:lang w:val="sr-Cyrl-RS"/>
              </w:rPr>
              <w:t>2019.</w:t>
            </w:r>
          </w:p>
        </w:tc>
        <w:tc>
          <w:tcPr>
            <w:tcW w:w="972" w:type="dxa"/>
            <w:shd w:val="clear" w:color="auto" w:fill="auto"/>
            <w:vAlign w:val="center"/>
          </w:tcPr>
          <w:p w14:paraId="2469F74C" w14:textId="77777777" w:rsidR="002D7D6C" w:rsidRPr="00CF77C1" w:rsidRDefault="002D7D6C" w:rsidP="0080044B">
            <w:pPr>
              <w:jc w:val="center"/>
              <w:rPr>
                <w:lang w:val="sr-Cyrl-RS"/>
              </w:rPr>
            </w:pPr>
            <w:r w:rsidRPr="00CF77C1">
              <w:rPr>
                <w:lang w:val="sr-Cyrl-RS"/>
              </w:rPr>
              <w:t>2020.</w:t>
            </w:r>
          </w:p>
        </w:tc>
        <w:tc>
          <w:tcPr>
            <w:tcW w:w="972" w:type="dxa"/>
            <w:shd w:val="clear" w:color="auto" w:fill="auto"/>
            <w:vAlign w:val="center"/>
          </w:tcPr>
          <w:p w14:paraId="1040D696" w14:textId="77777777" w:rsidR="002D7D6C" w:rsidRPr="00CF77C1" w:rsidRDefault="002D7D6C" w:rsidP="0080044B">
            <w:pPr>
              <w:jc w:val="center"/>
              <w:rPr>
                <w:lang w:val="sr-Cyrl-RS"/>
              </w:rPr>
            </w:pPr>
            <w:r w:rsidRPr="00CF77C1">
              <w:rPr>
                <w:lang w:val="sr-Cyrl-RS"/>
              </w:rPr>
              <w:t>2021.</w:t>
            </w:r>
          </w:p>
        </w:tc>
        <w:tc>
          <w:tcPr>
            <w:tcW w:w="972" w:type="dxa"/>
            <w:shd w:val="clear" w:color="auto" w:fill="auto"/>
            <w:vAlign w:val="center"/>
          </w:tcPr>
          <w:p w14:paraId="2274DFE8" w14:textId="77777777" w:rsidR="002D7D6C" w:rsidRPr="00CF77C1" w:rsidRDefault="002D7D6C" w:rsidP="0080044B">
            <w:pPr>
              <w:jc w:val="center"/>
              <w:rPr>
                <w:lang w:val="sr-Cyrl-RS"/>
              </w:rPr>
            </w:pPr>
            <w:r w:rsidRPr="00CF77C1">
              <w:rPr>
                <w:lang w:val="sr-Cyrl-RS"/>
              </w:rPr>
              <w:t>2022.</w:t>
            </w:r>
          </w:p>
        </w:tc>
        <w:tc>
          <w:tcPr>
            <w:tcW w:w="972" w:type="dxa"/>
            <w:shd w:val="clear" w:color="auto" w:fill="auto"/>
            <w:vAlign w:val="center"/>
          </w:tcPr>
          <w:p w14:paraId="78BE8F95" w14:textId="77777777" w:rsidR="002D7D6C" w:rsidRPr="00CF77C1" w:rsidRDefault="002D7D6C" w:rsidP="0080044B">
            <w:pPr>
              <w:jc w:val="center"/>
              <w:rPr>
                <w:lang w:val="sr-Cyrl-RS"/>
              </w:rPr>
            </w:pPr>
            <w:r w:rsidRPr="00CF77C1">
              <w:rPr>
                <w:lang w:val="sr-Cyrl-RS"/>
              </w:rPr>
              <w:t>2023.</w:t>
            </w:r>
          </w:p>
        </w:tc>
      </w:tr>
      <w:tr w:rsidR="002D7D6C" w:rsidRPr="00CF77C1" w14:paraId="1C390F7C" w14:textId="77777777" w:rsidTr="002D7D6C">
        <w:tc>
          <w:tcPr>
            <w:tcW w:w="5778" w:type="dxa"/>
            <w:shd w:val="clear" w:color="auto" w:fill="auto"/>
            <w:vAlign w:val="center"/>
          </w:tcPr>
          <w:p w14:paraId="653926CC" w14:textId="77777777" w:rsidR="002D7D6C" w:rsidRPr="00CF77C1" w:rsidRDefault="002D7D6C" w:rsidP="0080044B">
            <w:pPr>
              <w:spacing w:before="40" w:after="40"/>
              <w:jc w:val="left"/>
              <w:rPr>
                <w:szCs w:val="24"/>
                <w:lang w:val="sr-Cyrl-RS"/>
              </w:rPr>
            </w:pPr>
            <w:r w:rsidRPr="00CF77C1">
              <w:rPr>
                <w:szCs w:val="24"/>
                <w:lang w:val="sr-Cyrl-RS"/>
              </w:rPr>
              <w:t>Изградња путних праваца Паљуви-Јабучје, Јабучје-Скобаљ, Јабучје -Виш и хидрограђевински објекти</w:t>
            </w:r>
          </w:p>
        </w:tc>
        <w:tc>
          <w:tcPr>
            <w:tcW w:w="2268" w:type="dxa"/>
            <w:vMerge w:val="restart"/>
            <w:shd w:val="clear" w:color="auto" w:fill="auto"/>
            <w:vAlign w:val="center"/>
          </w:tcPr>
          <w:p w14:paraId="5C9249C2" w14:textId="77777777" w:rsidR="002D7D6C" w:rsidRPr="00CF77C1" w:rsidRDefault="001B761F" w:rsidP="0080044B">
            <w:pPr>
              <w:spacing w:before="40" w:after="40"/>
              <w:jc w:val="left"/>
              <w:rPr>
                <w:lang w:val="sr-Cyrl-RS"/>
              </w:rPr>
            </w:pPr>
            <w:r w:rsidRPr="00CF77C1">
              <w:rPr>
                <w:lang w:val="sr-Cyrl-RS"/>
              </w:rPr>
              <w:t>ЕПС</w:t>
            </w:r>
          </w:p>
        </w:tc>
        <w:tc>
          <w:tcPr>
            <w:tcW w:w="972" w:type="dxa"/>
            <w:shd w:val="clear" w:color="auto" w:fill="auto"/>
            <w:vAlign w:val="center"/>
          </w:tcPr>
          <w:p w14:paraId="732475A9"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8C2BA98"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417D5021"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F77E5F0"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35BD343B"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368981A4"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543F51FC" w14:textId="77777777" w:rsidR="002D7D6C" w:rsidRPr="00CF77C1" w:rsidRDefault="002D7D6C" w:rsidP="0080044B">
            <w:pPr>
              <w:spacing w:before="40" w:after="40"/>
              <w:jc w:val="center"/>
              <w:rPr>
                <w:szCs w:val="24"/>
                <w:lang w:val="sr-Cyrl-RS"/>
              </w:rPr>
            </w:pPr>
          </w:p>
        </w:tc>
      </w:tr>
      <w:tr w:rsidR="002D7D6C" w:rsidRPr="00CF77C1" w14:paraId="6E502ADB" w14:textId="77777777" w:rsidTr="002D7D6C">
        <w:tc>
          <w:tcPr>
            <w:tcW w:w="5778" w:type="dxa"/>
            <w:shd w:val="clear" w:color="auto" w:fill="auto"/>
            <w:vAlign w:val="center"/>
          </w:tcPr>
          <w:p w14:paraId="5413C0D7" w14:textId="77777777" w:rsidR="002D7D6C" w:rsidRPr="00CF77C1" w:rsidRDefault="002D7D6C" w:rsidP="0080044B">
            <w:pPr>
              <w:spacing w:before="40" w:after="40"/>
              <w:jc w:val="left"/>
              <w:rPr>
                <w:szCs w:val="24"/>
                <w:lang w:val="sr-Cyrl-RS"/>
              </w:rPr>
            </w:pPr>
            <w:r w:rsidRPr="00CF77C1">
              <w:rPr>
                <w:szCs w:val="24"/>
                <w:lang w:val="sr-Cyrl-RS"/>
              </w:rPr>
              <w:t>Откуп земљишта и пресељење гробља Скобаљ</w:t>
            </w:r>
          </w:p>
        </w:tc>
        <w:tc>
          <w:tcPr>
            <w:tcW w:w="2268" w:type="dxa"/>
            <w:vMerge/>
            <w:shd w:val="clear" w:color="auto" w:fill="auto"/>
          </w:tcPr>
          <w:p w14:paraId="14D9EC2C" w14:textId="77777777" w:rsidR="002D7D6C" w:rsidRPr="00CF77C1" w:rsidRDefault="002D7D6C" w:rsidP="0080044B">
            <w:pPr>
              <w:spacing w:before="40" w:after="40"/>
              <w:rPr>
                <w:lang w:val="sr-Cyrl-RS"/>
              </w:rPr>
            </w:pPr>
          </w:p>
        </w:tc>
        <w:tc>
          <w:tcPr>
            <w:tcW w:w="972" w:type="dxa"/>
            <w:shd w:val="clear" w:color="auto" w:fill="auto"/>
            <w:vAlign w:val="center"/>
          </w:tcPr>
          <w:p w14:paraId="07461553"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6ACD39E"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4F3F0C4B"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40C7866B"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417C834C"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60C5DEF0"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22067F59" w14:textId="77777777" w:rsidR="002D7D6C" w:rsidRPr="00CF77C1" w:rsidRDefault="002D7D6C" w:rsidP="0080044B">
            <w:pPr>
              <w:spacing w:before="40" w:after="40"/>
              <w:jc w:val="center"/>
              <w:rPr>
                <w:szCs w:val="24"/>
                <w:lang w:val="sr-Cyrl-RS"/>
              </w:rPr>
            </w:pPr>
          </w:p>
        </w:tc>
      </w:tr>
      <w:tr w:rsidR="002D7D6C" w:rsidRPr="00CF77C1" w14:paraId="17256CFD" w14:textId="77777777" w:rsidTr="002D7D6C">
        <w:tc>
          <w:tcPr>
            <w:tcW w:w="5778" w:type="dxa"/>
            <w:shd w:val="clear" w:color="auto" w:fill="auto"/>
            <w:vAlign w:val="center"/>
          </w:tcPr>
          <w:p w14:paraId="1489163D" w14:textId="14C3EB2E" w:rsidR="002D7D6C" w:rsidRPr="00CF77C1" w:rsidRDefault="002D7D6C" w:rsidP="0080044B">
            <w:pPr>
              <w:spacing w:before="40" w:after="40"/>
              <w:jc w:val="left"/>
              <w:rPr>
                <w:szCs w:val="24"/>
                <w:lang w:val="sr-Cyrl-RS"/>
              </w:rPr>
            </w:pPr>
            <w:r w:rsidRPr="00CF77C1">
              <w:rPr>
                <w:szCs w:val="24"/>
                <w:lang w:val="sr-Cyrl-RS"/>
              </w:rPr>
              <w:t>Изгр</w:t>
            </w:r>
            <w:r w:rsidR="00D44DD7">
              <w:rPr>
                <w:szCs w:val="24"/>
                <w:lang w:val="sr-Cyrl-RS"/>
              </w:rPr>
              <w:t>адња нове депоније и увођење си</w:t>
            </w:r>
            <w:r w:rsidRPr="00CF77C1">
              <w:rPr>
                <w:szCs w:val="24"/>
                <w:lang w:val="sr-Cyrl-RS"/>
              </w:rPr>
              <w:t>стема за хомогенизацију угља</w:t>
            </w:r>
          </w:p>
        </w:tc>
        <w:tc>
          <w:tcPr>
            <w:tcW w:w="2268" w:type="dxa"/>
            <w:vMerge/>
            <w:shd w:val="clear" w:color="auto" w:fill="auto"/>
          </w:tcPr>
          <w:p w14:paraId="6A26CD3E" w14:textId="77777777" w:rsidR="002D7D6C" w:rsidRPr="00CF77C1" w:rsidRDefault="002D7D6C" w:rsidP="0080044B">
            <w:pPr>
              <w:keepNext/>
              <w:keepLines/>
              <w:spacing w:before="40" w:after="40"/>
              <w:rPr>
                <w:lang w:val="sr-Cyrl-RS"/>
              </w:rPr>
            </w:pPr>
          </w:p>
        </w:tc>
        <w:tc>
          <w:tcPr>
            <w:tcW w:w="972" w:type="dxa"/>
            <w:shd w:val="clear" w:color="auto" w:fill="auto"/>
            <w:vAlign w:val="center"/>
          </w:tcPr>
          <w:p w14:paraId="6D9CAE5E"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EDA4D1A" w14:textId="77777777" w:rsidR="002D7D6C" w:rsidRPr="00CF77C1" w:rsidRDefault="002D7D6C" w:rsidP="0080044B">
            <w:pPr>
              <w:keepNext/>
              <w:keepLines/>
              <w:spacing w:before="40" w:after="40"/>
              <w:jc w:val="center"/>
              <w:rPr>
                <w:szCs w:val="24"/>
                <w:lang w:val="sr-Cyrl-RS"/>
              </w:rPr>
            </w:pPr>
            <w:r w:rsidRPr="00CF77C1">
              <w:rPr>
                <w:szCs w:val="24"/>
                <w:lang w:val="sr-Cyrl-RS"/>
              </w:rPr>
              <w:t>x</w:t>
            </w:r>
          </w:p>
        </w:tc>
        <w:tc>
          <w:tcPr>
            <w:tcW w:w="972" w:type="dxa"/>
            <w:shd w:val="clear" w:color="auto" w:fill="auto"/>
            <w:vAlign w:val="center"/>
          </w:tcPr>
          <w:p w14:paraId="07CCA927" w14:textId="77777777" w:rsidR="002D7D6C" w:rsidRPr="00CF77C1" w:rsidRDefault="002D7D6C" w:rsidP="0080044B">
            <w:pPr>
              <w:keepNext/>
              <w:keepLines/>
              <w:spacing w:before="40" w:after="40"/>
              <w:jc w:val="center"/>
              <w:rPr>
                <w:szCs w:val="24"/>
                <w:lang w:val="sr-Cyrl-RS"/>
              </w:rPr>
            </w:pPr>
          </w:p>
        </w:tc>
        <w:tc>
          <w:tcPr>
            <w:tcW w:w="972" w:type="dxa"/>
            <w:shd w:val="clear" w:color="auto" w:fill="auto"/>
            <w:vAlign w:val="center"/>
          </w:tcPr>
          <w:p w14:paraId="5181F450" w14:textId="77777777" w:rsidR="002D7D6C" w:rsidRPr="00CF77C1" w:rsidRDefault="002D7D6C" w:rsidP="0080044B">
            <w:pPr>
              <w:keepNext/>
              <w:keepLines/>
              <w:spacing w:before="40" w:after="40"/>
              <w:jc w:val="center"/>
              <w:rPr>
                <w:szCs w:val="24"/>
                <w:lang w:val="sr-Cyrl-RS"/>
              </w:rPr>
            </w:pPr>
          </w:p>
        </w:tc>
        <w:tc>
          <w:tcPr>
            <w:tcW w:w="972" w:type="dxa"/>
            <w:shd w:val="clear" w:color="auto" w:fill="auto"/>
            <w:vAlign w:val="center"/>
          </w:tcPr>
          <w:p w14:paraId="01869548" w14:textId="77777777" w:rsidR="002D7D6C" w:rsidRPr="00CF77C1" w:rsidRDefault="002D7D6C" w:rsidP="0080044B">
            <w:pPr>
              <w:keepNext/>
              <w:keepLines/>
              <w:spacing w:before="40" w:after="40"/>
              <w:jc w:val="center"/>
              <w:rPr>
                <w:szCs w:val="24"/>
                <w:lang w:val="sr-Cyrl-RS"/>
              </w:rPr>
            </w:pPr>
          </w:p>
        </w:tc>
        <w:tc>
          <w:tcPr>
            <w:tcW w:w="972" w:type="dxa"/>
            <w:shd w:val="clear" w:color="auto" w:fill="auto"/>
            <w:vAlign w:val="center"/>
          </w:tcPr>
          <w:p w14:paraId="23199412" w14:textId="77777777" w:rsidR="002D7D6C" w:rsidRPr="00CF77C1" w:rsidRDefault="002D7D6C" w:rsidP="0080044B">
            <w:pPr>
              <w:keepNext/>
              <w:keepLines/>
              <w:spacing w:before="40" w:after="40"/>
              <w:jc w:val="center"/>
              <w:rPr>
                <w:szCs w:val="24"/>
                <w:lang w:val="sr-Cyrl-RS"/>
              </w:rPr>
            </w:pPr>
          </w:p>
        </w:tc>
        <w:tc>
          <w:tcPr>
            <w:tcW w:w="972" w:type="dxa"/>
            <w:shd w:val="clear" w:color="auto" w:fill="auto"/>
            <w:vAlign w:val="center"/>
          </w:tcPr>
          <w:p w14:paraId="275230C3" w14:textId="77777777" w:rsidR="002D7D6C" w:rsidRPr="00CF77C1" w:rsidRDefault="002D7D6C" w:rsidP="0080044B">
            <w:pPr>
              <w:keepNext/>
              <w:keepLines/>
              <w:spacing w:before="40" w:after="40"/>
              <w:jc w:val="center"/>
              <w:rPr>
                <w:szCs w:val="24"/>
                <w:lang w:val="sr-Cyrl-RS"/>
              </w:rPr>
            </w:pPr>
          </w:p>
        </w:tc>
      </w:tr>
      <w:tr w:rsidR="002D7D6C" w:rsidRPr="00CF77C1" w14:paraId="5E05D71C" w14:textId="77777777" w:rsidTr="002D7D6C">
        <w:tc>
          <w:tcPr>
            <w:tcW w:w="5778" w:type="dxa"/>
            <w:shd w:val="clear" w:color="auto" w:fill="auto"/>
            <w:vAlign w:val="center"/>
          </w:tcPr>
          <w:p w14:paraId="11D2F453" w14:textId="77777777" w:rsidR="002D7D6C" w:rsidRPr="00CF77C1" w:rsidRDefault="002D7D6C" w:rsidP="0080044B">
            <w:pPr>
              <w:spacing w:before="40" w:after="40"/>
              <w:jc w:val="left"/>
              <w:rPr>
                <w:szCs w:val="24"/>
                <w:lang w:val="sr-Cyrl-RS"/>
              </w:rPr>
            </w:pPr>
            <w:r w:rsidRPr="00CF77C1">
              <w:rPr>
                <w:szCs w:val="24"/>
                <w:lang w:val="sr-Cyrl-RS"/>
              </w:rPr>
              <w:t>Одлагач за међуслојну јаловину 12.000 m</w:t>
            </w:r>
            <w:r w:rsidRPr="00CF77C1">
              <w:rPr>
                <w:szCs w:val="24"/>
                <w:vertAlign w:val="superscript"/>
                <w:lang w:val="sr-Cyrl-RS"/>
              </w:rPr>
              <w:t>3</w:t>
            </w:r>
            <w:r w:rsidRPr="00CF77C1">
              <w:rPr>
                <w:szCs w:val="24"/>
                <w:lang w:val="sr-Cyrl-RS"/>
              </w:rPr>
              <w:t>/h</w:t>
            </w:r>
          </w:p>
        </w:tc>
        <w:tc>
          <w:tcPr>
            <w:tcW w:w="2268" w:type="dxa"/>
            <w:vMerge/>
            <w:shd w:val="clear" w:color="auto" w:fill="auto"/>
          </w:tcPr>
          <w:p w14:paraId="64F3DE24" w14:textId="77777777" w:rsidR="002D7D6C" w:rsidRPr="00CF77C1" w:rsidRDefault="002D7D6C" w:rsidP="0080044B">
            <w:pPr>
              <w:spacing w:before="40" w:after="40"/>
              <w:rPr>
                <w:lang w:val="sr-Cyrl-RS"/>
              </w:rPr>
            </w:pPr>
          </w:p>
        </w:tc>
        <w:tc>
          <w:tcPr>
            <w:tcW w:w="972" w:type="dxa"/>
            <w:shd w:val="clear" w:color="auto" w:fill="auto"/>
            <w:vAlign w:val="center"/>
          </w:tcPr>
          <w:p w14:paraId="7A9E064B"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B647378"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7AE7EC2"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C41D335"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0450867A"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2043B14B"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5FF53BD9" w14:textId="77777777" w:rsidR="002D7D6C" w:rsidRPr="00CF77C1" w:rsidRDefault="002D7D6C" w:rsidP="0080044B">
            <w:pPr>
              <w:spacing w:before="40" w:after="40"/>
              <w:jc w:val="center"/>
              <w:rPr>
                <w:szCs w:val="24"/>
                <w:lang w:val="sr-Cyrl-RS"/>
              </w:rPr>
            </w:pPr>
          </w:p>
        </w:tc>
      </w:tr>
      <w:tr w:rsidR="002D7D6C" w:rsidRPr="00CF77C1" w14:paraId="4CA4B928" w14:textId="77777777" w:rsidTr="002D7D6C">
        <w:tc>
          <w:tcPr>
            <w:tcW w:w="5778" w:type="dxa"/>
            <w:shd w:val="clear" w:color="auto" w:fill="auto"/>
            <w:vAlign w:val="center"/>
          </w:tcPr>
          <w:p w14:paraId="211A40DD" w14:textId="77777777" w:rsidR="002D7D6C" w:rsidRPr="00CF77C1" w:rsidRDefault="002D7D6C" w:rsidP="0080044B">
            <w:pPr>
              <w:spacing w:before="40" w:after="40"/>
              <w:jc w:val="left"/>
              <w:rPr>
                <w:szCs w:val="24"/>
                <w:lang w:val="sr-Cyrl-RS"/>
              </w:rPr>
            </w:pPr>
            <w:r w:rsidRPr="00CF77C1">
              <w:rPr>
                <w:szCs w:val="24"/>
                <w:lang w:val="sr-Cyrl-RS"/>
              </w:rPr>
              <w:t>Нови роторни багер 4500 m</w:t>
            </w:r>
            <w:r w:rsidRPr="00CF77C1">
              <w:rPr>
                <w:szCs w:val="24"/>
                <w:vertAlign w:val="superscript"/>
                <w:lang w:val="sr-Cyrl-RS"/>
              </w:rPr>
              <w:t>3</w:t>
            </w:r>
            <w:r w:rsidRPr="00CF77C1">
              <w:rPr>
                <w:szCs w:val="24"/>
                <w:lang w:val="sr-Cyrl-RS"/>
              </w:rPr>
              <w:t>/h и самоходни транспортер</w:t>
            </w:r>
          </w:p>
        </w:tc>
        <w:tc>
          <w:tcPr>
            <w:tcW w:w="2268" w:type="dxa"/>
            <w:vMerge/>
            <w:shd w:val="clear" w:color="auto" w:fill="auto"/>
          </w:tcPr>
          <w:p w14:paraId="07372326" w14:textId="77777777" w:rsidR="002D7D6C" w:rsidRPr="00CF77C1" w:rsidRDefault="002D7D6C" w:rsidP="0080044B">
            <w:pPr>
              <w:spacing w:before="40" w:after="40"/>
              <w:rPr>
                <w:lang w:val="sr-Cyrl-RS"/>
              </w:rPr>
            </w:pPr>
          </w:p>
        </w:tc>
        <w:tc>
          <w:tcPr>
            <w:tcW w:w="972" w:type="dxa"/>
            <w:shd w:val="clear" w:color="auto" w:fill="auto"/>
            <w:vAlign w:val="center"/>
          </w:tcPr>
          <w:p w14:paraId="694C1982"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277B6C9D"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45029B73"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0127182"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E993CD4"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47BF581F"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12A48591" w14:textId="77777777" w:rsidR="002D7D6C" w:rsidRPr="00CF77C1" w:rsidRDefault="002D7D6C" w:rsidP="0080044B">
            <w:pPr>
              <w:spacing w:before="40" w:after="40"/>
              <w:jc w:val="center"/>
              <w:rPr>
                <w:szCs w:val="24"/>
                <w:lang w:val="sr-Cyrl-RS"/>
              </w:rPr>
            </w:pPr>
          </w:p>
        </w:tc>
      </w:tr>
      <w:tr w:rsidR="002D7D6C" w:rsidRPr="00CF77C1" w14:paraId="7A7B4CAA" w14:textId="77777777" w:rsidTr="002D7D6C">
        <w:tc>
          <w:tcPr>
            <w:tcW w:w="5778" w:type="dxa"/>
            <w:shd w:val="clear" w:color="auto" w:fill="auto"/>
            <w:vAlign w:val="center"/>
          </w:tcPr>
          <w:p w14:paraId="6660172F" w14:textId="77777777" w:rsidR="002D7D6C" w:rsidRPr="00CF77C1" w:rsidRDefault="002D7D6C" w:rsidP="0080044B">
            <w:pPr>
              <w:spacing w:before="40" w:after="40"/>
              <w:jc w:val="left"/>
              <w:rPr>
                <w:szCs w:val="24"/>
                <w:lang w:val="sr-Cyrl-RS"/>
              </w:rPr>
            </w:pPr>
            <w:r w:rsidRPr="00CF77C1">
              <w:rPr>
                <w:szCs w:val="24"/>
                <w:lang w:val="sr-Cyrl-RS"/>
              </w:rPr>
              <w:t>Ревитализација и модернизације старе опреме оштећене поплавама</w:t>
            </w:r>
          </w:p>
        </w:tc>
        <w:tc>
          <w:tcPr>
            <w:tcW w:w="2268" w:type="dxa"/>
            <w:vMerge/>
            <w:shd w:val="clear" w:color="auto" w:fill="auto"/>
          </w:tcPr>
          <w:p w14:paraId="0F66563F" w14:textId="77777777" w:rsidR="002D7D6C" w:rsidRPr="00CF77C1" w:rsidRDefault="002D7D6C" w:rsidP="0080044B">
            <w:pPr>
              <w:spacing w:before="40" w:after="40"/>
              <w:rPr>
                <w:lang w:val="sr-Cyrl-RS"/>
              </w:rPr>
            </w:pPr>
          </w:p>
        </w:tc>
        <w:tc>
          <w:tcPr>
            <w:tcW w:w="972" w:type="dxa"/>
            <w:shd w:val="clear" w:color="auto" w:fill="auto"/>
            <w:vAlign w:val="center"/>
          </w:tcPr>
          <w:p w14:paraId="64075F23"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9D9C106"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1CEA799"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00056B2"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580ADAC2"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33772B34"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DC144DA" w14:textId="77777777" w:rsidR="002D7D6C" w:rsidRPr="00CF77C1" w:rsidRDefault="002D7D6C" w:rsidP="0080044B">
            <w:pPr>
              <w:spacing w:before="40" w:after="40"/>
              <w:jc w:val="center"/>
              <w:rPr>
                <w:szCs w:val="24"/>
                <w:lang w:val="sr-Cyrl-RS"/>
              </w:rPr>
            </w:pPr>
          </w:p>
        </w:tc>
      </w:tr>
      <w:tr w:rsidR="002D7D6C" w:rsidRPr="00CF77C1" w14:paraId="3ABB549D" w14:textId="77777777" w:rsidTr="002D7D6C">
        <w:tc>
          <w:tcPr>
            <w:tcW w:w="5778" w:type="dxa"/>
            <w:shd w:val="clear" w:color="auto" w:fill="auto"/>
            <w:vAlign w:val="center"/>
          </w:tcPr>
          <w:p w14:paraId="6738FE22" w14:textId="77777777" w:rsidR="002D7D6C" w:rsidRPr="00CF77C1" w:rsidRDefault="002D7D6C" w:rsidP="0080044B">
            <w:pPr>
              <w:spacing w:before="40" w:after="40"/>
              <w:jc w:val="left"/>
              <w:rPr>
                <w:szCs w:val="24"/>
                <w:lang w:val="sr-Cyrl-RS"/>
              </w:rPr>
            </w:pPr>
            <w:r w:rsidRPr="00CF77C1">
              <w:rPr>
                <w:szCs w:val="24"/>
                <w:lang w:val="sr-Cyrl-RS"/>
              </w:rPr>
              <w:t>Транспортери за међуслојну јаловину и угаљ</w:t>
            </w:r>
          </w:p>
        </w:tc>
        <w:tc>
          <w:tcPr>
            <w:tcW w:w="2268" w:type="dxa"/>
            <w:vMerge/>
            <w:shd w:val="clear" w:color="auto" w:fill="auto"/>
          </w:tcPr>
          <w:p w14:paraId="107A393E" w14:textId="77777777" w:rsidR="002D7D6C" w:rsidRPr="00CF77C1" w:rsidRDefault="002D7D6C" w:rsidP="0080044B">
            <w:pPr>
              <w:spacing w:before="40" w:after="40"/>
              <w:rPr>
                <w:lang w:val="sr-Cyrl-RS"/>
              </w:rPr>
            </w:pPr>
          </w:p>
        </w:tc>
        <w:tc>
          <w:tcPr>
            <w:tcW w:w="972" w:type="dxa"/>
            <w:shd w:val="clear" w:color="auto" w:fill="auto"/>
            <w:vAlign w:val="center"/>
          </w:tcPr>
          <w:p w14:paraId="3BF2BFAA"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AAFA2D0"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F05FF65"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5423ACDE"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7AB9F21"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0E04B711"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65EFC73D" w14:textId="77777777" w:rsidR="002D7D6C" w:rsidRPr="00CF77C1" w:rsidRDefault="002D7D6C" w:rsidP="0080044B">
            <w:pPr>
              <w:spacing w:before="40" w:after="40"/>
              <w:jc w:val="center"/>
              <w:rPr>
                <w:szCs w:val="24"/>
                <w:lang w:val="sr-Cyrl-RS"/>
              </w:rPr>
            </w:pPr>
          </w:p>
        </w:tc>
      </w:tr>
      <w:tr w:rsidR="002D7D6C" w:rsidRPr="00CF77C1" w14:paraId="7F978CBD" w14:textId="77777777" w:rsidTr="002D7D6C">
        <w:tc>
          <w:tcPr>
            <w:tcW w:w="5778" w:type="dxa"/>
            <w:shd w:val="clear" w:color="auto" w:fill="auto"/>
            <w:vAlign w:val="center"/>
          </w:tcPr>
          <w:p w14:paraId="3FA9E2A0" w14:textId="77777777" w:rsidR="002D7D6C" w:rsidRPr="00CF77C1" w:rsidRDefault="002D7D6C" w:rsidP="0080044B">
            <w:pPr>
              <w:spacing w:before="40" w:after="40"/>
              <w:jc w:val="left"/>
              <w:rPr>
                <w:szCs w:val="24"/>
                <w:lang w:val="sr-Cyrl-RS"/>
              </w:rPr>
            </w:pPr>
            <w:r w:rsidRPr="00CF77C1">
              <w:rPr>
                <w:szCs w:val="24"/>
                <w:lang w:val="sr-Cyrl-RS"/>
              </w:rPr>
              <w:t>Набавка помоћне механизације</w:t>
            </w:r>
          </w:p>
        </w:tc>
        <w:tc>
          <w:tcPr>
            <w:tcW w:w="2268" w:type="dxa"/>
            <w:vMerge/>
            <w:shd w:val="clear" w:color="auto" w:fill="auto"/>
          </w:tcPr>
          <w:p w14:paraId="7367FAEC" w14:textId="77777777" w:rsidR="002D7D6C" w:rsidRPr="00CF77C1" w:rsidRDefault="002D7D6C" w:rsidP="0080044B">
            <w:pPr>
              <w:spacing w:before="40" w:after="40"/>
              <w:rPr>
                <w:lang w:val="sr-Cyrl-RS"/>
              </w:rPr>
            </w:pPr>
          </w:p>
        </w:tc>
        <w:tc>
          <w:tcPr>
            <w:tcW w:w="972" w:type="dxa"/>
            <w:shd w:val="clear" w:color="auto" w:fill="auto"/>
            <w:vAlign w:val="center"/>
          </w:tcPr>
          <w:p w14:paraId="77123807"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0FC4DF8"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3A47EC73"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446CAF2"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5AE49794"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0E97F7BD" w14:textId="77777777" w:rsidR="002D7D6C" w:rsidRPr="00CF77C1" w:rsidRDefault="002D7D6C" w:rsidP="0080044B">
            <w:pPr>
              <w:spacing w:before="40" w:after="40"/>
              <w:jc w:val="center"/>
              <w:rPr>
                <w:szCs w:val="24"/>
                <w:lang w:val="sr-Cyrl-RS"/>
              </w:rPr>
            </w:pPr>
          </w:p>
        </w:tc>
        <w:tc>
          <w:tcPr>
            <w:tcW w:w="972" w:type="dxa"/>
            <w:shd w:val="clear" w:color="auto" w:fill="auto"/>
            <w:vAlign w:val="center"/>
          </w:tcPr>
          <w:p w14:paraId="7707C182" w14:textId="77777777" w:rsidR="002D7D6C" w:rsidRPr="00CF77C1" w:rsidRDefault="002D7D6C" w:rsidP="0080044B">
            <w:pPr>
              <w:spacing w:before="40" w:after="40"/>
              <w:jc w:val="center"/>
              <w:rPr>
                <w:szCs w:val="24"/>
                <w:lang w:val="sr-Cyrl-RS"/>
              </w:rPr>
            </w:pPr>
          </w:p>
        </w:tc>
      </w:tr>
      <w:tr w:rsidR="002D7D6C" w:rsidRPr="00CF77C1" w14:paraId="5DE24BE5" w14:textId="77777777" w:rsidTr="002D7D6C">
        <w:tc>
          <w:tcPr>
            <w:tcW w:w="5778" w:type="dxa"/>
            <w:shd w:val="clear" w:color="auto" w:fill="auto"/>
            <w:vAlign w:val="center"/>
          </w:tcPr>
          <w:p w14:paraId="73FF19E1" w14:textId="77777777" w:rsidR="002D7D6C" w:rsidRPr="00CF77C1" w:rsidRDefault="002D7D6C" w:rsidP="0080044B">
            <w:pPr>
              <w:spacing w:before="40" w:after="40"/>
              <w:jc w:val="left"/>
              <w:rPr>
                <w:szCs w:val="24"/>
                <w:lang w:val="sr-Cyrl-RS"/>
              </w:rPr>
            </w:pPr>
            <w:r w:rsidRPr="00CF77C1">
              <w:rPr>
                <w:szCs w:val="24"/>
                <w:lang w:val="sr-Cyrl-RS"/>
              </w:rPr>
              <w:t xml:space="preserve">Откопавање јаловине </w:t>
            </w:r>
          </w:p>
        </w:tc>
        <w:tc>
          <w:tcPr>
            <w:tcW w:w="2268" w:type="dxa"/>
            <w:vMerge/>
            <w:shd w:val="clear" w:color="auto" w:fill="auto"/>
          </w:tcPr>
          <w:p w14:paraId="1C90CA3F" w14:textId="77777777" w:rsidR="002D7D6C" w:rsidRPr="00CF77C1" w:rsidRDefault="002D7D6C" w:rsidP="0080044B">
            <w:pPr>
              <w:spacing w:before="40" w:after="40"/>
              <w:rPr>
                <w:lang w:val="sr-Cyrl-RS"/>
              </w:rPr>
            </w:pPr>
          </w:p>
        </w:tc>
        <w:tc>
          <w:tcPr>
            <w:tcW w:w="972" w:type="dxa"/>
            <w:shd w:val="clear" w:color="auto" w:fill="auto"/>
            <w:vAlign w:val="center"/>
          </w:tcPr>
          <w:p w14:paraId="79AB8FF3"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45BE5EE7"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334BA70D"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8545D1C"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784EEA3"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1C3B99C"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6CB459B4" w14:textId="77777777" w:rsidR="002D7D6C" w:rsidRPr="00CF77C1" w:rsidRDefault="002D7D6C" w:rsidP="0080044B">
            <w:pPr>
              <w:spacing w:before="40" w:after="40"/>
              <w:jc w:val="center"/>
              <w:rPr>
                <w:szCs w:val="24"/>
                <w:lang w:val="sr-Cyrl-RS"/>
              </w:rPr>
            </w:pPr>
            <w:r w:rsidRPr="00CF77C1">
              <w:rPr>
                <w:szCs w:val="24"/>
                <w:lang w:val="sr-Cyrl-RS"/>
              </w:rPr>
              <w:t>x</w:t>
            </w:r>
          </w:p>
        </w:tc>
      </w:tr>
      <w:tr w:rsidR="002D7D6C" w:rsidRPr="00CF77C1" w14:paraId="21F31770" w14:textId="77777777" w:rsidTr="002D7D6C">
        <w:tc>
          <w:tcPr>
            <w:tcW w:w="5778" w:type="dxa"/>
            <w:shd w:val="clear" w:color="auto" w:fill="auto"/>
            <w:vAlign w:val="center"/>
          </w:tcPr>
          <w:p w14:paraId="4D86739F" w14:textId="77777777" w:rsidR="002D7D6C" w:rsidRPr="00CF77C1" w:rsidRDefault="002D7D6C" w:rsidP="0080044B">
            <w:pPr>
              <w:spacing w:before="40" w:after="40"/>
              <w:jc w:val="left"/>
              <w:rPr>
                <w:szCs w:val="24"/>
                <w:lang w:val="sr-Cyrl-RS"/>
              </w:rPr>
            </w:pPr>
            <w:r w:rsidRPr="00CF77C1">
              <w:rPr>
                <w:szCs w:val="24"/>
                <w:lang w:val="sr-Cyrl-RS"/>
              </w:rPr>
              <w:t>Откопавање угља угља</w:t>
            </w:r>
          </w:p>
        </w:tc>
        <w:tc>
          <w:tcPr>
            <w:tcW w:w="2268" w:type="dxa"/>
            <w:vMerge/>
            <w:shd w:val="clear" w:color="auto" w:fill="auto"/>
          </w:tcPr>
          <w:p w14:paraId="3A0E7606" w14:textId="77777777" w:rsidR="002D7D6C" w:rsidRPr="00CF77C1" w:rsidRDefault="002D7D6C" w:rsidP="0080044B">
            <w:pPr>
              <w:spacing w:before="40" w:after="40"/>
              <w:rPr>
                <w:lang w:val="sr-Cyrl-RS"/>
              </w:rPr>
            </w:pPr>
          </w:p>
        </w:tc>
        <w:tc>
          <w:tcPr>
            <w:tcW w:w="972" w:type="dxa"/>
            <w:shd w:val="clear" w:color="auto" w:fill="auto"/>
            <w:vAlign w:val="center"/>
          </w:tcPr>
          <w:p w14:paraId="57D2A729"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4763A7B6"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5525C676"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253B7270"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74A1F6CB"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0485CE39" w14:textId="77777777" w:rsidR="002D7D6C" w:rsidRPr="00CF77C1" w:rsidRDefault="002D7D6C" w:rsidP="0080044B">
            <w:pPr>
              <w:spacing w:before="40" w:after="40"/>
              <w:jc w:val="center"/>
              <w:rPr>
                <w:szCs w:val="24"/>
                <w:lang w:val="sr-Cyrl-RS"/>
              </w:rPr>
            </w:pPr>
            <w:r w:rsidRPr="00CF77C1">
              <w:rPr>
                <w:szCs w:val="24"/>
                <w:lang w:val="sr-Cyrl-RS"/>
              </w:rPr>
              <w:t>x</w:t>
            </w:r>
          </w:p>
        </w:tc>
        <w:tc>
          <w:tcPr>
            <w:tcW w:w="972" w:type="dxa"/>
            <w:shd w:val="clear" w:color="auto" w:fill="auto"/>
            <w:vAlign w:val="center"/>
          </w:tcPr>
          <w:p w14:paraId="1C451995" w14:textId="77777777" w:rsidR="002D7D6C" w:rsidRPr="00CF77C1" w:rsidRDefault="002D7D6C" w:rsidP="0080044B">
            <w:pPr>
              <w:spacing w:before="40" w:after="40"/>
              <w:jc w:val="center"/>
              <w:rPr>
                <w:szCs w:val="24"/>
                <w:lang w:val="sr-Cyrl-RS"/>
              </w:rPr>
            </w:pPr>
            <w:r w:rsidRPr="00CF77C1">
              <w:rPr>
                <w:szCs w:val="24"/>
                <w:lang w:val="sr-Cyrl-RS"/>
              </w:rPr>
              <w:t>x</w:t>
            </w:r>
          </w:p>
        </w:tc>
      </w:tr>
    </w:tbl>
    <w:p w14:paraId="1F7EE71F" w14:textId="7F034CF8" w:rsidR="00915572" w:rsidRPr="00CF77C1" w:rsidRDefault="002D7D6C" w:rsidP="0039217F">
      <w:pPr>
        <w:ind w:firstLine="539"/>
        <w:rPr>
          <w:lang w:val="sr-Cyrl-RS"/>
        </w:rPr>
      </w:pPr>
      <w:r w:rsidRPr="00CF77C1">
        <w:rPr>
          <w:lang w:val="sr-Cyrl-RS"/>
        </w:rPr>
        <w:t xml:space="preserve">Ризици: Јавне набавке за извођење радова, </w:t>
      </w:r>
      <w:r w:rsidR="00D44DD7" w:rsidRPr="00CF77C1">
        <w:rPr>
          <w:lang w:val="sr-Cyrl-RS"/>
        </w:rPr>
        <w:t xml:space="preserve">санација </w:t>
      </w:r>
      <w:r w:rsidRPr="00CF77C1">
        <w:rPr>
          <w:lang w:val="sr-Cyrl-RS"/>
        </w:rPr>
        <w:t>унутрашњег одлагалишта као последица поплаве 2014. године</w:t>
      </w:r>
      <w:r w:rsidR="00D44DD7">
        <w:rPr>
          <w:lang w:val="sr-Cyrl-RS"/>
        </w:rPr>
        <w:t>.</w:t>
      </w:r>
    </w:p>
    <w:p w14:paraId="627544A3" w14:textId="77777777" w:rsidR="002D7D6C" w:rsidRPr="00CF77C1" w:rsidRDefault="002D7D6C" w:rsidP="0080044B">
      <w:pPr>
        <w:rPr>
          <w:lang w:val="sr-Cyrl-RS"/>
        </w:rPr>
      </w:pPr>
    </w:p>
    <w:p w14:paraId="47D6F9C8" w14:textId="77777777" w:rsidR="00915572" w:rsidRPr="00CF77C1" w:rsidRDefault="00915572" w:rsidP="0080044B">
      <w:pPr>
        <w:ind w:left="360"/>
        <w:rPr>
          <w:lang w:val="sr-Cyrl-RS"/>
        </w:rPr>
        <w:sectPr w:rsidR="00915572" w:rsidRPr="00CF77C1" w:rsidSect="00017454">
          <w:headerReference w:type="default" r:id="rId129"/>
          <w:footerReference w:type="even" r:id="rId130"/>
          <w:footerReference w:type="default" r:id="rId131"/>
          <w:pgSz w:w="16839" w:h="11907" w:orient="landscape" w:code="9"/>
          <w:pgMar w:top="1418" w:right="1134" w:bottom="1134" w:left="1134" w:header="1004" w:footer="720" w:gutter="0"/>
          <w:cols w:space="720"/>
          <w:docGrid w:linePitch="360"/>
        </w:sectPr>
      </w:pPr>
    </w:p>
    <w:p w14:paraId="1D393BF5" w14:textId="4B79977E" w:rsidR="000E6EE0" w:rsidRPr="00CF77C1" w:rsidRDefault="00086DE0" w:rsidP="00086DE0">
      <w:pPr>
        <w:pStyle w:val="ListParagraph"/>
        <w:keepNext/>
        <w:keepLines/>
        <w:pageBreakBefore/>
        <w:contextualSpacing w:val="0"/>
        <w:rPr>
          <w:lang w:val="sr-Cyrl-RS"/>
        </w:rPr>
      </w:pPr>
      <w:bookmarkStart w:id="182" w:name="_Ref476806095"/>
      <w:r w:rsidRPr="00CF77C1">
        <w:rPr>
          <w:lang w:val="sr-Cyrl-RS"/>
        </w:rPr>
        <w:t xml:space="preserve">П.28. </w:t>
      </w:r>
      <w:r w:rsidR="000E6EE0" w:rsidRPr="00CF77C1">
        <w:rPr>
          <w:lang w:val="sr-Cyrl-RS"/>
        </w:rPr>
        <w:t>Оптимизација и концентрација производње угља из подземне експлоатације</w:t>
      </w:r>
      <w:bookmarkEnd w:id="182"/>
    </w:p>
    <w:p w14:paraId="37BDF8BA" w14:textId="61B3F755" w:rsidR="00176354" w:rsidRPr="00CF77C1" w:rsidRDefault="002D7D6C" w:rsidP="005621E0">
      <w:pPr>
        <w:ind w:firstLine="720"/>
        <w:rPr>
          <w:lang w:val="sr-Cyrl-RS"/>
        </w:rPr>
      </w:pPr>
      <w:r w:rsidRPr="00CF77C1">
        <w:rPr>
          <w:lang w:val="sr-Cyrl-RS"/>
        </w:rPr>
        <w:t>ЈП ПЕУ „Ресавица</w:t>
      </w:r>
      <w:r w:rsidR="00AD5740" w:rsidRPr="00CF77C1">
        <w:rPr>
          <w:lang w:val="sr-Cyrl-RS"/>
        </w:rPr>
        <w:t>”</w:t>
      </w:r>
      <w:r w:rsidRPr="00CF77C1">
        <w:rPr>
          <w:lang w:val="sr-Cyrl-RS"/>
        </w:rPr>
        <w:t xml:space="preserve"> је јединствено предузеће, са статусом и правном формом јавног предузећа, у 100% власништву Републике Србије, чија је примарна делатност експлоатација у</w:t>
      </w:r>
      <w:r w:rsidR="00CD5727" w:rsidRPr="00CF77C1">
        <w:rPr>
          <w:lang w:val="sr-Cyrl-RS"/>
        </w:rPr>
        <w:t xml:space="preserve">гља. Делатности се обављају у </w:t>
      </w:r>
      <w:r w:rsidR="00E5469D">
        <w:rPr>
          <w:lang w:val="sr-Cyrl-RS"/>
        </w:rPr>
        <w:t>девет</w:t>
      </w:r>
      <w:r w:rsidRPr="00CF77C1">
        <w:rPr>
          <w:lang w:val="sr-Cyrl-RS"/>
        </w:rPr>
        <w:t xml:space="preserve"> делова Предузећа и то</w:t>
      </w:r>
      <w:r w:rsidR="00AF2314" w:rsidRPr="00CF77C1">
        <w:rPr>
          <w:lang w:val="sr-Cyrl-RS"/>
        </w:rPr>
        <w:t>:</w:t>
      </w:r>
    </w:p>
    <w:p w14:paraId="0DFBBF6E" w14:textId="5C89EC88"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антрацита „Вршка Чука</w:t>
      </w:r>
      <w:r w:rsidR="00AD5740" w:rsidRPr="004C5CE5">
        <w:rPr>
          <w:rFonts w:ascii="Times New Roman" w:hAnsi="Times New Roman"/>
          <w:sz w:val="24"/>
          <w:lang w:val="sr-Cyrl-RS"/>
        </w:rPr>
        <w:t>”</w:t>
      </w:r>
      <w:r w:rsidRPr="004C5CE5">
        <w:rPr>
          <w:rFonts w:ascii="Times New Roman" w:hAnsi="Times New Roman"/>
          <w:sz w:val="24"/>
          <w:lang w:val="sr-Cyrl-RS"/>
        </w:rPr>
        <w:t>, Аврамица</w:t>
      </w:r>
    </w:p>
    <w:p w14:paraId="0DEB99DC" w14:textId="77777777"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Ибарски рудници каменог угља, Баљевац</w:t>
      </w:r>
    </w:p>
    <w:p w14:paraId="227A378F" w14:textId="77ACD84F"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„Рембас</w:t>
      </w:r>
      <w:r w:rsidR="00AD5740" w:rsidRPr="004C5CE5">
        <w:rPr>
          <w:rFonts w:ascii="Times New Roman" w:hAnsi="Times New Roman"/>
          <w:sz w:val="24"/>
          <w:lang w:val="sr-Cyrl-RS"/>
        </w:rPr>
        <w:t>”</w:t>
      </w:r>
      <w:r w:rsidRPr="004C5CE5">
        <w:rPr>
          <w:rFonts w:ascii="Times New Roman" w:hAnsi="Times New Roman"/>
          <w:sz w:val="24"/>
          <w:lang w:val="sr-Cyrl-RS"/>
        </w:rPr>
        <w:t>, Ресавица</w:t>
      </w:r>
    </w:p>
    <w:p w14:paraId="45B229FD" w14:textId="5D71824D"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„Боговина</w:t>
      </w:r>
      <w:r w:rsidR="00AD5740" w:rsidRPr="004C5CE5">
        <w:rPr>
          <w:rFonts w:ascii="Times New Roman" w:hAnsi="Times New Roman"/>
          <w:sz w:val="24"/>
          <w:lang w:val="sr-Cyrl-RS"/>
        </w:rPr>
        <w:t>”</w:t>
      </w:r>
      <w:r w:rsidRPr="004C5CE5">
        <w:rPr>
          <w:rFonts w:ascii="Times New Roman" w:hAnsi="Times New Roman"/>
          <w:sz w:val="24"/>
          <w:lang w:val="sr-Cyrl-RS"/>
        </w:rPr>
        <w:t>, Боговина</w:t>
      </w:r>
    </w:p>
    <w:p w14:paraId="5F019BDC" w14:textId="3CFDCD46"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„Соко</w:t>
      </w:r>
      <w:r w:rsidR="00AD5740" w:rsidRPr="004C5CE5">
        <w:rPr>
          <w:rFonts w:ascii="Times New Roman" w:hAnsi="Times New Roman"/>
          <w:sz w:val="24"/>
          <w:lang w:val="sr-Cyrl-RS"/>
        </w:rPr>
        <w:t>”</w:t>
      </w:r>
      <w:r w:rsidRPr="004C5CE5">
        <w:rPr>
          <w:rFonts w:ascii="Times New Roman" w:hAnsi="Times New Roman"/>
          <w:sz w:val="24"/>
          <w:lang w:val="sr-Cyrl-RS"/>
        </w:rPr>
        <w:t>, Соко бања</w:t>
      </w:r>
    </w:p>
    <w:p w14:paraId="5BC535AA" w14:textId="219347CC"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„Јасеновац</w:t>
      </w:r>
      <w:r w:rsidR="00AD5740" w:rsidRPr="004C5CE5">
        <w:rPr>
          <w:rFonts w:ascii="Times New Roman" w:hAnsi="Times New Roman"/>
          <w:sz w:val="24"/>
          <w:lang w:val="sr-Cyrl-RS"/>
        </w:rPr>
        <w:t>”</w:t>
      </w:r>
      <w:r w:rsidRPr="004C5CE5">
        <w:rPr>
          <w:rFonts w:ascii="Times New Roman" w:hAnsi="Times New Roman"/>
          <w:sz w:val="24"/>
          <w:lang w:val="sr-Cyrl-RS"/>
        </w:rPr>
        <w:t>, Крепољин</w:t>
      </w:r>
    </w:p>
    <w:p w14:paraId="37A8A66E" w14:textId="7C6E1F61"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лигнита „Лубница</w:t>
      </w:r>
      <w:r w:rsidR="00AD5740" w:rsidRPr="004C5CE5">
        <w:rPr>
          <w:rFonts w:ascii="Times New Roman" w:hAnsi="Times New Roman"/>
          <w:sz w:val="24"/>
          <w:lang w:val="sr-Cyrl-RS"/>
        </w:rPr>
        <w:t>”</w:t>
      </w:r>
      <w:r w:rsidRPr="004C5CE5">
        <w:rPr>
          <w:rFonts w:ascii="Times New Roman" w:hAnsi="Times New Roman"/>
          <w:sz w:val="24"/>
          <w:lang w:val="sr-Cyrl-RS"/>
        </w:rPr>
        <w:t>, Лубница</w:t>
      </w:r>
    </w:p>
    <w:p w14:paraId="5C05A479" w14:textId="27EDFDE8"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лигнита „Штаваљ</w:t>
      </w:r>
      <w:r w:rsidR="00AD5740" w:rsidRPr="004C5CE5">
        <w:rPr>
          <w:rFonts w:ascii="Times New Roman" w:hAnsi="Times New Roman"/>
          <w:sz w:val="24"/>
          <w:lang w:val="sr-Cyrl-RS"/>
        </w:rPr>
        <w:t>”</w:t>
      </w:r>
      <w:r w:rsidRPr="004C5CE5">
        <w:rPr>
          <w:rFonts w:ascii="Times New Roman" w:hAnsi="Times New Roman"/>
          <w:sz w:val="24"/>
          <w:lang w:val="sr-Cyrl-RS"/>
        </w:rPr>
        <w:t>, Штаваљ и</w:t>
      </w:r>
    </w:p>
    <w:p w14:paraId="5F839FFB" w14:textId="77777777"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Алексиначки рудници, који изводе рударске инвестиционе радове у осталим рудницима.</w:t>
      </w:r>
    </w:p>
    <w:p w14:paraId="579D3AD9" w14:textId="40640729" w:rsidR="00E46C90" w:rsidRPr="004C5CE5" w:rsidRDefault="00AF2314" w:rsidP="005621E0">
      <w:pPr>
        <w:pStyle w:val="PlainText"/>
        <w:ind w:firstLine="720"/>
        <w:rPr>
          <w:rFonts w:ascii="Times New Roman" w:hAnsi="Times New Roman"/>
          <w:sz w:val="24"/>
          <w:lang w:val="sr-Cyrl-RS"/>
        </w:rPr>
      </w:pPr>
      <w:r w:rsidRPr="004C5CE5">
        <w:rPr>
          <w:rFonts w:ascii="Times New Roman" w:hAnsi="Times New Roman"/>
          <w:sz w:val="24"/>
          <w:lang w:val="sr-Cyrl-RS"/>
        </w:rPr>
        <w:t>Поред експлоатације угља као примарне делатности, подземним путем, одвија се и површинска експлоатација угља на ПК Прогорелица и експло</w:t>
      </w:r>
      <w:r w:rsidR="00F57BE1">
        <w:rPr>
          <w:rFonts w:ascii="Times New Roman" w:hAnsi="Times New Roman"/>
          <w:sz w:val="24"/>
          <w:lang w:val="sr-Cyrl-RS"/>
        </w:rPr>
        <w:t>а</w:t>
      </w:r>
      <w:r w:rsidRPr="004C5CE5">
        <w:rPr>
          <w:rFonts w:ascii="Times New Roman" w:hAnsi="Times New Roman"/>
          <w:sz w:val="24"/>
          <w:lang w:val="sr-Cyrl-RS"/>
        </w:rPr>
        <w:t>тација борних минерала у јами Побрђски поток.</w:t>
      </w:r>
    </w:p>
    <w:p w14:paraId="45E7686E" w14:textId="77777777" w:rsidR="00AF2314" w:rsidRPr="004C5CE5" w:rsidRDefault="00A84557" w:rsidP="005621E0">
      <w:pPr>
        <w:pStyle w:val="PlainText"/>
        <w:ind w:firstLine="360"/>
        <w:rPr>
          <w:rFonts w:ascii="Times New Roman" w:hAnsi="Times New Roman"/>
          <w:sz w:val="24"/>
          <w:lang w:val="sr-Cyrl-RS"/>
        </w:rPr>
      </w:pPr>
      <w:r w:rsidRPr="004C5CE5">
        <w:rPr>
          <w:rFonts w:ascii="Times New Roman" w:hAnsi="Times New Roman"/>
          <w:sz w:val="24"/>
          <w:lang w:val="sr-Cyrl-RS"/>
        </w:rPr>
        <w:t>Тренутна производња се кре</w:t>
      </w:r>
      <w:r w:rsidR="00AF2314" w:rsidRPr="004C5CE5">
        <w:rPr>
          <w:rFonts w:ascii="Times New Roman" w:hAnsi="Times New Roman"/>
          <w:sz w:val="24"/>
          <w:lang w:val="sr-Cyrl-RS"/>
        </w:rPr>
        <w:t xml:space="preserve">ће око 550.000 </w:t>
      </w:r>
      <w:r w:rsidR="00537E82" w:rsidRPr="004C5CE5">
        <w:rPr>
          <w:rFonts w:ascii="Times New Roman" w:hAnsi="Times New Roman"/>
          <w:sz w:val="24"/>
          <w:lang w:val="sr-Cyrl-RS"/>
        </w:rPr>
        <w:t>t</w:t>
      </w:r>
      <w:r w:rsidR="00AF2314" w:rsidRPr="004C5CE5">
        <w:rPr>
          <w:rFonts w:ascii="Times New Roman" w:hAnsi="Times New Roman"/>
          <w:sz w:val="24"/>
          <w:lang w:val="sr-Cyrl-RS"/>
        </w:rPr>
        <w:t>, а планирана производња за 2017</w:t>
      </w:r>
      <w:r w:rsidR="00537E82" w:rsidRPr="004C5CE5">
        <w:rPr>
          <w:rFonts w:ascii="Times New Roman" w:hAnsi="Times New Roman"/>
          <w:sz w:val="24"/>
          <w:lang w:val="sr-Cyrl-RS"/>
        </w:rPr>
        <w:t>. годину</w:t>
      </w:r>
      <w:r w:rsidR="00AF2314" w:rsidRPr="004C5CE5">
        <w:rPr>
          <w:rFonts w:ascii="Times New Roman" w:hAnsi="Times New Roman"/>
          <w:sz w:val="24"/>
          <w:lang w:val="sr-Cyrl-RS"/>
        </w:rPr>
        <w:t xml:space="preserve"> износи 580.000 </w:t>
      </w:r>
      <w:r w:rsidR="00537E82" w:rsidRPr="004C5CE5">
        <w:rPr>
          <w:rFonts w:ascii="Times New Roman" w:hAnsi="Times New Roman"/>
          <w:sz w:val="24"/>
          <w:lang w:val="sr-Cyrl-RS"/>
        </w:rPr>
        <w:t>t</w:t>
      </w:r>
      <w:r w:rsidR="00AF2314" w:rsidRPr="004C5CE5">
        <w:rPr>
          <w:rFonts w:ascii="Times New Roman" w:hAnsi="Times New Roman"/>
          <w:sz w:val="24"/>
          <w:lang w:val="sr-Cyrl-RS"/>
        </w:rPr>
        <w:t>.</w:t>
      </w:r>
    </w:p>
    <w:p w14:paraId="599E1661" w14:textId="5B90B7CA"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антрацита „Вршка Чука</w:t>
      </w:r>
      <w:r w:rsidR="00AD5740" w:rsidRPr="004C5CE5">
        <w:rPr>
          <w:rFonts w:ascii="Times New Roman" w:hAnsi="Times New Roman"/>
          <w:sz w:val="24"/>
          <w:lang w:val="sr-Cyrl-RS"/>
        </w:rPr>
        <w:t>”</w:t>
      </w:r>
      <w:r w:rsidRPr="004C5CE5">
        <w:rPr>
          <w:rFonts w:ascii="Times New Roman" w:hAnsi="Times New Roman"/>
          <w:sz w:val="24"/>
          <w:lang w:val="sr-Cyrl-RS"/>
        </w:rPr>
        <w:t>,</w:t>
      </w:r>
      <w:r w:rsidRPr="004C5CE5">
        <w:rPr>
          <w:rFonts w:ascii="Times New Roman" w:hAnsi="Times New Roman"/>
          <w:sz w:val="24"/>
          <w:lang w:val="sr-Cyrl-RS"/>
        </w:rPr>
        <w:tab/>
        <w:t xml:space="preserve">- 5.000 </w:t>
      </w:r>
      <w:r w:rsidR="00537E82" w:rsidRPr="004C5CE5">
        <w:rPr>
          <w:rFonts w:ascii="Times New Roman" w:hAnsi="Times New Roman"/>
          <w:sz w:val="24"/>
          <w:lang w:val="sr-Cyrl-RS"/>
        </w:rPr>
        <w:t>t</w:t>
      </w:r>
    </w:p>
    <w:p w14:paraId="20CD7FF3" w14:textId="77777777"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Ибарски рудници каменог угља, Баљевац</w:t>
      </w:r>
      <w:r w:rsidRPr="004C5CE5">
        <w:rPr>
          <w:rFonts w:ascii="Times New Roman" w:hAnsi="Times New Roman"/>
          <w:sz w:val="24"/>
          <w:lang w:val="sr-Cyrl-RS"/>
        </w:rPr>
        <w:tab/>
        <w:t xml:space="preserve">- 125.000 </w:t>
      </w:r>
      <w:r w:rsidR="00537E82" w:rsidRPr="004C5CE5">
        <w:rPr>
          <w:rFonts w:ascii="Times New Roman" w:hAnsi="Times New Roman"/>
          <w:sz w:val="24"/>
          <w:lang w:val="sr-Cyrl-RS"/>
        </w:rPr>
        <w:t>t</w:t>
      </w:r>
    </w:p>
    <w:p w14:paraId="06B258A9" w14:textId="25E904D0"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„Рембас</w:t>
      </w:r>
      <w:r w:rsidR="00AD5740" w:rsidRPr="004C5CE5">
        <w:rPr>
          <w:rFonts w:ascii="Times New Roman" w:hAnsi="Times New Roman"/>
          <w:sz w:val="24"/>
          <w:lang w:val="sr-Cyrl-RS"/>
        </w:rPr>
        <w:t>”</w:t>
      </w:r>
      <w:r w:rsidRPr="004C5CE5">
        <w:rPr>
          <w:rFonts w:ascii="Times New Roman" w:hAnsi="Times New Roman"/>
          <w:sz w:val="24"/>
          <w:lang w:val="sr-Cyrl-RS"/>
        </w:rPr>
        <w:t>, Ресавица</w:t>
      </w:r>
      <w:r w:rsidRPr="004C5CE5">
        <w:rPr>
          <w:rFonts w:ascii="Times New Roman" w:hAnsi="Times New Roman"/>
          <w:sz w:val="24"/>
          <w:lang w:val="sr-Cyrl-RS"/>
        </w:rPr>
        <w:tab/>
        <w:t xml:space="preserve">- 175.000 </w:t>
      </w:r>
      <w:r w:rsidR="00537E82" w:rsidRPr="004C5CE5">
        <w:rPr>
          <w:rFonts w:ascii="Times New Roman" w:hAnsi="Times New Roman"/>
          <w:sz w:val="24"/>
          <w:lang w:val="sr-Cyrl-RS"/>
        </w:rPr>
        <w:t>t</w:t>
      </w:r>
    </w:p>
    <w:p w14:paraId="02FFF489" w14:textId="4539F5B8"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„Боговина</w:t>
      </w:r>
      <w:r w:rsidR="00AD5740" w:rsidRPr="004C5CE5">
        <w:rPr>
          <w:rFonts w:ascii="Times New Roman" w:hAnsi="Times New Roman"/>
          <w:sz w:val="24"/>
          <w:lang w:val="sr-Cyrl-RS"/>
        </w:rPr>
        <w:t>”</w:t>
      </w:r>
      <w:r w:rsidRPr="004C5CE5">
        <w:rPr>
          <w:rFonts w:ascii="Times New Roman" w:hAnsi="Times New Roman"/>
          <w:sz w:val="24"/>
          <w:lang w:val="sr-Cyrl-RS"/>
        </w:rPr>
        <w:t>, Боговина</w:t>
      </w:r>
      <w:r w:rsidRPr="004C5CE5">
        <w:rPr>
          <w:rFonts w:ascii="Times New Roman" w:hAnsi="Times New Roman"/>
          <w:sz w:val="24"/>
          <w:lang w:val="sr-Cyrl-RS"/>
        </w:rPr>
        <w:tab/>
        <w:t xml:space="preserve">- 15.000 </w:t>
      </w:r>
      <w:r w:rsidR="00537E82" w:rsidRPr="004C5CE5">
        <w:rPr>
          <w:rFonts w:ascii="Times New Roman" w:hAnsi="Times New Roman"/>
          <w:sz w:val="24"/>
          <w:lang w:val="sr-Cyrl-RS"/>
        </w:rPr>
        <w:t>t</w:t>
      </w:r>
    </w:p>
    <w:p w14:paraId="3054D488" w14:textId="675AAE97"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„Соко</w:t>
      </w:r>
      <w:r w:rsidR="00AD5740" w:rsidRPr="004C5CE5">
        <w:rPr>
          <w:rFonts w:ascii="Times New Roman" w:hAnsi="Times New Roman"/>
          <w:sz w:val="24"/>
          <w:lang w:val="sr-Cyrl-RS"/>
        </w:rPr>
        <w:t>”</w:t>
      </w:r>
      <w:r w:rsidRPr="004C5CE5">
        <w:rPr>
          <w:rFonts w:ascii="Times New Roman" w:hAnsi="Times New Roman"/>
          <w:sz w:val="24"/>
          <w:lang w:val="sr-Cyrl-RS"/>
        </w:rPr>
        <w:t>, Соко бања</w:t>
      </w:r>
      <w:r w:rsidRPr="004C5CE5">
        <w:rPr>
          <w:rFonts w:ascii="Times New Roman" w:hAnsi="Times New Roman"/>
          <w:sz w:val="24"/>
          <w:lang w:val="sr-Cyrl-RS"/>
        </w:rPr>
        <w:tab/>
        <w:t xml:space="preserve">- 90.000 </w:t>
      </w:r>
      <w:r w:rsidR="00537E82" w:rsidRPr="004C5CE5">
        <w:rPr>
          <w:rFonts w:ascii="Times New Roman" w:hAnsi="Times New Roman"/>
          <w:sz w:val="24"/>
          <w:lang w:val="sr-Cyrl-RS"/>
        </w:rPr>
        <w:t>t</w:t>
      </w:r>
    </w:p>
    <w:p w14:paraId="416A380E" w14:textId="292807CC"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мрког угља „Јасеновац</w:t>
      </w:r>
      <w:r w:rsidR="00AD5740" w:rsidRPr="004C5CE5">
        <w:rPr>
          <w:rFonts w:ascii="Times New Roman" w:hAnsi="Times New Roman"/>
          <w:sz w:val="24"/>
          <w:lang w:val="sr-Cyrl-RS"/>
        </w:rPr>
        <w:t>”</w:t>
      </w:r>
      <w:r w:rsidRPr="004C5CE5">
        <w:rPr>
          <w:rFonts w:ascii="Times New Roman" w:hAnsi="Times New Roman"/>
          <w:sz w:val="24"/>
          <w:lang w:val="sr-Cyrl-RS"/>
        </w:rPr>
        <w:t>, Крепољин</w:t>
      </w:r>
      <w:r w:rsidRPr="004C5CE5">
        <w:rPr>
          <w:rFonts w:ascii="Times New Roman" w:hAnsi="Times New Roman"/>
          <w:sz w:val="24"/>
          <w:lang w:val="sr-Cyrl-RS"/>
        </w:rPr>
        <w:tab/>
        <w:t xml:space="preserve">- 42.000 </w:t>
      </w:r>
      <w:r w:rsidR="00537E82" w:rsidRPr="004C5CE5">
        <w:rPr>
          <w:rFonts w:ascii="Times New Roman" w:hAnsi="Times New Roman"/>
          <w:sz w:val="24"/>
          <w:lang w:val="sr-Cyrl-RS"/>
        </w:rPr>
        <w:t>t</w:t>
      </w:r>
    </w:p>
    <w:p w14:paraId="22F548FB" w14:textId="024F1B81"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лигнита „Лубница</w:t>
      </w:r>
      <w:r w:rsidR="00AD5740" w:rsidRPr="004C5CE5">
        <w:rPr>
          <w:rFonts w:ascii="Times New Roman" w:hAnsi="Times New Roman"/>
          <w:sz w:val="24"/>
          <w:lang w:val="sr-Cyrl-RS"/>
        </w:rPr>
        <w:t>”</w:t>
      </w:r>
      <w:r w:rsidRPr="004C5CE5">
        <w:rPr>
          <w:rFonts w:ascii="Times New Roman" w:hAnsi="Times New Roman"/>
          <w:sz w:val="24"/>
          <w:lang w:val="sr-Cyrl-RS"/>
        </w:rPr>
        <w:t>, Лубница</w:t>
      </w:r>
      <w:r w:rsidRPr="004C5CE5">
        <w:rPr>
          <w:rFonts w:ascii="Times New Roman" w:hAnsi="Times New Roman"/>
          <w:sz w:val="24"/>
          <w:lang w:val="sr-Cyrl-RS"/>
        </w:rPr>
        <w:tab/>
        <w:t xml:space="preserve">- 45.000 </w:t>
      </w:r>
      <w:r w:rsidR="00537E82" w:rsidRPr="004C5CE5">
        <w:rPr>
          <w:rFonts w:ascii="Times New Roman" w:hAnsi="Times New Roman"/>
          <w:sz w:val="24"/>
          <w:lang w:val="sr-Cyrl-RS"/>
        </w:rPr>
        <w:t>t</w:t>
      </w:r>
    </w:p>
    <w:p w14:paraId="36FD7B22" w14:textId="1495E3A9" w:rsidR="00AF2314" w:rsidRPr="004C5CE5" w:rsidRDefault="00AF2314" w:rsidP="004C456A">
      <w:pPr>
        <w:pStyle w:val="PlainText"/>
        <w:ind w:left="720"/>
        <w:rPr>
          <w:rFonts w:ascii="Times New Roman" w:hAnsi="Times New Roman"/>
          <w:sz w:val="24"/>
          <w:lang w:val="sr-Cyrl-RS"/>
        </w:rPr>
      </w:pPr>
      <w:r w:rsidRPr="004C5CE5">
        <w:rPr>
          <w:rFonts w:ascii="Times New Roman" w:hAnsi="Times New Roman"/>
          <w:sz w:val="24"/>
          <w:lang w:val="sr-Cyrl-RS"/>
        </w:rPr>
        <w:t>Рудник лигнита „Штаваљ</w:t>
      </w:r>
      <w:r w:rsidR="00AD5740" w:rsidRPr="004C5CE5">
        <w:rPr>
          <w:rFonts w:ascii="Times New Roman" w:hAnsi="Times New Roman"/>
          <w:sz w:val="24"/>
          <w:lang w:val="sr-Cyrl-RS"/>
        </w:rPr>
        <w:t>”</w:t>
      </w:r>
      <w:r w:rsidRPr="004C5CE5">
        <w:rPr>
          <w:rFonts w:ascii="Times New Roman" w:hAnsi="Times New Roman"/>
          <w:sz w:val="24"/>
          <w:lang w:val="sr-Cyrl-RS"/>
        </w:rPr>
        <w:t>, Штаваљ</w:t>
      </w:r>
      <w:r w:rsidRPr="004C5CE5">
        <w:rPr>
          <w:rFonts w:ascii="Times New Roman" w:hAnsi="Times New Roman"/>
          <w:sz w:val="24"/>
          <w:lang w:val="sr-Cyrl-RS"/>
        </w:rPr>
        <w:tab/>
        <w:t xml:space="preserve">- 85.000 </w:t>
      </w:r>
      <w:r w:rsidR="00537E82" w:rsidRPr="004C5CE5">
        <w:rPr>
          <w:rFonts w:ascii="Times New Roman" w:hAnsi="Times New Roman"/>
          <w:sz w:val="24"/>
          <w:lang w:val="sr-Cyrl-RS"/>
        </w:rPr>
        <w:t>t</w:t>
      </w:r>
    </w:p>
    <w:p w14:paraId="356998CD" w14:textId="23848918" w:rsidR="00AF2314" w:rsidRPr="00CF77C1" w:rsidRDefault="00AF2314" w:rsidP="005621E0">
      <w:pPr>
        <w:ind w:firstLine="720"/>
        <w:rPr>
          <w:lang w:val="sr-Cyrl-RS"/>
        </w:rPr>
      </w:pPr>
      <w:r w:rsidRPr="004C5CE5">
        <w:rPr>
          <w:lang w:val="sr-Cyrl-RS"/>
        </w:rPr>
        <w:t xml:space="preserve">За Јавно предузеће за подземну експлоатацију угља Ресавица тренутно </w:t>
      </w:r>
      <w:r w:rsidRPr="00CF77C1">
        <w:rPr>
          <w:lang w:val="sr-Cyrl-RS"/>
        </w:rPr>
        <w:t xml:space="preserve">је у изради Програм реорганизације чија ће реализација започети одмах након усаглашавања и усвајања </w:t>
      </w:r>
      <w:r w:rsidR="00185B50" w:rsidRPr="00CF77C1">
        <w:rPr>
          <w:lang w:val="sr-Cyrl-RS"/>
        </w:rPr>
        <w:t>од стране Владе</w:t>
      </w:r>
      <w:r w:rsidR="00881D83" w:rsidRPr="00CF77C1">
        <w:rPr>
          <w:lang w:val="sr-Cyrl-RS"/>
        </w:rPr>
        <w:t>. Овим п</w:t>
      </w:r>
      <w:r w:rsidRPr="00CF77C1">
        <w:rPr>
          <w:lang w:val="sr-Cyrl-RS"/>
        </w:rPr>
        <w:t xml:space="preserve">рограмом ће се ближе дефинисати који ће рудници ићи у затварање због резерви које су највећим делом на крају експлоатације и због економских показатеља који не показују тенда раста прихода. Такође </w:t>
      </w:r>
      <w:r w:rsidR="00A84557" w:rsidRPr="00CF77C1">
        <w:rPr>
          <w:lang w:val="sr-Cyrl-RS"/>
        </w:rPr>
        <w:t xml:space="preserve">ће </w:t>
      </w:r>
      <w:r w:rsidRPr="00CF77C1">
        <w:rPr>
          <w:lang w:val="sr-Cyrl-RS"/>
        </w:rPr>
        <w:t xml:space="preserve">се дефинисати </w:t>
      </w:r>
      <w:r w:rsidR="00A84557" w:rsidRPr="00CF77C1">
        <w:rPr>
          <w:lang w:val="sr-Cyrl-RS"/>
        </w:rPr>
        <w:t xml:space="preserve">и </w:t>
      </w:r>
      <w:r w:rsidRPr="00CF77C1">
        <w:rPr>
          <w:lang w:val="sr-Cyrl-RS"/>
        </w:rPr>
        <w:t>рудници који имају сировински потенцијал као и могућност да уз инвестиције остваре тренд раста прихода.</w:t>
      </w:r>
    </w:p>
    <w:p w14:paraId="2F17B4F5" w14:textId="77777777" w:rsidR="00AF2314" w:rsidRPr="00CF77C1" w:rsidRDefault="00AF2314" w:rsidP="005621E0">
      <w:pPr>
        <w:ind w:firstLine="720"/>
        <w:rPr>
          <w:lang w:val="sr-Cyrl-RS"/>
        </w:rPr>
      </w:pPr>
      <w:r w:rsidRPr="00CF77C1">
        <w:rPr>
          <w:lang w:val="sr-Cyrl-RS"/>
        </w:rPr>
        <w:t xml:space="preserve">Планирано је да се након оптимизације и концентрације производње укупна производња повећа на 600.000 - 700.000 </w:t>
      </w:r>
      <w:r w:rsidR="00537E82" w:rsidRPr="00CF77C1">
        <w:rPr>
          <w:lang w:val="sr-Cyrl-RS"/>
        </w:rPr>
        <w:t>t</w:t>
      </w:r>
      <w:r w:rsidRPr="00CF77C1">
        <w:rPr>
          <w:lang w:val="sr-Cyrl-RS"/>
        </w:rPr>
        <w:t>. Предуслов су реализација инвестиција у рудник Соко (улагања у опрему и нову технологију) чиме ће се створити предуслови за повећање капацитета у овом руднику.</w:t>
      </w:r>
    </w:p>
    <w:p w14:paraId="3B85F598" w14:textId="77777777" w:rsidR="00AF2314" w:rsidRPr="00CF77C1" w:rsidRDefault="00AF2314" w:rsidP="005621E0">
      <w:pPr>
        <w:ind w:firstLine="720"/>
        <w:rPr>
          <w:lang w:val="sr-Cyrl-RS"/>
        </w:rPr>
      </w:pPr>
      <w:r w:rsidRPr="00CF77C1">
        <w:rPr>
          <w:lang w:val="sr-Cyrl-RS"/>
        </w:rPr>
        <w:t>Повећање капацитета у руднику Штаваљ условљено је изградњом термоенергетског капацитета због немогућности пласмана угља.</w:t>
      </w:r>
    </w:p>
    <w:p w14:paraId="1D2B92DA" w14:textId="77777777" w:rsidR="00AF2314" w:rsidRPr="00CF77C1" w:rsidRDefault="00AF2314" w:rsidP="005621E0">
      <w:pPr>
        <w:ind w:firstLine="720"/>
        <w:rPr>
          <w:lang w:val="sr-Cyrl-RS"/>
        </w:rPr>
      </w:pPr>
      <w:r w:rsidRPr="00CF77C1">
        <w:rPr>
          <w:lang w:val="sr-Cyrl-RS"/>
        </w:rPr>
        <w:t>Веће повећање капацитета оствариво је тек са активирањем рудника Ћириковац и Пољана.</w:t>
      </w:r>
    </w:p>
    <w:p w14:paraId="5BC17B99" w14:textId="628C0D92" w:rsidR="009A3761" w:rsidRPr="00CF77C1" w:rsidRDefault="009A3761" w:rsidP="005621E0">
      <w:pPr>
        <w:ind w:firstLine="720"/>
        <w:rPr>
          <w:lang w:val="sr-Cyrl-RS"/>
        </w:rPr>
      </w:pPr>
      <w:r w:rsidRPr="00CF77C1">
        <w:rPr>
          <w:lang w:val="sr-Cyrl-RS"/>
        </w:rPr>
        <w:t>Постоји могућност отварања</w:t>
      </w:r>
      <w:r w:rsidR="001877CE" w:rsidRPr="00CF77C1">
        <w:rPr>
          <w:lang w:val="sr-Cyrl-RS"/>
        </w:rPr>
        <w:t xml:space="preserve"> </w:t>
      </w:r>
      <w:r w:rsidRPr="00CF77C1">
        <w:rPr>
          <w:lang w:val="sr-Cyrl-RS"/>
        </w:rPr>
        <w:t>нових лежишта угља, уз пре</w:t>
      </w:r>
      <w:r w:rsidR="00F57BE1">
        <w:rPr>
          <w:lang w:val="sr-Cyrl-RS"/>
        </w:rPr>
        <w:t>т</w:t>
      </w:r>
      <w:r w:rsidRPr="00CF77C1">
        <w:rPr>
          <w:lang w:val="sr-Cyrl-RS"/>
        </w:rPr>
        <w:t xml:space="preserve">ходно урађену </w:t>
      </w:r>
      <w:r w:rsidR="002C3DA9" w:rsidRPr="00CF77C1">
        <w:rPr>
          <w:lang w:val="sr-Cyrl-RS"/>
        </w:rPr>
        <w:t xml:space="preserve">инвестициону </w:t>
      </w:r>
      <w:r w:rsidRPr="00CF77C1">
        <w:rPr>
          <w:lang w:val="sr-Cyrl-RS"/>
        </w:rPr>
        <w:t>документацију која ће узети у обзир све неопходне параметре на бази којих се може закључити да ли постоји економска оправданост отварања истих.</w:t>
      </w:r>
    </w:p>
    <w:p w14:paraId="2BAD6560" w14:textId="3E24EE63" w:rsidR="000E6EE0" w:rsidRPr="00CF77C1" w:rsidRDefault="00086DE0" w:rsidP="00086DE0">
      <w:pPr>
        <w:pStyle w:val="ListParagraph"/>
        <w:keepNext/>
        <w:keepLines/>
        <w:pageBreakBefore/>
        <w:contextualSpacing w:val="0"/>
        <w:rPr>
          <w:lang w:val="sr-Cyrl-RS"/>
        </w:rPr>
      </w:pPr>
      <w:bookmarkStart w:id="183" w:name="_Ref476806096"/>
      <w:r w:rsidRPr="00CF77C1">
        <w:rPr>
          <w:lang w:val="sr-Cyrl-RS"/>
        </w:rPr>
        <w:t xml:space="preserve">П.29. </w:t>
      </w:r>
      <w:r w:rsidR="000E6EE0" w:rsidRPr="00CF77C1">
        <w:rPr>
          <w:lang w:val="sr-Cyrl-RS"/>
        </w:rPr>
        <w:t>Увођење система за управљање квалитетом угља</w:t>
      </w:r>
      <w:bookmarkEnd w:id="183"/>
    </w:p>
    <w:p w14:paraId="3616E5D9" w14:textId="77777777" w:rsidR="00AF2314" w:rsidRPr="00CF77C1" w:rsidRDefault="00AF2314" w:rsidP="005621E0">
      <w:pPr>
        <w:ind w:firstLine="720"/>
        <w:rPr>
          <w:lang w:val="sr-Cyrl-RS"/>
        </w:rPr>
      </w:pPr>
      <w:r w:rsidRPr="00CF77C1">
        <w:rPr>
          <w:lang w:val="sr-Cyrl-RS"/>
        </w:rPr>
        <w:t>Због велике варијације у квалитету испорученог угља веома често долази до озбиљних проблема у термоелектранама. Проблеми се пре свега огледају у следећем:</w:t>
      </w:r>
    </w:p>
    <w:p w14:paraId="277C84BC" w14:textId="2023556B" w:rsidR="00AF2314" w:rsidRPr="00CF77C1" w:rsidRDefault="00DE3AA7" w:rsidP="005621E0">
      <w:pPr>
        <w:pStyle w:val="ListParagraph"/>
        <w:numPr>
          <w:ilvl w:val="0"/>
          <w:numId w:val="43"/>
        </w:numPr>
        <w:spacing w:before="60" w:after="60"/>
        <w:ind w:left="0" w:firstLine="720"/>
        <w:contextualSpacing w:val="0"/>
        <w:rPr>
          <w:rFonts w:eastAsia="Times New Roman"/>
          <w:szCs w:val="20"/>
          <w:lang w:val="sr-Cyrl-RS"/>
        </w:rPr>
      </w:pPr>
      <w:r w:rsidRPr="00CF77C1">
        <w:rPr>
          <w:rFonts w:eastAsia="Times New Roman"/>
          <w:szCs w:val="20"/>
          <w:lang w:val="sr-Cyrl-RS"/>
        </w:rPr>
        <w:t>и</w:t>
      </w:r>
      <w:r w:rsidR="00AF2314" w:rsidRPr="00CF77C1">
        <w:rPr>
          <w:rFonts w:eastAsia="Times New Roman"/>
          <w:szCs w:val="20"/>
          <w:lang w:val="sr-Cyrl-RS"/>
        </w:rPr>
        <w:t>злазна снага у термоелектранама пада испод номиналног нивоа због лошег квалитета угља;</w:t>
      </w:r>
    </w:p>
    <w:p w14:paraId="6EFCDE09" w14:textId="7D962157" w:rsidR="00AF2314" w:rsidRPr="00CF77C1" w:rsidRDefault="00DE3AA7" w:rsidP="005621E0">
      <w:pPr>
        <w:pStyle w:val="ListParagraph"/>
        <w:numPr>
          <w:ilvl w:val="0"/>
          <w:numId w:val="43"/>
        </w:numPr>
        <w:spacing w:before="60" w:after="60"/>
        <w:ind w:left="0" w:firstLine="720"/>
        <w:contextualSpacing w:val="0"/>
        <w:rPr>
          <w:rFonts w:eastAsia="Times New Roman"/>
          <w:szCs w:val="20"/>
          <w:lang w:val="sr-Cyrl-RS"/>
        </w:rPr>
      </w:pPr>
      <w:r w:rsidRPr="00CF77C1">
        <w:rPr>
          <w:rFonts w:eastAsia="Times New Roman"/>
          <w:szCs w:val="20"/>
          <w:lang w:val="sr-Cyrl-RS"/>
        </w:rPr>
        <w:t>у</w:t>
      </w:r>
      <w:r w:rsidR="00AF2314" w:rsidRPr="00CF77C1">
        <w:rPr>
          <w:rFonts w:eastAsia="Times New Roman"/>
          <w:szCs w:val="20"/>
          <w:lang w:val="sr-Cyrl-RS"/>
        </w:rPr>
        <w:t>гаљ ниске топлотне вредности доводи до ниске ефикасности котлова и коришћења веће количине угља по произведеном МWh;</w:t>
      </w:r>
    </w:p>
    <w:p w14:paraId="75DEF2E2" w14:textId="0CAE4110" w:rsidR="00AF2314" w:rsidRPr="00CF77C1" w:rsidRDefault="00DE3AA7" w:rsidP="005621E0">
      <w:pPr>
        <w:pStyle w:val="ListParagraph"/>
        <w:numPr>
          <w:ilvl w:val="0"/>
          <w:numId w:val="43"/>
        </w:numPr>
        <w:spacing w:before="60" w:after="60"/>
        <w:ind w:left="0" w:firstLine="720"/>
        <w:contextualSpacing w:val="0"/>
        <w:rPr>
          <w:rFonts w:eastAsia="Times New Roman"/>
          <w:szCs w:val="20"/>
          <w:lang w:val="sr-Cyrl-RS"/>
        </w:rPr>
      </w:pPr>
      <w:r w:rsidRPr="00CF77C1">
        <w:rPr>
          <w:rFonts w:eastAsia="Times New Roman"/>
          <w:szCs w:val="20"/>
          <w:lang w:val="sr-Cyrl-RS"/>
        </w:rPr>
        <w:t>н</w:t>
      </w:r>
      <w:r w:rsidR="00AF2314" w:rsidRPr="00CF77C1">
        <w:rPr>
          <w:rFonts w:eastAsia="Times New Roman"/>
          <w:szCs w:val="20"/>
          <w:lang w:val="sr-Cyrl-RS"/>
        </w:rPr>
        <w:t>иска топлотна вредност угља може изазвати проблеме са одржавањем притиска топлотне енергије и паре котлова што захтева коришћење (скупог) мазута;</w:t>
      </w:r>
    </w:p>
    <w:p w14:paraId="0518AC6F" w14:textId="2A91A34B" w:rsidR="00AF2314" w:rsidRPr="00CF77C1" w:rsidRDefault="00DE3AA7" w:rsidP="005621E0">
      <w:pPr>
        <w:pStyle w:val="ListParagraph"/>
        <w:numPr>
          <w:ilvl w:val="0"/>
          <w:numId w:val="43"/>
        </w:numPr>
        <w:spacing w:before="60" w:after="60"/>
        <w:ind w:left="0" w:firstLine="720"/>
        <w:contextualSpacing w:val="0"/>
        <w:rPr>
          <w:rFonts w:eastAsia="Times New Roman"/>
          <w:szCs w:val="20"/>
          <w:lang w:val="sr-Cyrl-RS"/>
        </w:rPr>
      </w:pPr>
      <w:r w:rsidRPr="00CF77C1">
        <w:rPr>
          <w:rFonts w:eastAsia="Times New Roman"/>
          <w:szCs w:val="20"/>
          <w:lang w:val="sr-Cyrl-RS"/>
        </w:rPr>
        <w:t>н</w:t>
      </w:r>
      <w:r w:rsidR="00AF2314" w:rsidRPr="00CF77C1">
        <w:rPr>
          <w:rFonts w:eastAsia="Times New Roman"/>
          <w:szCs w:val="20"/>
          <w:lang w:val="sr-Cyrl-RS"/>
        </w:rPr>
        <w:t>иска топлотна вредност угља захтева веће коришћење млинова да би се обезбедио повећани унос угља у котао што доводи до повећано</w:t>
      </w:r>
      <w:r w:rsidR="00A84557" w:rsidRPr="00CF77C1">
        <w:rPr>
          <w:rFonts w:eastAsia="Times New Roman"/>
          <w:szCs w:val="20"/>
          <w:lang w:val="sr-Cyrl-RS"/>
        </w:rPr>
        <w:t>г коришћења електричне енергије.</w:t>
      </w:r>
    </w:p>
    <w:p w14:paraId="1E9BDA32" w14:textId="77777777" w:rsidR="00AF2314" w:rsidRPr="00CF77C1" w:rsidRDefault="00AF2314" w:rsidP="005621E0">
      <w:pPr>
        <w:ind w:firstLine="720"/>
        <w:rPr>
          <w:lang w:val="sr-Cyrl-RS"/>
        </w:rPr>
      </w:pPr>
      <w:r w:rsidRPr="00CF77C1">
        <w:rPr>
          <w:lang w:val="sr-Cyrl-RS"/>
        </w:rPr>
        <w:t>Поред предности на страни сагоревања у термоелектранама</w:t>
      </w:r>
      <w:r w:rsidR="00A84557" w:rsidRPr="00CF77C1">
        <w:rPr>
          <w:lang w:val="sr-Cyrl-RS"/>
        </w:rPr>
        <w:t>,</w:t>
      </w:r>
      <w:r w:rsidRPr="00CF77C1">
        <w:rPr>
          <w:lang w:val="sr-Cyrl-RS"/>
        </w:rPr>
        <w:t xml:space="preserve"> хомогенизација угља омогућава и експлоатацију нискоквалитетних </w:t>
      </w:r>
      <w:r w:rsidRPr="00315749">
        <w:rPr>
          <w:lang w:val="sr-Cyrl-RS"/>
        </w:rPr>
        <w:t>угљева</w:t>
      </w:r>
      <w:r w:rsidRPr="00CF77C1">
        <w:rPr>
          <w:lang w:val="sr-Cyrl-RS"/>
        </w:rPr>
        <w:t xml:space="preserve"> (који се мешају на копу или депонији са угљем бољег квалитета) чиме се повећава искоришћење лежишта. Поред тога хомогенизација угља има и знатних предности у сфери заштите животне средине (пре свега елиминише се </w:t>
      </w:r>
      <w:r w:rsidRPr="007657CC">
        <w:rPr>
          <w:lang w:val="sr-Cyrl-RS"/>
        </w:rPr>
        <w:t>самоупала</w:t>
      </w:r>
      <w:r w:rsidRPr="00CF77C1">
        <w:rPr>
          <w:lang w:val="sr-Cyrl-RS"/>
        </w:rPr>
        <w:t xml:space="preserve"> одложеног угља на одлагалиштима).</w:t>
      </w:r>
    </w:p>
    <w:p w14:paraId="5C0E68A9" w14:textId="77777777" w:rsidR="00AF2314" w:rsidRPr="00CF77C1" w:rsidRDefault="00AF2314" w:rsidP="005621E0">
      <w:pPr>
        <w:ind w:firstLine="720"/>
        <w:rPr>
          <w:lang w:val="sr-Cyrl-RS"/>
        </w:rPr>
      </w:pPr>
      <w:r w:rsidRPr="00CF77C1">
        <w:rPr>
          <w:lang w:val="sr-Cyrl-RS"/>
        </w:rPr>
        <w:t>Проблеми квалитета угља су главни узрок парцијалних испада што смањује продуктивност термоелектрана за 5%, што значи 180 MW нижу снагу у производњи. Годишње је у термоелектранама изгубљено 1200 GWh на парцијалне испаде изазване неадекватним квалитетом угља. Увођењем хомогенизације (управљањем квалитетом угља) елиминисаће се око 30% укупних губитака односно смањење од 370 GWh донело би уштеду од 9.000.000 € годишње.</w:t>
      </w:r>
    </w:p>
    <w:p w14:paraId="2FD1F396" w14:textId="77777777" w:rsidR="000E6EE0" w:rsidRPr="00CF77C1" w:rsidRDefault="00F52323" w:rsidP="005621E0">
      <w:pPr>
        <w:ind w:firstLine="720"/>
        <w:rPr>
          <w:lang w:val="sr-Cyrl-RS"/>
        </w:rPr>
      </w:pPr>
      <w:r w:rsidRPr="00CF77C1">
        <w:rPr>
          <w:lang w:val="sr-Cyrl-RS"/>
        </w:rPr>
        <w:t>Увођење система за управљање квалитетом</w:t>
      </w:r>
      <w:r w:rsidR="000E6EE0" w:rsidRPr="00CF77C1">
        <w:rPr>
          <w:lang w:val="sr-Cyrl-RS"/>
        </w:rPr>
        <w:t xml:space="preserve"> угља ће се обавити на три локације и сходно томе дефинисана су три </w:t>
      </w:r>
      <w:r w:rsidRPr="00CF77C1">
        <w:rPr>
          <w:lang w:val="sr-Cyrl-RS"/>
        </w:rPr>
        <w:t>пот</w:t>
      </w:r>
      <w:r w:rsidR="000E6EE0" w:rsidRPr="00CF77C1">
        <w:rPr>
          <w:lang w:val="sr-Cyrl-RS"/>
        </w:rPr>
        <w:t>пројекта:</w:t>
      </w:r>
    </w:p>
    <w:p w14:paraId="247A9351" w14:textId="2BB3DEE5" w:rsidR="000E6EE0" w:rsidRPr="00CF77C1" w:rsidRDefault="00DE3AA7" w:rsidP="00D22907">
      <w:pPr>
        <w:pStyle w:val="ListParagraph"/>
        <w:numPr>
          <w:ilvl w:val="0"/>
          <w:numId w:val="44"/>
        </w:numPr>
        <w:spacing w:before="60" w:after="60"/>
        <w:ind w:left="0" w:firstLine="720"/>
        <w:contextualSpacing w:val="0"/>
        <w:rPr>
          <w:lang w:val="sr-Cyrl-RS"/>
        </w:rPr>
      </w:pPr>
      <w:r w:rsidRPr="00CF77C1">
        <w:rPr>
          <w:lang w:val="sr-Cyrl-RS"/>
        </w:rPr>
        <w:t>у</w:t>
      </w:r>
      <w:r w:rsidR="000E6EE0" w:rsidRPr="00CF77C1">
        <w:rPr>
          <w:lang w:val="sr-Cyrl-RS"/>
        </w:rPr>
        <w:t>вођење система за управљање квалитета угља у западном делу колубарског басена</w:t>
      </w:r>
      <w:r w:rsidR="00CD5727" w:rsidRPr="00CF77C1">
        <w:rPr>
          <w:lang w:val="sr-Cyrl-RS"/>
        </w:rPr>
        <w:t xml:space="preserve"> (површински копови Тамнава западно поље и Поље Г, а касније и Радљево)</w:t>
      </w:r>
      <w:r w:rsidRPr="00CF77C1">
        <w:rPr>
          <w:lang w:val="sr-Cyrl-RS"/>
        </w:rPr>
        <w:t>;</w:t>
      </w:r>
    </w:p>
    <w:p w14:paraId="0D724B64" w14:textId="74BB7548" w:rsidR="000E6EE0" w:rsidRPr="00CF77C1" w:rsidRDefault="00DE3AA7" w:rsidP="00D22907">
      <w:pPr>
        <w:pStyle w:val="ListParagraph"/>
        <w:numPr>
          <w:ilvl w:val="0"/>
          <w:numId w:val="44"/>
        </w:numPr>
        <w:spacing w:before="60" w:after="60"/>
        <w:ind w:left="0" w:firstLine="720"/>
        <w:contextualSpacing w:val="0"/>
        <w:rPr>
          <w:lang w:val="sr-Cyrl-RS"/>
        </w:rPr>
      </w:pPr>
      <w:r w:rsidRPr="00CF77C1">
        <w:rPr>
          <w:lang w:val="sr-Cyrl-RS"/>
        </w:rPr>
        <w:t>у</w:t>
      </w:r>
      <w:r w:rsidR="000E6EE0" w:rsidRPr="00CF77C1">
        <w:rPr>
          <w:lang w:val="sr-Cyrl-RS"/>
        </w:rPr>
        <w:t>вођење система за управљање квалитета угља у источном делу колубарског басена</w:t>
      </w:r>
      <w:r w:rsidR="00CD5727" w:rsidRPr="00CF77C1">
        <w:rPr>
          <w:lang w:val="sr-Cyrl-RS"/>
        </w:rPr>
        <w:t xml:space="preserve"> (најпре Поље Ц и Д, а касније и Поље Е)</w:t>
      </w:r>
      <w:r w:rsidRPr="00CF77C1">
        <w:rPr>
          <w:lang w:val="sr-Cyrl-RS"/>
        </w:rPr>
        <w:t>;</w:t>
      </w:r>
    </w:p>
    <w:p w14:paraId="74C3014F" w14:textId="302D7F07" w:rsidR="000E6EE0" w:rsidRPr="00CF77C1" w:rsidRDefault="00DE3AA7" w:rsidP="00D22907">
      <w:pPr>
        <w:pStyle w:val="ListParagraph"/>
        <w:numPr>
          <w:ilvl w:val="0"/>
          <w:numId w:val="44"/>
        </w:numPr>
        <w:spacing w:before="60" w:after="60"/>
        <w:ind w:left="0" w:firstLine="720"/>
        <w:contextualSpacing w:val="0"/>
        <w:rPr>
          <w:lang w:val="sr-Cyrl-RS"/>
        </w:rPr>
      </w:pPr>
      <w:r w:rsidRPr="00CF77C1">
        <w:rPr>
          <w:lang w:val="sr-Cyrl-RS"/>
        </w:rPr>
        <w:t>у</w:t>
      </w:r>
      <w:r w:rsidR="000E6EE0" w:rsidRPr="00CF77C1">
        <w:rPr>
          <w:lang w:val="sr-Cyrl-RS"/>
        </w:rPr>
        <w:t xml:space="preserve">вођење система за управљање квалитетом угља на ПК Дрмно </w:t>
      </w:r>
      <w:r w:rsidRPr="00CF77C1">
        <w:rPr>
          <w:lang w:val="sr-Cyrl-RS"/>
        </w:rPr>
        <w:t>–</w:t>
      </w:r>
      <w:r w:rsidR="000E6EE0" w:rsidRPr="00CF77C1">
        <w:rPr>
          <w:lang w:val="sr-Cyrl-RS"/>
        </w:rPr>
        <w:t xml:space="preserve"> Костолац</w:t>
      </w:r>
      <w:r w:rsidRPr="00CF77C1">
        <w:rPr>
          <w:lang w:val="sr-Cyrl-RS"/>
        </w:rPr>
        <w:t>.</w:t>
      </w:r>
    </w:p>
    <w:p w14:paraId="78162690" w14:textId="4011B866" w:rsidR="000E6EE0" w:rsidRPr="00CF77C1" w:rsidRDefault="000E6EE0" w:rsidP="00D22907">
      <w:pPr>
        <w:ind w:firstLine="357"/>
        <w:rPr>
          <w:lang w:val="sr-Cyrl-RS"/>
        </w:rPr>
      </w:pPr>
      <w:r w:rsidRPr="00CF77C1">
        <w:rPr>
          <w:lang w:val="sr-Cyrl-RS"/>
        </w:rPr>
        <w:t xml:space="preserve">Ова три </w:t>
      </w:r>
      <w:r w:rsidR="00F52323" w:rsidRPr="00CF77C1">
        <w:rPr>
          <w:lang w:val="sr-Cyrl-RS"/>
        </w:rPr>
        <w:t>пот</w:t>
      </w:r>
      <w:r w:rsidRPr="00CF77C1">
        <w:rPr>
          <w:lang w:val="sr-Cyrl-RS"/>
        </w:rPr>
        <w:t>пројекта се налазе на различитим нивоима обраде:</w:t>
      </w:r>
      <w:r w:rsidR="00D22907" w:rsidRPr="00CF77C1">
        <w:rPr>
          <w:lang w:val="sr-Cyrl-RS"/>
        </w:rPr>
        <w:t xml:space="preserve"> </w:t>
      </w:r>
    </w:p>
    <w:p w14:paraId="04D24DB0" w14:textId="2C50CC89" w:rsidR="000E6EE0" w:rsidRPr="00CF77C1" w:rsidRDefault="00DE3AA7" w:rsidP="00D22907">
      <w:pPr>
        <w:pStyle w:val="ListParagraph"/>
        <w:numPr>
          <w:ilvl w:val="0"/>
          <w:numId w:val="45"/>
        </w:numPr>
        <w:spacing w:before="60" w:after="60"/>
        <w:ind w:left="0" w:firstLine="720"/>
        <w:contextualSpacing w:val="0"/>
        <w:rPr>
          <w:lang w:val="sr-Cyrl-RS"/>
        </w:rPr>
      </w:pPr>
      <w:r w:rsidRPr="00CF77C1">
        <w:rPr>
          <w:lang w:val="sr-Cyrl-RS"/>
        </w:rPr>
        <w:t>у</w:t>
      </w:r>
      <w:r w:rsidR="000E6EE0" w:rsidRPr="00CF77C1">
        <w:rPr>
          <w:lang w:val="sr-Cyrl-RS"/>
        </w:rPr>
        <w:t>вођењ</w:t>
      </w:r>
      <w:r w:rsidR="006E5A8A" w:rsidRPr="00CF77C1">
        <w:rPr>
          <w:lang w:val="sr-Cyrl-RS"/>
        </w:rPr>
        <w:t>е система за управљање квалитетом</w:t>
      </w:r>
      <w:r w:rsidR="000E6EE0" w:rsidRPr="00CF77C1">
        <w:rPr>
          <w:lang w:val="sr-Cyrl-RS"/>
        </w:rPr>
        <w:t xml:space="preserve"> угља у западном делу колубарског басена: комплетна инвестициона документација је завршена, расписан је тендер, изабран је извођач и тренутно је фаза израде базног и детаљног инжињеринга. Комплетан завршетак пројекта се очекује крајем 2017 године. Вредност инвестиције је 54,</w:t>
      </w:r>
      <w:r w:rsidR="00AF2314" w:rsidRPr="00CF77C1">
        <w:rPr>
          <w:lang w:val="sr-Cyrl-RS"/>
        </w:rPr>
        <w:t>4 </w:t>
      </w:r>
      <w:r w:rsidR="000E6EE0" w:rsidRPr="00CF77C1">
        <w:rPr>
          <w:lang w:val="sr-Cyrl-RS"/>
        </w:rPr>
        <w:t xml:space="preserve">милона € а финансира се из средстава </w:t>
      </w:r>
      <w:r w:rsidR="00CD5727" w:rsidRPr="00CF77C1">
        <w:rPr>
          <w:rFonts w:eastAsia="Times New Roman"/>
          <w:szCs w:val="20"/>
          <w:lang w:val="sr-Cyrl-RS"/>
        </w:rPr>
        <w:t xml:space="preserve">KfW </w:t>
      </w:r>
      <w:r w:rsidR="000E6EE0" w:rsidRPr="00CF77C1">
        <w:rPr>
          <w:lang w:val="sr-Cyrl-RS"/>
        </w:rPr>
        <w:t>банке, донација ба</w:t>
      </w:r>
      <w:r w:rsidR="001741AC" w:rsidRPr="00CF77C1">
        <w:rPr>
          <w:lang w:val="sr-Cyrl-RS"/>
        </w:rPr>
        <w:t>нке и сопствених средстава ЕПС</w:t>
      </w:r>
      <w:r w:rsidRPr="00CF77C1">
        <w:rPr>
          <w:lang w:val="sr-Cyrl-RS"/>
        </w:rPr>
        <w:t>;</w:t>
      </w:r>
    </w:p>
    <w:p w14:paraId="12FB17A8" w14:textId="60507318" w:rsidR="00BD44C7" w:rsidRPr="00CF77C1" w:rsidRDefault="00DE3AA7" w:rsidP="00D22907">
      <w:pPr>
        <w:pStyle w:val="ListParagraph"/>
        <w:numPr>
          <w:ilvl w:val="0"/>
          <w:numId w:val="45"/>
        </w:numPr>
        <w:spacing w:before="60" w:after="60"/>
        <w:ind w:left="0" w:firstLine="720"/>
        <w:contextualSpacing w:val="0"/>
        <w:rPr>
          <w:lang w:val="sr-Cyrl-RS"/>
        </w:rPr>
      </w:pPr>
      <w:r w:rsidRPr="00CF77C1">
        <w:rPr>
          <w:lang w:val="sr-Cyrl-RS"/>
        </w:rPr>
        <w:t>у</w:t>
      </w:r>
      <w:r w:rsidR="000E6EE0" w:rsidRPr="00CF77C1">
        <w:rPr>
          <w:lang w:val="sr-Cyrl-RS"/>
        </w:rPr>
        <w:t>вођење система за управљање квалитет</w:t>
      </w:r>
      <w:r w:rsidR="006E5A8A" w:rsidRPr="00CF77C1">
        <w:rPr>
          <w:lang w:val="sr-Cyrl-RS"/>
        </w:rPr>
        <w:t>ом</w:t>
      </w:r>
      <w:r w:rsidR="000E6EE0" w:rsidRPr="00CF77C1">
        <w:rPr>
          <w:lang w:val="sr-Cyrl-RS"/>
        </w:rPr>
        <w:t xml:space="preserve"> угља у источном делу колубарског басена: тренутно је у току израда техничке и тендерске документације. Завршетак припреме документације се очекује </w:t>
      </w:r>
      <w:r w:rsidR="00CD5727" w:rsidRPr="00CF77C1">
        <w:rPr>
          <w:lang w:val="sr-Cyrl-RS"/>
        </w:rPr>
        <w:t>током 2017</w:t>
      </w:r>
      <w:r w:rsidR="000E6EE0" w:rsidRPr="00CF77C1">
        <w:rPr>
          <w:lang w:val="sr-Cyrl-RS"/>
        </w:rPr>
        <w:t>. године. Очекивани рок реализације зависиће од пр</w:t>
      </w:r>
      <w:r w:rsidR="006E5A8A" w:rsidRPr="00CF77C1">
        <w:rPr>
          <w:lang w:val="sr-Cyrl-RS"/>
        </w:rPr>
        <w:t>едложених решења у документацији</w:t>
      </w:r>
      <w:r w:rsidR="000E6EE0" w:rsidRPr="00CF77C1">
        <w:rPr>
          <w:lang w:val="sr-Cyrl-RS"/>
        </w:rPr>
        <w:t>, али ће вероватно бити фазно увођење са коришћењем постојећих капацитета у „Колубара преради</w:t>
      </w:r>
      <w:r w:rsidR="00AD5740" w:rsidRPr="00CF77C1">
        <w:rPr>
          <w:lang w:val="sr-Cyrl-RS"/>
        </w:rPr>
        <w:t>”</w:t>
      </w:r>
      <w:r w:rsidR="000E6EE0" w:rsidRPr="00CF77C1">
        <w:rPr>
          <w:lang w:val="sr-Cyrl-RS"/>
        </w:rPr>
        <w:t xml:space="preserve"> до </w:t>
      </w:r>
      <w:r w:rsidR="006E5A8A" w:rsidRPr="00CF77C1">
        <w:rPr>
          <w:lang w:val="sr-Cyrl-RS"/>
        </w:rPr>
        <w:t>њеног затварања</w:t>
      </w:r>
      <w:r w:rsidR="000E6EE0" w:rsidRPr="00CF77C1">
        <w:rPr>
          <w:lang w:val="sr-Cyrl-RS"/>
        </w:rPr>
        <w:t xml:space="preserve">, а касније са изградњом нове депоније и дробиличног постројења на простору садашњег села Вреоци које ће бити исељено. Планирана средства су </w:t>
      </w:r>
      <w:r w:rsidR="006E5A8A" w:rsidRPr="00CF77C1">
        <w:rPr>
          <w:lang w:val="sr-Cyrl-RS"/>
        </w:rPr>
        <w:t xml:space="preserve">око </w:t>
      </w:r>
      <w:r w:rsidR="000E6EE0" w:rsidRPr="00CF77C1">
        <w:rPr>
          <w:lang w:val="sr-Cyrl-RS"/>
        </w:rPr>
        <w:t>90.000.000 €</w:t>
      </w:r>
      <w:r w:rsidR="00AF2314" w:rsidRPr="00CF77C1">
        <w:rPr>
          <w:lang w:val="sr-Cyrl-RS"/>
        </w:rPr>
        <w:t>,</w:t>
      </w:r>
      <w:r w:rsidR="000E6EE0" w:rsidRPr="00CF77C1">
        <w:rPr>
          <w:lang w:val="sr-Cyrl-RS"/>
        </w:rPr>
        <w:t xml:space="preserve"> а извор фин</w:t>
      </w:r>
      <w:r w:rsidR="001741AC" w:rsidRPr="00CF77C1">
        <w:rPr>
          <w:lang w:val="sr-Cyrl-RS"/>
        </w:rPr>
        <w:t>а</w:t>
      </w:r>
      <w:r w:rsidR="00FF4818">
        <w:rPr>
          <w:lang w:val="sr-Cyrl-RS"/>
        </w:rPr>
        <w:t>н</w:t>
      </w:r>
      <w:r w:rsidR="001741AC" w:rsidRPr="00CF77C1">
        <w:rPr>
          <w:lang w:val="sr-Cyrl-RS"/>
        </w:rPr>
        <w:t>сирања сопствена средства ЕПС</w:t>
      </w:r>
      <w:r w:rsidRPr="00CF77C1">
        <w:rPr>
          <w:lang w:val="sr-Cyrl-RS"/>
        </w:rPr>
        <w:t>;</w:t>
      </w:r>
    </w:p>
    <w:p w14:paraId="45C73CC8" w14:textId="7849928F" w:rsidR="00F52323" w:rsidRPr="00CF77C1" w:rsidRDefault="00DE3AA7" w:rsidP="00D22907">
      <w:pPr>
        <w:pStyle w:val="ListParagraph"/>
        <w:numPr>
          <w:ilvl w:val="0"/>
          <w:numId w:val="45"/>
        </w:numPr>
        <w:spacing w:before="60" w:after="60"/>
        <w:ind w:left="0" w:firstLine="720"/>
        <w:contextualSpacing w:val="0"/>
        <w:rPr>
          <w:lang w:val="sr-Cyrl-RS"/>
        </w:rPr>
      </w:pPr>
      <w:r w:rsidRPr="00CF77C1">
        <w:rPr>
          <w:lang w:val="sr-Cyrl-RS"/>
        </w:rPr>
        <w:t>у</w:t>
      </w:r>
      <w:r w:rsidR="000E6EE0" w:rsidRPr="00CF77C1">
        <w:rPr>
          <w:lang w:val="sr-Cyrl-RS"/>
        </w:rPr>
        <w:t xml:space="preserve">вођење система за управљање квалитетом угља на ПК Дрмно - Костолац: техничка и тендерска документација </w:t>
      </w:r>
      <w:r w:rsidR="00A84557" w:rsidRPr="00CF77C1">
        <w:rPr>
          <w:lang w:val="sr-Cyrl-RS"/>
        </w:rPr>
        <w:t>су завршене</w:t>
      </w:r>
      <w:r w:rsidR="006E5A8A" w:rsidRPr="00CF77C1">
        <w:rPr>
          <w:lang w:val="sr-Cyrl-RS"/>
        </w:rPr>
        <w:t>,</w:t>
      </w:r>
      <w:r w:rsidR="000E6EE0" w:rsidRPr="00CF77C1">
        <w:rPr>
          <w:lang w:val="sr-Cyrl-RS"/>
        </w:rPr>
        <w:t xml:space="preserve"> очекује се расписивање тендера </w:t>
      </w:r>
      <w:r w:rsidR="006E5A8A" w:rsidRPr="00CF77C1">
        <w:rPr>
          <w:lang w:val="sr-Cyrl-RS"/>
        </w:rPr>
        <w:t>током 2017</w:t>
      </w:r>
      <w:r w:rsidR="000E6EE0" w:rsidRPr="00CF77C1">
        <w:rPr>
          <w:lang w:val="sr-Cyrl-RS"/>
        </w:rPr>
        <w:t>. године. Очекивани рок завршетка је 2018. година. Планирана средства су 5.225.230 €, а извор фина</w:t>
      </w:r>
      <w:r w:rsidR="00415E6E">
        <w:rPr>
          <w:lang w:val="sr-Cyrl-RS"/>
        </w:rPr>
        <w:t>н</w:t>
      </w:r>
      <w:r w:rsidR="000E6EE0" w:rsidRPr="00CF77C1">
        <w:rPr>
          <w:lang w:val="sr-Cyrl-RS"/>
        </w:rPr>
        <w:t>си</w:t>
      </w:r>
      <w:r w:rsidR="001741AC" w:rsidRPr="00CF77C1">
        <w:rPr>
          <w:lang w:val="sr-Cyrl-RS"/>
        </w:rPr>
        <w:t>рања су сопствена средства ЕПС</w:t>
      </w:r>
      <w:r w:rsidR="000E6EE0" w:rsidRPr="00CF77C1">
        <w:rPr>
          <w:lang w:val="sr-Cyrl-RS"/>
        </w:rPr>
        <w:t>.</w:t>
      </w:r>
    </w:p>
    <w:p w14:paraId="077399B4" w14:textId="77777777" w:rsidR="00644746" w:rsidRPr="00CF77C1" w:rsidRDefault="00644746" w:rsidP="0080044B">
      <w:pPr>
        <w:rPr>
          <w:lang w:val="sr-Cyrl-RS"/>
        </w:rPr>
        <w:sectPr w:rsidR="00644746" w:rsidRPr="00CF77C1" w:rsidSect="005621E0">
          <w:headerReference w:type="default" r:id="rId132"/>
          <w:footerReference w:type="default" r:id="rId133"/>
          <w:pgSz w:w="11907" w:h="16839" w:code="9"/>
          <w:pgMar w:top="1134" w:right="1287" w:bottom="1134" w:left="1418" w:header="720" w:footer="720" w:gutter="0"/>
          <w:cols w:space="720"/>
          <w:docGrid w:linePitch="360"/>
        </w:sectPr>
      </w:pPr>
    </w:p>
    <w:p w14:paraId="78DC4815" w14:textId="1B01E44B" w:rsidR="00644746" w:rsidRPr="00CF77C1" w:rsidRDefault="00D61BC9" w:rsidP="00D22907">
      <w:pPr>
        <w:pStyle w:val="Caption"/>
        <w:ind w:firstLine="720"/>
        <w:rPr>
          <w:b w:val="0"/>
          <w:lang w:val="sr-Cyrl-RS"/>
        </w:rPr>
      </w:pPr>
      <w:r w:rsidRPr="00CF77C1">
        <w:rPr>
          <w:b w:val="0"/>
          <w:lang w:val="sr-Cyrl-RS"/>
        </w:rPr>
        <w:t>таб.</w:t>
      </w:r>
      <w:r w:rsidR="00644746"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122</w:t>
      </w:r>
      <w:r w:rsidR="0092145E" w:rsidRPr="00CF77C1">
        <w:rPr>
          <w:b w:val="0"/>
          <w:lang w:val="sr-Cyrl-RS"/>
        </w:rPr>
        <w:fldChar w:fldCharType="end"/>
      </w:r>
      <w:r w:rsidR="00644746" w:rsidRPr="00CF77C1">
        <w:rPr>
          <w:b w:val="0"/>
          <w:lang w:val="sr-Cyrl-RS"/>
        </w:rPr>
        <w:t>: Основне карактеристике и ефекти пројекта „Увођење система за управљање квалитетом угља</w:t>
      </w:r>
      <w:r w:rsidR="00AD5740" w:rsidRPr="00CF77C1">
        <w:rPr>
          <w:b w:val="0"/>
          <w:lang w:val="sr-Cyrl-R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126"/>
        <w:gridCol w:w="2410"/>
        <w:gridCol w:w="7591"/>
      </w:tblGrid>
      <w:tr w:rsidR="00644746" w:rsidRPr="00CF77C1" w14:paraId="20FBF8F8" w14:textId="77777777" w:rsidTr="001F59D5">
        <w:tc>
          <w:tcPr>
            <w:tcW w:w="2660" w:type="dxa"/>
            <w:shd w:val="clear" w:color="auto" w:fill="auto"/>
            <w:vAlign w:val="center"/>
          </w:tcPr>
          <w:p w14:paraId="35C64896" w14:textId="77777777" w:rsidR="00644746" w:rsidRPr="00CF77C1" w:rsidRDefault="00644746" w:rsidP="0080044B">
            <w:pPr>
              <w:jc w:val="center"/>
              <w:rPr>
                <w:lang w:val="sr-Cyrl-RS"/>
              </w:rPr>
            </w:pPr>
            <w:r w:rsidRPr="00CF77C1">
              <w:rPr>
                <w:lang w:val="sr-Cyrl-RS"/>
              </w:rPr>
              <w:t>Техничке карактеристике</w:t>
            </w:r>
          </w:p>
        </w:tc>
        <w:tc>
          <w:tcPr>
            <w:tcW w:w="2126" w:type="dxa"/>
            <w:shd w:val="clear" w:color="auto" w:fill="auto"/>
            <w:vAlign w:val="center"/>
          </w:tcPr>
          <w:p w14:paraId="12DB7F2E" w14:textId="77777777" w:rsidR="00644746" w:rsidRPr="00CF77C1" w:rsidRDefault="00644746" w:rsidP="0080044B">
            <w:pPr>
              <w:jc w:val="center"/>
              <w:rPr>
                <w:lang w:val="sr-Cyrl-RS"/>
              </w:rPr>
            </w:pPr>
            <w:r w:rsidRPr="00CF77C1">
              <w:rPr>
                <w:lang w:val="sr-Cyrl-RS"/>
              </w:rPr>
              <w:t>Вредност пројекта и извор средстава</w:t>
            </w:r>
          </w:p>
        </w:tc>
        <w:tc>
          <w:tcPr>
            <w:tcW w:w="2410" w:type="dxa"/>
            <w:shd w:val="clear" w:color="auto" w:fill="auto"/>
            <w:vAlign w:val="center"/>
          </w:tcPr>
          <w:p w14:paraId="09AAD5A4" w14:textId="77777777" w:rsidR="00644746" w:rsidRPr="00CF77C1" w:rsidRDefault="00644746" w:rsidP="0080044B">
            <w:pPr>
              <w:jc w:val="center"/>
              <w:rPr>
                <w:lang w:val="sr-Cyrl-RS"/>
              </w:rPr>
            </w:pPr>
            <w:r w:rsidRPr="00CF77C1">
              <w:rPr>
                <w:lang w:val="sr-Cyrl-RS"/>
              </w:rPr>
              <w:t>Опис ефеката реализације</w:t>
            </w:r>
          </w:p>
        </w:tc>
        <w:tc>
          <w:tcPr>
            <w:tcW w:w="7591" w:type="dxa"/>
            <w:shd w:val="clear" w:color="auto" w:fill="auto"/>
            <w:vAlign w:val="center"/>
          </w:tcPr>
          <w:p w14:paraId="79D2A474" w14:textId="77777777" w:rsidR="00644746" w:rsidRPr="00CF77C1" w:rsidRDefault="00644746" w:rsidP="0080044B">
            <w:pPr>
              <w:jc w:val="center"/>
              <w:rPr>
                <w:lang w:val="sr-Cyrl-RS"/>
              </w:rPr>
            </w:pPr>
            <w:r w:rsidRPr="00CF77C1">
              <w:rPr>
                <w:lang w:val="sr-Cyrl-RS"/>
              </w:rPr>
              <w:t>Валоризовани просечни годишњи ефекти реализације на основу расположиве документације</w:t>
            </w:r>
          </w:p>
        </w:tc>
      </w:tr>
      <w:tr w:rsidR="00644746" w:rsidRPr="00CF77C1" w14:paraId="248BCB28" w14:textId="77777777" w:rsidTr="001F59D5">
        <w:tc>
          <w:tcPr>
            <w:tcW w:w="2660" w:type="dxa"/>
            <w:shd w:val="clear" w:color="auto" w:fill="auto"/>
            <w:vAlign w:val="center"/>
          </w:tcPr>
          <w:p w14:paraId="7D8AFB43" w14:textId="77777777" w:rsidR="00644746" w:rsidRPr="00CF77C1" w:rsidRDefault="00644746" w:rsidP="0080044B">
            <w:pPr>
              <w:jc w:val="left"/>
              <w:rPr>
                <w:szCs w:val="24"/>
                <w:lang w:val="sr-Cyrl-RS"/>
              </w:rPr>
            </w:pPr>
            <w:r w:rsidRPr="00CF77C1">
              <w:rPr>
                <w:szCs w:val="24"/>
                <w:lang w:val="sr-Cyrl-RS"/>
              </w:rPr>
              <w:t>Увођење система за управљање квалитетом угља у западном делу колубарског басена</w:t>
            </w:r>
          </w:p>
        </w:tc>
        <w:tc>
          <w:tcPr>
            <w:tcW w:w="2126" w:type="dxa"/>
            <w:shd w:val="clear" w:color="auto" w:fill="auto"/>
            <w:vAlign w:val="center"/>
          </w:tcPr>
          <w:p w14:paraId="57D629E2" w14:textId="77777777" w:rsidR="001F59D5" w:rsidRPr="00CF77C1" w:rsidRDefault="00644746" w:rsidP="0080044B">
            <w:pPr>
              <w:jc w:val="left"/>
              <w:rPr>
                <w:szCs w:val="24"/>
                <w:lang w:val="sr-Cyrl-RS"/>
              </w:rPr>
            </w:pPr>
            <w:r w:rsidRPr="00CF77C1">
              <w:rPr>
                <w:szCs w:val="24"/>
                <w:lang w:val="sr-Cyrl-RS"/>
              </w:rPr>
              <w:t>54.400.000 €</w:t>
            </w:r>
          </w:p>
          <w:p w14:paraId="4E119659" w14:textId="77777777" w:rsidR="00644746" w:rsidRPr="00CF77C1" w:rsidRDefault="00CD5727" w:rsidP="0080044B">
            <w:pPr>
              <w:jc w:val="left"/>
              <w:rPr>
                <w:szCs w:val="24"/>
                <w:lang w:val="sr-Cyrl-RS"/>
              </w:rPr>
            </w:pPr>
            <w:r w:rsidRPr="00CF77C1">
              <w:rPr>
                <w:szCs w:val="24"/>
                <w:lang w:val="sr-Cyrl-RS"/>
              </w:rPr>
              <w:t>KfW</w:t>
            </w:r>
            <w:r w:rsidR="00644746" w:rsidRPr="00CF77C1">
              <w:rPr>
                <w:szCs w:val="24"/>
                <w:lang w:val="sr-Cyrl-RS"/>
              </w:rPr>
              <w:t xml:space="preserve"> банка </w:t>
            </w:r>
          </w:p>
        </w:tc>
        <w:tc>
          <w:tcPr>
            <w:tcW w:w="2410" w:type="dxa"/>
            <w:vMerge w:val="restart"/>
            <w:shd w:val="clear" w:color="auto" w:fill="auto"/>
            <w:vAlign w:val="center"/>
          </w:tcPr>
          <w:p w14:paraId="13C1A69B" w14:textId="77777777" w:rsidR="00644746" w:rsidRPr="00CF77C1" w:rsidRDefault="00644746" w:rsidP="0080044B">
            <w:pPr>
              <w:jc w:val="left"/>
              <w:rPr>
                <w:szCs w:val="24"/>
                <w:lang w:val="sr-Cyrl-RS"/>
              </w:rPr>
            </w:pPr>
            <w:r w:rsidRPr="00CF77C1">
              <w:rPr>
                <w:szCs w:val="24"/>
                <w:lang w:val="sr-Cyrl-RS"/>
              </w:rPr>
              <w:t>Уједначавање квалитета угља за оптимизацију сагоревање у термоелектранама</w:t>
            </w:r>
          </w:p>
          <w:p w14:paraId="07214CB9" w14:textId="4A1DBA00" w:rsidR="00644746" w:rsidRPr="00CF77C1" w:rsidRDefault="00644746" w:rsidP="0080044B">
            <w:pPr>
              <w:jc w:val="left"/>
              <w:rPr>
                <w:szCs w:val="24"/>
                <w:lang w:val="sr-Cyrl-RS"/>
              </w:rPr>
            </w:pPr>
            <w:r w:rsidRPr="00CF77C1">
              <w:rPr>
                <w:szCs w:val="24"/>
                <w:lang w:val="sr-Cyrl-RS"/>
              </w:rPr>
              <w:t>Искоришћење нискоквалите</w:t>
            </w:r>
            <w:r w:rsidR="00B20374">
              <w:rPr>
                <w:szCs w:val="24"/>
                <w:lang w:val="sr-Cyrl-RS"/>
              </w:rPr>
              <w:t>т</w:t>
            </w:r>
            <w:r w:rsidRPr="00CF77C1">
              <w:rPr>
                <w:szCs w:val="24"/>
                <w:lang w:val="sr-Cyrl-RS"/>
              </w:rPr>
              <w:t>них угљева мешањем са квалитетнијим угљем, а самим тим и повећање искоришћења лежишта</w:t>
            </w:r>
          </w:p>
          <w:p w14:paraId="23890277" w14:textId="4020EC80" w:rsidR="00644746" w:rsidRPr="00CF77C1" w:rsidRDefault="00644746" w:rsidP="0080044B">
            <w:pPr>
              <w:jc w:val="left"/>
              <w:rPr>
                <w:szCs w:val="24"/>
                <w:lang w:val="sr-Cyrl-RS"/>
              </w:rPr>
            </w:pPr>
            <w:r w:rsidRPr="00CF77C1">
              <w:rPr>
                <w:szCs w:val="24"/>
                <w:lang w:val="sr-Cyrl-RS"/>
              </w:rPr>
              <w:t>Повећање ефикасности рада те</w:t>
            </w:r>
            <w:r w:rsidR="00B20374">
              <w:rPr>
                <w:szCs w:val="24"/>
                <w:lang w:val="sr-Cyrl-RS"/>
              </w:rPr>
              <w:t>р</w:t>
            </w:r>
            <w:r w:rsidRPr="00CF77C1">
              <w:rPr>
                <w:szCs w:val="24"/>
                <w:lang w:val="sr-Cyrl-RS"/>
              </w:rPr>
              <w:t>моелектрана</w:t>
            </w:r>
          </w:p>
          <w:p w14:paraId="5A305DFB" w14:textId="77777777" w:rsidR="00644746" w:rsidRPr="00CF77C1" w:rsidRDefault="00644746" w:rsidP="0080044B">
            <w:pPr>
              <w:jc w:val="left"/>
              <w:rPr>
                <w:szCs w:val="24"/>
                <w:lang w:val="sr-Cyrl-RS"/>
              </w:rPr>
            </w:pPr>
            <w:r w:rsidRPr="00CF77C1">
              <w:rPr>
                <w:szCs w:val="24"/>
                <w:lang w:val="sr-Cyrl-RS"/>
              </w:rPr>
              <w:t>Смањење утрошка мазута у темоелектранама.</w:t>
            </w:r>
          </w:p>
          <w:p w14:paraId="0C923C5B" w14:textId="061A75AC" w:rsidR="00644746" w:rsidRPr="00CF77C1" w:rsidRDefault="00644746" w:rsidP="0080044B">
            <w:pPr>
              <w:jc w:val="left"/>
              <w:rPr>
                <w:szCs w:val="24"/>
                <w:lang w:val="sr-Cyrl-RS"/>
              </w:rPr>
            </w:pPr>
            <w:r w:rsidRPr="00CF77C1">
              <w:rPr>
                <w:szCs w:val="24"/>
                <w:lang w:val="sr-Cyrl-RS"/>
              </w:rPr>
              <w:t>Смањење загађења на о</w:t>
            </w:r>
            <w:r w:rsidR="00B20374">
              <w:rPr>
                <w:szCs w:val="24"/>
                <w:lang w:val="sr-Cyrl-RS"/>
              </w:rPr>
              <w:t xml:space="preserve">длагалиштима због самозапаљења </w:t>
            </w:r>
            <w:r w:rsidRPr="00CF77C1">
              <w:rPr>
                <w:szCs w:val="24"/>
                <w:lang w:val="sr-Cyrl-RS"/>
              </w:rPr>
              <w:t>одложеног нискоквалитетног угља</w:t>
            </w:r>
          </w:p>
        </w:tc>
        <w:tc>
          <w:tcPr>
            <w:tcW w:w="7591" w:type="dxa"/>
            <w:shd w:val="clear" w:color="auto" w:fill="auto"/>
            <w:vAlign w:val="center"/>
          </w:tcPr>
          <w:p w14:paraId="61221E30" w14:textId="319F31BF" w:rsidR="00644746" w:rsidRPr="00CF77C1" w:rsidRDefault="00644746" w:rsidP="0080044B">
            <w:pPr>
              <w:pStyle w:val="BodyText"/>
              <w:rPr>
                <w:szCs w:val="24"/>
                <w:lang w:val="sr-Cyrl-RS"/>
              </w:rPr>
            </w:pPr>
            <w:r w:rsidRPr="00CF77C1">
              <w:rPr>
                <w:szCs w:val="24"/>
                <w:lang w:val="sr-Cyrl-RS"/>
              </w:rPr>
              <w:t>Реализација пројек</w:t>
            </w:r>
            <w:r w:rsidR="00A84557" w:rsidRPr="00CF77C1">
              <w:rPr>
                <w:szCs w:val="24"/>
                <w:lang w:val="sr-Cyrl-RS"/>
              </w:rPr>
              <w:t>та хомогенизације угља на копу Тамнава</w:t>
            </w:r>
            <w:r w:rsidRPr="00CF77C1">
              <w:rPr>
                <w:szCs w:val="24"/>
                <w:lang w:val="sr-Cyrl-RS"/>
              </w:rPr>
              <w:t xml:space="preserve"> обезбеђује повећање енергетске ефикасности у произ</w:t>
            </w:r>
            <w:r w:rsidR="001F59D5" w:rsidRPr="00CF77C1">
              <w:rPr>
                <w:szCs w:val="24"/>
                <w:lang w:val="sr-Cyrl-RS"/>
              </w:rPr>
              <w:t>водњи електричне енергије у ТЕ „Никола Тесла</w:t>
            </w:r>
            <w:r w:rsidR="00AD5740" w:rsidRPr="00CF77C1">
              <w:rPr>
                <w:szCs w:val="24"/>
                <w:lang w:val="sr-Cyrl-RS"/>
              </w:rPr>
              <w:t>”</w:t>
            </w:r>
            <w:r w:rsidRPr="00CF77C1">
              <w:rPr>
                <w:szCs w:val="24"/>
                <w:lang w:val="sr-Cyrl-RS"/>
              </w:rPr>
              <w:t>, продужује век експлоатације расположивих резерви угља у лежишту и смањује укупне трошкове у производњи електричне енергије. Економска евалуација рађена је одвојено за ПК Тамнава западно поље и ТЕНТ Б.</w:t>
            </w:r>
          </w:p>
          <w:p w14:paraId="74ECFAF0" w14:textId="77777777" w:rsidR="00644746" w:rsidRPr="00CF77C1" w:rsidRDefault="00644746" w:rsidP="0080044B">
            <w:pPr>
              <w:pStyle w:val="BodyText"/>
              <w:rPr>
                <w:szCs w:val="24"/>
                <w:lang w:val="sr-Cyrl-RS"/>
              </w:rPr>
            </w:pPr>
            <w:r w:rsidRPr="00CF77C1">
              <w:rPr>
                <w:szCs w:val="24"/>
                <w:lang w:val="sr-Cyrl-RS"/>
              </w:rPr>
              <w:t>Остварена интерна стопа повраћаја за рудник је</w:t>
            </w:r>
            <w:r w:rsidR="001F59D5" w:rsidRPr="00CF77C1">
              <w:rPr>
                <w:szCs w:val="24"/>
                <w:lang w:val="sr-Cyrl-RS"/>
              </w:rPr>
              <w:t>:</w:t>
            </w:r>
          </w:p>
          <w:p w14:paraId="4263D1C8" w14:textId="77777777" w:rsidR="00644746" w:rsidRPr="00CF77C1" w:rsidRDefault="00644746" w:rsidP="0080044B">
            <w:pPr>
              <w:pStyle w:val="BodyText"/>
              <w:jc w:val="center"/>
              <w:rPr>
                <w:szCs w:val="24"/>
                <w:lang w:val="sr-Cyrl-RS"/>
              </w:rPr>
            </w:pPr>
            <w:r w:rsidRPr="00CF77C1">
              <w:rPr>
                <w:szCs w:val="24"/>
                <w:lang w:val="sr-Cyrl-RS"/>
              </w:rPr>
              <w:t>IRR = 8%</w:t>
            </w:r>
          </w:p>
          <w:p w14:paraId="0A73C498" w14:textId="77777777" w:rsidR="00644746" w:rsidRPr="00CF77C1" w:rsidRDefault="001F59D5" w:rsidP="0080044B">
            <w:pPr>
              <w:pStyle w:val="BodyText"/>
              <w:rPr>
                <w:szCs w:val="24"/>
                <w:lang w:val="sr-Cyrl-RS"/>
              </w:rPr>
            </w:pPr>
            <w:r w:rsidRPr="00CF77C1">
              <w:rPr>
                <w:szCs w:val="24"/>
                <w:lang w:val="sr-Cyrl-RS"/>
              </w:rPr>
              <w:t>а</w:t>
            </w:r>
            <w:r w:rsidR="00644746" w:rsidRPr="00CF77C1">
              <w:rPr>
                <w:szCs w:val="24"/>
                <w:lang w:val="sr-Cyrl-RS"/>
              </w:rPr>
              <w:t xml:space="preserve"> за термоелектрану је</w:t>
            </w:r>
            <w:r w:rsidRPr="00CF77C1">
              <w:rPr>
                <w:szCs w:val="24"/>
                <w:lang w:val="sr-Cyrl-RS"/>
              </w:rPr>
              <w:t>:</w:t>
            </w:r>
          </w:p>
          <w:p w14:paraId="1649B404" w14:textId="77777777" w:rsidR="00644746" w:rsidRPr="00CF77C1" w:rsidRDefault="00644746" w:rsidP="0080044B">
            <w:pPr>
              <w:pStyle w:val="BodyText"/>
              <w:jc w:val="center"/>
              <w:rPr>
                <w:szCs w:val="24"/>
                <w:lang w:val="sr-Cyrl-RS"/>
              </w:rPr>
            </w:pPr>
            <w:r w:rsidRPr="00CF77C1">
              <w:rPr>
                <w:szCs w:val="24"/>
                <w:lang w:val="sr-Cyrl-RS"/>
              </w:rPr>
              <w:t>IRR = 238%</w:t>
            </w:r>
          </w:p>
        </w:tc>
      </w:tr>
      <w:tr w:rsidR="00644746" w:rsidRPr="00CF77C1" w14:paraId="3DB0C6E2" w14:textId="77777777" w:rsidTr="001F59D5">
        <w:tc>
          <w:tcPr>
            <w:tcW w:w="2660" w:type="dxa"/>
            <w:shd w:val="clear" w:color="auto" w:fill="auto"/>
            <w:vAlign w:val="center"/>
          </w:tcPr>
          <w:p w14:paraId="21FD7EDF" w14:textId="77777777" w:rsidR="00644746" w:rsidRPr="00CF77C1" w:rsidRDefault="00644746" w:rsidP="0080044B">
            <w:pPr>
              <w:jc w:val="left"/>
              <w:rPr>
                <w:szCs w:val="24"/>
                <w:lang w:val="sr-Cyrl-RS"/>
              </w:rPr>
            </w:pPr>
            <w:r w:rsidRPr="00CF77C1">
              <w:rPr>
                <w:szCs w:val="24"/>
                <w:lang w:val="sr-Cyrl-RS"/>
              </w:rPr>
              <w:t>Увођење система за управљање квалитетом угља на ПК Дрмно</w:t>
            </w:r>
          </w:p>
        </w:tc>
        <w:tc>
          <w:tcPr>
            <w:tcW w:w="2126" w:type="dxa"/>
            <w:shd w:val="clear" w:color="auto" w:fill="auto"/>
            <w:vAlign w:val="center"/>
          </w:tcPr>
          <w:p w14:paraId="14F8F37A" w14:textId="77777777" w:rsidR="00644746" w:rsidRPr="00CF77C1" w:rsidRDefault="00644746" w:rsidP="0080044B">
            <w:pPr>
              <w:jc w:val="left"/>
              <w:rPr>
                <w:szCs w:val="24"/>
                <w:lang w:val="sr-Cyrl-RS"/>
              </w:rPr>
            </w:pPr>
            <w:r w:rsidRPr="00CF77C1">
              <w:rPr>
                <w:szCs w:val="24"/>
                <w:lang w:val="sr-Cyrl-RS"/>
              </w:rPr>
              <w:t>5.225.230 €</w:t>
            </w:r>
          </w:p>
          <w:p w14:paraId="2DA14738" w14:textId="50B35E11" w:rsidR="00644746" w:rsidRPr="00CF77C1" w:rsidRDefault="001741AC" w:rsidP="0080044B">
            <w:pPr>
              <w:jc w:val="left"/>
              <w:rPr>
                <w:szCs w:val="24"/>
                <w:lang w:val="sr-Cyrl-RS"/>
              </w:rPr>
            </w:pPr>
            <w:r w:rsidRPr="00CF77C1">
              <w:rPr>
                <w:szCs w:val="24"/>
                <w:lang w:val="sr-Cyrl-RS"/>
              </w:rPr>
              <w:t>Сопствена средства ЕПС</w:t>
            </w:r>
          </w:p>
        </w:tc>
        <w:tc>
          <w:tcPr>
            <w:tcW w:w="2410" w:type="dxa"/>
            <w:vMerge/>
            <w:shd w:val="clear" w:color="auto" w:fill="auto"/>
            <w:vAlign w:val="center"/>
          </w:tcPr>
          <w:p w14:paraId="1F35F627" w14:textId="77777777" w:rsidR="00644746" w:rsidRPr="00CF77C1" w:rsidRDefault="00644746" w:rsidP="0080044B">
            <w:pPr>
              <w:jc w:val="left"/>
              <w:rPr>
                <w:szCs w:val="24"/>
                <w:lang w:val="sr-Cyrl-RS"/>
              </w:rPr>
            </w:pPr>
          </w:p>
        </w:tc>
        <w:tc>
          <w:tcPr>
            <w:tcW w:w="7591" w:type="dxa"/>
            <w:shd w:val="clear" w:color="auto" w:fill="auto"/>
            <w:vAlign w:val="center"/>
          </w:tcPr>
          <w:p w14:paraId="74310298" w14:textId="2E358602" w:rsidR="00644746" w:rsidRPr="00CF77C1" w:rsidRDefault="00644746" w:rsidP="0080044B">
            <w:pPr>
              <w:pStyle w:val="BodyText"/>
              <w:rPr>
                <w:szCs w:val="24"/>
                <w:lang w:val="sr-Cyrl-RS"/>
              </w:rPr>
            </w:pPr>
            <w:r w:rsidRPr="00CF77C1">
              <w:rPr>
                <w:szCs w:val="24"/>
                <w:lang w:val="sr-Cyrl-RS"/>
              </w:rPr>
              <w:t xml:space="preserve">Реализација пројекта хомогенизације угља на копу </w:t>
            </w:r>
            <w:r w:rsidR="00A84557" w:rsidRPr="00CF77C1">
              <w:rPr>
                <w:szCs w:val="24"/>
                <w:lang w:val="sr-Cyrl-RS"/>
              </w:rPr>
              <w:t>Дрмно</w:t>
            </w:r>
            <w:r w:rsidRPr="00CF77C1">
              <w:rPr>
                <w:szCs w:val="24"/>
                <w:lang w:val="sr-Cyrl-RS"/>
              </w:rPr>
              <w:t xml:space="preserve"> обезбеђује повећање енергетске ефикасности у произ</w:t>
            </w:r>
            <w:r w:rsidR="004231D0" w:rsidRPr="00CF77C1">
              <w:rPr>
                <w:szCs w:val="24"/>
                <w:lang w:val="sr-Cyrl-RS"/>
              </w:rPr>
              <w:t>водњи електричне енергије у ТЕ „Костолац</w:t>
            </w:r>
            <w:r w:rsidR="00AD5740" w:rsidRPr="00CF77C1">
              <w:rPr>
                <w:szCs w:val="24"/>
                <w:lang w:val="sr-Cyrl-RS"/>
              </w:rPr>
              <w:t>”</w:t>
            </w:r>
            <w:r w:rsidRPr="00CF77C1">
              <w:rPr>
                <w:szCs w:val="24"/>
                <w:lang w:val="sr-Cyrl-RS"/>
              </w:rPr>
              <w:t>, продужује век експлоатације расположивих резерви угља у лежишту и смањује укупне трошкове у производњи угља.</w:t>
            </w:r>
          </w:p>
          <w:p w14:paraId="173D658D" w14:textId="77777777" w:rsidR="00644746" w:rsidRPr="00CF77C1" w:rsidRDefault="00644746" w:rsidP="0080044B">
            <w:pPr>
              <w:pStyle w:val="BodyText"/>
              <w:rPr>
                <w:szCs w:val="24"/>
                <w:lang w:val="sr-Cyrl-RS"/>
              </w:rPr>
            </w:pPr>
            <w:r w:rsidRPr="00CF77C1">
              <w:rPr>
                <w:szCs w:val="24"/>
                <w:lang w:val="sr-Cyrl-RS"/>
              </w:rPr>
              <w:t xml:space="preserve">Економски ток пројекта даје прорачун интерне стопе повраћаја </w:t>
            </w:r>
            <w:r w:rsidR="006E5A8A" w:rsidRPr="00CF77C1">
              <w:rPr>
                <w:szCs w:val="24"/>
                <w:lang w:val="sr-Cyrl-RS"/>
              </w:rPr>
              <w:t>IRR</w:t>
            </w:r>
            <w:r w:rsidRPr="00CF77C1">
              <w:rPr>
                <w:szCs w:val="24"/>
                <w:lang w:val="sr-Cyrl-RS"/>
              </w:rPr>
              <w:t xml:space="preserve"> (Interal rate of return). Остварена интерна стопа повраћаја је</w:t>
            </w:r>
            <w:r w:rsidR="001F59D5" w:rsidRPr="00CF77C1">
              <w:rPr>
                <w:szCs w:val="24"/>
                <w:lang w:val="sr-Cyrl-RS"/>
              </w:rPr>
              <w:t>:</w:t>
            </w:r>
          </w:p>
          <w:p w14:paraId="296D8E18" w14:textId="77777777" w:rsidR="00644746" w:rsidRPr="00CF77C1" w:rsidRDefault="00644746" w:rsidP="0080044B">
            <w:pPr>
              <w:pStyle w:val="BodyText"/>
              <w:jc w:val="center"/>
              <w:rPr>
                <w:szCs w:val="24"/>
                <w:lang w:val="sr-Cyrl-RS"/>
              </w:rPr>
            </w:pPr>
            <w:r w:rsidRPr="00CF77C1">
              <w:rPr>
                <w:szCs w:val="24"/>
                <w:lang w:val="sr-Cyrl-RS"/>
              </w:rPr>
              <w:t>IRR = 57,3%</w:t>
            </w:r>
          </w:p>
          <w:p w14:paraId="6AF0E736" w14:textId="77777777" w:rsidR="00BD44C7" w:rsidRPr="00CF77C1" w:rsidRDefault="001F59D5" w:rsidP="0080044B">
            <w:pPr>
              <w:pStyle w:val="BodyText"/>
              <w:rPr>
                <w:szCs w:val="24"/>
                <w:lang w:val="sr-Cyrl-RS"/>
              </w:rPr>
            </w:pPr>
            <w:r w:rsidRPr="00CF77C1">
              <w:rPr>
                <w:szCs w:val="24"/>
                <w:lang w:val="sr-Cyrl-RS"/>
              </w:rPr>
              <w:t xml:space="preserve">и </w:t>
            </w:r>
            <w:r w:rsidR="00644746" w:rsidRPr="00CF77C1">
              <w:rPr>
                <w:szCs w:val="24"/>
                <w:lang w:val="sr-Cyrl-RS"/>
              </w:rPr>
              <w:t xml:space="preserve">изузетно </w:t>
            </w:r>
            <w:r w:rsidRPr="00CF77C1">
              <w:rPr>
                <w:szCs w:val="24"/>
                <w:lang w:val="sr-Cyrl-RS"/>
              </w:rPr>
              <w:t xml:space="preserve">је </w:t>
            </w:r>
            <w:r w:rsidR="00644746" w:rsidRPr="00CF77C1">
              <w:rPr>
                <w:szCs w:val="24"/>
                <w:lang w:val="sr-Cyrl-RS"/>
              </w:rPr>
              <w:t>висока за рударску делатност, али она објективно валоризује све ефекте хомогенизације угља којим се генерише у вредносном смислу 410 хиљ</w:t>
            </w:r>
            <w:r w:rsidR="00537E82" w:rsidRPr="00CF77C1">
              <w:rPr>
                <w:szCs w:val="24"/>
                <w:lang w:val="sr-Cyrl-RS"/>
              </w:rPr>
              <w:t>ада</w:t>
            </w:r>
            <w:r w:rsidR="00644746" w:rsidRPr="00CF77C1">
              <w:rPr>
                <w:szCs w:val="24"/>
                <w:lang w:val="sr-Cyrl-RS"/>
              </w:rPr>
              <w:t xml:space="preserve"> </w:t>
            </w:r>
            <w:r w:rsidR="004231D0" w:rsidRPr="00CF77C1">
              <w:rPr>
                <w:szCs w:val="24"/>
                <w:lang w:val="sr-Cyrl-RS"/>
              </w:rPr>
              <w:t>тона</w:t>
            </w:r>
            <w:r w:rsidR="00644746" w:rsidRPr="00CF77C1">
              <w:rPr>
                <w:szCs w:val="24"/>
                <w:lang w:val="sr-Cyrl-RS"/>
              </w:rPr>
              <w:t xml:space="preserve"> уг</w:t>
            </w:r>
            <w:r w:rsidR="00B5219A" w:rsidRPr="00CF77C1">
              <w:rPr>
                <w:szCs w:val="24"/>
                <w:lang w:val="sr-Cyrl-RS"/>
              </w:rPr>
              <w:t>ља за сагоревање у ТЕ. То значи</w:t>
            </w:r>
            <w:r w:rsidR="00644746" w:rsidRPr="00CF77C1">
              <w:rPr>
                <w:szCs w:val="24"/>
                <w:lang w:val="sr-Cyrl-RS"/>
              </w:rPr>
              <w:t xml:space="preserve"> да се инвестиције врате за 1,8 година након пуштања у рад система хомогенизације угља. У економском току израчуната је и нето садашња вредност са дисконтном стопом од 8% и износи</w:t>
            </w:r>
          </w:p>
          <w:p w14:paraId="36E3012C" w14:textId="77777777" w:rsidR="00644746" w:rsidRPr="00CF77C1" w:rsidRDefault="00644746" w:rsidP="0080044B">
            <w:pPr>
              <w:pStyle w:val="BodyText"/>
              <w:jc w:val="center"/>
              <w:rPr>
                <w:szCs w:val="24"/>
                <w:lang w:val="sr-Cyrl-RS"/>
              </w:rPr>
            </w:pPr>
            <w:r w:rsidRPr="00CF77C1">
              <w:rPr>
                <w:szCs w:val="24"/>
                <w:lang w:val="sr-Cyrl-RS"/>
              </w:rPr>
              <w:t xml:space="preserve">NPV =2.037,5 </w:t>
            </w:r>
            <w:r w:rsidR="001F59D5" w:rsidRPr="00CF77C1">
              <w:rPr>
                <w:szCs w:val="24"/>
                <w:lang w:val="sr-Cyrl-RS"/>
              </w:rPr>
              <w:t>милиона РСД</w:t>
            </w:r>
          </w:p>
        </w:tc>
      </w:tr>
      <w:tr w:rsidR="00B5219A" w:rsidRPr="00CF77C1" w14:paraId="1946A7F1" w14:textId="77777777" w:rsidTr="001F59D5">
        <w:tc>
          <w:tcPr>
            <w:tcW w:w="2660" w:type="dxa"/>
            <w:shd w:val="clear" w:color="auto" w:fill="auto"/>
            <w:vAlign w:val="center"/>
          </w:tcPr>
          <w:p w14:paraId="41CA9408" w14:textId="77777777" w:rsidR="00B5219A" w:rsidRPr="00CF77C1" w:rsidRDefault="00B5219A" w:rsidP="0080044B">
            <w:pPr>
              <w:jc w:val="left"/>
              <w:rPr>
                <w:szCs w:val="24"/>
                <w:lang w:val="sr-Cyrl-RS"/>
              </w:rPr>
            </w:pPr>
            <w:r w:rsidRPr="00CF77C1">
              <w:rPr>
                <w:szCs w:val="24"/>
                <w:lang w:val="sr-Cyrl-RS"/>
              </w:rPr>
              <w:t>Увођење система за управљање квалитетом угља у источном делу колубарског басена</w:t>
            </w:r>
          </w:p>
        </w:tc>
        <w:tc>
          <w:tcPr>
            <w:tcW w:w="2126" w:type="dxa"/>
            <w:shd w:val="clear" w:color="auto" w:fill="auto"/>
            <w:vAlign w:val="center"/>
          </w:tcPr>
          <w:p w14:paraId="139DDF22" w14:textId="77777777" w:rsidR="00B5219A" w:rsidRPr="00CF77C1" w:rsidRDefault="00B5219A" w:rsidP="0080044B">
            <w:pPr>
              <w:jc w:val="left"/>
              <w:rPr>
                <w:szCs w:val="24"/>
                <w:lang w:val="sr-Cyrl-RS"/>
              </w:rPr>
            </w:pPr>
            <w:r w:rsidRPr="00CF77C1">
              <w:rPr>
                <w:szCs w:val="24"/>
                <w:lang w:val="sr-Cyrl-RS"/>
              </w:rPr>
              <w:t>90.000.000 €</w:t>
            </w:r>
          </w:p>
          <w:p w14:paraId="2A85E83B" w14:textId="6EDAB2CA" w:rsidR="00B5219A" w:rsidRPr="00CF77C1" w:rsidRDefault="001741AC" w:rsidP="0080044B">
            <w:pPr>
              <w:jc w:val="left"/>
              <w:rPr>
                <w:szCs w:val="24"/>
                <w:lang w:val="sr-Cyrl-RS"/>
              </w:rPr>
            </w:pPr>
            <w:r w:rsidRPr="00CF77C1">
              <w:rPr>
                <w:szCs w:val="24"/>
                <w:lang w:val="sr-Cyrl-RS"/>
              </w:rPr>
              <w:t>Сопствена средства ЕПС</w:t>
            </w:r>
          </w:p>
        </w:tc>
        <w:tc>
          <w:tcPr>
            <w:tcW w:w="2410" w:type="dxa"/>
            <w:vMerge/>
            <w:shd w:val="clear" w:color="auto" w:fill="auto"/>
            <w:vAlign w:val="center"/>
          </w:tcPr>
          <w:p w14:paraId="6E2AE0D8" w14:textId="77777777" w:rsidR="00B5219A" w:rsidRPr="00CF77C1" w:rsidRDefault="00B5219A" w:rsidP="0080044B">
            <w:pPr>
              <w:jc w:val="left"/>
              <w:rPr>
                <w:szCs w:val="24"/>
                <w:lang w:val="sr-Cyrl-RS"/>
              </w:rPr>
            </w:pPr>
          </w:p>
        </w:tc>
        <w:tc>
          <w:tcPr>
            <w:tcW w:w="7591" w:type="dxa"/>
            <w:shd w:val="clear" w:color="auto" w:fill="auto"/>
            <w:vAlign w:val="center"/>
          </w:tcPr>
          <w:p w14:paraId="7E00AE42" w14:textId="77777777" w:rsidR="00B5219A" w:rsidRPr="00CF77C1" w:rsidRDefault="00B5219A" w:rsidP="0080044B">
            <w:pPr>
              <w:jc w:val="left"/>
              <w:rPr>
                <w:szCs w:val="24"/>
                <w:lang w:val="sr-Cyrl-RS"/>
              </w:rPr>
            </w:pPr>
            <w:r w:rsidRPr="00CF77C1">
              <w:rPr>
                <w:szCs w:val="24"/>
                <w:lang w:val="sr-Cyrl-RS"/>
              </w:rPr>
              <w:t>Пројекат је у фази израде</w:t>
            </w:r>
          </w:p>
          <w:p w14:paraId="7B2A1A7A" w14:textId="3F1BDB45" w:rsidR="00B5219A" w:rsidRPr="00CF77C1" w:rsidRDefault="00B5219A" w:rsidP="00B20374">
            <w:pPr>
              <w:jc w:val="left"/>
              <w:rPr>
                <w:szCs w:val="24"/>
                <w:lang w:val="sr-Cyrl-RS"/>
              </w:rPr>
            </w:pPr>
            <w:r w:rsidRPr="00CF77C1">
              <w:rPr>
                <w:szCs w:val="24"/>
                <w:lang w:val="sr-Cyrl-RS"/>
              </w:rPr>
              <w:t>Према истраживањима BCG 30% укупних губитака у ТЕ или 370 GWh се може елиминис</w:t>
            </w:r>
            <w:r w:rsidR="00B20374">
              <w:rPr>
                <w:szCs w:val="24"/>
                <w:lang w:val="sr-Cyrl-RS"/>
              </w:rPr>
              <w:t>а</w:t>
            </w:r>
            <w:r w:rsidRPr="00CF77C1">
              <w:rPr>
                <w:szCs w:val="24"/>
                <w:lang w:val="sr-Cyrl-RS"/>
              </w:rPr>
              <w:t>ти путем хомогенизације угља односно 9.2 милиона € годишње</w:t>
            </w:r>
          </w:p>
        </w:tc>
      </w:tr>
    </w:tbl>
    <w:p w14:paraId="46A59880" w14:textId="332AE5D5" w:rsidR="00AF2314" w:rsidRPr="00CF77C1" w:rsidRDefault="00D61BC9" w:rsidP="00D22907">
      <w:pPr>
        <w:pStyle w:val="Caption"/>
        <w:ind w:firstLine="720"/>
        <w:rPr>
          <w:b w:val="0"/>
          <w:lang w:val="sr-Cyrl-RS"/>
        </w:rPr>
      </w:pPr>
      <w:r w:rsidRPr="00CF77C1">
        <w:rPr>
          <w:b w:val="0"/>
          <w:lang w:val="sr-Cyrl-RS"/>
        </w:rPr>
        <w:t>таб.</w:t>
      </w:r>
      <w:r w:rsidR="00AF2314"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123</w:t>
      </w:r>
      <w:r w:rsidR="0092145E" w:rsidRPr="00CF77C1">
        <w:rPr>
          <w:b w:val="0"/>
          <w:lang w:val="sr-Cyrl-RS"/>
        </w:rPr>
        <w:fldChar w:fldCharType="end"/>
      </w:r>
      <w:r w:rsidR="00AF2314" w:rsidRPr="00CF77C1">
        <w:rPr>
          <w:b w:val="0"/>
          <w:lang w:val="sr-Cyrl-RS"/>
        </w:rPr>
        <w:t>: Недостајућа планска и техничка документација</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0626"/>
        <w:gridCol w:w="2835"/>
      </w:tblGrid>
      <w:tr w:rsidR="00AF2314" w:rsidRPr="00CF77C1" w14:paraId="657511A1" w14:textId="77777777" w:rsidTr="00AF2314">
        <w:trPr>
          <w:cantSplit/>
          <w:tblHeader/>
        </w:trPr>
        <w:tc>
          <w:tcPr>
            <w:tcW w:w="1389" w:type="dxa"/>
            <w:shd w:val="clear" w:color="auto" w:fill="auto"/>
            <w:vAlign w:val="center"/>
          </w:tcPr>
          <w:p w14:paraId="59D83912" w14:textId="77777777" w:rsidR="00AF2314" w:rsidRPr="00CF77C1" w:rsidRDefault="00AF2314" w:rsidP="0080044B">
            <w:pPr>
              <w:jc w:val="center"/>
              <w:rPr>
                <w:lang w:val="sr-Cyrl-RS"/>
              </w:rPr>
            </w:pPr>
            <w:r w:rsidRPr="00CF77C1">
              <w:rPr>
                <w:lang w:val="sr-Cyrl-RS"/>
              </w:rPr>
              <w:t>Пројекат</w:t>
            </w:r>
          </w:p>
        </w:tc>
        <w:tc>
          <w:tcPr>
            <w:tcW w:w="10626" w:type="dxa"/>
            <w:shd w:val="clear" w:color="auto" w:fill="auto"/>
            <w:vAlign w:val="center"/>
          </w:tcPr>
          <w:p w14:paraId="571247D2" w14:textId="77777777" w:rsidR="00AF2314" w:rsidRPr="00CF77C1" w:rsidRDefault="00AF2314" w:rsidP="0080044B">
            <w:pPr>
              <w:jc w:val="center"/>
              <w:rPr>
                <w:lang w:val="sr-Cyrl-RS"/>
              </w:rPr>
            </w:pPr>
            <w:r w:rsidRPr="00CF77C1">
              <w:rPr>
                <w:lang w:val="sr-Cyrl-RS"/>
              </w:rPr>
              <w:t>Статус припреме пројекта</w:t>
            </w:r>
          </w:p>
        </w:tc>
        <w:tc>
          <w:tcPr>
            <w:tcW w:w="2835" w:type="dxa"/>
            <w:shd w:val="clear" w:color="auto" w:fill="auto"/>
            <w:vAlign w:val="center"/>
          </w:tcPr>
          <w:p w14:paraId="735A2CC9" w14:textId="77777777" w:rsidR="00AF2314" w:rsidRPr="00CF77C1" w:rsidRDefault="00AF2314" w:rsidP="0080044B">
            <w:pPr>
              <w:jc w:val="center"/>
              <w:rPr>
                <w:lang w:val="sr-Cyrl-RS"/>
              </w:rPr>
            </w:pPr>
            <w:r w:rsidRPr="00CF77C1">
              <w:rPr>
                <w:lang w:val="sr-Cyrl-RS"/>
              </w:rPr>
              <w:t>Недостајућа планска и техничка документација</w:t>
            </w:r>
          </w:p>
        </w:tc>
      </w:tr>
      <w:tr w:rsidR="00AF2314" w:rsidRPr="00CF77C1" w14:paraId="09042FF4" w14:textId="77777777" w:rsidTr="00AF2314">
        <w:trPr>
          <w:cantSplit/>
        </w:trPr>
        <w:tc>
          <w:tcPr>
            <w:tcW w:w="1389" w:type="dxa"/>
            <w:shd w:val="clear" w:color="auto" w:fill="auto"/>
            <w:vAlign w:val="center"/>
          </w:tcPr>
          <w:p w14:paraId="57323C02" w14:textId="77777777" w:rsidR="00AF2314" w:rsidRPr="00CF77C1" w:rsidRDefault="00AF2314" w:rsidP="0080044B">
            <w:pPr>
              <w:jc w:val="left"/>
              <w:rPr>
                <w:lang w:val="sr-Cyrl-RS"/>
              </w:rPr>
            </w:pPr>
            <w:r w:rsidRPr="00CF77C1">
              <w:rPr>
                <w:lang w:val="sr-Cyrl-RS"/>
              </w:rPr>
              <w:t>Увођење система за управљање квалитетом угља</w:t>
            </w:r>
          </w:p>
        </w:tc>
        <w:tc>
          <w:tcPr>
            <w:tcW w:w="10626" w:type="dxa"/>
            <w:shd w:val="clear" w:color="auto" w:fill="auto"/>
            <w:vAlign w:val="center"/>
          </w:tcPr>
          <w:p w14:paraId="3D34EF7E" w14:textId="77777777" w:rsidR="00AF2314" w:rsidRPr="00CF77C1" w:rsidRDefault="00AF2314" w:rsidP="0080044B">
            <w:pPr>
              <w:spacing w:before="40" w:after="40"/>
              <w:jc w:val="left"/>
              <w:rPr>
                <w:lang w:val="sr-Cyrl-RS"/>
              </w:rPr>
            </w:pPr>
            <w:r w:rsidRPr="00CF77C1">
              <w:rPr>
                <w:lang w:val="sr-Cyrl-RS"/>
              </w:rPr>
              <w:t>Увођење система за управљање квалитетом угља у западном делу колубарског басена је у фази имплементације. Завршава се инжињеринг и отпочети су радови на депонији. Завршетак радова је почетак 2018. године.</w:t>
            </w:r>
          </w:p>
          <w:p w14:paraId="32D49BA7" w14:textId="77777777" w:rsidR="00AF2314" w:rsidRPr="00CF77C1" w:rsidRDefault="00AF2314" w:rsidP="0080044B">
            <w:pPr>
              <w:spacing w:before="40" w:after="40"/>
              <w:jc w:val="left"/>
              <w:rPr>
                <w:lang w:val="sr-Cyrl-RS"/>
              </w:rPr>
            </w:pPr>
            <w:r w:rsidRPr="00CF77C1">
              <w:rPr>
                <w:lang w:val="sr-Cyrl-RS"/>
              </w:rPr>
              <w:t>Увођење система за управљање квалитетом угља на ПК Дрмно је у фази припреме за објављивање тендера за избор извођача радова.</w:t>
            </w:r>
          </w:p>
          <w:p w14:paraId="21641835" w14:textId="77777777" w:rsidR="00AF2314" w:rsidRPr="00CF77C1" w:rsidRDefault="00AF2314" w:rsidP="0080044B">
            <w:pPr>
              <w:spacing w:before="40" w:after="40"/>
              <w:jc w:val="left"/>
              <w:rPr>
                <w:lang w:val="sr-Cyrl-RS"/>
              </w:rPr>
            </w:pPr>
            <w:r w:rsidRPr="00CF77C1">
              <w:rPr>
                <w:lang w:val="sr-Cyrl-RS"/>
              </w:rPr>
              <w:t>Увођење система за управљање квалитетом угља у источном делу колубарског басена је у фази израде.</w:t>
            </w:r>
          </w:p>
        </w:tc>
        <w:tc>
          <w:tcPr>
            <w:tcW w:w="2835" w:type="dxa"/>
            <w:shd w:val="clear" w:color="auto" w:fill="auto"/>
            <w:vAlign w:val="center"/>
          </w:tcPr>
          <w:p w14:paraId="1801681F" w14:textId="28EBEB90" w:rsidR="00AF2314" w:rsidRPr="00CF77C1" w:rsidRDefault="00AF2314" w:rsidP="0080044B">
            <w:pPr>
              <w:jc w:val="left"/>
              <w:rPr>
                <w:lang w:val="sr-Cyrl-RS"/>
              </w:rPr>
            </w:pPr>
            <w:r w:rsidRPr="00CF77C1">
              <w:rPr>
                <w:lang w:val="sr-Cyrl-RS"/>
              </w:rPr>
              <w:t>Студија „Увођење система за управљање квалитетом угља у источном делу колубарског басена</w:t>
            </w:r>
            <w:r w:rsidR="00AD5740" w:rsidRPr="00CF77C1">
              <w:rPr>
                <w:lang w:val="sr-Cyrl-RS"/>
              </w:rPr>
              <w:t>”</w:t>
            </w:r>
            <w:r w:rsidRPr="00CF77C1">
              <w:rPr>
                <w:lang w:val="sr-Cyrl-RS"/>
              </w:rPr>
              <w:t xml:space="preserve"> је у фази израде</w:t>
            </w:r>
          </w:p>
        </w:tc>
      </w:tr>
    </w:tbl>
    <w:p w14:paraId="00B04A15" w14:textId="32C8FB49" w:rsidR="00AF2314" w:rsidRPr="00CF77C1" w:rsidRDefault="00D61BC9" w:rsidP="00D22907">
      <w:pPr>
        <w:pStyle w:val="Caption"/>
        <w:ind w:firstLine="720"/>
        <w:rPr>
          <w:b w:val="0"/>
          <w:lang w:val="sr-Cyrl-RS"/>
        </w:rPr>
      </w:pPr>
      <w:r w:rsidRPr="00CF77C1">
        <w:rPr>
          <w:b w:val="0"/>
          <w:lang w:val="sr-Cyrl-RS"/>
        </w:rPr>
        <w:t>таб.</w:t>
      </w:r>
      <w:r w:rsidR="00AF2314"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124</w:t>
      </w:r>
      <w:r w:rsidR="0092145E" w:rsidRPr="00CF77C1">
        <w:rPr>
          <w:b w:val="0"/>
          <w:lang w:val="sr-Cyrl-RS"/>
        </w:rPr>
        <w:fldChar w:fldCharType="end"/>
      </w:r>
      <w:r w:rsidR="00AF2314" w:rsidRPr="00CF77C1">
        <w:rPr>
          <w:b w:val="0"/>
          <w:lang w:val="sr-Cyrl-RS"/>
        </w:rPr>
        <w:t>: Динамика реализације активн</w:t>
      </w:r>
      <w:r w:rsidR="00E06F39" w:rsidRPr="00CF77C1">
        <w:rPr>
          <w:b w:val="0"/>
          <w:lang w:val="sr-Cyrl-RS"/>
        </w:rPr>
        <w:t>ости у периоду реализације ПОС</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2268"/>
        <w:gridCol w:w="972"/>
        <w:gridCol w:w="972"/>
        <w:gridCol w:w="972"/>
        <w:gridCol w:w="972"/>
        <w:gridCol w:w="972"/>
        <w:gridCol w:w="972"/>
        <w:gridCol w:w="972"/>
      </w:tblGrid>
      <w:tr w:rsidR="00AF2314" w:rsidRPr="00CF77C1" w14:paraId="0227E937" w14:textId="77777777" w:rsidTr="00AF2314">
        <w:trPr>
          <w:tblHeader/>
        </w:trPr>
        <w:tc>
          <w:tcPr>
            <w:tcW w:w="5778" w:type="dxa"/>
            <w:shd w:val="clear" w:color="auto" w:fill="auto"/>
            <w:vAlign w:val="center"/>
          </w:tcPr>
          <w:p w14:paraId="0616C214" w14:textId="77777777" w:rsidR="00AF2314" w:rsidRPr="00CF77C1" w:rsidRDefault="00AF2314" w:rsidP="0080044B">
            <w:pPr>
              <w:jc w:val="center"/>
              <w:rPr>
                <w:lang w:val="sr-Cyrl-RS"/>
              </w:rPr>
            </w:pPr>
            <w:r w:rsidRPr="00CF77C1">
              <w:rPr>
                <w:lang w:val="sr-Cyrl-RS"/>
              </w:rPr>
              <w:t>Пројекат:</w:t>
            </w:r>
          </w:p>
          <w:p w14:paraId="32202075" w14:textId="77777777" w:rsidR="00AF2314" w:rsidRPr="00CF77C1" w:rsidRDefault="00AF2314" w:rsidP="0080044B">
            <w:pPr>
              <w:jc w:val="center"/>
              <w:rPr>
                <w:lang w:val="sr-Cyrl-RS"/>
              </w:rPr>
            </w:pPr>
            <w:r w:rsidRPr="00CF77C1">
              <w:rPr>
                <w:lang w:val="sr-Cyrl-RS"/>
              </w:rPr>
              <w:t>Увођење система за управљање квалитетом угља</w:t>
            </w:r>
          </w:p>
        </w:tc>
        <w:tc>
          <w:tcPr>
            <w:tcW w:w="2268" w:type="dxa"/>
            <w:shd w:val="clear" w:color="auto" w:fill="auto"/>
            <w:vAlign w:val="center"/>
          </w:tcPr>
          <w:p w14:paraId="1589E768" w14:textId="77777777" w:rsidR="00AF2314" w:rsidRPr="00CF77C1" w:rsidRDefault="00DD69C2" w:rsidP="0080044B">
            <w:pPr>
              <w:jc w:val="center"/>
              <w:rPr>
                <w:lang w:val="sr-Cyrl-RS"/>
              </w:rPr>
            </w:pPr>
            <w:r w:rsidRPr="00CF77C1">
              <w:rPr>
                <w:lang w:val="sr-Cyrl-RS"/>
              </w:rPr>
              <w:t>Одговорни субјекат</w:t>
            </w:r>
          </w:p>
        </w:tc>
        <w:tc>
          <w:tcPr>
            <w:tcW w:w="972" w:type="dxa"/>
            <w:shd w:val="clear" w:color="auto" w:fill="auto"/>
            <w:vAlign w:val="center"/>
          </w:tcPr>
          <w:p w14:paraId="667F2C20" w14:textId="77777777" w:rsidR="00AF2314" w:rsidRPr="00CF77C1" w:rsidRDefault="00AF2314" w:rsidP="0080044B">
            <w:pPr>
              <w:jc w:val="center"/>
              <w:rPr>
                <w:lang w:val="sr-Cyrl-RS"/>
              </w:rPr>
            </w:pPr>
            <w:r w:rsidRPr="00CF77C1">
              <w:rPr>
                <w:lang w:val="sr-Cyrl-RS"/>
              </w:rPr>
              <w:t>2017.</w:t>
            </w:r>
          </w:p>
        </w:tc>
        <w:tc>
          <w:tcPr>
            <w:tcW w:w="972" w:type="dxa"/>
            <w:shd w:val="clear" w:color="auto" w:fill="auto"/>
            <w:vAlign w:val="center"/>
          </w:tcPr>
          <w:p w14:paraId="37CCB7AE" w14:textId="77777777" w:rsidR="00AF2314" w:rsidRPr="00CF77C1" w:rsidRDefault="00AF2314" w:rsidP="0080044B">
            <w:pPr>
              <w:jc w:val="center"/>
              <w:rPr>
                <w:lang w:val="sr-Cyrl-RS"/>
              </w:rPr>
            </w:pPr>
            <w:r w:rsidRPr="00CF77C1">
              <w:rPr>
                <w:lang w:val="sr-Cyrl-RS"/>
              </w:rPr>
              <w:t>2018.</w:t>
            </w:r>
          </w:p>
        </w:tc>
        <w:tc>
          <w:tcPr>
            <w:tcW w:w="972" w:type="dxa"/>
            <w:shd w:val="clear" w:color="auto" w:fill="auto"/>
            <w:vAlign w:val="center"/>
          </w:tcPr>
          <w:p w14:paraId="43AF6D85" w14:textId="77777777" w:rsidR="00AF2314" w:rsidRPr="00CF77C1" w:rsidRDefault="00AF2314" w:rsidP="0080044B">
            <w:pPr>
              <w:jc w:val="center"/>
              <w:rPr>
                <w:lang w:val="sr-Cyrl-RS"/>
              </w:rPr>
            </w:pPr>
            <w:r w:rsidRPr="00CF77C1">
              <w:rPr>
                <w:lang w:val="sr-Cyrl-RS"/>
              </w:rPr>
              <w:t>2019.</w:t>
            </w:r>
          </w:p>
        </w:tc>
        <w:tc>
          <w:tcPr>
            <w:tcW w:w="972" w:type="dxa"/>
            <w:shd w:val="clear" w:color="auto" w:fill="auto"/>
            <w:vAlign w:val="center"/>
          </w:tcPr>
          <w:p w14:paraId="3C0962F4" w14:textId="77777777" w:rsidR="00AF2314" w:rsidRPr="00CF77C1" w:rsidRDefault="00AF2314" w:rsidP="0080044B">
            <w:pPr>
              <w:jc w:val="center"/>
              <w:rPr>
                <w:lang w:val="sr-Cyrl-RS"/>
              </w:rPr>
            </w:pPr>
            <w:r w:rsidRPr="00CF77C1">
              <w:rPr>
                <w:lang w:val="sr-Cyrl-RS"/>
              </w:rPr>
              <w:t>2020.</w:t>
            </w:r>
          </w:p>
        </w:tc>
        <w:tc>
          <w:tcPr>
            <w:tcW w:w="972" w:type="dxa"/>
            <w:shd w:val="clear" w:color="auto" w:fill="auto"/>
            <w:vAlign w:val="center"/>
          </w:tcPr>
          <w:p w14:paraId="4F260A19" w14:textId="77777777" w:rsidR="00AF2314" w:rsidRPr="00CF77C1" w:rsidRDefault="00AF2314" w:rsidP="0080044B">
            <w:pPr>
              <w:jc w:val="center"/>
              <w:rPr>
                <w:lang w:val="sr-Cyrl-RS"/>
              </w:rPr>
            </w:pPr>
            <w:r w:rsidRPr="00CF77C1">
              <w:rPr>
                <w:lang w:val="sr-Cyrl-RS"/>
              </w:rPr>
              <w:t>2021.</w:t>
            </w:r>
          </w:p>
        </w:tc>
        <w:tc>
          <w:tcPr>
            <w:tcW w:w="972" w:type="dxa"/>
            <w:shd w:val="clear" w:color="auto" w:fill="auto"/>
            <w:vAlign w:val="center"/>
          </w:tcPr>
          <w:p w14:paraId="015E4AA9" w14:textId="77777777" w:rsidR="00AF2314" w:rsidRPr="00CF77C1" w:rsidRDefault="00AF2314" w:rsidP="0080044B">
            <w:pPr>
              <w:jc w:val="center"/>
              <w:rPr>
                <w:lang w:val="sr-Cyrl-RS"/>
              </w:rPr>
            </w:pPr>
            <w:r w:rsidRPr="00CF77C1">
              <w:rPr>
                <w:lang w:val="sr-Cyrl-RS"/>
              </w:rPr>
              <w:t>2022.</w:t>
            </w:r>
          </w:p>
        </w:tc>
        <w:tc>
          <w:tcPr>
            <w:tcW w:w="972" w:type="dxa"/>
            <w:shd w:val="clear" w:color="auto" w:fill="auto"/>
            <w:vAlign w:val="center"/>
          </w:tcPr>
          <w:p w14:paraId="1962E640" w14:textId="77777777" w:rsidR="00AF2314" w:rsidRPr="00CF77C1" w:rsidRDefault="00AF2314" w:rsidP="0080044B">
            <w:pPr>
              <w:jc w:val="center"/>
              <w:rPr>
                <w:lang w:val="sr-Cyrl-RS"/>
              </w:rPr>
            </w:pPr>
            <w:r w:rsidRPr="00CF77C1">
              <w:rPr>
                <w:lang w:val="sr-Cyrl-RS"/>
              </w:rPr>
              <w:t>2023.</w:t>
            </w:r>
          </w:p>
        </w:tc>
      </w:tr>
      <w:tr w:rsidR="00AF2314" w:rsidRPr="00CF77C1" w14:paraId="44D3DE62" w14:textId="77777777" w:rsidTr="00AF2314">
        <w:tc>
          <w:tcPr>
            <w:tcW w:w="5778" w:type="dxa"/>
            <w:shd w:val="clear" w:color="auto" w:fill="auto"/>
            <w:vAlign w:val="center"/>
          </w:tcPr>
          <w:p w14:paraId="502A984B" w14:textId="77777777" w:rsidR="00AF2314" w:rsidRPr="00CF77C1" w:rsidRDefault="00AF2314" w:rsidP="0080044B">
            <w:pPr>
              <w:spacing w:before="20" w:after="20"/>
              <w:jc w:val="left"/>
              <w:rPr>
                <w:szCs w:val="24"/>
                <w:lang w:val="sr-Cyrl-RS"/>
              </w:rPr>
            </w:pPr>
            <w:r w:rsidRPr="00CF77C1">
              <w:rPr>
                <w:szCs w:val="24"/>
                <w:lang w:val="sr-Cyrl-RS"/>
              </w:rPr>
              <w:t>Увођење система за управљање квалитетом угља у западном делу колубарског басена реализација пројекта</w:t>
            </w:r>
          </w:p>
        </w:tc>
        <w:tc>
          <w:tcPr>
            <w:tcW w:w="2268" w:type="dxa"/>
            <w:vMerge w:val="restart"/>
            <w:shd w:val="clear" w:color="auto" w:fill="auto"/>
            <w:vAlign w:val="center"/>
          </w:tcPr>
          <w:p w14:paraId="0D214503" w14:textId="77777777" w:rsidR="00AF2314" w:rsidRPr="00CF77C1" w:rsidRDefault="001B761F" w:rsidP="0080044B">
            <w:pPr>
              <w:spacing w:before="20" w:after="20"/>
              <w:jc w:val="left"/>
              <w:rPr>
                <w:lang w:val="sr-Cyrl-RS"/>
              </w:rPr>
            </w:pPr>
            <w:r w:rsidRPr="00CF77C1">
              <w:rPr>
                <w:lang w:val="sr-Cyrl-RS"/>
              </w:rPr>
              <w:t>ЕПС</w:t>
            </w:r>
          </w:p>
        </w:tc>
        <w:tc>
          <w:tcPr>
            <w:tcW w:w="972" w:type="dxa"/>
            <w:shd w:val="clear" w:color="auto" w:fill="auto"/>
            <w:vAlign w:val="center"/>
          </w:tcPr>
          <w:p w14:paraId="50614906"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3F3B4937"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60749B3F"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747498AD"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3812080E"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26CBC772"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72AF2964" w14:textId="77777777" w:rsidR="00AF2314" w:rsidRPr="00CF77C1" w:rsidRDefault="00AF2314" w:rsidP="0080044B">
            <w:pPr>
              <w:spacing w:before="20" w:after="20"/>
              <w:jc w:val="center"/>
              <w:rPr>
                <w:lang w:val="sr-Cyrl-RS"/>
              </w:rPr>
            </w:pPr>
          </w:p>
        </w:tc>
      </w:tr>
      <w:tr w:rsidR="00AF2314" w:rsidRPr="00CF77C1" w14:paraId="0CCE15D7" w14:textId="77777777" w:rsidTr="00AF2314">
        <w:tc>
          <w:tcPr>
            <w:tcW w:w="5778" w:type="dxa"/>
            <w:shd w:val="clear" w:color="auto" w:fill="auto"/>
            <w:vAlign w:val="center"/>
          </w:tcPr>
          <w:p w14:paraId="0F073597" w14:textId="77777777" w:rsidR="00AF2314" w:rsidRPr="00CF77C1" w:rsidRDefault="00AF2314" w:rsidP="0080044B">
            <w:pPr>
              <w:spacing w:before="20" w:after="20"/>
              <w:jc w:val="left"/>
              <w:rPr>
                <w:szCs w:val="24"/>
                <w:lang w:val="sr-Cyrl-RS"/>
              </w:rPr>
            </w:pPr>
            <w:r w:rsidRPr="00CF77C1">
              <w:rPr>
                <w:szCs w:val="24"/>
                <w:lang w:val="sr-Cyrl-RS"/>
              </w:rPr>
              <w:t>Увођење система за управљање квалитетом угља на ПК Дрмно - реализација пројекта</w:t>
            </w:r>
          </w:p>
        </w:tc>
        <w:tc>
          <w:tcPr>
            <w:tcW w:w="2268" w:type="dxa"/>
            <w:vMerge/>
            <w:shd w:val="clear" w:color="auto" w:fill="auto"/>
          </w:tcPr>
          <w:p w14:paraId="229F891F" w14:textId="77777777" w:rsidR="00AF2314" w:rsidRPr="00CF77C1" w:rsidRDefault="00AF2314" w:rsidP="0080044B">
            <w:pPr>
              <w:spacing w:before="20" w:after="20"/>
              <w:rPr>
                <w:lang w:val="sr-Cyrl-RS"/>
              </w:rPr>
            </w:pPr>
          </w:p>
        </w:tc>
        <w:tc>
          <w:tcPr>
            <w:tcW w:w="972" w:type="dxa"/>
            <w:shd w:val="clear" w:color="auto" w:fill="auto"/>
            <w:vAlign w:val="center"/>
          </w:tcPr>
          <w:p w14:paraId="5D5C24A1"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32F6216F"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276D7D36"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2E694AF3"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186D06F3"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29B0545F"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6CA18DE9" w14:textId="77777777" w:rsidR="00AF2314" w:rsidRPr="00CF77C1" w:rsidRDefault="00AF2314" w:rsidP="0080044B">
            <w:pPr>
              <w:spacing w:before="20" w:after="20"/>
              <w:jc w:val="center"/>
              <w:rPr>
                <w:lang w:val="sr-Cyrl-RS"/>
              </w:rPr>
            </w:pPr>
          </w:p>
        </w:tc>
      </w:tr>
      <w:tr w:rsidR="00AF2314" w:rsidRPr="00CF77C1" w14:paraId="30364C3F" w14:textId="77777777" w:rsidTr="00AF2314">
        <w:tc>
          <w:tcPr>
            <w:tcW w:w="5778" w:type="dxa"/>
            <w:shd w:val="clear" w:color="auto" w:fill="auto"/>
            <w:vAlign w:val="center"/>
          </w:tcPr>
          <w:p w14:paraId="592885B0" w14:textId="77777777" w:rsidR="00AF2314" w:rsidRPr="00CF77C1" w:rsidRDefault="00AF2314" w:rsidP="0080044B">
            <w:pPr>
              <w:keepNext/>
              <w:keepLines/>
              <w:spacing w:before="20" w:after="20"/>
              <w:jc w:val="left"/>
              <w:rPr>
                <w:szCs w:val="24"/>
                <w:lang w:val="sr-Cyrl-RS"/>
              </w:rPr>
            </w:pPr>
            <w:r w:rsidRPr="00CF77C1">
              <w:rPr>
                <w:szCs w:val="24"/>
                <w:lang w:val="sr-Cyrl-RS"/>
              </w:rPr>
              <w:t xml:space="preserve">Објављивање тендера </w:t>
            </w:r>
          </w:p>
        </w:tc>
        <w:tc>
          <w:tcPr>
            <w:tcW w:w="2268" w:type="dxa"/>
            <w:vMerge/>
            <w:shd w:val="clear" w:color="auto" w:fill="auto"/>
          </w:tcPr>
          <w:p w14:paraId="029D8DB4" w14:textId="77777777" w:rsidR="00AF2314" w:rsidRPr="00CF77C1" w:rsidRDefault="00AF2314" w:rsidP="0080044B">
            <w:pPr>
              <w:keepNext/>
              <w:keepLines/>
              <w:spacing w:before="20" w:after="20"/>
              <w:rPr>
                <w:lang w:val="sr-Cyrl-RS"/>
              </w:rPr>
            </w:pPr>
          </w:p>
        </w:tc>
        <w:tc>
          <w:tcPr>
            <w:tcW w:w="972" w:type="dxa"/>
            <w:shd w:val="clear" w:color="auto" w:fill="auto"/>
            <w:vAlign w:val="center"/>
          </w:tcPr>
          <w:p w14:paraId="7151E0EB"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6D2E8FDB"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2E51B879"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101ED3CD" w14:textId="77777777" w:rsidR="00AF2314" w:rsidRPr="00CF77C1" w:rsidRDefault="00AF2314" w:rsidP="0080044B">
            <w:pPr>
              <w:keepNext/>
              <w:keepLines/>
              <w:spacing w:before="20" w:after="20"/>
              <w:jc w:val="center"/>
              <w:rPr>
                <w:lang w:val="sr-Cyrl-RS"/>
              </w:rPr>
            </w:pPr>
          </w:p>
        </w:tc>
        <w:tc>
          <w:tcPr>
            <w:tcW w:w="972" w:type="dxa"/>
            <w:shd w:val="clear" w:color="auto" w:fill="auto"/>
            <w:vAlign w:val="center"/>
          </w:tcPr>
          <w:p w14:paraId="09B00AC9" w14:textId="77777777" w:rsidR="00AF2314" w:rsidRPr="00CF77C1" w:rsidRDefault="00AF2314" w:rsidP="0080044B">
            <w:pPr>
              <w:keepNext/>
              <w:keepLines/>
              <w:spacing w:before="20" w:after="20"/>
              <w:jc w:val="center"/>
              <w:rPr>
                <w:lang w:val="sr-Cyrl-RS"/>
              </w:rPr>
            </w:pPr>
          </w:p>
        </w:tc>
        <w:tc>
          <w:tcPr>
            <w:tcW w:w="972" w:type="dxa"/>
            <w:shd w:val="clear" w:color="auto" w:fill="auto"/>
            <w:vAlign w:val="center"/>
          </w:tcPr>
          <w:p w14:paraId="419A740C" w14:textId="77777777" w:rsidR="00AF2314" w:rsidRPr="00CF77C1" w:rsidRDefault="00AF2314" w:rsidP="0080044B">
            <w:pPr>
              <w:keepNext/>
              <w:keepLines/>
              <w:spacing w:before="20" w:after="20"/>
              <w:jc w:val="center"/>
              <w:rPr>
                <w:lang w:val="sr-Cyrl-RS"/>
              </w:rPr>
            </w:pPr>
          </w:p>
        </w:tc>
        <w:tc>
          <w:tcPr>
            <w:tcW w:w="972" w:type="dxa"/>
            <w:shd w:val="clear" w:color="auto" w:fill="auto"/>
            <w:vAlign w:val="center"/>
          </w:tcPr>
          <w:p w14:paraId="5D62BE95" w14:textId="77777777" w:rsidR="00AF2314" w:rsidRPr="00CF77C1" w:rsidRDefault="00AF2314" w:rsidP="0080044B">
            <w:pPr>
              <w:keepNext/>
              <w:keepLines/>
              <w:spacing w:before="20" w:after="20"/>
              <w:jc w:val="center"/>
              <w:rPr>
                <w:lang w:val="sr-Cyrl-RS"/>
              </w:rPr>
            </w:pPr>
          </w:p>
        </w:tc>
      </w:tr>
      <w:tr w:rsidR="00AF2314" w:rsidRPr="00CF77C1" w14:paraId="566FA9B2" w14:textId="77777777" w:rsidTr="00AF2314">
        <w:tc>
          <w:tcPr>
            <w:tcW w:w="5778" w:type="dxa"/>
            <w:shd w:val="clear" w:color="auto" w:fill="auto"/>
            <w:vAlign w:val="center"/>
          </w:tcPr>
          <w:p w14:paraId="2E17D8DE" w14:textId="77777777" w:rsidR="00AF2314" w:rsidRPr="00CF77C1" w:rsidRDefault="00AF2314" w:rsidP="0080044B">
            <w:pPr>
              <w:spacing w:before="20" w:after="20"/>
              <w:jc w:val="left"/>
              <w:rPr>
                <w:szCs w:val="24"/>
                <w:lang w:val="sr-Cyrl-RS"/>
              </w:rPr>
            </w:pPr>
            <w:r w:rsidRPr="00CF77C1">
              <w:rPr>
                <w:szCs w:val="24"/>
                <w:lang w:val="sr-Cyrl-RS"/>
              </w:rPr>
              <w:t>Набавка и монтажа опреме на ПК Дрмно</w:t>
            </w:r>
          </w:p>
        </w:tc>
        <w:tc>
          <w:tcPr>
            <w:tcW w:w="2268" w:type="dxa"/>
            <w:vMerge/>
            <w:shd w:val="clear" w:color="auto" w:fill="auto"/>
          </w:tcPr>
          <w:p w14:paraId="63E7772A" w14:textId="77777777" w:rsidR="00AF2314" w:rsidRPr="00CF77C1" w:rsidRDefault="00AF2314" w:rsidP="0080044B">
            <w:pPr>
              <w:spacing w:before="20" w:after="20"/>
              <w:rPr>
                <w:lang w:val="sr-Cyrl-RS"/>
              </w:rPr>
            </w:pPr>
          </w:p>
        </w:tc>
        <w:tc>
          <w:tcPr>
            <w:tcW w:w="972" w:type="dxa"/>
            <w:shd w:val="clear" w:color="auto" w:fill="auto"/>
            <w:vAlign w:val="center"/>
          </w:tcPr>
          <w:p w14:paraId="41D38124"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6A0E17B8"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39B0DF49"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5172CD82"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3C42D3D6"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6AC589E3"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3747BECE" w14:textId="77777777" w:rsidR="00AF2314" w:rsidRPr="00CF77C1" w:rsidRDefault="00AF2314" w:rsidP="0080044B">
            <w:pPr>
              <w:spacing w:before="20" w:after="20"/>
              <w:jc w:val="center"/>
              <w:rPr>
                <w:lang w:val="sr-Cyrl-RS"/>
              </w:rPr>
            </w:pPr>
          </w:p>
        </w:tc>
      </w:tr>
      <w:tr w:rsidR="00AF2314" w:rsidRPr="00CF77C1" w14:paraId="2C6B9FFB" w14:textId="77777777" w:rsidTr="00AF2314">
        <w:tc>
          <w:tcPr>
            <w:tcW w:w="5778" w:type="dxa"/>
            <w:shd w:val="clear" w:color="auto" w:fill="auto"/>
            <w:vAlign w:val="center"/>
          </w:tcPr>
          <w:p w14:paraId="14CDE8BC" w14:textId="77777777" w:rsidR="00AF2314" w:rsidRPr="00CF77C1" w:rsidRDefault="00AF2314" w:rsidP="0080044B">
            <w:pPr>
              <w:spacing w:before="20" w:after="20"/>
              <w:jc w:val="left"/>
              <w:rPr>
                <w:szCs w:val="24"/>
                <w:lang w:val="sr-Cyrl-RS"/>
              </w:rPr>
            </w:pPr>
            <w:r w:rsidRPr="00CF77C1">
              <w:rPr>
                <w:szCs w:val="24"/>
                <w:lang w:val="sr-Cyrl-RS"/>
              </w:rPr>
              <w:t>Уходавање система</w:t>
            </w:r>
          </w:p>
        </w:tc>
        <w:tc>
          <w:tcPr>
            <w:tcW w:w="2268" w:type="dxa"/>
            <w:vMerge/>
            <w:shd w:val="clear" w:color="auto" w:fill="auto"/>
          </w:tcPr>
          <w:p w14:paraId="3A662A52" w14:textId="77777777" w:rsidR="00AF2314" w:rsidRPr="00CF77C1" w:rsidRDefault="00AF2314" w:rsidP="0080044B">
            <w:pPr>
              <w:spacing w:before="20" w:after="20"/>
              <w:rPr>
                <w:lang w:val="sr-Cyrl-RS"/>
              </w:rPr>
            </w:pPr>
          </w:p>
        </w:tc>
        <w:tc>
          <w:tcPr>
            <w:tcW w:w="972" w:type="dxa"/>
            <w:shd w:val="clear" w:color="auto" w:fill="auto"/>
            <w:vAlign w:val="center"/>
          </w:tcPr>
          <w:p w14:paraId="7C726433"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4B7B059E"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49935970"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34DAEBC4"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4D937C05"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2E09A00A"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424D5967" w14:textId="77777777" w:rsidR="00AF2314" w:rsidRPr="00CF77C1" w:rsidRDefault="00AF2314" w:rsidP="0080044B">
            <w:pPr>
              <w:spacing w:before="20" w:after="20"/>
              <w:jc w:val="center"/>
              <w:rPr>
                <w:lang w:val="sr-Cyrl-RS"/>
              </w:rPr>
            </w:pPr>
          </w:p>
        </w:tc>
      </w:tr>
      <w:tr w:rsidR="00AF2314" w:rsidRPr="00CF77C1" w14:paraId="61E19933" w14:textId="77777777" w:rsidTr="00AF2314">
        <w:tc>
          <w:tcPr>
            <w:tcW w:w="5778" w:type="dxa"/>
            <w:shd w:val="clear" w:color="auto" w:fill="auto"/>
            <w:vAlign w:val="center"/>
          </w:tcPr>
          <w:p w14:paraId="37E538AD" w14:textId="77777777" w:rsidR="00AF2314" w:rsidRPr="0039217F" w:rsidRDefault="00AF2314" w:rsidP="0080044B">
            <w:pPr>
              <w:spacing w:before="20" w:after="20"/>
              <w:jc w:val="left"/>
              <w:rPr>
                <w:sz w:val="22"/>
                <w:szCs w:val="24"/>
                <w:lang w:val="sr-Cyrl-RS"/>
              </w:rPr>
            </w:pPr>
            <w:r w:rsidRPr="0039217F">
              <w:rPr>
                <w:sz w:val="22"/>
                <w:szCs w:val="24"/>
                <w:lang w:val="sr-Cyrl-RS"/>
              </w:rPr>
              <w:t>Увођење система за управљање квалитетом угља у источном делу колубарског басена - реализација пројекта</w:t>
            </w:r>
          </w:p>
        </w:tc>
        <w:tc>
          <w:tcPr>
            <w:tcW w:w="2268" w:type="dxa"/>
            <w:vMerge/>
            <w:shd w:val="clear" w:color="auto" w:fill="auto"/>
          </w:tcPr>
          <w:p w14:paraId="6FBC0C2D" w14:textId="77777777" w:rsidR="00AF2314" w:rsidRPr="00CF77C1" w:rsidRDefault="00AF2314" w:rsidP="0080044B">
            <w:pPr>
              <w:spacing w:before="20" w:after="20"/>
              <w:rPr>
                <w:lang w:val="sr-Cyrl-RS"/>
              </w:rPr>
            </w:pPr>
          </w:p>
        </w:tc>
        <w:tc>
          <w:tcPr>
            <w:tcW w:w="972" w:type="dxa"/>
            <w:shd w:val="clear" w:color="auto" w:fill="auto"/>
            <w:vAlign w:val="center"/>
          </w:tcPr>
          <w:p w14:paraId="1C2C178E"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62906A24"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5944D2D3"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4058CA22"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294F6041"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652C78A6"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761D6CBE" w14:textId="77777777" w:rsidR="00AF2314" w:rsidRPr="00CF77C1" w:rsidRDefault="00AF2314" w:rsidP="0080044B">
            <w:pPr>
              <w:spacing w:before="20" w:after="20"/>
              <w:jc w:val="center"/>
              <w:rPr>
                <w:lang w:val="sr-Cyrl-RS"/>
              </w:rPr>
            </w:pPr>
          </w:p>
        </w:tc>
      </w:tr>
      <w:tr w:rsidR="00AF2314" w:rsidRPr="00CF77C1" w14:paraId="1ECADBB2" w14:textId="77777777" w:rsidTr="00AF2314">
        <w:tc>
          <w:tcPr>
            <w:tcW w:w="5778" w:type="dxa"/>
            <w:shd w:val="clear" w:color="auto" w:fill="auto"/>
            <w:vAlign w:val="center"/>
          </w:tcPr>
          <w:p w14:paraId="26BF3430" w14:textId="77777777" w:rsidR="00AF2314" w:rsidRPr="00CF77C1" w:rsidRDefault="00AF2314" w:rsidP="0080044B">
            <w:pPr>
              <w:spacing w:before="20" w:after="20"/>
              <w:jc w:val="left"/>
              <w:rPr>
                <w:szCs w:val="24"/>
                <w:lang w:val="sr-Cyrl-RS"/>
              </w:rPr>
            </w:pPr>
            <w:r w:rsidRPr="00CF77C1">
              <w:rPr>
                <w:szCs w:val="24"/>
                <w:lang w:val="sr-Cyrl-RS"/>
              </w:rPr>
              <w:t>Завршетак Студије оправданости</w:t>
            </w:r>
          </w:p>
        </w:tc>
        <w:tc>
          <w:tcPr>
            <w:tcW w:w="2268" w:type="dxa"/>
            <w:vMerge/>
            <w:shd w:val="clear" w:color="auto" w:fill="auto"/>
          </w:tcPr>
          <w:p w14:paraId="1041D62E" w14:textId="77777777" w:rsidR="00AF2314" w:rsidRPr="00CF77C1" w:rsidRDefault="00AF2314" w:rsidP="0080044B">
            <w:pPr>
              <w:spacing w:before="20" w:after="20"/>
              <w:rPr>
                <w:lang w:val="sr-Cyrl-RS"/>
              </w:rPr>
            </w:pPr>
          </w:p>
        </w:tc>
        <w:tc>
          <w:tcPr>
            <w:tcW w:w="972" w:type="dxa"/>
            <w:shd w:val="clear" w:color="auto" w:fill="auto"/>
            <w:vAlign w:val="center"/>
          </w:tcPr>
          <w:p w14:paraId="48C253CA"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6215453F"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650E6C0F"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7554640C"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418F1014"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2868A283"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512F4DDC" w14:textId="77777777" w:rsidR="00AF2314" w:rsidRPr="00CF77C1" w:rsidRDefault="00AF2314" w:rsidP="0080044B">
            <w:pPr>
              <w:spacing w:before="20" w:after="20"/>
              <w:jc w:val="center"/>
              <w:rPr>
                <w:lang w:val="sr-Cyrl-RS"/>
              </w:rPr>
            </w:pPr>
          </w:p>
        </w:tc>
      </w:tr>
      <w:tr w:rsidR="00AF2314" w:rsidRPr="00CF77C1" w14:paraId="60642134" w14:textId="77777777" w:rsidTr="00AF2314">
        <w:tc>
          <w:tcPr>
            <w:tcW w:w="5778" w:type="dxa"/>
            <w:shd w:val="clear" w:color="auto" w:fill="auto"/>
            <w:vAlign w:val="center"/>
          </w:tcPr>
          <w:p w14:paraId="675B0F48" w14:textId="77777777" w:rsidR="00AF2314" w:rsidRPr="00CF77C1" w:rsidRDefault="00AF2314" w:rsidP="0080044B">
            <w:pPr>
              <w:keepNext/>
              <w:keepLines/>
              <w:spacing w:before="20" w:after="20"/>
              <w:jc w:val="left"/>
              <w:rPr>
                <w:szCs w:val="24"/>
                <w:lang w:val="sr-Cyrl-RS"/>
              </w:rPr>
            </w:pPr>
            <w:r w:rsidRPr="00CF77C1">
              <w:rPr>
                <w:szCs w:val="24"/>
                <w:lang w:val="sr-Cyrl-RS"/>
              </w:rPr>
              <w:t xml:space="preserve">Објављивање тендера </w:t>
            </w:r>
          </w:p>
        </w:tc>
        <w:tc>
          <w:tcPr>
            <w:tcW w:w="2268" w:type="dxa"/>
            <w:vMerge/>
            <w:shd w:val="clear" w:color="auto" w:fill="auto"/>
          </w:tcPr>
          <w:p w14:paraId="2B663245" w14:textId="77777777" w:rsidR="00AF2314" w:rsidRPr="00CF77C1" w:rsidRDefault="00AF2314" w:rsidP="0080044B">
            <w:pPr>
              <w:spacing w:before="20" w:after="20"/>
              <w:rPr>
                <w:lang w:val="sr-Cyrl-RS"/>
              </w:rPr>
            </w:pPr>
          </w:p>
        </w:tc>
        <w:tc>
          <w:tcPr>
            <w:tcW w:w="972" w:type="dxa"/>
            <w:shd w:val="clear" w:color="auto" w:fill="auto"/>
            <w:vAlign w:val="center"/>
          </w:tcPr>
          <w:p w14:paraId="0AA3573D"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37566E4A" w14:textId="77777777" w:rsidR="00AF2314" w:rsidRPr="00CF77C1" w:rsidRDefault="00AF2314" w:rsidP="0080044B">
            <w:pPr>
              <w:spacing w:before="20" w:after="20"/>
              <w:jc w:val="center"/>
              <w:rPr>
                <w:lang w:val="sr-Cyrl-RS"/>
              </w:rPr>
            </w:pPr>
            <w:r w:rsidRPr="00CF77C1">
              <w:rPr>
                <w:lang w:val="sr-Cyrl-RS"/>
              </w:rPr>
              <w:t>x</w:t>
            </w:r>
          </w:p>
        </w:tc>
        <w:tc>
          <w:tcPr>
            <w:tcW w:w="972" w:type="dxa"/>
            <w:shd w:val="clear" w:color="auto" w:fill="auto"/>
            <w:vAlign w:val="center"/>
          </w:tcPr>
          <w:p w14:paraId="09D1F064"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55FFE832"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557BA506"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0376AF60" w14:textId="77777777" w:rsidR="00AF2314" w:rsidRPr="00CF77C1" w:rsidRDefault="00AF2314" w:rsidP="0080044B">
            <w:pPr>
              <w:spacing w:before="20" w:after="20"/>
              <w:jc w:val="center"/>
              <w:rPr>
                <w:lang w:val="sr-Cyrl-RS"/>
              </w:rPr>
            </w:pPr>
          </w:p>
        </w:tc>
        <w:tc>
          <w:tcPr>
            <w:tcW w:w="972" w:type="dxa"/>
            <w:shd w:val="clear" w:color="auto" w:fill="auto"/>
            <w:vAlign w:val="center"/>
          </w:tcPr>
          <w:p w14:paraId="7B32A155" w14:textId="77777777" w:rsidR="00AF2314" w:rsidRPr="00CF77C1" w:rsidRDefault="00AF2314" w:rsidP="0080044B">
            <w:pPr>
              <w:spacing w:before="20" w:after="20"/>
              <w:jc w:val="center"/>
              <w:rPr>
                <w:lang w:val="sr-Cyrl-RS"/>
              </w:rPr>
            </w:pPr>
          </w:p>
        </w:tc>
      </w:tr>
      <w:tr w:rsidR="0005232E" w:rsidRPr="00CF77C1" w14:paraId="2A2DC12B" w14:textId="77777777" w:rsidTr="00AF2314">
        <w:tc>
          <w:tcPr>
            <w:tcW w:w="5778" w:type="dxa"/>
            <w:shd w:val="clear" w:color="auto" w:fill="auto"/>
            <w:vAlign w:val="center"/>
          </w:tcPr>
          <w:p w14:paraId="7C5AB44F" w14:textId="77777777" w:rsidR="0005232E" w:rsidRPr="00CF77C1" w:rsidRDefault="0005232E" w:rsidP="0080044B">
            <w:pPr>
              <w:spacing w:before="20" w:after="20"/>
              <w:jc w:val="left"/>
              <w:rPr>
                <w:szCs w:val="24"/>
                <w:lang w:val="sr-Cyrl-RS"/>
              </w:rPr>
            </w:pPr>
            <w:r w:rsidRPr="00CF77C1">
              <w:rPr>
                <w:szCs w:val="24"/>
                <w:lang w:val="sr-Cyrl-RS"/>
              </w:rPr>
              <w:t>Набавка и монтажа опреме на коповима и преради</w:t>
            </w:r>
          </w:p>
        </w:tc>
        <w:tc>
          <w:tcPr>
            <w:tcW w:w="2268" w:type="dxa"/>
            <w:vMerge/>
            <w:shd w:val="clear" w:color="auto" w:fill="auto"/>
          </w:tcPr>
          <w:p w14:paraId="3EC43488" w14:textId="77777777" w:rsidR="0005232E" w:rsidRPr="00CF77C1" w:rsidRDefault="0005232E" w:rsidP="0080044B">
            <w:pPr>
              <w:spacing w:before="20" w:after="20"/>
              <w:rPr>
                <w:lang w:val="sr-Cyrl-RS"/>
              </w:rPr>
            </w:pPr>
          </w:p>
        </w:tc>
        <w:tc>
          <w:tcPr>
            <w:tcW w:w="972" w:type="dxa"/>
            <w:shd w:val="clear" w:color="auto" w:fill="auto"/>
            <w:vAlign w:val="center"/>
          </w:tcPr>
          <w:p w14:paraId="08202CBC" w14:textId="77777777" w:rsidR="0005232E" w:rsidRPr="00CF77C1" w:rsidRDefault="0005232E" w:rsidP="0080044B">
            <w:pPr>
              <w:spacing w:before="20" w:after="20"/>
              <w:jc w:val="center"/>
              <w:rPr>
                <w:lang w:val="sr-Cyrl-RS"/>
              </w:rPr>
            </w:pPr>
          </w:p>
        </w:tc>
        <w:tc>
          <w:tcPr>
            <w:tcW w:w="972" w:type="dxa"/>
            <w:shd w:val="clear" w:color="auto" w:fill="auto"/>
            <w:vAlign w:val="center"/>
          </w:tcPr>
          <w:p w14:paraId="5560EE47" w14:textId="77777777"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02A20CA9" w14:textId="77777777"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1DCC7455" w14:textId="77777777"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4797988E" w14:textId="77FA51BF"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1DC4487E" w14:textId="16C59385"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0E1DD980" w14:textId="3B05F4BC" w:rsidR="0005232E" w:rsidRPr="00CF77C1" w:rsidRDefault="0005232E" w:rsidP="0080044B">
            <w:pPr>
              <w:spacing w:before="20" w:after="20"/>
              <w:jc w:val="center"/>
              <w:rPr>
                <w:lang w:val="sr-Cyrl-RS"/>
              </w:rPr>
            </w:pPr>
            <w:r w:rsidRPr="00CF77C1">
              <w:rPr>
                <w:lang w:val="sr-Cyrl-RS"/>
              </w:rPr>
              <w:t>x</w:t>
            </w:r>
          </w:p>
        </w:tc>
      </w:tr>
      <w:tr w:rsidR="0005232E" w:rsidRPr="00CF77C1" w14:paraId="3BC9EE36" w14:textId="77777777" w:rsidTr="00AF2314">
        <w:tc>
          <w:tcPr>
            <w:tcW w:w="5778" w:type="dxa"/>
            <w:shd w:val="clear" w:color="auto" w:fill="auto"/>
            <w:vAlign w:val="center"/>
          </w:tcPr>
          <w:p w14:paraId="385854E8" w14:textId="77777777" w:rsidR="0005232E" w:rsidRPr="00CF77C1" w:rsidRDefault="0005232E" w:rsidP="0080044B">
            <w:pPr>
              <w:spacing w:before="20" w:after="20"/>
              <w:jc w:val="left"/>
              <w:rPr>
                <w:szCs w:val="24"/>
                <w:lang w:val="sr-Cyrl-RS"/>
              </w:rPr>
            </w:pPr>
            <w:r w:rsidRPr="00CF77C1">
              <w:rPr>
                <w:szCs w:val="24"/>
                <w:lang w:val="sr-Cyrl-RS"/>
              </w:rPr>
              <w:t>Уходавање система</w:t>
            </w:r>
          </w:p>
        </w:tc>
        <w:tc>
          <w:tcPr>
            <w:tcW w:w="2268" w:type="dxa"/>
            <w:vMerge/>
            <w:shd w:val="clear" w:color="auto" w:fill="auto"/>
          </w:tcPr>
          <w:p w14:paraId="2FBE0A4B" w14:textId="77777777" w:rsidR="0005232E" w:rsidRPr="00CF77C1" w:rsidRDefault="0005232E" w:rsidP="0080044B">
            <w:pPr>
              <w:spacing w:before="20" w:after="20"/>
              <w:rPr>
                <w:lang w:val="sr-Cyrl-RS"/>
              </w:rPr>
            </w:pPr>
          </w:p>
        </w:tc>
        <w:tc>
          <w:tcPr>
            <w:tcW w:w="972" w:type="dxa"/>
            <w:shd w:val="clear" w:color="auto" w:fill="auto"/>
            <w:vAlign w:val="center"/>
          </w:tcPr>
          <w:p w14:paraId="289DBA10" w14:textId="77777777" w:rsidR="0005232E" w:rsidRPr="00CF77C1" w:rsidRDefault="0005232E" w:rsidP="0080044B">
            <w:pPr>
              <w:spacing w:before="20" w:after="20"/>
              <w:jc w:val="center"/>
              <w:rPr>
                <w:lang w:val="sr-Cyrl-RS"/>
              </w:rPr>
            </w:pPr>
          </w:p>
        </w:tc>
        <w:tc>
          <w:tcPr>
            <w:tcW w:w="972" w:type="dxa"/>
            <w:shd w:val="clear" w:color="auto" w:fill="auto"/>
            <w:vAlign w:val="center"/>
          </w:tcPr>
          <w:p w14:paraId="45F7B0FC" w14:textId="77777777" w:rsidR="0005232E" w:rsidRPr="00CF77C1" w:rsidRDefault="0005232E" w:rsidP="0080044B">
            <w:pPr>
              <w:spacing w:before="20" w:after="20"/>
              <w:jc w:val="center"/>
              <w:rPr>
                <w:lang w:val="sr-Cyrl-RS"/>
              </w:rPr>
            </w:pPr>
          </w:p>
        </w:tc>
        <w:tc>
          <w:tcPr>
            <w:tcW w:w="972" w:type="dxa"/>
            <w:shd w:val="clear" w:color="auto" w:fill="auto"/>
            <w:vAlign w:val="center"/>
          </w:tcPr>
          <w:p w14:paraId="4A4D7DBA" w14:textId="77777777"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19DD1BAB" w14:textId="77777777"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527B3374" w14:textId="591F09BE"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5B71DC27" w14:textId="34B91275" w:rsidR="0005232E" w:rsidRPr="00CF77C1" w:rsidRDefault="0005232E" w:rsidP="0080044B">
            <w:pPr>
              <w:spacing w:before="20" w:after="20"/>
              <w:jc w:val="center"/>
              <w:rPr>
                <w:lang w:val="sr-Cyrl-RS"/>
              </w:rPr>
            </w:pPr>
            <w:r w:rsidRPr="00CF77C1">
              <w:rPr>
                <w:lang w:val="sr-Cyrl-RS"/>
              </w:rPr>
              <w:t>x</w:t>
            </w:r>
          </w:p>
        </w:tc>
        <w:tc>
          <w:tcPr>
            <w:tcW w:w="972" w:type="dxa"/>
            <w:shd w:val="clear" w:color="auto" w:fill="auto"/>
            <w:vAlign w:val="center"/>
          </w:tcPr>
          <w:p w14:paraId="3A17BD67" w14:textId="6E8AAF27" w:rsidR="0005232E" w:rsidRPr="00CF77C1" w:rsidRDefault="0005232E" w:rsidP="0080044B">
            <w:pPr>
              <w:spacing w:before="20" w:after="20"/>
              <w:jc w:val="center"/>
              <w:rPr>
                <w:lang w:val="sr-Cyrl-RS"/>
              </w:rPr>
            </w:pPr>
            <w:r w:rsidRPr="00CF77C1">
              <w:rPr>
                <w:lang w:val="sr-Cyrl-RS"/>
              </w:rPr>
              <w:t>x</w:t>
            </w:r>
          </w:p>
        </w:tc>
      </w:tr>
    </w:tbl>
    <w:p w14:paraId="4CC466A2" w14:textId="77777777" w:rsidR="00644746" w:rsidRPr="00CF77C1" w:rsidRDefault="00AF2314" w:rsidP="00D22907">
      <w:pPr>
        <w:ind w:firstLine="539"/>
        <w:rPr>
          <w:lang w:val="sr-Cyrl-RS"/>
        </w:rPr>
      </w:pPr>
      <w:r w:rsidRPr="00CF77C1">
        <w:rPr>
          <w:lang w:val="sr-Cyrl-RS"/>
        </w:rPr>
        <w:t>Ризици: Спровођење јавних набавки, неквалитетни истражни радови</w:t>
      </w:r>
    </w:p>
    <w:p w14:paraId="25A2269A" w14:textId="77777777" w:rsidR="00644746" w:rsidRPr="00CF77C1" w:rsidRDefault="00644746" w:rsidP="0080044B">
      <w:pPr>
        <w:rPr>
          <w:lang w:val="sr-Cyrl-RS"/>
        </w:rPr>
        <w:sectPr w:rsidR="00644746" w:rsidRPr="00CF77C1" w:rsidSect="00017454">
          <w:headerReference w:type="default" r:id="rId134"/>
          <w:footerReference w:type="even" r:id="rId135"/>
          <w:footerReference w:type="default" r:id="rId136"/>
          <w:pgSz w:w="16839" w:h="11907" w:orient="landscape" w:code="9"/>
          <w:pgMar w:top="1418" w:right="1134" w:bottom="1134" w:left="1134" w:header="1004" w:footer="720" w:gutter="0"/>
          <w:cols w:space="720"/>
          <w:docGrid w:linePitch="360"/>
        </w:sectPr>
      </w:pPr>
    </w:p>
    <w:p w14:paraId="58AF9BF0" w14:textId="45A763A6" w:rsidR="00AF2314" w:rsidRPr="00CF77C1" w:rsidRDefault="00086DE0" w:rsidP="00086DE0">
      <w:pPr>
        <w:keepNext/>
        <w:keepLines/>
        <w:pageBreakBefore/>
        <w:ind w:firstLine="720"/>
        <w:rPr>
          <w:lang w:val="sr-Cyrl-RS"/>
        </w:rPr>
      </w:pPr>
      <w:bookmarkStart w:id="184" w:name="_Ref476806100"/>
      <w:bookmarkStart w:id="185" w:name="_Toc463001131"/>
      <w:r w:rsidRPr="00CF77C1">
        <w:rPr>
          <w:lang w:val="sr-Cyrl-RS"/>
        </w:rPr>
        <w:t>П.30.</w:t>
      </w:r>
      <w:r w:rsidR="00AF2314" w:rsidRPr="00CF77C1">
        <w:rPr>
          <w:lang w:val="sr-Cyrl-RS"/>
        </w:rPr>
        <w:t>Увођење нове организаци</w:t>
      </w:r>
      <w:r w:rsidR="001741AC" w:rsidRPr="00CF77C1">
        <w:rPr>
          <w:lang w:val="sr-Cyrl-RS"/>
        </w:rPr>
        <w:t>је на површинским коповима ЕПС</w:t>
      </w:r>
      <w:r w:rsidR="00AF2314" w:rsidRPr="00CF77C1">
        <w:rPr>
          <w:lang w:val="sr-Cyrl-RS"/>
        </w:rPr>
        <w:t xml:space="preserve"> у циљу унапређења рада и повећања </w:t>
      </w:r>
      <w:r w:rsidR="00B3332E" w:rsidRPr="00CF77C1">
        <w:rPr>
          <w:lang w:val="sr-Cyrl-RS"/>
        </w:rPr>
        <w:t>ефикасности површинских копова у ЕПС</w:t>
      </w:r>
      <w:bookmarkEnd w:id="184"/>
    </w:p>
    <w:p w14:paraId="63FE36A7" w14:textId="77777777" w:rsidR="00AF2314" w:rsidRPr="00CF77C1" w:rsidRDefault="001B761F" w:rsidP="00086DE0">
      <w:pPr>
        <w:ind w:firstLine="720"/>
        <w:rPr>
          <w:lang w:val="sr-Cyrl-RS"/>
        </w:rPr>
      </w:pPr>
      <w:r w:rsidRPr="00CF77C1">
        <w:rPr>
          <w:lang w:val="sr-Cyrl-RS"/>
        </w:rPr>
        <w:t>ЕПС</w:t>
      </w:r>
      <w:r w:rsidR="00AF2314" w:rsidRPr="00CF77C1">
        <w:rPr>
          <w:lang w:val="sr-Cyrl-RS"/>
        </w:rPr>
        <w:t xml:space="preserve"> је са консултан</w:t>
      </w:r>
      <w:r w:rsidR="006E5A8A" w:rsidRPr="00CF77C1">
        <w:rPr>
          <w:lang w:val="sr-Cyrl-RS"/>
        </w:rPr>
        <w:t>тс</w:t>
      </w:r>
      <w:r w:rsidR="00AF2314" w:rsidRPr="00CF77C1">
        <w:rPr>
          <w:lang w:val="sr-Cyrl-RS"/>
        </w:rPr>
        <w:t>ком кућом Bo</w:t>
      </w:r>
      <w:r w:rsidR="00A84557" w:rsidRPr="00CF77C1">
        <w:rPr>
          <w:lang w:val="sr-Cyrl-RS"/>
        </w:rPr>
        <w:t>ston Consulting Group дефинисао</w:t>
      </w:r>
      <w:r w:rsidR="00AF2314" w:rsidRPr="00CF77C1">
        <w:rPr>
          <w:lang w:val="sr-Cyrl-RS"/>
        </w:rPr>
        <w:t xml:space="preserve"> сет неопходних мера како би производња угља била ефикасна и профитабилна, а цена произведене енергије конкуретна на светском тржишту и како би се смањили трошкови пословања, а све у циљу сигурног снабдевања термоелектрана угљем одговарајућег квалитета. Основни дефинисани циљеви су:</w:t>
      </w:r>
    </w:p>
    <w:p w14:paraId="2A839729" w14:textId="77777777" w:rsidR="00AF2314" w:rsidRPr="00CF77C1" w:rsidRDefault="00AF2314" w:rsidP="00D22907">
      <w:pPr>
        <w:pStyle w:val="ListParagraph"/>
        <w:numPr>
          <w:ilvl w:val="0"/>
          <w:numId w:val="46"/>
        </w:numPr>
        <w:spacing w:before="60" w:after="60"/>
        <w:ind w:left="0" w:firstLine="720"/>
        <w:contextualSpacing w:val="0"/>
        <w:rPr>
          <w:lang w:val="sr-Cyrl-RS"/>
        </w:rPr>
      </w:pPr>
      <w:r w:rsidRPr="00CF77C1">
        <w:rPr>
          <w:lang w:val="sr-Cyrl-RS"/>
        </w:rPr>
        <w:t>побољшање безбедности и заштите на раду запослених;</w:t>
      </w:r>
    </w:p>
    <w:p w14:paraId="154AC85A" w14:textId="77777777" w:rsidR="00AF2314" w:rsidRPr="00CF77C1" w:rsidRDefault="00AF2314" w:rsidP="00D22907">
      <w:pPr>
        <w:pStyle w:val="ListParagraph"/>
        <w:numPr>
          <w:ilvl w:val="0"/>
          <w:numId w:val="46"/>
        </w:numPr>
        <w:spacing w:before="60" w:after="60"/>
        <w:ind w:left="0" w:firstLine="720"/>
        <w:contextualSpacing w:val="0"/>
        <w:rPr>
          <w:lang w:val="sr-Cyrl-RS"/>
        </w:rPr>
      </w:pPr>
      <w:r w:rsidRPr="00CF77C1">
        <w:rPr>
          <w:lang w:val="sr-Cyrl-RS"/>
        </w:rPr>
        <w:t>подизање искоришћења рударске механизације на ниво рудника угља у централној Европи;</w:t>
      </w:r>
    </w:p>
    <w:p w14:paraId="70F4F0F8" w14:textId="77777777" w:rsidR="00AF2314" w:rsidRPr="00CF77C1" w:rsidRDefault="00AF2314" w:rsidP="00D22907">
      <w:pPr>
        <w:pStyle w:val="ListParagraph"/>
        <w:numPr>
          <w:ilvl w:val="0"/>
          <w:numId w:val="46"/>
        </w:numPr>
        <w:spacing w:before="60" w:after="60"/>
        <w:ind w:left="0" w:firstLine="720"/>
        <w:contextualSpacing w:val="0"/>
        <w:rPr>
          <w:lang w:val="sr-Cyrl-RS"/>
        </w:rPr>
      </w:pPr>
      <w:r w:rsidRPr="00CF77C1">
        <w:rPr>
          <w:lang w:val="sr-Cyrl-RS"/>
        </w:rPr>
        <w:t xml:space="preserve">повећање нивоа аутоматизације на производним системима у циљу безбеднијег рада и </w:t>
      </w:r>
      <w:r w:rsidR="006E5A8A" w:rsidRPr="00CF77C1">
        <w:rPr>
          <w:lang w:val="sr-Cyrl-RS"/>
        </w:rPr>
        <w:t>с</w:t>
      </w:r>
      <w:r w:rsidRPr="00CF77C1">
        <w:rPr>
          <w:lang w:val="sr-Cyrl-RS"/>
        </w:rPr>
        <w:t>мањење броја запослених;</w:t>
      </w:r>
    </w:p>
    <w:p w14:paraId="7FCD56D9" w14:textId="77777777" w:rsidR="00AF2314" w:rsidRPr="00CF77C1" w:rsidRDefault="00AF2314" w:rsidP="00D22907">
      <w:pPr>
        <w:pStyle w:val="ListParagraph"/>
        <w:numPr>
          <w:ilvl w:val="0"/>
          <w:numId w:val="46"/>
        </w:numPr>
        <w:spacing w:before="60" w:after="60"/>
        <w:ind w:left="0" w:firstLine="720"/>
        <w:contextualSpacing w:val="0"/>
        <w:rPr>
          <w:lang w:val="sr-Cyrl-RS"/>
        </w:rPr>
      </w:pPr>
      <w:r w:rsidRPr="00CF77C1">
        <w:rPr>
          <w:lang w:val="sr-Cyrl-RS"/>
        </w:rPr>
        <w:t>спровођење хомогенизације и управљање квалитетом угља на свим површинским коповима;</w:t>
      </w:r>
    </w:p>
    <w:p w14:paraId="0389AD4F" w14:textId="77777777" w:rsidR="00AF2314" w:rsidRPr="00CF77C1" w:rsidRDefault="00AF2314" w:rsidP="00D22907">
      <w:pPr>
        <w:pStyle w:val="ListParagraph"/>
        <w:numPr>
          <w:ilvl w:val="0"/>
          <w:numId w:val="46"/>
        </w:numPr>
        <w:spacing w:before="60" w:after="60"/>
        <w:ind w:left="0" w:firstLine="720"/>
        <w:contextualSpacing w:val="0"/>
        <w:rPr>
          <w:lang w:val="sr-Cyrl-RS"/>
        </w:rPr>
      </w:pPr>
      <w:r w:rsidRPr="00CF77C1">
        <w:rPr>
          <w:lang w:val="sr-Cyrl-RS"/>
        </w:rPr>
        <w:t>побољшање планирања и реализације експропријације;</w:t>
      </w:r>
    </w:p>
    <w:p w14:paraId="53CA6785" w14:textId="77777777" w:rsidR="00AF2314" w:rsidRPr="00CF77C1" w:rsidRDefault="00AF2314" w:rsidP="00D22907">
      <w:pPr>
        <w:pStyle w:val="ListParagraph"/>
        <w:numPr>
          <w:ilvl w:val="0"/>
          <w:numId w:val="46"/>
        </w:numPr>
        <w:spacing w:before="60" w:after="60"/>
        <w:ind w:left="0" w:firstLine="720"/>
        <w:contextualSpacing w:val="0"/>
        <w:rPr>
          <w:lang w:val="sr-Cyrl-RS"/>
        </w:rPr>
      </w:pPr>
      <w:r w:rsidRPr="00CF77C1">
        <w:rPr>
          <w:lang w:val="sr-Cyrl-RS"/>
        </w:rPr>
        <w:t>рационализација коришћења расположивог радног времена (пауза, рад празником и недељом);</w:t>
      </w:r>
    </w:p>
    <w:p w14:paraId="16F23F85" w14:textId="458A9957" w:rsidR="00AF2314" w:rsidRPr="00CF77C1" w:rsidRDefault="00092546" w:rsidP="00D22907">
      <w:pPr>
        <w:pStyle w:val="ListParagraph"/>
        <w:numPr>
          <w:ilvl w:val="0"/>
          <w:numId w:val="46"/>
        </w:numPr>
        <w:spacing w:before="60" w:after="60"/>
        <w:ind w:left="0" w:firstLine="720"/>
        <w:contextualSpacing w:val="0"/>
        <w:rPr>
          <w:lang w:val="sr-Cyrl-RS"/>
        </w:rPr>
      </w:pPr>
      <w:r w:rsidRPr="00CF77C1">
        <w:rPr>
          <w:lang w:val="sr-Cyrl-RS"/>
        </w:rPr>
        <w:t>унапређење система одржавања;</w:t>
      </w:r>
    </w:p>
    <w:p w14:paraId="021ED5D0" w14:textId="77777777" w:rsidR="00092546" w:rsidRPr="00CF77C1" w:rsidRDefault="00092546" w:rsidP="00D22907">
      <w:pPr>
        <w:pStyle w:val="ListParagraph"/>
        <w:numPr>
          <w:ilvl w:val="0"/>
          <w:numId w:val="46"/>
        </w:numPr>
        <w:spacing w:before="60" w:after="60"/>
        <w:ind w:left="0" w:firstLine="720"/>
        <w:contextualSpacing w:val="0"/>
        <w:rPr>
          <w:lang w:val="sr-Cyrl-RS"/>
        </w:rPr>
      </w:pPr>
      <w:r w:rsidRPr="00CF77C1">
        <w:rPr>
          <w:lang w:val="sr-Cyrl-RS"/>
        </w:rPr>
        <w:t>рационализација радних места запослених преквалификацијом са непотребних послова после модернизација (као на пример руковаоци погонских станица) на дефицитарне послове у производњи.</w:t>
      </w:r>
    </w:p>
    <w:p w14:paraId="667BA1DD" w14:textId="77777777" w:rsidR="00AF2314" w:rsidRPr="00CF77C1" w:rsidRDefault="00AF2314" w:rsidP="00D22907">
      <w:pPr>
        <w:ind w:firstLine="720"/>
        <w:rPr>
          <w:lang w:val="sr-Cyrl-RS"/>
        </w:rPr>
      </w:pPr>
      <w:r w:rsidRPr="00CF77C1">
        <w:rPr>
          <w:lang w:val="sr-Cyrl-RS"/>
        </w:rPr>
        <w:t>Дефинисани су приоритети, а очекивани профит у четворогодишњем периоду је 235.000.000</w:t>
      </w:r>
      <w:r w:rsidR="00EC7E28" w:rsidRPr="00CF77C1">
        <w:rPr>
          <w:lang w:val="sr-Cyrl-RS"/>
        </w:rPr>
        <w:t xml:space="preserve"> </w:t>
      </w:r>
      <w:r w:rsidRPr="00CF77C1">
        <w:rPr>
          <w:lang w:val="sr-Cyrl-RS"/>
        </w:rPr>
        <w:t>€. Тиме ће се обезбедити и сигурна средства за нове инвестиције и отварање заменских капацитета.</w:t>
      </w:r>
    </w:p>
    <w:p w14:paraId="2FFD7F3E" w14:textId="77777777" w:rsidR="00AF2314" w:rsidRPr="00CF77C1" w:rsidRDefault="00AF2314" w:rsidP="0080044B">
      <w:pPr>
        <w:rPr>
          <w:lang w:val="sr-Cyrl-RS"/>
        </w:rPr>
      </w:pPr>
    </w:p>
    <w:p w14:paraId="2B072CD7" w14:textId="77777777" w:rsidR="00AF2314" w:rsidRPr="00CF77C1" w:rsidRDefault="00AF2314" w:rsidP="0080044B">
      <w:pPr>
        <w:rPr>
          <w:lang w:val="sr-Cyrl-RS"/>
        </w:rPr>
        <w:sectPr w:rsidR="00AF2314" w:rsidRPr="00CF77C1" w:rsidSect="00017454">
          <w:headerReference w:type="default" r:id="rId137"/>
          <w:footerReference w:type="default" r:id="rId138"/>
          <w:pgSz w:w="11907" w:h="16839" w:code="9"/>
          <w:pgMar w:top="1134" w:right="1134" w:bottom="1134" w:left="1418" w:header="720" w:footer="720" w:gutter="0"/>
          <w:cols w:space="720"/>
          <w:docGrid w:linePitch="360"/>
        </w:sectPr>
      </w:pPr>
    </w:p>
    <w:p w14:paraId="4D4FFA3D" w14:textId="2D0351EC" w:rsidR="00AF2314" w:rsidRPr="00CF77C1" w:rsidRDefault="00D61BC9" w:rsidP="00D22907">
      <w:pPr>
        <w:pStyle w:val="Caption"/>
        <w:ind w:firstLine="720"/>
        <w:rPr>
          <w:b w:val="0"/>
          <w:lang w:val="sr-Cyrl-RS"/>
        </w:rPr>
      </w:pPr>
      <w:r w:rsidRPr="00CF77C1">
        <w:rPr>
          <w:b w:val="0"/>
          <w:lang w:val="sr-Cyrl-RS"/>
        </w:rPr>
        <w:t>таб.</w:t>
      </w:r>
      <w:r w:rsidR="00AF2314" w:rsidRPr="00CF77C1">
        <w:rPr>
          <w:b w:val="0"/>
          <w:lang w:val="sr-Cyrl-RS"/>
        </w:rPr>
        <w:t xml:space="preserve">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125</w:t>
      </w:r>
      <w:r w:rsidR="0092145E" w:rsidRPr="00CF77C1">
        <w:rPr>
          <w:b w:val="0"/>
          <w:lang w:val="sr-Cyrl-RS"/>
        </w:rPr>
        <w:fldChar w:fldCharType="end"/>
      </w:r>
      <w:r w:rsidR="00AF2314" w:rsidRPr="00CF77C1">
        <w:rPr>
          <w:b w:val="0"/>
          <w:lang w:val="sr-Cyrl-RS"/>
        </w:rPr>
        <w:t>: Основне карактеристике и ефекти пројекта „Унапређење ефикасности по</w:t>
      </w:r>
      <w:r w:rsidR="001741AC" w:rsidRPr="00CF77C1">
        <w:rPr>
          <w:b w:val="0"/>
          <w:lang w:val="sr-Cyrl-RS"/>
        </w:rPr>
        <w:t>вршинских копова у ЕПС</w:t>
      </w:r>
      <w:r w:rsidR="00AD5740" w:rsidRPr="00CF77C1">
        <w:rPr>
          <w:b w:val="0"/>
          <w:lang w:val="sr-Cyrl-RS"/>
        </w:rPr>
        <w:t>”</w:t>
      </w:r>
    </w:p>
    <w:tbl>
      <w:tblPr>
        <w:tblW w:w="14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3282"/>
        <w:gridCol w:w="4536"/>
        <w:gridCol w:w="4868"/>
      </w:tblGrid>
      <w:tr w:rsidR="00AF2314" w:rsidRPr="00CF77C1" w14:paraId="4626B985" w14:textId="77777777" w:rsidTr="00607737">
        <w:trPr>
          <w:cantSplit/>
          <w:tblHeader/>
        </w:trPr>
        <w:tc>
          <w:tcPr>
            <w:tcW w:w="2071" w:type="dxa"/>
            <w:shd w:val="clear" w:color="auto" w:fill="auto"/>
            <w:vAlign w:val="center"/>
          </w:tcPr>
          <w:p w14:paraId="103FD09A" w14:textId="77777777" w:rsidR="00AF2314" w:rsidRPr="00CF77C1" w:rsidRDefault="00AF2314" w:rsidP="0080044B">
            <w:pPr>
              <w:spacing w:before="40" w:after="40"/>
              <w:jc w:val="center"/>
              <w:rPr>
                <w:szCs w:val="24"/>
                <w:lang w:val="sr-Cyrl-RS"/>
              </w:rPr>
            </w:pPr>
            <w:r w:rsidRPr="00CF77C1">
              <w:rPr>
                <w:szCs w:val="24"/>
                <w:lang w:val="sr-Cyrl-RS"/>
              </w:rPr>
              <w:t>Техничке карактеристике</w:t>
            </w:r>
          </w:p>
        </w:tc>
        <w:tc>
          <w:tcPr>
            <w:tcW w:w="3282" w:type="dxa"/>
            <w:shd w:val="clear" w:color="auto" w:fill="auto"/>
            <w:vAlign w:val="center"/>
          </w:tcPr>
          <w:p w14:paraId="7B3260A2" w14:textId="77777777" w:rsidR="00AF2314" w:rsidRPr="00CF77C1" w:rsidRDefault="00AF2314" w:rsidP="0080044B">
            <w:pPr>
              <w:spacing w:before="40" w:after="40"/>
              <w:jc w:val="center"/>
              <w:rPr>
                <w:szCs w:val="24"/>
                <w:lang w:val="sr-Cyrl-RS"/>
              </w:rPr>
            </w:pPr>
            <w:r w:rsidRPr="00CF77C1">
              <w:rPr>
                <w:szCs w:val="24"/>
                <w:lang w:val="sr-Cyrl-RS"/>
              </w:rPr>
              <w:t>Вредност пројекта и извор средстава</w:t>
            </w:r>
          </w:p>
        </w:tc>
        <w:tc>
          <w:tcPr>
            <w:tcW w:w="4536" w:type="dxa"/>
            <w:tcBorders>
              <w:bottom w:val="single" w:sz="4" w:space="0" w:color="auto"/>
            </w:tcBorders>
            <w:shd w:val="clear" w:color="auto" w:fill="auto"/>
            <w:vAlign w:val="center"/>
          </w:tcPr>
          <w:p w14:paraId="56B22C00" w14:textId="77777777" w:rsidR="00AF2314" w:rsidRPr="00CF77C1" w:rsidRDefault="00AF2314" w:rsidP="0080044B">
            <w:pPr>
              <w:spacing w:before="40" w:after="40"/>
              <w:jc w:val="center"/>
              <w:rPr>
                <w:szCs w:val="24"/>
                <w:lang w:val="sr-Cyrl-RS"/>
              </w:rPr>
            </w:pPr>
            <w:r w:rsidRPr="00CF77C1">
              <w:rPr>
                <w:szCs w:val="24"/>
                <w:lang w:val="sr-Cyrl-RS"/>
              </w:rPr>
              <w:t>Опис ефеката реализације</w:t>
            </w:r>
          </w:p>
        </w:tc>
        <w:tc>
          <w:tcPr>
            <w:tcW w:w="4868" w:type="dxa"/>
            <w:shd w:val="clear" w:color="auto" w:fill="auto"/>
            <w:vAlign w:val="center"/>
          </w:tcPr>
          <w:p w14:paraId="0C4ECD4D" w14:textId="77777777" w:rsidR="00AF2314" w:rsidRPr="00CF77C1" w:rsidRDefault="00AF2314" w:rsidP="0080044B">
            <w:pPr>
              <w:spacing w:before="40" w:after="40"/>
              <w:jc w:val="center"/>
              <w:rPr>
                <w:szCs w:val="24"/>
                <w:lang w:val="sr-Cyrl-RS"/>
              </w:rPr>
            </w:pPr>
            <w:r w:rsidRPr="00CF77C1">
              <w:rPr>
                <w:szCs w:val="24"/>
                <w:lang w:val="sr-Cyrl-RS"/>
              </w:rPr>
              <w:t>Валоризовани просечни годишњи ефекти реализације на основу расположиве документације</w:t>
            </w:r>
          </w:p>
        </w:tc>
      </w:tr>
      <w:tr w:rsidR="00AF2314" w:rsidRPr="00CF77C1" w14:paraId="376D53B0" w14:textId="77777777" w:rsidTr="00607737">
        <w:trPr>
          <w:cantSplit/>
        </w:trPr>
        <w:tc>
          <w:tcPr>
            <w:tcW w:w="2071" w:type="dxa"/>
            <w:shd w:val="clear" w:color="auto" w:fill="auto"/>
            <w:vAlign w:val="center"/>
          </w:tcPr>
          <w:p w14:paraId="56A80625" w14:textId="77777777" w:rsidR="00AF2314" w:rsidRPr="00CF77C1" w:rsidRDefault="00AF2314" w:rsidP="0080044B">
            <w:pPr>
              <w:spacing w:before="40" w:after="40"/>
              <w:jc w:val="left"/>
              <w:rPr>
                <w:szCs w:val="24"/>
                <w:lang w:val="sr-Cyrl-RS"/>
              </w:rPr>
            </w:pPr>
            <w:r w:rsidRPr="00CF77C1">
              <w:rPr>
                <w:bCs/>
                <w:szCs w:val="24"/>
                <w:lang w:val="sr-Cyrl-RS"/>
              </w:rPr>
              <w:t>Унапређење ефикасности Прераде</w:t>
            </w:r>
          </w:p>
        </w:tc>
        <w:tc>
          <w:tcPr>
            <w:tcW w:w="3282" w:type="dxa"/>
            <w:shd w:val="clear" w:color="auto" w:fill="auto"/>
            <w:vAlign w:val="center"/>
          </w:tcPr>
          <w:p w14:paraId="3509A63E" w14:textId="666DAAA2" w:rsidR="00607737" w:rsidRPr="00CF77C1" w:rsidRDefault="00607737" w:rsidP="00C03EF0">
            <w:pPr>
              <w:spacing w:before="40" w:after="40"/>
              <w:jc w:val="left"/>
              <w:rPr>
                <w:szCs w:val="24"/>
                <w:lang w:val="sr-Cyrl-RS"/>
              </w:rPr>
            </w:pPr>
            <w:r w:rsidRPr="00CF77C1">
              <w:rPr>
                <w:szCs w:val="24"/>
                <w:lang w:val="sr-Cyrl-RS"/>
              </w:rPr>
              <w:t>Једнократно улагање око 4.000.000 € за транспортер и око 8.000.000 € за отпрему.</w:t>
            </w:r>
          </w:p>
          <w:p w14:paraId="0700A9B0" w14:textId="465A6CFE" w:rsidR="00AF2314" w:rsidRPr="00CF77C1" w:rsidRDefault="00607737" w:rsidP="00C03EF0">
            <w:pPr>
              <w:spacing w:before="40" w:after="40"/>
              <w:jc w:val="left"/>
              <w:rPr>
                <w:szCs w:val="24"/>
                <w:lang w:val="sr-Cyrl-RS"/>
              </w:rPr>
            </w:pPr>
            <w:r w:rsidRPr="00CF77C1">
              <w:rPr>
                <w:szCs w:val="24"/>
                <w:lang w:val="sr-Cyrl-RS"/>
              </w:rPr>
              <w:t>Укупно - 12.000.000 €.</w:t>
            </w:r>
          </w:p>
        </w:tc>
        <w:tc>
          <w:tcPr>
            <w:tcW w:w="4536" w:type="dxa"/>
            <w:tcBorders>
              <w:bottom w:val="single" w:sz="4" w:space="0" w:color="auto"/>
            </w:tcBorders>
            <w:shd w:val="clear" w:color="auto" w:fill="auto"/>
            <w:vAlign w:val="center"/>
          </w:tcPr>
          <w:p w14:paraId="3F7A7C29" w14:textId="11969B78" w:rsidR="00AF2314" w:rsidRPr="00CF77C1" w:rsidRDefault="00AF2314" w:rsidP="001000E0">
            <w:pPr>
              <w:spacing w:before="40" w:after="40"/>
              <w:jc w:val="left"/>
              <w:rPr>
                <w:szCs w:val="24"/>
                <w:lang w:val="sr-Cyrl-RS"/>
              </w:rPr>
            </w:pPr>
            <w:r w:rsidRPr="00CF77C1">
              <w:rPr>
                <w:szCs w:val="24"/>
                <w:lang w:val="sr-Cyrl-RS"/>
              </w:rPr>
              <w:t>Побољшати ефикасност процеса сушења</w:t>
            </w:r>
            <w:r w:rsidR="00C45A22" w:rsidRPr="00CF77C1">
              <w:rPr>
                <w:szCs w:val="24"/>
                <w:lang w:val="sr-Cyrl-RS"/>
              </w:rPr>
              <w:t>.</w:t>
            </w:r>
            <w:r w:rsidRPr="00CF77C1">
              <w:rPr>
                <w:szCs w:val="24"/>
                <w:lang w:val="sr-Cyrl-RS"/>
              </w:rPr>
              <w:t xml:space="preserve"> Повећати цене топ</w:t>
            </w:r>
            <w:r w:rsidR="00A84557" w:rsidRPr="00CF77C1">
              <w:rPr>
                <w:szCs w:val="24"/>
                <w:lang w:val="sr-Cyrl-RS"/>
              </w:rPr>
              <w:t>лотне енергије и смањити субвен</w:t>
            </w:r>
            <w:r w:rsidRPr="00CF77C1">
              <w:rPr>
                <w:szCs w:val="24"/>
                <w:lang w:val="sr-Cyrl-RS"/>
              </w:rPr>
              <w:t xml:space="preserve">ције локалној заједници. </w:t>
            </w:r>
            <w:r w:rsidR="00607737" w:rsidRPr="00CF77C1">
              <w:rPr>
                <w:szCs w:val="24"/>
                <w:lang w:val="sr-Cyrl-RS"/>
              </w:rPr>
              <w:t xml:space="preserve">Повећати цене угља. </w:t>
            </w:r>
            <w:r w:rsidR="001000E0" w:rsidRPr="00CF77C1">
              <w:rPr>
                <w:szCs w:val="24"/>
                <w:lang w:val="sr-Cyrl-CS"/>
              </w:rPr>
              <w:t>Укинути</w:t>
            </w:r>
            <w:r w:rsidRPr="00CF77C1">
              <w:rPr>
                <w:szCs w:val="24"/>
                <w:lang w:val="sr-Cyrl-RS"/>
              </w:rPr>
              <w:t xml:space="preserve"> </w:t>
            </w:r>
            <w:r w:rsidR="00530975" w:rsidRPr="00CF77C1">
              <w:rPr>
                <w:szCs w:val="24"/>
                <w:lang w:val="sr-Cyrl-RS"/>
              </w:rPr>
              <w:t>индустријски колосек</w:t>
            </w:r>
            <w:r w:rsidR="00C45A22" w:rsidRPr="00CF77C1">
              <w:rPr>
                <w:szCs w:val="24"/>
                <w:lang w:val="sr-Cyrl-RS"/>
              </w:rPr>
              <w:t>.</w:t>
            </w:r>
          </w:p>
        </w:tc>
        <w:tc>
          <w:tcPr>
            <w:tcW w:w="4868" w:type="dxa"/>
            <w:shd w:val="clear" w:color="auto" w:fill="auto"/>
            <w:vAlign w:val="center"/>
          </w:tcPr>
          <w:p w14:paraId="58FA05B6" w14:textId="77777777" w:rsidR="00AF2314" w:rsidRPr="00CF77C1" w:rsidRDefault="00AF2314" w:rsidP="0080044B">
            <w:pPr>
              <w:spacing w:before="40" w:after="40"/>
              <w:jc w:val="left"/>
              <w:rPr>
                <w:szCs w:val="24"/>
                <w:lang w:val="sr-Cyrl-RS"/>
              </w:rPr>
            </w:pPr>
            <w:r w:rsidRPr="00CF77C1">
              <w:rPr>
                <w:szCs w:val="24"/>
                <w:lang w:val="sr-Cyrl-RS"/>
              </w:rPr>
              <w:t>Смањење броја запослених за 250 радника</w:t>
            </w:r>
            <w:r w:rsidR="00C45A22" w:rsidRPr="00CF77C1">
              <w:rPr>
                <w:szCs w:val="24"/>
                <w:lang w:val="sr-Cyrl-RS"/>
              </w:rPr>
              <w:t>;</w:t>
            </w:r>
          </w:p>
          <w:p w14:paraId="0ABA08A3" w14:textId="77777777" w:rsidR="00C45A22" w:rsidRPr="00CF77C1" w:rsidRDefault="00C45A22" w:rsidP="0080044B">
            <w:pPr>
              <w:spacing w:before="40" w:after="40"/>
              <w:jc w:val="left"/>
              <w:rPr>
                <w:szCs w:val="24"/>
                <w:lang w:val="sr-Cyrl-RS"/>
              </w:rPr>
            </w:pPr>
            <w:r w:rsidRPr="00CF77C1">
              <w:rPr>
                <w:szCs w:val="24"/>
                <w:lang w:val="sr-Cyrl-RS"/>
              </w:rPr>
              <w:t>Смањење трошкова 8.000.000 €;</w:t>
            </w:r>
          </w:p>
          <w:p w14:paraId="1DEA0FD0" w14:textId="77777777" w:rsidR="00AF2314" w:rsidRPr="00CF77C1" w:rsidRDefault="00AF2314" w:rsidP="0080044B">
            <w:pPr>
              <w:spacing w:before="40" w:after="40"/>
              <w:jc w:val="left"/>
              <w:rPr>
                <w:szCs w:val="24"/>
                <w:lang w:val="sr-Cyrl-RS"/>
              </w:rPr>
            </w:pPr>
            <w:r w:rsidRPr="00CF77C1">
              <w:rPr>
                <w:szCs w:val="24"/>
                <w:lang w:val="sr-Cyrl-RS"/>
              </w:rPr>
              <w:t>Повећање прихода 12.000.000 €</w:t>
            </w:r>
            <w:r w:rsidR="00A84557" w:rsidRPr="00CF77C1">
              <w:rPr>
                <w:szCs w:val="24"/>
                <w:lang w:val="sr-Cyrl-RS"/>
              </w:rPr>
              <w:t>.</w:t>
            </w:r>
          </w:p>
        </w:tc>
      </w:tr>
      <w:tr w:rsidR="00AF2314" w:rsidRPr="00CF77C1" w14:paraId="3E7F021B" w14:textId="77777777" w:rsidTr="00607737">
        <w:trPr>
          <w:cantSplit/>
        </w:trPr>
        <w:tc>
          <w:tcPr>
            <w:tcW w:w="2071" w:type="dxa"/>
            <w:shd w:val="clear" w:color="auto" w:fill="auto"/>
            <w:vAlign w:val="center"/>
          </w:tcPr>
          <w:p w14:paraId="78305875" w14:textId="77777777" w:rsidR="00AF2314" w:rsidRPr="00CF77C1" w:rsidRDefault="00AF2314" w:rsidP="0080044B">
            <w:pPr>
              <w:spacing w:before="40" w:after="40"/>
              <w:jc w:val="left"/>
              <w:rPr>
                <w:szCs w:val="24"/>
                <w:lang w:val="sr-Cyrl-RS"/>
              </w:rPr>
            </w:pPr>
            <w:r w:rsidRPr="00CF77C1">
              <w:rPr>
                <w:bCs/>
                <w:szCs w:val="24"/>
                <w:lang w:val="sr-Cyrl-RS"/>
              </w:rPr>
              <w:t>Повећање нивоа аутоматизације у оквиру поља</w:t>
            </w:r>
          </w:p>
        </w:tc>
        <w:tc>
          <w:tcPr>
            <w:tcW w:w="3282" w:type="dxa"/>
            <w:shd w:val="clear" w:color="auto" w:fill="auto"/>
            <w:vAlign w:val="center"/>
          </w:tcPr>
          <w:p w14:paraId="71BE7251" w14:textId="17925FB3" w:rsidR="00AF2314" w:rsidRPr="00CF77C1" w:rsidRDefault="00607737" w:rsidP="00C03EF0">
            <w:pPr>
              <w:spacing w:before="40" w:after="40"/>
              <w:jc w:val="left"/>
              <w:rPr>
                <w:bCs/>
                <w:szCs w:val="24"/>
                <w:lang w:val="sr-Cyrl-RS"/>
              </w:rPr>
            </w:pPr>
            <w:r w:rsidRPr="00CF77C1">
              <w:rPr>
                <w:bCs/>
                <w:szCs w:val="24"/>
                <w:lang w:val="sr-Cyrl-RS"/>
              </w:rPr>
              <w:t>Укупна улагања 26.000.000 €.</w:t>
            </w:r>
          </w:p>
          <w:p w14:paraId="32348A55" w14:textId="62EDACB3" w:rsidR="001741AC" w:rsidRPr="00CF77C1" w:rsidRDefault="001741AC" w:rsidP="00C03EF0">
            <w:pPr>
              <w:spacing w:before="40" w:after="40"/>
              <w:jc w:val="left"/>
              <w:rPr>
                <w:szCs w:val="24"/>
                <w:lang w:val="sr-Cyrl-RS"/>
              </w:rPr>
            </w:pPr>
            <w:r w:rsidRPr="00CF77C1">
              <w:rPr>
                <w:szCs w:val="24"/>
                <w:lang w:val="sr-Cyrl-RS"/>
              </w:rPr>
              <w:t>Сопствена средства ЕПС</w:t>
            </w:r>
          </w:p>
        </w:tc>
        <w:tc>
          <w:tcPr>
            <w:tcW w:w="4536" w:type="dxa"/>
            <w:tcBorders>
              <w:bottom w:val="single" w:sz="4" w:space="0" w:color="auto"/>
            </w:tcBorders>
            <w:shd w:val="clear" w:color="auto" w:fill="auto"/>
            <w:vAlign w:val="center"/>
          </w:tcPr>
          <w:p w14:paraId="24ABB0ED" w14:textId="77777777" w:rsidR="00AF2314" w:rsidRPr="00CF77C1" w:rsidRDefault="00AF2314" w:rsidP="0080044B">
            <w:pPr>
              <w:spacing w:before="40" w:after="40"/>
              <w:jc w:val="left"/>
              <w:rPr>
                <w:szCs w:val="24"/>
                <w:lang w:val="sr-Cyrl-RS"/>
              </w:rPr>
            </w:pPr>
            <w:r w:rsidRPr="00CF77C1">
              <w:rPr>
                <w:szCs w:val="24"/>
                <w:lang w:val="sr-Cyrl-RS"/>
              </w:rPr>
              <w:t>У Колубари постоји 96 погонских станица, са преко 1000 запослених радника. Све станице којима се ручно управља треба унапредити на станице са даљинским управљањем, изузев оних које су идентификоване за замену у 2018. години (Поље Е)</w:t>
            </w:r>
            <w:r w:rsidR="00C45A22" w:rsidRPr="00CF77C1">
              <w:rPr>
                <w:szCs w:val="24"/>
                <w:lang w:val="sr-Cyrl-RS"/>
              </w:rPr>
              <w:t>.</w:t>
            </w:r>
          </w:p>
        </w:tc>
        <w:tc>
          <w:tcPr>
            <w:tcW w:w="4868" w:type="dxa"/>
            <w:shd w:val="clear" w:color="auto" w:fill="auto"/>
            <w:vAlign w:val="center"/>
          </w:tcPr>
          <w:p w14:paraId="69AF49F7" w14:textId="152B98DA" w:rsidR="00AF2314" w:rsidRPr="00CF77C1" w:rsidRDefault="00AF2314" w:rsidP="0080044B">
            <w:pPr>
              <w:spacing w:before="40" w:after="40"/>
              <w:jc w:val="left"/>
              <w:rPr>
                <w:noProof/>
                <w:szCs w:val="24"/>
                <w:lang w:val="sr-Cyrl-RS"/>
              </w:rPr>
            </w:pPr>
            <w:r w:rsidRPr="00CF77C1">
              <w:rPr>
                <w:noProof/>
                <w:szCs w:val="24"/>
                <w:lang w:val="sr-Cyrl-RS"/>
              </w:rPr>
              <w:t xml:space="preserve">Смањење броја запослених за </w:t>
            </w:r>
            <w:r w:rsidR="00607737" w:rsidRPr="00CF77C1">
              <w:rPr>
                <w:noProof/>
                <w:szCs w:val="24"/>
                <w:lang w:val="sr-Cyrl-RS"/>
              </w:rPr>
              <w:t>300</w:t>
            </w:r>
            <w:r w:rsidRPr="00CF77C1">
              <w:rPr>
                <w:noProof/>
                <w:szCs w:val="24"/>
                <w:lang w:val="sr-Cyrl-RS"/>
              </w:rPr>
              <w:t xml:space="preserve"> радника</w:t>
            </w:r>
            <w:r w:rsidR="00C45A22" w:rsidRPr="00CF77C1">
              <w:rPr>
                <w:noProof/>
                <w:szCs w:val="24"/>
                <w:lang w:val="sr-Cyrl-RS"/>
              </w:rPr>
              <w:t>;</w:t>
            </w:r>
          </w:p>
          <w:p w14:paraId="04B568B8" w14:textId="4493A163" w:rsidR="00AF2314" w:rsidRPr="00CF77C1" w:rsidRDefault="00C45A22" w:rsidP="0080044B">
            <w:pPr>
              <w:spacing w:before="40" w:after="40"/>
              <w:jc w:val="left"/>
              <w:rPr>
                <w:szCs w:val="24"/>
                <w:lang w:val="sr-Cyrl-RS"/>
              </w:rPr>
            </w:pPr>
            <w:r w:rsidRPr="00CF77C1">
              <w:rPr>
                <w:noProof/>
                <w:szCs w:val="24"/>
                <w:lang w:val="sr-Cyrl-RS"/>
              </w:rPr>
              <w:t>Смањење трошкова 5.000.000-</w:t>
            </w:r>
            <w:r w:rsidR="00AF2314" w:rsidRPr="00CF77C1">
              <w:rPr>
                <w:noProof/>
                <w:szCs w:val="24"/>
                <w:lang w:val="sr-Cyrl-RS"/>
              </w:rPr>
              <w:t>6.000.000 €</w:t>
            </w:r>
            <w:r w:rsidR="00607737" w:rsidRPr="00CF77C1">
              <w:rPr>
                <w:noProof/>
                <w:szCs w:val="24"/>
                <w:lang w:val="sr-Cyrl-RS"/>
              </w:rPr>
              <w:t>/годишње</w:t>
            </w:r>
            <w:r w:rsidR="00A84557" w:rsidRPr="00CF77C1">
              <w:rPr>
                <w:noProof/>
                <w:szCs w:val="24"/>
                <w:lang w:val="sr-Cyrl-RS"/>
              </w:rPr>
              <w:t>.</w:t>
            </w:r>
          </w:p>
        </w:tc>
      </w:tr>
      <w:tr w:rsidR="00AF2314" w:rsidRPr="00CF77C1" w14:paraId="7C1FD52A" w14:textId="77777777" w:rsidTr="00607737">
        <w:trPr>
          <w:cantSplit/>
        </w:trPr>
        <w:tc>
          <w:tcPr>
            <w:tcW w:w="2071" w:type="dxa"/>
            <w:shd w:val="clear" w:color="auto" w:fill="auto"/>
            <w:vAlign w:val="center"/>
          </w:tcPr>
          <w:p w14:paraId="2980A68B" w14:textId="77777777" w:rsidR="00AF2314" w:rsidRPr="00CF77C1" w:rsidRDefault="00AF2314" w:rsidP="0080044B">
            <w:pPr>
              <w:spacing w:before="40" w:after="40"/>
              <w:jc w:val="left"/>
              <w:rPr>
                <w:szCs w:val="24"/>
                <w:lang w:val="sr-Cyrl-RS"/>
              </w:rPr>
            </w:pPr>
            <w:r w:rsidRPr="00CF77C1">
              <w:rPr>
                <w:bCs/>
                <w:szCs w:val="24"/>
                <w:lang w:val="sr-Cyrl-RS"/>
              </w:rPr>
              <w:t>Повећање укупне искоришћености постојећих система за ископавање</w:t>
            </w:r>
          </w:p>
        </w:tc>
        <w:tc>
          <w:tcPr>
            <w:tcW w:w="3282" w:type="dxa"/>
            <w:shd w:val="clear" w:color="auto" w:fill="auto"/>
            <w:vAlign w:val="center"/>
          </w:tcPr>
          <w:p w14:paraId="60C4956C" w14:textId="44C889C3" w:rsidR="00607737" w:rsidRPr="00CF77C1" w:rsidRDefault="00607737" w:rsidP="00C03EF0">
            <w:pPr>
              <w:jc w:val="left"/>
              <w:rPr>
                <w:lang w:val="sr-Cyrl-CS"/>
              </w:rPr>
            </w:pPr>
            <w:r w:rsidRPr="00CF77C1">
              <w:rPr>
                <w:lang w:val="sr-Cyrl-RS"/>
              </w:rPr>
              <w:t xml:space="preserve">Поновна улагања сваке године за Колубару око 3.000.000 </w:t>
            </w:r>
            <w:r w:rsidRPr="00CF77C1">
              <w:rPr>
                <w:lang w:val="sr-Cyrl-CS"/>
              </w:rPr>
              <w:t>€ и за Костолац око 1</w:t>
            </w:r>
            <w:r w:rsidRPr="00CF77C1">
              <w:rPr>
                <w:lang w:val="sr-Cyrl-RS"/>
              </w:rPr>
              <w:t xml:space="preserve">.000.000 </w:t>
            </w:r>
            <w:r w:rsidRPr="00CF77C1">
              <w:rPr>
                <w:lang w:val="sr-Cyrl-CS"/>
              </w:rPr>
              <w:t>€ за помоћну механизацију</w:t>
            </w:r>
          </w:p>
          <w:p w14:paraId="240A438D" w14:textId="44358143" w:rsidR="00607737" w:rsidRPr="00CF77C1" w:rsidRDefault="00607737" w:rsidP="00C03EF0">
            <w:pPr>
              <w:spacing w:before="40" w:after="40"/>
              <w:jc w:val="left"/>
              <w:rPr>
                <w:lang w:val="sr-Cyrl-CS"/>
              </w:rPr>
            </w:pPr>
            <w:r w:rsidRPr="00CF77C1">
              <w:rPr>
                <w:lang w:val="sr-Cyrl-CS"/>
              </w:rPr>
              <w:t>Поновна улагања сваке године за Колубару око 1</w:t>
            </w:r>
            <w:r w:rsidRPr="00CF77C1">
              <w:rPr>
                <w:lang w:val="sr-Cyrl-RS"/>
              </w:rPr>
              <w:t xml:space="preserve">.000.000 </w:t>
            </w:r>
            <w:r w:rsidRPr="00CF77C1">
              <w:rPr>
                <w:lang w:val="sr-Cyrl-CS"/>
              </w:rPr>
              <w:t>€ и за Костолац око 500.000 € за изградњу путева на коповима.</w:t>
            </w:r>
          </w:p>
          <w:p w14:paraId="4781E914" w14:textId="4A9F6004" w:rsidR="00AF2314" w:rsidRPr="00CF77C1" w:rsidRDefault="00607737" w:rsidP="00C03EF0">
            <w:pPr>
              <w:spacing w:before="40" w:after="40"/>
              <w:jc w:val="left"/>
              <w:rPr>
                <w:szCs w:val="24"/>
                <w:lang w:val="sr-Cyrl-RS"/>
              </w:rPr>
            </w:pPr>
            <w:r w:rsidRPr="00CF77C1">
              <w:rPr>
                <w:lang w:val="sr-Cyrl-CS"/>
              </w:rPr>
              <w:t>Укупно - око 16.500.000 €.</w:t>
            </w:r>
          </w:p>
        </w:tc>
        <w:tc>
          <w:tcPr>
            <w:tcW w:w="4536" w:type="dxa"/>
            <w:tcBorders>
              <w:bottom w:val="single" w:sz="4" w:space="0" w:color="auto"/>
            </w:tcBorders>
            <w:shd w:val="clear" w:color="auto" w:fill="auto"/>
            <w:vAlign w:val="center"/>
          </w:tcPr>
          <w:p w14:paraId="5DD78226" w14:textId="77777777" w:rsidR="00AF2314" w:rsidRPr="00CF77C1" w:rsidRDefault="00AF2314" w:rsidP="0080044B">
            <w:pPr>
              <w:spacing w:before="40" w:after="40"/>
              <w:jc w:val="left"/>
              <w:rPr>
                <w:szCs w:val="24"/>
                <w:lang w:val="sr-Cyrl-RS"/>
              </w:rPr>
            </w:pPr>
            <w:r w:rsidRPr="00CF77C1">
              <w:rPr>
                <w:szCs w:val="24"/>
                <w:lang w:val="sr-Cyrl-RS"/>
              </w:rPr>
              <w:t>Заменити стару/застарелу помоћну механизацију да би се повећала њена расположивост. Побољшати експропријационе праксе да би се обезбедили адекватни</w:t>
            </w:r>
            <w:r w:rsidR="00EC7E28" w:rsidRPr="00CF77C1">
              <w:rPr>
                <w:szCs w:val="24"/>
                <w:lang w:val="sr-Cyrl-RS"/>
              </w:rPr>
              <w:t xml:space="preserve"> </w:t>
            </w:r>
            <w:r w:rsidRPr="00CF77C1">
              <w:rPr>
                <w:szCs w:val="24"/>
                <w:lang w:val="sr-Cyrl-RS"/>
              </w:rPr>
              <w:t>услови за багере. Изградити путеве да би се побољшала ефикасност помоћне механизације и смањило време путовања кроз поља. Побољшати планирање и извршавање одржавања</w:t>
            </w:r>
            <w:r w:rsidR="00C45A22" w:rsidRPr="00CF77C1">
              <w:rPr>
                <w:szCs w:val="24"/>
                <w:lang w:val="sr-Cyrl-RS"/>
              </w:rPr>
              <w:t>.</w:t>
            </w:r>
          </w:p>
        </w:tc>
        <w:tc>
          <w:tcPr>
            <w:tcW w:w="4868" w:type="dxa"/>
            <w:shd w:val="clear" w:color="auto" w:fill="auto"/>
            <w:vAlign w:val="center"/>
          </w:tcPr>
          <w:p w14:paraId="2FA8DC80" w14:textId="77777777" w:rsidR="00AF2314" w:rsidRPr="00CF77C1" w:rsidRDefault="00C45A22" w:rsidP="0080044B">
            <w:pPr>
              <w:spacing w:before="40" w:after="40"/>
              <w:jc w:val="left"/>
              <w:rPr>
                <w:szCs w:val="24"/>
                <w:lang w:val="sr-Cyrl-RS"/>
              </w:rPr>
            </w:pPr>
            <w:r w:rsidRPr="00CF77C1">
              <w:rPr>
                <w:szCs w:val="24"/>
                <w:lang w:val="sr-Cyrl-RS"/>
              </w:rPr>
              <w:t>Смањење трошкова 15.000.000-</w:t>
            </w:r>
            <w:r w:rsidR="00AF2314" w:rsidRPr="00CF77C1">
              <w:rPr>
                <w:szCs w:val="24"/>
                <w:lang w:val="sr-Cyrl-RS"/>
              </w:rPr>
              <w:t>25.000.000 €</w:t>
            </w:r>
            <w:r w:rsidR="00A84557" w:rsidRPr="00CF77C1">
              <w:rPr>
                <w:szCs w:val="24"/>
                <w:lang w:val="sr-Cyrl-RS"/>
              </w:rPr>
              <w:t>.</w:t>
            </w:r>
          </w:p>
        </w:tc>
      </w:tr>
      <w:tr w:rsidR="00AF2314" w:rsidRPr="00CF77C1" w14:paraId="1581536E" w14:textId="77777777" w:rsidTr="00607737">
        <w:trPr>
          <w:cantSplit/>
        </w:trPr>
        <w:tc>
          <w:tcPr>
            <w:tcW w:w="2071" w:type="dxa"/>
            <w:shd w:val="clear" w:color="auto" w:fill="auto"/>
            <w:vAlign w:val="center"/>
          </w:tcPr>
          <w:p w14:paraId="6C41B513" w14:textId="77777777" w:rsidR="00AF2314" w:rsidRPr="00CF77C1" w:rsidRDefault="00AF2314" w:rsidP="0080044B">
            <w:pPr>
              <w:spacing w:before="40" w:after="40"/>
              <w:jc w:val="left"/>
              <w:rPr>
                <w:szCs w:val="24"/>
                <w:lang w:val="sr-Cyrl-RS"/>
              </w:rPr>
            </w:pPr>
            <w:r w:rsidRPr="00CF77C1">
              <w:rPr>
                <w:bCs/>
                <w:szCs w:val="24"/>
                <w:lang w:val="sr-Cyrl-RS"/>
              </w:rPr>
              <w:t>Унапређење инвестиционог одржавање кроз агрегатну замену делова</w:t>
            </w:r>
          </w:p>
        </w:tc>
        <w:tc>
          <w:tcPr>
            <w:tcW w:w="3282" w:type="dxa"/>
            <w:shd w:val="clear" w:color="auto" w:fill="auto"/>
            <w:vAlign w:val="center"/>
          </w:tcPr>
          <w:p w14:paraId="24E31E51" w14:textId="6CCDC446" w:rsidR="00607737" w:rsidRPr="00CF77C1" w:rsidRDefault="00607737" w:rsidP="00C03EF0">
            <w:pPr>
              <w:spacing w:before="40" w:after="40"/>
              <w:jc w:val="left"/>
              <w:rPr>
                <w:szCs w:val="24"/>
                <w:lang w:val="sr-Cyrl-RS"/>
              </w:rPr>
            </w:pPr>
            <w:r w:rsidRPr="00CF77C1">
              <w:rPr>
                <w:szCs w:val="24"/>
                <w:lang w:val="sr-Cyrl-RS"/>
              </w:rPr>
              <w:t>Једнократна улагања 15.000.000 €</w:t>
            </w:r>
            <w:r w:rsidR="001A6268" w:rsidRPr="00CF77C1">
              <w:rPr>
                <w:szCs w:val="24"/>
                <w:lang w:val="sr-Cyrl-RS"/>
              </w:rPr>
              <w:t xml:space="preserve"> </w:t>
            </w:r>
            <w:r w:rsidRPr="00CF77C1">
              <w:rPr>
                <w:szCs w:val="24"/>
                <w:lang w:val="sr-Cyrl-RS"/>
              </w:rPr>
              <w:t>за Колубару и око 5.000.000 € за Костолац.</w:t>
            </w:r>
          </w:p>
          <w:p w14:paraId="2FCC8DD1" w14:textId="4EBDDDE4" w:rsidR="00AF2314" w:rsidRPr="00CF77C1" w:rsidRDefault="00607737" w:rsidP="00C03EF0">
            <w:pPr>
              <w:spacing w:before="40" w:after="40"/>
              <w:jc w:val="left"/>
              <w:rPr>
                <w:szCs w:val="24"/>
                <w:lang w:val="sr-Cyrl-RS"/>
              </w:rPr>
            </w:pPr>
            <w:r w:rsidRPr="00CF77C1">
              <w:rPr>
                <w:szCs w:val="24"/>
                <w:lang w:val="sr-Cyrl-RS"/>
              </w:rPr>
              <w:t>Укупно 20.000.000 €.</w:t>
            </w:r>
          </w:p>
          <w:p w14:paraId="556964C4" w14:textId="6171E029" w:rsidR="00301828" w:rsidRPr="00CF77C1" w:rsidRDefault="001741AC" w:rsidP="00C03EF0">
            <w:pPr>
              <w:spacing w:before="40" w:after="40"/>
              <w:jc w:val="left"/>
              <w:rPr>
                <w:szCs w:val="24"/>
                <w:lang w:val="sr-Cyrl-RS"/>
              </w:rPr>
            </w:pPr>
            <w:r w:rsidRPr="00CF77C1">
              <w:rPr>
                <w:szCs w:val="24"/>
                <w:lang w:val="sr-Cyrl-RS"/>
              </w:rPr>
              <w:t>Сопствена средства ЕПС</w:t>
            </w:r>
          </w:p>
        </w:tc>
        <w:tc>
          <w:tcPr>
            <w:tcW w:w="4536" w:type="dxa"/>
            <w:tcBorders>
              <w:bottom w:val="single" w:sz="4" w:space="0" w:color="auto"/>
            </w:tcBorders>
            <w:shd w:val="clear" w:color="auto" w:fill="auto"/>
            <w:vAlign w:val="center"/>
          </w:tcPr>
          <w:p w14:paraId="474B84E0" w14:textId="7587E2AA" w:rsidR="00AF2314" w:rsidRPr="00CF77C1" w:rsidRDefault="00AF2314" w:rsidP="0080044B">
            <w:pPr>
              <w:spacing w:before="40" w:after="40"/>
              <w:jc w:val="left"/>
              <w:rPr>
                <w:szCs w:val="24"/>
                <w:lang w:val="sr-Cyrl-RS"/>
              </w:rPr>
            </w:pPr>
            <w:r w:rsidRPr="00CF77C1">
              <w:rPr>
                <w:szCs w:val="24"/>
                <w:lang w:val="sr-Cyrl-RS"/>
              </w:rPr>
              <w:t>Смањити време инвестиционог одржавања пове</w:t>
            </w:r>
            <w:r w:rsidR="0067337D" w:rsidRPr="00CF77C1">
              <w:rPr>
                <w:szCs w:val="24"/>
                <w:lang w:val="sr-Cyrl-RS"/>
              </w:rPr>
              <w:t>ћањем коришћења агрегатне заменe</w:t>
            </w:r>
            <w:r w:rsidR="00BF18E8" w:rsidRPr="00CF77C1">
              <w:rPr>
                <w:szCs w:val="24"/>
                <w:lang w:val="sr-Cyrl-RS"/>
              </w:rPr>
              <w:t xml:space="preserve"> делова</w:t>
            </w:r>
            <w:r w:rsidRPr="00CF77C1">
              <w:rPr>
                <w:szCs w:val="24"/>
                <w:lang w:val="sr-Cyrl-RS"/>
              </w:rPr>
              <w:t>. Уложити у замену делова/компоненти и њихово обнављање</w:t>
            </w:r>
            <w:r w:rsidR="00C45A22" w:rsidRPr="00CF77C1">
              <w:rPr>
                <w:szCs w:val="24"/>
                <w:lang w:val="sr-Cyrl-RS"/>
              </w:rPr>
              <w:t xml:space="preserve"> и трансп</w:t>
            </w:r>
            <w:r w:rsidRPr="00CF77C1">
              <w:rPr>
                <w:szCs w:val="24"/>
                <w:lang w:val="sr-Cyrl-RS"/>
              </w:rPr>
              <w:t>орт на локацију пре гашења система</w:t>
            </w:r>
            <w:r w:rsidR="00C45A22" w:rsidRPr="00CF77C1">
              <w:rPr>
                <w:szCs w:val="24"/>
                <w:lang w:val="sr-Cyrl-RS"/>
              </w:rPr>
              <w:t>.</w:t>
            </w:r>
          </w:p>
        </w:tc>
        <w:tc>
          <w:tcPr>
            <w:tcW w:w="4868" w:type="dxa"/>
            <w:shd w:val="clear" w:color="auto" w:fill="auto"/>
            <w:vAlign w:val="center"/>
          </w:tcPr>
          <w:p w14:paraId="37355EC4" w14:textId="77777777" w:rsidR="00AF2314" w:rsidRPr="00CF77C1" w:rsidRDefault="00AF2314" w:rsidP="0080044B">
            <w:pPr>
              <w:spacing w:before="40" w:after="40"/>
              <w:jc w:val="left"/>
              <w:rPr>
                <w:szCs w:val="24"/>
                <w:lang w:val="sr-Cyrl-RS"/>
              </w:rPr>
            </w:pPr>
            <w:r w:rsidRPr="00CF77C1">
              <w:rPr>
                <w:noProof/>
                <w:szCs w:val="24"/>
                <w:lang w:val="sr-Cyrl-RS"/>
              </w:rPr>
              <w:t>Смањење трошкова 10.000.000-15.000.000 €</w:t>
            </w:r>
            <w:r w:rsidR="00A84557" w:rsidRPr="00CF77C1">
              <w:rPr>
                <w:noProof/>
                <w:szCs w:val="24"/>
                <w:lang w:val="sr-Cyrl-RS"/>
              </w:rPr>
              <w:t>.</w:t>
            </w:r>
          </w:p>
        </w:tc>
      </w:tr>
      <w:tr w:rsidR="00AF775A" w:rsidRPr="00CF77C1" w14:paraId="567C83B0" w14:textId="77777777" w:rsidTr="00607737">
        <w:trPr>
          <w:cantSplit/>
        </w:trPr>
        <w:tc>
          <w:tcPr>
            <w:tcW w:w="2071" w:type="dxa"/>
            <w:shd w:val="clear" w:color="auto" w:fill="auto"/>
            <w:vAlign w:val="center"/>
          </w:tcPr>
          <w:p w14:paraId="1D6A6EB7" w14:textId="77777777" w:rsidR="00AF775A" w:rsidRPr="00CF77C1" w:rsidRDefault="00AF775A" w:rsidP="0080044B">
            <w:pPr>
              <w:spacing w:before="40" w:after="40"/>
              <w:jc w:val="left"/>
              <w:rPr>
                <w:szCs w:val="24"/>
                <w:lang w:val="sr-Cyrl-RS"/>
              </w:rPr>
            </w:pPr>
            <w:r w:rsidRPr="00CF77C1">
              <w:rPr>
                <w:bCs/>
                <w:szCs w:val="24"/>
                <w:lang w:val="sr-Cyrl-RS"/>
              </w:rPr>
              <w:t>Рад система за време паузе посаде</w:t>
            </w:r>
          </w:p>
        </w:tc>
        <w:tc>
          <w:tcPr>
            <w:tcW w:w="3282" w:type="dxa"/>
            <w:shd w:val="clear" w:color="auto" w:fill="auto"/>
            <w:vAlign w:val="center"/>
          </w:tcPr>
          <w:p w14:paraId="17262E76" w14:textId="77777777" w:rsidR="00AF775A" w:rsidRPr="00CF77C1" w:rsidRDefault="00AF775A" w:rsidP="00C03EF0">
            <w:pPr>
              <w:spacing w:before="40" w:after="40"/>
              <w:jc w:val="center"/>
              <w:rPr>
                <w:szCs w:val="24"/>
                <w:lang w:val="sr-Cyrl-RS"/>
              </w:rPr>
            </w:pPr>
            <w:r w:rsidRPr="00CF77C1">
              <w:rPr>
                <w:szCs w:val="24"/>
                <w:lang w:val="sr-Cyrl-RS"/>
              </w:rPr>
              <w:t>-</w:t>
            </w:r>
          </w:p>
        </w:tc>
        <w:tc>
          <w:tcPr>
            <w:tcW w:w="4536" w:type="dxa"/>
            <w:tcBorders>
              <w:bottom w:val="single" w:sz="4" w:space="0" w:color="auto"/>
            </w:tcBorders>
            <w:shd w:val="clear" w:color="auto" w:fill="auto"/>
            <w:vAlign w:val="center"/>
          </w:tcPr>
          <w:p w14:paraId="2ED11F63" w14:textId="77777777" w:rsidR="00AF775A" w:rsidRPr="00CF77C1" w:rsidRDefault="00AF775A" w:rsidP="0080044B">
            <w:pPr>
              <w:spacing w:before="40" w:after="40"/>
              <w:jc w:val="left"/>
              <w:rPr>
                <w:szCs w:val="24"/>
                <w:lang w:val="sr-Cyrl-RS"/>
              </w:rPr>
            </w:pPr>
            <w:r w:rsidRPr="00CF77C1">
              <w:rPr>
                <w:szCs w:val="24"/>
                <w:lang w:val="sr-Cyrl-RS"/>
              </w:rPr>
              <w:t>Рад система у време пауза. Платити посадама да раде уместо паузе. Алтернативно, искористити резерве да се организују заменски тимови који ће управљати системима у време паузе посаде.</w:t>
            </w:r>
          </w:p>
        </w:tc>
        <w:tc>
          <w:tcPr>
            <w:tcW w:w="4868" w:type="dxa"/>
            <w:shd w:val="clear" w:color="auto" w:fill="auto"/>
            <w:vAlign w:val="center"/>
          </w:tcPr>
          <w:p w14:paraId="27ADED7C" w14:textId="77777777" w:rsidR="00AF775A" w:rsidRPr="00CF77C1" w:rsidRDefault="00AF775A" w:rsidP="0080044B">
            <w:pPr>
              <w:spacing w:before="40" w:after="40"/>
              <w:jc w:val="left"/>
              <w:rPr>
                <w:szCs w:val="24"/>
                <w:lang w:val="sr-Cyrl-RS"/>
              </w:rPr>
            </w:pPr>
            <w:r w:rsidRPr="00CF77C1">
              <w:rPr>
                <w:noProof/>
                <w:szCs w:val="24"/>
                <w:lang w:val="sr-Cyrl-RS"/>
              </w:rPr>
              <w:t>Смањење трошкова 10.000.000-15.000.000 €.</w:t>
            </w:r>
          </w:p>
        </w:tc>
      </w:tr>
      <w:tr w:rsidR="00AF2314" w:rsidRPr="00CF77C1" w14:paraId="35ACBA95" w14:textId="77777777" w:rsidTr="00607737">
        <w:trPr>
          <w:cantSplit/>
        </w:trPr>
        <w:tc>
          <w:tcPr>
            <w:tcW w:w="2071" w:type="dxa"/>
            <w:shd w:val="clear" w:color="auto" w:fill="auto"/>
            <w:vAlign w:val="center"/>
          </w:tcPr>
          <w:p w14:paraId="01D4E862" w14:textId="77777777" w:rsidR="00AF2314" w:rsidRPr="00CF77C1" w:rsidRDefault="00AF2314" w:rsidP="0080044B">
            <w:pPr>
              <w:spacing w:before="40" w:after="40"/>
              <w:jc w:val="left"/>
              <w:rPr>
                <w:szCs w:val="24"/>
                <w:lang w:val="sr-Cyrl-RS"/>
              </w:rPr>
            </w:pPr>
            <w:r w:rsidRPr="00CF77C1">
              <w:rPr>
                <w:szCs w:val="24"/>
                <w:lang w:val="sr-Cyrl-RS"/>
              </w:rPr>
              <w:t>Смањење броја возача</w:t>
            </w:r>
          </w:p>
        </w:tc>
        <w:tc>
          <w:tcPr>
            <w:tcW w:w="3282" w:type="dxa"/>
            <w:shd w:val="clear" w:color="auto" w:fill="auto"/>
            <w:vAlign w:val="center"/>
          </w:tcPr>
          <w:p w14:paraId="6797E042" w14:textId="77777777" w:rsidR="00607737" w:rsidRPr="00CF77C1" w:rsidRDefault="00AF2314" w:rsidP="00C03EF0">
            <w:pPr>
              <w:spacing w:before="40" w:after="40"/>
              <w:jc w:val="left"/>
              <w:rPr>
                <w:szCs w:val="24"/>
                <w:lang w:val="sr-Cyrl-RS"/>
              </w:rPr>
            </w:pPr>
            <w:r w:rsidRPr="00CF77C1">
              <w:rPr>
                <w:szCs w:val="24"/>
                <w:lang w:val="sr-Cyrl-RS"/>
              </w:rPr>
              <w:t>6.000.000 €</w:t>
            </w:r>
            <w:r w:rsidR="00607737" w:rsidRPr="00CF77C1">
              <w:rPr>
                <w:szCs w:val="24"/>
                <w:lang w:val="sr-Cyrl-RS"/>
              </w:rPr>
              <w:t xml:space="preserve"> за отпремнине.</w:t>
            </w:r>
          </w:p>
          <w:p w14:paraId="5FE3AB3A" w14:textId="72AD9300" w:rsidR="00AF2314" w:rsidRPr="00CF77C1" w:rsidRDefault="001741AC" w:rsidP="00C03EF0">
            <w:pPr>
              <w:spacing w:before="40" w:after="40"/>
              <w:jc w:val="left"/>
              <w:rPr>
                <w:szCs w:val="24"/>
                <w:lang w:val="sr-Cyrl-RS"/>
              </w:rPr>
            </w:pPr>
            <w:r w:rsidRPr="00CF77C1">
              <w:rPr>
                <w:szCs w:val="24"/>
                <w:lang w:val="sr-Cyrl-RS"/>
              </w:rPr>
              <w:t>Сопствена средства ЕПС</w:t>
            </w:r>
          </w:p>
        </w:tc>
        <w:tc>
          <w:tcPr>
            <w:tcW w:w="4536" w:type="dxa"/>
            <w:tcBorders>
              <w:bottom w:val="single" w:sz="4" w:space="0" w:color="auto"/>
            </w:tcBorders>
            <w:shd w:val="clear" w:color="auto" w:fill="auto"/>
            <w:vAlign w:val="center"/>
          </w:tcPr>
          <w:p w14:paraId="3C2CAFAF" w14:textId="7588927D" w:rsidR="00AF2314" w:rsidRPr="00CF77C1" w:rsidRDefault="00AF2314" w:rsidP="0080044B">
            <w:pPr>
              <w:spacing w:before="40" w:after="40"/>
              <w:jc w:val="left"/>
              <w:rPr>
                <w:szCs w:val="24"/>
                <w:lang w:val="sr-Cyrl-RS"/>
              </w:rPr>
            </w:pPr>
            <w:r w:rsidRPr="00CF77C1">
              <w:rPr>
                <w:szCs w:val="24"/>
                <w:lang w:val="sr-Cyrl-RS"/>
              </w:rPr>
              <w:t xml:space="preserve">Уз тренутно стање путева додељени возачи су неопходни за вожњу особља по пољима </w:t>
            </w:r>
            <w:r w:rsidR="00102B76" w:rsidRPr="00CF77C1">
              <w:rPr>
                <w:szCs w:val="24"/>
                <w:lang w:val="sr-Cyrl-RS"/>
              </w:rPr>
              <w:t>у</w:t>
            </w:r>
            <w:r w:rsidRPr="00CF77C1">
              <w:rPr>
                <w:szCs w:val="24"/>
                <w:lang w:val="sr-Cyrl-RS"/>
              </w:rPr>
              <w:t>з побољшану путну мрежу потреба за возачима ће се смањити Особље по сменама би се само возило до и од система</w:t>
            </w:r>
            <w:r w:rsidR="00C45A22" w:rsidRPr="00CF77C1">
              <w:rPr>
                <w:szCs w:val="24"/>
                <w:lang w:val="sr-Cyrl-RS"/>
              </w:rPr>
              <w:t>.</w:t>
            </w:r>
          </w:p>
        </w:tc>
        <w:tc>
          <w:tcPr>
            <w:tcW w:w="4868" w:type="dxa"/>
            <w:shd w:val="clear" w:color="auto" w:fill="auto"/>
            <w:vAlign w:val="center"/>
          </w:tcPr>
          <w:p w14:paraId="195C8E5D" w14:textId="77777777" w:rsidR="00AF2314" w:rsidRPr="00CF77C1" w:rsidRDefault="00AF2314" w:rsidP="0080044B">
            <w:pPr>
              <w:spacing w:before="40" w:after="40"/>
              <w:jc w:val="left"/>
              <w:rPr>
                <w:szCs w:val="24"/>
                <w:lang w:val="sr-Cyrl-RS"/>
              </w:rPr>
            </w:pPr>
            <w:r w:rsidRPr="00CF77C1">
              <w:rPr>
                <w:szCs w:val="24"/>
                <w:lang w:val="sr-Cyrl-RS"/>
              </w:rPr>
              <w:t>Смањење броја запослених за 200 радника</w:t>
            </w:r>
            <w:r w:rsidR="00C45A22" w:rsidRPr="00CF77C1">
              <w:rPr>
                <w:szCs w:val="24"/>
                <w:lang w:val="sr-Cyrl-RS"/>
              </w:rPr>
              <w:t>;</w:t>
            </w:r>
          </w:p>
          <w:p w14:paraId="0ECE4BB2" w14:textId="77777777" w:rsidR="00AF2314" w:rsidRPr="00CF77C1" w:rsidRDefault="00C45A22" w:rsidP="0080044B">
            <w:pPr>
              <w:spacing w:before="40" w:after="40"/>
              <w:jc w:val="left"/>
              <w:rPr>
                <w:szCs w:val="24"/>
                <w:lang w:val="sr-Cyrl-RS"/>
              </w:rPr>
            </w:pPr>
            <w:r w:rsidRPr="00CF77C1">
              <w:rPr>
                <w:szCs w:val="24"/>
                <w:lang w:val="sr-Cyrl-RS"/>
              </w:rPr>
              <w:t>Смањење трошкова 2.000.000-</w:t>
            </w:r>
            <w:r w:rsidR="00AF2314" w:rsidRPr="00CF77C1">
              <w:rPr>
                <w:szCs w:val="24"/>
                <w:lang w:val="sr-Cyrl-RS"/>
              </w:rPr>
              <w:t>3.000.000 €</w:t>
            </w:r>
            <w:r w:rsidRPr="00CF77C1">
              <w:rPr>
                <w:szCs w:val="24"/>
                <w:lang w:val="sr-Cyrl-RS"/>
              </w:rPr>
              <w:t>;</w:t>
            </w:r>
          </w:p>
          <w:p w14:paraId="1B3AB133" w14:textId="492EBF8C" w:rsidR="00AF2314" w:rsidRPr="00CF77C1" w:rsidRDefault="00AF2314" w:rsidP="00142D24">
            <w:pPr>
              <w:spacing w:before="40" w:after="40"/>
              <w:jc w:val="left"/>
              <w:rPr>
                <w:szCs w:val="24"/>
                <w:lang w:val="sr-Cyrl-RS"/>
              </w:rPr>
            </w:pPr>
            <w:r w:rsidRPr="00CF77C1">
              <w:rPr>
                <w:szCs w:val="24"/>
                <w:lang w:val="sr-Cyrl-RS"/>
              </w:rPr>
              <w:t xml:space="preserve">Нето уштеда 10.000.000 € у року од </w:t>
            </w:r>
            <w:r w:rsidR="00142D24">
              <w:rPr>
                <w:szCs w:val="24"/>
                <w:lang w:val="sr-Cyrl-RS"/>
              </w:rPr>
              <w:t xml:space="preserve">шест </w:t>
            </w:r>
            <w:r w:rsidRPr="00CF77C1">
              <w:rPr>
                <w:szCs w:val="24"/>
                <w:lang w:val="sr-Cyrl-RS"/>
              </w:rPr>
              <w:t xml:space="preserve"> година</w:t>
            </w:r>
            <w:r w:rsidR="00A84557" w:rsidRPr="00CF77C1">
              <w:rPr>
                <w:szCs w:val="24"/>
                <w:lang w:val="sr-Cyrl-RS"/>
              </w:rPr>
              <w:t>.</w:t>
            </w:r>
          </w:p>
        </w:tc>
      </w:tr>
      <w:tr w:rsidR="00AF2314" w:rsidRPr="00CF77C1" w14:paraId="23278F58" w14:textId="77777777" w:rsidTr="00607737">
        <w:trPr>
          <w:cantSplit/>
        </w:trPr>
        <w:tc>
          <w:tcPr>
            <w:tcW w:w="2071" w:type="dxa"/>
            <w:shd w:val="clear" w:color="auto" w:fill="auto"/>
            <w:vAlign w:val="center"/>
          </w:tcPr>
          <w:p w14:paraId="3E7EC3CA" w14:textId="77777777" w:rsidR="00AF2314" w:rsidRPr="00CF77C1" w:rsidRDefault="00AF2314" w:rsidP="0080044B">
            <w:pPr>
              <w:spacing w:before="40" w:after="40"/>
              <w:jc w:val="left"/>
              <w:rPr>
                <w:szCs w:val="24"/>
                <w:lang w:val="sr-Cyrl-RS"/>
              </w:rPr>
            </w:pPr>
            <w:r w:rsidRPr="00CF77C1">
              <w:rPr>
                <w:bCs/>
                <w:szCs w:val="24"/>
                <w:lang w:val="sr-Cyrl-RS"/>
              </w:rPr>
              <w:t xml:space="preserve">Смањење </w:t>
            </w:r>
            <w:r w:rsidR="00C45A22" w:rsidRPr="00CF77C1">
              <w:rPr>
                <w:szCs w:val="24"/>
                <w:lang w:val="sr-Cyrl-RS"/>
              </w:rPr>
              <w:t xml:space="preserve">трошкова електричне енергије </w:t>
            </w:r>
            <w:r w:rsidRPr="00CF77C1">
              <w:rPr>
                <w:bCs/>
                <w:szCs w:val="24"/>
                <w:lang w:val="sr-Cyrl-RS"/>
              </w:rPr>
              <w:t>кроз компензацију реактивне енергије</w:t>
            </w:r>
          </w:p>
        </w:tc>
        <w:tc>
          <w:tcPr>
            <w:tcW w:w="3282" w:type="dxa"/>
            <w:shd w:val="clear" w:color="auto" w:fill="auto"/>
            <w:vAlign w:val="center"/>
          </w:tcPr>
          <w:p w14:paraId="4EE36358" w14:textId="77777777" w:rsidR="00AF2314" w:rsidRPr="00CF77C1" w:rsidRDefault="00BF18E8" w:rsidP="00C03EF0">
            <w:pPr>
              <w:spacing w:before="40" w:after="40"/>
              <w:jc w:val="left"/>
              <w:rPr>
                <w:szCs w:val="24"/>
                <w:lang w:val="sr-Cyrl-RS"/>
              </w:rPr>
            </w:pPr>
            <w:r w:rsidRPr="00CF77C1">
              <w:rPr>
                <w:szCs w:val="24"/>
                <w:lang w:val="sr-Cyrl-RS"/>
              </w:rPr>
              <w:t>500.000 €</w:t>
            </w:r>
          </w:p>
          <w:p w14:paraId="2029F82C" w14:textId="1EA1D44C" w:rsidR="00BF18E8" w:rsidRPr="00CF77C1" w:rsidRDefault="001741AC" w:rsidP="00C03EF0">
            <w:pPr>
              <w:spacing w:before="40" w:after="40"/>
              <w:jc w:val="left"/>
              <w:rPr>
                <w:szCs w:val="24"/>
                <w:lang w:val="sr-Cyrl-RS"/>
              </w:rPr>
            </w:pPr>
            <w:r w:rsidRPr="00CF77C1">
              <w:rPr>
                <w:szCs w:val="24"/>
                <w:lang w:val="sr-Cyrl-RS"/>
              </w:rPr>
              <w:t>Сопствена средства ЕПС</w:t>
            </w:r>
          </w:p>
        </w:tc>
        <w:tc>
          <w:tcPr>
            <w:tcW w:w="4536" w:type="dxa"/>
            <w:tcBorders>
              <w:bottom w:val="single" w:sz="4" w:space="0" w:color="auto"/>
            </w:tcBorders>
            <w:shd w:val="clear" w:color="auto" w:fill="auto"/>
            <w:vAlign w:val="center"/>
          </w:tcPr>
          <w:p w14:paraId="05227705" w14:textId="77777777" w:rsidR="00E46C90" w:rsidRPr="00CF77C1" w:rsidRDefault="00AF2314" w:rsidP="003E39B4">
            <w:pPr>
              <w:numPr>
                <w:ilvl w:val="1"/>
                <w:numId w:val="47"/>
              </w:numPr>
              <w:spacing w:before="40" w:after="40"/>
              <w:ind w:left="0"/>
              <w:jc w:val="left"/>
              <w:rPr>
                <w:szCs w:val="24"/>
                <w:lang w:val="sr-Cyrl-RS"/>
              </w:rPr>
            </w:pPr>
            <w:r w:rsidRPr="00CF77C1">
              <w:rPr>
                <w:szCs w:val="24"/>
                <w:lang w:val="sr-Cyrl-RS"/>
              </w:rPr>
              <w:t xml:space="preserve">Смањити </w:t>
            </w:r>
            <w:r w:rsidR="00C45A22" w:rsidRPr="00CF77C1">
              <w:rPr>
                <w:szCs w:val="24"/>
                <w:lang w:val="sr-Cyrl-RS"/>
              </w:rPr>
              <w:t>трошкове електричне енергије</w:t>
            </w:r>
            <w:r w:rsidRPr="00CF77C1">
              <w:rPr>
                <w:szCs w:val="24"/>
                <w:lang w:val="sr-Cyrl-RS"/>
              </w:rPr>
              <w:t xml:space="preserve"> кроз </w:t>
            </w:r>
            <w:r w:rsidR="00C45A22" w:rsidRPr="00CF77C1">
              <w:rPr>
                <w:szCs w:val="24"/>
                <w:lang w:val="sr-Cyrl-RS"/>
              </w:rPr>
              <w:t>компензацију реактивне</w:t>
            </w:r>
            <w:r w:rsidRPr="00CF77C1">
              <w:rPr>
                <w:szCs w:val="24"/>
                <w:lang w:val="sr-Cyrl-RS"/>
              </w:rPr>
              <w:t xml:space="preserve"> енергије</w:t>
            </w:r>
          </w:p>
          <w:p w14:paraId="163CB5CA" w14:textId="2D4DC6A7" w:rsidR="00AF2314" w:rsidRPr="00CF77C1" w:rsidRDefault="00AF2314" w:rsidP="0080044B">
            <w:pPr>
              <w:spacing w:before="40" w:after="40"/>
              <w:jc w:val="left"/>
              <w:rPr>
                <w:szCs w:val="24"/>
                <w:lang w:val="sr-Cyrl-RS"/>
              </w:rPr>
            </w:pPr>
            <w:r w:rsidRPr="00CF77C1">
              <w:rPr>
                <w:szCs w:val="24"/>
                <w:lang w:val="sr-Cyrl-RS"/>
              </w:rPr>
              <w:t xml:space="preserve">Решење предложено у постојећем пројекту </w:t>
            </w:r>
            <w:r w:rsidR="00C45A22" w:rsidRPr="00CF77C1">
              <w:rPr>
                <w:szCs w:val="24"/>
                <w:lang w:val="sr-Cyrl-RS"/>
              </w:rPr>
              <w:t>„</w:t>
            </w:r>
            <w:r w:rsidRPr="00CF77C1">
              <w:rPr>
                <w:szCs w:val="24"/>
                <w:lang w:val="sr-Cyrl-RS"/>
              </w:rPr>
              <w:t xml:space="preserve">Рационализација коришћења </w:t>
            </w:r>
            <w:r w:rsidR="00C45A22" w:rsidRPr="00CF77C1">
              <w:rPr>
                <w:szCs w:val="24"/>
                <w:lang w:val="sr-Cyrl-RS"/>
              </w:rPr>
              <w:t>енергије</w:t>
            </w:r>
            <w:r w:rsidRPr="00CF77C1">
              <w:rPr>
                <w:szCs w:val="24"/>
                <w:lang w:val="sr-Cyrl-RS"/>
              </w:rPr>
              <w:t xml:space="preserve"> кроз </w:t>
            </w:r>
            <w:r w:rsidR="00C45A22" w:rsidRPr="00CF77C1">
              <w:rPr>
                <w:szCs w:val="24"/>
                <w:lang w:val="sr-Cyrl-RS"/>
              </w:rPr>
              <w:t xml:space="preserve">компензацију </w:t>
            </w:r>
            <w:r w:rsidRPr="00CF77C1">
              <w:rPr>
                <w:szCs w:val="24"/>
                <w:lang w:val="sr-Cyrl-RS"/>
              </w:rPr>
              <w:t>реактивну енергије у Колубари</w:t>
            </w:r>
            <w:r w:rsidR="00AD5740" w:rsidRPr="00CF77C1">
              <w:rPr>
                <w:szCs w:val="24"/>
                <w:lang w:val="sr-Cyrl-RS"/>
              </w:rPr>
              <w:t>”</w:t>
            </w:r>
            <w:r w:rsidRPr="00CF77C1">
              <w:rPr>
                <w:szCs w:val="24"/>
                <w:lang w:val="sr-Cyrl-RS"/>
              </w:rPr>
              <w:t>, урађеном од стране Електротехничког Института Никола Тесла</w:t>
            </w:r>
          </w:p>
        </w:tc>
        <w:tc>
          <w:tcPr>
            <w:tcW w:w="4868" w:type="dxa"/>
            <w:shd w:val="clear" w:color="auto" w:fill="auto"/>
            <w:vAlign w:val="center"/>
          </w:tcPr>
          <w:p w14:paraId="3216B7FD" w14:textId="0DF14FA5" w:rsidR="00C45A22" w:rsidRPr="00CF77C1" w:rsidRDefault="00AF2314" w:rsidP="0080044B">
            <w:pPr>
              <w:spacing w:before="40" w:after="40"/>
              <w:jc w:val="left"/>
              <w:rPr>
                <w:szCs w:val="24"/>
                <w:lang w:val="sr-Cyrl-RS"/>
              </w:rPr>
            </w:pPr>
            <w:r w:rsidRPr="00CF77C1">
              <w:rPr>
                <w:szCs w:val="24"/>
                <w:lang w:val="sr-Cyrl-RS"/>
              </w:rPr>
              <w:t xml:space="preserve">Уштеде због смањења претераног коришћења реактивне енергије </w:t>
            </w:r>
            <w:r w:rsidR="00BF18E8" w:rsidRPr="00CF77C1">
              <w:rPr>
                <w:szCs w:val="24"/>
                <w:lang w:val="sr-Cyrl-RS"/>
              </w:rPr>
              <w:t>oko 230.000 </w:t>
            </w:r>
            <w:r w:rsidRPr="00CF77C1">
              <w:rPr>
                <w:szCs w:val="24"/>
                <w:lang w:val="sr-Cyrl-RS"/>
              </w:rPr>
              <w:t>€</w:t>
            </w:r>
            <w:r w:rsidR="00BF18E8" w:rsidRPr="00CF77C1">
              <w:rPr>
                <w:szCs w:val="24"/>
                <w:lang w:val="sr-Cyrl-RS"/>
              </w:rPr>
              <w:t xml:space="preserve"> годишње (смањење потрошње реа</w:t>
            </w:r>
            <w:r w:rsidR="00F43F66">
              <w:rPr>
                <w:szCs w:val="24"/>
                <w:lang w:val="sr-Cyrl-RS"/>
              </w:rPr>
              <w:t>ктивне енергије за 75.000.000 kV</w:t>
            </w:r>
            <w:r w:rsidR="00BF18E8" w:rsidRPr="00CF77C1">
              <w:rPr>
                <w:szCs w:val="24"/>
                <w:lang w:val="sr-Cyrl-RS"/>
              </w:rPr>
              <w:t>arh годишње)</w:t>
            </w:r>
            <w:r w:rsidR="00C45A22" w:rsidRPr="00CF77C1">
              <w:rPr>
                <w:szCs w:val="24"/>
                <w:lang w:val="sr-Cyrl-RS"/>
              </w:rPr>
              <w:t>;</w:t>
            </w:r>
          </w:p>
          <w:p w14:paraId="2C9D21D4" w14:textId="6B2E09E8" w:rsidR="00AF2314" w:rsidRPr="00CF77C1" w:rsidRDefault="00AF2314" w:rsidP="00BF18E8">
            <w:pPr>
              <w:spacing w:before="40" w:after="40"/>
              <w:jc w:val="left"/>
              <w:rPr>
                <w:szCs w:val="24"/>
                <w:lang w:val="sr-Cyrl-RS"/>
              </w:rPr>
            </w:pPr>
            <w:r w:rsidRPr="00CF77C1">
              <w:rPr>
                <w:szCs w:val="24"/>
                <w:lang w:val="sr-Cyrl-RS"/>
              </w:rPr>
              <w:t xml:space="preserve">Уштеде због </w:t>
            </w:r>
            <w:r w:rsidR="00B5219A" w:rsidRPr="00CF77C1">
              <w:rPr>
                <w:szCs w:val="24"/>
                <w:lang w:val="sr-Cyrl-RS"/>
              </w:rPr>
              <w:t xml:space="preserve">смањења </w:t>
            </w:r>
            <w:r w:rsidRPr="00CF77C1">
              <w:rPr>
                <w:szCs w:val="24"/>
                <w:lang w:val="sr-Cyrl-RS"/>
              </w:rPr>
              <w:t xml:space="preserve">губитака </w:t>
            </w:r>
            <w:r w:rsidR="00BF18E8" w:rsidRPr="00CF77C1">
              <w:rPr>
                <w:szCs w:val="24"/>
                <w:lang w:val="sr-Cyrl-RS"/>
              </w:rPr>
              <w:t>око 70.000 € годишње (смањење губитака активне енергије за 1.600.000 kWh годишње)</w:t>
            </w:r>
            <w:r w:rsidR="00A84557" w:rsidRPr="00CF77C1">
              <w:rPr>
                <w:szCs w:val="24"/>
                <w:lang w:val="sr-Cyrl-RS"/>
              </w:rPr>
              <w:t>.</w:t>
            </w:r>
          </w:p>
        </w:tc>
      </w:tr>
      <w:tr w:rsidR="00AF2314" w:rsidRPr="00CF77C1" w14:paraId="7E8EBD35" w14:textId="77777777" w:rsidTr="00607737">
        <w:trPr>
          <w:cantSplit/>
        </w:trPr>
        <w:tc>
          <w:tcPr>
            <w:tcW w:w="2071" w:type="dxa"/>
            <w:shd w:val="clear" w:color="auto" w:fill="auto"/>
            <w:vAlign w:val="center"/>
          </w:tcPr>
          <w:p w14:paraId="3FB2E7D4" w14:textId="77777777" w:rsidR="00AF2314" w:rsidRPr="00CF77C1" w:rsidRDefault="00AF2314" w:rsidP="0080044B">
            <w:pPr>
              <w:spacing w:before="40" w:after="40"/>
              <w:jc w:val="left"/>
              <w:rPr>
                <w:szCs w:val="24"/>
                <w:lang w:val="sr-Cyrl-RS"/>
              </w:rPr>
            </w:pPr>
            <w:r w:rsidRPr="00CF77C1">
              <w:rPr>
                <w:bCs/>
                <w:szCs w:val="24"/>
                <w:lang w:val="sr-Cyrl-RS"/>
              </w:rPr>
              <w:t>Смањење трошкова спољних услуга</w:t>
            </w:r>
          </w:p>
        </w:tc>
        <w:tc>
          <w:tcPr>
            <w:tcW w:w="3282" w:type="dxa"/>
            <w:shd w:val="clear" w:color="auto" w:fill="auto"/>
            <w:vAlign w:val="center"/>
          </w:tcPr>
          <w:p w14:paraId="4D748715" w14:textId="77777777" w:rsidR="00AF2314" w:rsidRPr="00CF77C1" w:rsidRDefault="00A84557" w:rsidP="0080044B">
            <w:pPr>
              <w:spacing w:before="40" w:after="40"/>
              <w:jc w:val="center"/>
              <w:rPr>
                <w:szCs w:val="24"/>
                <w:lang w:val="sr-Cyrl-RS"/>
              </w:rPr>
            </w:pPr>
            <w:r w:rsidRPr="00CF77C1">
              <w:rPr>
                <w:szCs w:val="24"/>
                <w:lang w:val="sr-Cyrl-RS"/>
              </w:rPr>
              <w:t>-</w:t>
            </w:r>
          </w:p>
        </w:tc>
        <w:tc>
          <w:tcPr>
            <w:tcW w:w="4536" w:type="dxa"/>
            <w:tcBorders>
              <w:bottom w:val="single" w:sz="4" w:space="0" w:color="auto"/>
            </w:tcBorders>
            <w:shd w:val="clear" w:color="auto" w:fill="auto"/>
            <w:vAlign w:val="center"/>
          </w:tcPr>
          <w:p w14:paraId="0A6F0D05" w14:textId="77777777" w:rsidR="00AF2314" w:rsidRPr="00CF77C1" w:rsidRDefault="00AF2314" w:rsidP="0080044B">
            <w:pPr>
              <w:spacing w:before="40" w:after="40"/>
              <w:jc w:val="left"/>
              <w:rPr>
                <w:szCs w:val="24"/>
                <w:lang w:val="sr-Cyrl-RS"/>
              </w:rPr>
            </w:pPr>
            <w:r w:rsidRPr="00CF77C1">
              <w:rPr>
                <w:szCs w:val="24"/>
                <w:lang w:val="sr-Cyrl-RS"/>
              </w:rPr>
              <w:t>Спровести детаљну анализу разлога који су иза повећања трошкова и идентификовати непотребна повећања у обиму пружених услуга</w:t>
            </w:r>
            <w:r w:rsidR="00C45A22" w:rsidRPr="00CF77C1">
              <w:rPr>
                <w:szCs w:val="24"/>
                <w:lang w:val="sr-Cyrl-RS"/>
              </w:rPr>
              <w:t>.</w:t>
            </w:r>
          </w:p>
          <w:p w14:paraId="61532ADE" w14:textId="77777777" w:rsidR="00C45A22" w:rsidRPr="00CF77C1" w:rsidRDefault="00AF2314" w:rsidP="0080044B">
            <w:pPr>
              <w:spacing w:before="40" w:after="40"/>
              <w:jc w:val="left"/>
              <w:rPr>
                <w:szCs w:val="24"/>
                <w:lang w:val="sr-Cyrl-RS"/>
              </w:rPr>
            </w:pPr>
            <w:r w:rsidRPr="00CF77C1">
              <w:rPr>
                <w:szCs w:val="24"/>
                <w:lang w:val="sr-Cyrl-RS"/>
              </w:rPr>
              <w:t>Обезбедити конкурентан процес избора за ове типове услуга</w:t>
            </w:r>
            <w:r w:rsidR="00C45A22" w:rsidRPr="00CF77C1">
              <w:rPr>
                <w:szCs w:val="24"/>
                <w:lang w:val="sr-Cyrl-RS"/>
              </w:rPr>
              <w:t>.</w:t>
            </w:r>
          </w:p>
          <w:p w14:paraId="4EA06D60" w14:textId="77777777" w:rsidR="00AF2314" w:rsidRPr="00CF77C1" w:rsidRDefault="00AF2314" w:rsidP="0080044B">
            <w:pPr>
              <w:spacing w:before="40" w:after="40"/>
              <w:jc w:val="left"/>
              <w:rPr>
                <w:szCs w:val="24"/>
                <w:lang w:val="sr-Cyrl-RS"/>
              </w:rPr>
            </w:pPr>
            <w:r w:rsidRPr="00CF77C1">
              <w:rPr>
                <w:szCs w:val="24"/>
                <w:lang w:val="sr-Cyrl-RS"/>
              </w:rPr>
              <w:t>Смањењ</w:t>
            </w:r>
            <w:r w:rsidR="00C45A22" w:rsidRPr="00CF77C1">
              <w:rPr>
                <w:szCs w:val="24"/>
                <w:lang w:val="sr-Cyrl-RS"/>
              </w:rPr>
              <w:t>е</w:t>
            </w:r>
            <w:r w:rsidRPr="00CF77C1">
              <w:rPr>
                <w:szCs w:val="24"/>
                <w:lang w:val="sr-Cyrl-RS"/>
              </w:rPr>
              <w:t xml:space="preserve"> спољних услуга</w:t>
            </w:r>
            <w:r w:rsidR="00C45A22" w:rsidRPr="00CF77C1">
              <w:rPr>
                <w:szCs w:val="24"/>
                <w:lang w:val="sr-Cyrl-RS"/>
              </w:rPr>
              <w:t>.</w:t>
            </w:r>
          </w:p>
        </w:tc>
        <w:tc>
          <w:tcPr>
            <w:tcW w:w="4868" w:type="dxa"/>
            <w:shd w:val="clear" w:color="auto" w:fill="auto"/>
            <w:vAlign w:val="center"/>
          </w:tcPr>
          <w:p w14:paraId="7B90D6D6" w14:textId="77777777" w:rsidR="00AF2314" w:rsidRPr="00CF77C1" w:rsidRDefault="00AF2314" w:rsidP="0080044B">
            <w:pPr>
              <w:spacing w:before="40" w:after="40"/>
              <w:jc w:val="left"/>
              <w:rPr>
                <w:szCs w:val="24"/>
                <w:lang w:val="sr-Cyrl-RS"/>
              </w:rPr>
            </w:pPr>
            <w:r w:rsidRPr="00CF77C1">
              <w:rPr>
                <w:noProof/>
                <w:szCs w:val="24"/>
                <w:lang w:val="sr-Cyrl-RS"/>
              </w:rPr>
              <w:t>Смањење трошкова 1.000.000-5.000.000 €</w:t>
            </w:r>
            <w:r w:rsidR="00A84557" w:rsidRPr="00CF77C1">
              <w:rPr>
                <w:noProof/>
                <w:szCs w:val="24"/>
                <w:lang w:val="sr-Cyrl-RS"/>
              </w:rPr>
              <w:t>.</w:t>
            </w:r>
          </w:p>
        </w:tc>
      </w:tr>
      <w:tr w:rsidR="00AF2314" w:rsidRPr="00CF77C1" w14:paraId="06D40102" w14:textId="77777777" w:rsidTr="00607737">
        <w:trPr>
          <w:cantSplit/>
        </w:trPr>
        <w:tc>
          <w:tcPr>
            <w:tcW w:w="2071" w:type="dxa"/>
            <w:shd w:val="clear" w:color="auto" w:fill="auto"/>
            <w:vAlign w:val="center"/>
          </w:tcPr>
          <w:p w14:paraId="44FDA8FE" w14:textId="77777777" w:rsidR="00AF2314" w:rsidRPr="00CF77C1" w:rsidRDefault="00AF2314" w:rsidP="0080044B">
            <w:pPr>
              <w:spacing w:before="40" w:after="40"/>
              <w:jc w:val="left"/>
              <w:rPr>
                <w:szCs w:val="24"/>
                <w:lang w:val="sr-Cyrl-RS"/>
              </w:rPr>
            </w:pPr>
            <w:r w:rsidRPr="00CF77C1">
              <w:rPr>
                <w:bCs/>
                <w:szCs w:val="24"/>
                <w:lang w:val="sr-Cyrl-RS"/>
              </w:rPr>
              <w:t>Централизација и оптимизација управљања складиштима</w:t>
            </w:r>
          </w:p>
        </w:tc>
        <w:tc>
          <w:tcPr>
            <w:tcW w:w="3282" w:type="dxa"/>
            <w:shd w:val="clear" w:color="auto" w:fill="auto"/>
            <w:vAlign w:val="center"/>
          </w:tcPr>
          <w:p w14:paraId="5248F329" w14:textId="77777777" w:rsidR="00AF2314" w:rsidRPr="00CF77C1" w:rsidRDefault="00A84557" w:rsidP="0080044B">
            <w:pPr>
              <w:spacing w:before="40" w:after="40"/>
              <w:jc w:val="center"/>
              <w:rPr>
                <w:szCs w:val="24"/>
                <w:lang w:val="sr-Cyrl-RS"/>
              </w:rPr>
            </w:pPr>
            <w:r w:rsidRPr="00CF77C1">
              <w:rPr>
                <w:szCs w:val="24"/>
                <w:lang w:val="sr-Cyrl-RS"/>
              </w:rPr>
              <w:t>-</w:t>
            </w:r>
          </w:p>
        </w:tc>
        <w:tc>
          <w:tcPr>
            <w:tcW w:w="4536" w:type="dxa"/>
            <w:tcBorders>
              <w:bottom w:val="single" w:sz="4" w:space="0" w:color="auto"/>
            </w:tcBorders>
            <w:shd w:val="clear" w:color="auto" w:fill="auto"/>
            <w:vAlign w:val="center"/>
          </w:tcPr>
          <w:p w14:paraId="53A55265" w14:textId="77777777" w:rsidR="00AF2314" w:rsidRPr="00CF77C1" w:rsidRDefault="00AF2314" w:rsidP="0080044B">
            <w:pPr>
              <w:spacing w:before="40" w:after="40"/>
              <w:jc w:val="left"/>
              <w:rPr>
                <w:szCs w:val="24"/>
                <w:lang w:val="sr-Cyrl-RS"/>
              </w:rPr>
            </w:pPr>
            <w:r w:rsidRPr="00CF77C1">
              <w:rPr>
                <w:szCs w:val="24"/>
                <w:lang w:val="sr-Cyrl-RS"/>
              </w:rPr>
              <w:t>Централизовати управљање складиштем у јединствену организациону јединицу/сектор. Унифицирати каталог ставки. Надгледати радне налоге и материјале/ставке резервисане. Размотрити увођење једног или два складишта посвећена пријему ставки</w:t>
            </w:r>
            <w:r w:rsidR="00C45A22" w:rsidRPr="00CF77C1">
              <w:rPr>
                <w:szCs w:val="24"/>
                <w:lang w:val="sr-Cyrl-RS"/>
              </w:rPr>
              <w:t>.</w:t>
            </w:r>
          </w:p>
        </w:tc>
        <w:tc>
          <w:tcPr>
            <w:tcW w:w="4868" w:type="dxa"/>
            <w:shd w:val="clear" w:color="auto" w:fill="auto"/>
            <w:vAlign w:val="center"/>
          </w:tcPr>
          <w:p w14:paraId="0856D91E" w14:textId="77777777" w:rsidR="00AF2314" w:rsidRPr="00CF77C1" w:rsidRDefault="00AF2314" w:rsidP="0080044B">
            <w:pPr>
              <w:spacing w:before="40" w:after="40"/>
              <w:jc w:val="left"/>
              <w:rPr>
                <w:szCs w:val="24"/>
                <w:lang w:val="sr-Cyrl-RS"/>
              </w:rPr>
            </w:pPr>
            <w:r w:rsidRPr="00CF77C1">
              <w:rPr>
                <w:noProof/>
                <w:szCs w:val="24"/>
                <w:lang w:val="sr-Cyrl-RS"/>
              </w:rPr>
              <w:t>Смањење трошкова 1.000.000-5.000.000 €</w:t>
            </w:r>
            <w:r w:rsidR="00A84557" w:rsidRPr="00CF77C1">
              <w:rPr>
                <w:noProof/>
                <w:szCs w:val="24"/>
                <w:lang w:val="sr-Cyrl-RS"/>
              </w:rPr>
              <w:t>.</w:t>
            </w:r>
          </w:p>
        </w:tc>
      </w:tr>
    </w:tbl>
    <w:p w14:paraId="0E376A8B" w14:textId="77777777" w:rsidR="00AF2314" w:rsidRPr="00CF77C1" w:rsidRDefault="00AF2314" w:rsidP="0080044B">
      <w:pPr>
        <w:rPr>
          <w:lang w:val="sr-Cyrl-RS"/>
        </w:rPr>
      </w:pPr>
    </w:p>
    <w:p w14:paraId="7EFF0E8A" w14:textId="77777777" w:rsidR="00AF2314" w:rsidRPr="00CF77C1" w:rsidRDefault="00AF2314" w:rsidP="0080044B">
      <w:pPr>
        <w:rPr>
          <w:lang w:val="sr-Cyrl-RS"/>
        </w:rPr>
      </w:pPr>
    </w:p>
    <w:p w14:paraId="19DDBF3E" w14:textId="77777777" w:rsidR="00AF2314" w:rsidRPr="00CF77C1" w:rsidRDefault="00AF2314" w:rsidP="0080044B">
      <w:pPr>
        <w:rPr>
          <w:lang w:val="sr-Cyrl-RS"/>
        </w:rPr>
        <w:sectPr w:rsidR="00AF2314" w:rsidRPr="00CF77C1" w:rsidSect="00017454">
          <w:headerReference w:type="default" r:id="rId139"/>
          <w:footerReference w:type="even" r:id="rId140"/>
          <w:footerReference w:type="default" r:id="rId141"/>
          <w:pgSz w:w="16839" w:h="11907" w:orient="landscape" w:code="9"/>
          <w:pgMar w:top="1418" w:right="1134" w:bottom="1134" w:left="1134" w:header="1004" w:footer="720" w:gutter="0"/>
          <w:cols w:space="720"/>
          <w:docGrid w:linePitch="360"/>
        </w:sectPr>
      </w:pPr>
    </w:p>
    <w:p w14:paraId="6AFE71C8" w14:textId="234A2D90" w:rsidR="00A3013F" w:rsidRPr="00CF77C1" w:rsidRDefault="00086DE0" w:rsidP="00086DE0">
      <w:pPr>
        <w:pStyle w:val="Heading3"/>
        <w:numPr>
          <w:ilvl w:val="0"/>
          <w:numId w:val="0"/>
        </w:numPr>
        <w:ind w:left="720"/>
        <w:rPr>
          <w:b w:val="0"/>
          <w:lang w:val="sr-Cyrl-RS"/>
        </w:rPr>
      </w:pPr>
      <w:bookmarkStart w:id="186" w:name="_Toc484260313"/>
      <w:r w:rsidRPr="00CF77C1">
        <w:rPr>
          <w:b w:val="0"/>
          <w:lang w:val="sr-Cyrl-RS"/>
        </w:rPr>
        <w:t xml:space="preserve">3.6.3. </w:t>
      </w:r>
      <w:r w:rsidR="00D86A7B" w:rsidRPr="00CF77C1">
        <w:rPr>
          <w:b w:val="0"/>
          <w:lang w:val="sr-Cyrl-RS"/>
        </w:rPr>
        <w:t>Подобласт</w:t>
      </w:r>
      <w:r w:rsidR="00A3013F" w:rsidRPr="00CF77C1">
        <w:rPr>
          <w:b w:val="0"/>
          <w:lang w:val="sr-Cyrl-RS"/>
        </w:rPr>
        <w:t xml:space="preserve"> заштите животне средине у области угља</w:t>
      </w:r>
      <w:bookmarkEnd w:id="186"/>
    </w:p>
    <w:p w14:paraId="0604F7F4" w14:textId="4AE09CE5" w:rsidR="00601816" w:rsidRPr="00CF77C1" w:rsidRDefault="00601816" w:rsidP="00D22907">
      <w:pPr>
        <w:ind w:firstLine="720"/>
        <w:rPr>
          <w:lang w:val="sr-Cyrl-RS"/>
        </w:rPr>
      </w:pPr>
      <w:r w:rsidRPr="00CF77C1">
        <w:rPr>
          <w:lang w:val="sr-Cyrl-RS"/>
        </w:rPr>
        <w:t xml:space="preserve">Основни аспекти заштите животне средине у области угља (потребне анализе утицаја на животну средину и мере којима се предупређују активности које доводе до недозвољеног утицаја на животну средину), у области експлоатације угља, поред </w:t>
      </w:r>
      <w:r w:rsidR="00BF2FB6">
        <w:rPr>
          <w:lang w:val="sr-Cyrl-RS"/>
        </w:rPr>
        <w:t xml:space="preserve">свих наведених закона </w:t>
      </w:r>
      <w:r w:rsidR="00BF2FB6" w:rsidRPr="00094C27">
        <w:rPr>
          <w:lang w:val="sr-Cyrl-RS"/>
        </w:rPr>
        <w:t>у поглављ</w:t>
      </w:r>
      <w:r w:rsidR="00094C27" w:rsidRPr="00094C27">
        <w:rPr>
          <w:lang w:val="sr-Cyrl-RS"/>
        </w:rPr>
        <w:t>у 1.</w:t>
      </w:r>
      <w:r w:rsidRPr="00094C27">
        <w:rPr>
          <w:lang w:val="sr-Cyrl-RS"/>
        </w:rPr>
        <w:t xml:space="preserve"> додатно су покривени и кроз Закон о рударству и геолошким истраживањима. Пројекти наведени у оквиру овог поглавља углавном су намењени смањењу негативног утицаја експлоатације</w:t>
      </w:r>
      <w:r w:rsidRPr="00CF77C1">
        <w:rPr>
          <w:lang w:val="sr-Cyrl-RS"/>
        </w:rPr>
        <w:t xml:space="preserve"> угља на животну средину.</w:t>
      </w:r>
    </w:p>
    <w:p w14:paraId="3E5FF1B4" w14:textId="0BFD0FA8" w:rsidR="00A3013F" w:rsidRPr="00CF77C1" w:rsidRDefault="00A3013F" w:rsidP="00AF0C51">
      <w:pPr>
        <w:ind w:firstLine="720"/>
        <w:rPr>
          <w:lang w:val="sr-Cyrl-RS"/>
        </w:rPr>
      </w:pPr>
      <w:r w:rsidRPr="00CF77C1">
        <w:rPr>
          <w:lang w:val="sr-Cyrl-RS"/>
        </w:rPr>
        <w:t xml:space="preserve">У области угља </w:t>
      </w:r>
      <w:r w:rsidR="00D67236" w:rsidRPr="00CF77C1">
        <w:rPr>
          <w:lang w:val="sr-Cyrl-RS"/>
        </w:rPr>
        <w:t>у току је реализација пројекта инсталације</w:t>
      </w:r>
      <w:r w:rsidRPr="00CF77C1">
        <w:rPr>
          <w:lang w:val="sr-Cyrl-RS"/>
        </w:rPr>
        <w:t xml:space="preserve"> </w:t>
      </w:r>
      <w:r w:rsidR="00D67236" w:rsidRPr="00CF77C1">
        <w:rPr>
          <w:lang w:val="sr-Cyrl-RS"/>
        </w:rPr>
        <w:t>новог</w:t>
      </w:r>
      <w:r w:rsidRPr="00CF77C1">
        <w:rPr>
          <w:lang w:val="sr-Cyrl-RS"/>
        </w:rPr>
        <w:t xml:space="preserve"> БТО систем</w:t>
      </w:r>
      <w:r w:rsidR="008E3D5A" w:rsidRPr="00CF77C1">
        <w:rPr>
          <w:lang w:val="sr-Cyrl-RS"/>
        </w:rPr>
        <w:t>а</w:t>
      </w:r>
      <w:r w:rsidRPr="00CF77C1">
        <w:rPr>
          <w:lang w:val="sr-Cyrl-RS"/>
        </w:rPr>
        <w:t xml:space="preserve"> у РБ Колубара у оквиру пројекта „Improve mining technology in MB Kolubara to increase thermo power plants efficiency and to reduce its environmental impact</w:t>
      </w:r>
      <w:r w:rsidR="00AD5740" w:rsidRPr="00CF77C1">
        <w:rPr>
          <w:lang w:val="sr-Cyrl-RS"/>
        </w:rPr>
        <w:t>”</w:t>
      </w:r>
      <w:r w:rsidRPr="00CF77C1">
        <w:rPr>
          <w:lang w:val="sr-Cyrl-RS"/>
        </w:rPr>
        <w:t xml:space="preserve"> који </w:t>
      </w:r>
      <w:r w:rsidR="00D67236" w:rsidRPr="00CF77C1">
        <w:rPr>
          <w:lang w:val="sr-Cyrl-RS"/>
        </w:rPr>
        <w:t>кредитирају</w:t>
      </w:r>
      <w:r w:rsidRPr="00CF77C1">
        <w:rPr>
          <w:lang w:val="sr-Cyrl-RS"/>
        </w:rPr>
        <w:t xml:space="preserve"> EBRD и KfW б</w:t>
      </w:r>
      <w:r w:rsidR="00AF0C51">
        <w:rPr>
          <w:lang w:val="sr-Cyrl-RS"/>
        </w:rPr>
        <w:t xml:space="preserve">анка у износу од 140 милиона </w:t>
      </w:r>
      <w:r w:rsidR="00AF0C51" w:rsidRPr="00AF0C51">
        <w:rPr>
          <w:lang w:val="sr-Cyrl-RS"/>
        </w:rPr>
        <w:t>€</w:t>
      </w:r>
      <w:r w:rsidR="00AF0C51">
        <w:rPr>
          <w:lang w:val="sr-Cyrl-RS"/>
        </w:rPr>
        <w:t>.</w:t>
      </w:r>
    </w:p>
    <w:p w14:paraId="01C85D89" w14:textId="00FED6AD" w:rsidR="00D67236" w:rsidRPr="00CF77C1" w:rsidRDefault="00B5219A" w:rsidP="00D22907">
      <w:pPr>
        <w:ind w:firstLine="720"/>
        <w:rPr>
          <w:lang w:val="sr-Cyrl-RS"/>
        </w:rPr>
      </w:pPr>
      <w:r w:rsidRPr="00CF77C1">
        <w:rPr>
          <w:lang w:val="sr-Cyrl-RS"/>
        </w:rPr>
        <w:t>Овај пројекат има је за циљ обезбеђење поуздане и континуиране испоруке угља, рационалног управљања природним ресурсима, уз пратеће смањење загађења амбијенталног ваздуха у окружењу електрана које користе угаљ из РБ „Колубара</w:t>
      </w:r>
      <w:r w:rsidR="00AD5740" w:rsidRPr="00CF77C1">
        <w:rPr>
          <w:lang w:val="sr-Cyrl-RS"/>
        </w:rPr>
        <w:t>”</w:t>
      </w:r>
      <w:r w:rsidRPr="00CF77C1">
        <w:rPr>
          <w:lang w:val="sr-Cyrl-RS"/>
        </w:rPr>
        <w:t xml:space="preserve">. Пројекат има технолошки, </w:t>
      </w:r>
      <w:r w:rsidR="009C5ABB" w:rsidRPr="00CF77C1">
        <w:rPr>
          <w:lang w:val="sr-Cyrl-RS"/>
        </w:rPr>
        <w:t>значај са аспекта смањења утицаја штетних материја на животну средину</w:t>
      </w:r>
      <w:r w:rsidRPr="00CF77C1">
        <w:rPr>
          <w:lang w:val="sr-Cyrl-RS"/>
        </w:rPr>
        <w:t xml:space="preserve"> и социјални значај. </w:t>
      </w:r>
      <w:r w:rsidR="009116B0">
        <w:rPr>
          <w:lang w:val="sr-Cyrl-RS"/>
        </w:rPr>
        <w:t>Из тог разлога примењене су нај</w:t>
      </w:r>
      <w:r w:rsidRPr="00CF77C1">
        <w:rPr>
          <w:lang w:val="sr-Cyrl-RS"/>
        </w:rPr>
        <w:t>с</w:t>
      </w:r>
      <w:r w:rsidR="009116B0">
        <w:rPr>
          <w:lang w:val="sr-Cyrl-RS"/>
        </w:rPr>
        <w:t>а</w:t>
      </w:r>
      <w:r w:rsidRPr="00CF77C1">
        <w:rPr>
          <w:lang w:val="sr-Cyrl-RS"/>
        </w:rPr>
        <w:t>временије мере заштите животне средине, како би се минимизирали утицаји опреме на постојеће стање животне средине. Посебна пажња била је усмерена на тачкасте и линијске изворе буке и прашине у циљу елиминисања њених штетних утицаја на животну средину и околно становништво.</w:t>
      </w:r>
    </w:p>
    <w:p w14:paraId="7EB90DC2" w14:textId="3D50389D" w:rsidR="00D67236" w:rsidRPr="00BF2FB6" w:rsidRDefault="001739E1" w:rsidP="00D22907">
      <w:pPr>
        <w:ind w:firstLine="720"/>
        <w:rPr>
          <w:lang w:val="sr-Cyrl-RS"/>
        </w:rPr>
      </w:pPr>
      <w:r w:rsidRPr="00CF77C1">
        <w:rPr>
          <w:lang w:val="sr-Cyrl-RS"/>
        </w:rPr>
        <w:t>У погледу заштите од буке испуњени су сви услови у складу са: стандардом</w:t>
      </w:r>
      <w:r w:rsidR="00EC7E28" w:rsidRPr="00CF77C1">
        <w:rPr>
          <w:lang w:val="sr-Cyrl-RS"/>
        </w:rPr>
        <w:t xml:space="preserve"> </w:t>
      </w:r>
      <w:r w:rsidRPr="00CF77C1">
        <w:rPr>
          <w:lang w:val="sr-Cyrl-RS"/>
        </w:rPr>
        <w:t>„Акустика - опис мерење и оцењивање буке у животној средини</w:t>
      </w:r>
      <w:r w:rsidR="00AD5740" w:rsidRPr="00CF77C1">
        <w:rPr>
          <w:lang w:val="sr-Cyrl-RS"/>
        </w:rPr>
        <w:t>”</w:t>
      </w:r>
      <w:r w:rsidRPr="00CF77C1">
        <w:rPr>
          <w:lang w:val="sr-Cyrl-RS"/>
        </w:rPr>
        <w:t xml:space="preserve"> - део 1 „Основне величине и поступци оцењивања</w:t>
      </w:r>
      <w:r w:rsidR="00AD5740" w:rsidRPr="00CF77C1">
        <w:rPr>
          <w:lang w:val="sr-Cyrl-RS"/>
        </w:rPr>
        <w:t>”</w:t>
      </w:r>
      <w:r w:rsidRPr="00CF77C1">
        <w:rPr>
          <w:lang w:val="sr-Cyrl-RS"/>
        </w:rPr>
        <w:t xml:space="preserve"> стандард SRPS ISO 1996-1 и део 2 „Одређивање нивоа буке у животној средини</w:t>
      </w:r>
      <w:r w:rsidR="00601816" w:rsidRPr="00CF77C1">
        <w:rPr>
          <w:lang w:val="sr-Cyrl-RS"/>
        </w:rPr>
        <w:t>”</w:t>
      </w:r>
      <w:r w:rsidRPr="00CF77C1">
        <w:rPr>
          <w:lang w:val="sr-Cyrl-RS"/>
        </w:rPr>
        <w:t xml:space="preserve"> стандард SRPS ISO 1996-2, а који су идентични стандарду ISO 1996-1 и ISO 1996-2 2007, „Уредбом о индикаторима буке, граничним вредностима, методама за оцењивање индикатора буке, узнемиравања и штетних ефеката буке у животној средини</w:t>
      </w:r>
      <w:r w:rsidR="00AD5740" w:rsidRPr="00CF77C1">
        <w:rPr>
          <w:lang w:val="sr-Cyrl-RS"/>
        </w:rPr>
        <w:t>”</w:t>
      </w:r>
      <w:r w:rsidRPr="00CF77C1">
        <w:rPr>
          <w:lang w:val="sr-Cyrl-RS"/>
        </w:rPr>
        <w:t xml:space="preserve"> („Службени гласник РС</w:t>
      </w:r>
      <w:r w:rsidR="00AD5740" w:rsidRPr="00CF77C1">
        <w:rPr>
          <w:lang w:val="sr-Cyrl-RS"/>
        </w:rPr>
        <w:t>”</w:t>
      </w:r>
      <w:r w:rsidR="002D61E3">
        <w:rPr>
          <w:lang w:val="sr-Cyrl-RS"/>
        </w:rPr>
        <w:t>, број</w:t>
      </w:r>
      <w:r w:rsidRPr="00CF77C1">
        <w:rPr>
          <w:lang w:val="sr-Cyrl-RS"/>
        </w:rPr>
        <w:t xml:space="preserve"> 75/10), </w:t>
      </w:r>
      <w:r w:rsidRPr="00BF2FB6">
        <w:rPr>
          <w:lang w:val="sr-Cyrl-RS"/>
        </w:rPr>
        <w:t>захтевима Акционог плана заштите животне средине (ESAP из Пројекта унапређења стања животне средине у ПД РБ „Колубара</w:t>
      </w:r>
      <w:r w:rsidR="00AD5740" w:rsidRPr="00BF2FB6">
        <w:rPr>
          <w:lang w:val="sr-Cyrl-RS"/>
        </w:rPr>
        <w:t>”</w:t>
      </w:r>
      <w:r w:rsidRPr="00BF2FB6">
        <w:rPr>
          <w:lang w:val="sr-Cyrl-RS"/>
        </w:rPr>
        <w:t xml:space="preserve">) и Политиком заштите животне средине и социјалне политике </w:t>
      </w:r>
      <w:r w:rsidR="002D61E3" w:rsidRPr="00BF2FB6">
        <w:rPr>
          <w:lang w:val="sr-Cyrl-RS"/>
        </w:rPr>
        <w:t>EBRD</w:t>
      </w:r>
      <w:r w:rsidRPr="00BF2FB6">
        <w:rPr>
          <w:lang w:val="sr-Cyrl-RS"/>
        </w:rPr>
        <w:t xml:space="preserve"> из 2008. године. Максимални ниво буке након инсталирања ће бити складу са „Уредбом о индикаторима буке, граничним вредностима, методама за оцењивање индикатора буке, узнемиравања и штетних ефеката буке у животној средини</w:t>
      </w:r>
      <w:r w:rsidR="00AD5740" w:rsidRPr="00BF2FB6">
        <w:rPr>
          <w:lang w:val="sr-Cyrl-RS"/>
        </w:rPr>
        <w:t>”</w:t>
      </w:r>
      <w:r w:rsidRPr="00BF2FB6">
        <w:rPr>
          <w:lang w:val="sr-Cyrl-RS"/>
        </w:rPr>
        <w:t>. Према овој уредби за зону 4 „Пословно-стамбена подручја, трговачко ст</w:t>
      </w:r>
      <w:r w:rsidR="008E3D5A" w:rsidRPr="00BF2FB6">
        <w:rPr>
          <w:lang w:val="sr-Cyrl-RS"/>
        </w:rPr>
        <w:t>амбена подручја и дечија игралиш</w:t>
      </w:r>
      <w:r w:rsidRPr="00BF2FB6">
        <w:rPr>
          <w:lang w:val="sr-Cyrl-RS"/>
        </w:rPr>
        <w:t>та</w:t>
      </w:r>
      <w:r w:rsidR="00AD5740" w:rsidRPr="00BF2FB6">
        <w:rPr>
          <w:lang w:val="sr-Cyrl-RS"/>
        </w:rPr>
        <w:t>”</w:t>
      </w:r>
      <w:r w:rsidRPr="00BF2FB6">
        <w:rPr>
          <w:lang w:val="sr-Cyrl-RS"/>
        </w:rPr>
        <w:t xml:space="preserve"> за дан дефинисан је максимални ниво буке од 60 dBА, а за ноћ 50 dBА. Примењују су најсавременија решења у циљу смањења буке која је продукт површинске експлоатације, а којa се користе и на површинским коповима у Немачкој. Уграђена је опрема са смањеним нивоом буке (ваљци на транспортерима са балансом G 16, оклопљавање погонских система</w:t>
      </w:r>
      <w:r w:rsidR="00EC7E28" w:rsidRPr="00BF2FB6">
        <w:rPr>
          <w:lang w:val="sr-Cyrl-RS"/>
        </w:rPr>
        <w:t xml:space="preserve"> </w:t>
      </w:r>
      <w:r w:rsidRPr="00BF2FB6">
        <w:rPr>
          <w:lang w:val="sr-Cyrl-RS"/>
        </w:rPr>
        <w:t>и др).</w:t>
      </w:r>
    </w:p>
    <w:p w14:paraId="1C51C624" w14:textId="5B2444B0" w:rsidR="001739E1" w:rsidRPr="00CF77C1" w:rsidRDefault="001739E1" w:rsidP="00D22907">
      <w:pPr>
        <w:ind w:firstLine="720"/>
        <w:rPr>
          <w:lang w:val="sr-Cyrl-RS"/>
        </w:rPr>
      </w:pPr>
      <w:r w:rsidRPr="00BF2FB6">
        <w:rPr>
          <w:lang w:val="sr-Cyrl-RS"/>
        </w:rPr>
        <w:t xml:space="preserve">У погледу заштите од </w:t>
      </w:r>
      <w:r w:rsidR="00D86A7B" w:rsidRPr="00BF2FB6">
        <w:rPr>
          <w:lang w:val="sr-Cyrl-RS"/>
        </w:rPr>
        <w:t>утицаја суспендованих честица</w:t>
      </w:r>
      <w:r w:rsidRPr="00BF2FB6">
        <w:rPr>
          <w:lang w:val="sr-Cyrl-RS"/>
        </w:rPr>
        <w:t xml:space="preserve"> испуњени су услови у складу са граничним, толератним вредностима и граници толеранције прем</w:t>
      </w:r>
      <w:r w:rsidR="006B08F5">
        <w:rPr>
          <w:lang w:val="sr-Cyrl-RS"/>
        </w:rPr>
        <w:t xml:space="preserve">а </w:t>
      </w:r>
      <w:r w:rsidR="005E7F26">
        <w:rPr>
          <w:lang w:val="sr-Cyrl-RS"/>
        </w:rPr>
        <w:t>Уредби</w:t>
      </w:r>
      <w:r w:rsidRPr="00BF2FB6">
        <w:rPr>
          <w:lang w:val="sr-Cyrl-RS"/>
        </w:rPr>
        <w:t xml:space="preserve"> о условима за мониторинг и захтевима квалитета ваздуха („Службени гласник РС</w:t>
      </w:r>
      <w:r w:rsidR="00AD5740" w:rsidRPr="00BF2FB6">
        <w:rPr>
          <w:lang w:val="sr-Cyrl-RS"/>
        </w:rPr>
        <w:t>”</w:t>
      </w:r>
      <w:r w:rsidR="0088654E" w:rsidRPr="00BF2FB6">
        <w:rPr>
          <w:lang w:val="sr-Cyrl-RS"/>
        </w:rPr>
        <w:t>, бр</w:t>
      </w:r>
      <w:r w:rsidR="006B08F5">
        <w:rPr>
          <w:lang w:val="sr-Cyrl-RS"/>
        </w:rPr>
        <w:t>. 75/10 и 63</w:t>
      </w:r>
      <w:r w:rsidR="005E7F26">
        <w:rPr>
          <w:lang w:val="sr-Cyrl-RS"/>
        </w:rPr>
        <w:t>/</w:t>
      </w:r>
      <w:r w:rsidRPr="00BF2FB6">
        <w:rPr>
          <w:lang w:val="sr-Cyrl-RS"/>
        </w:rPr>
        <w:t>1</w:t>
      </w:r>
      <w:r w:rsidR="006B08F5">
        <w:rPr>
          <w:lang w:val="sr-Cyrl-RS"/>
        </w:rPr>
        <w:t>3</w:t>
      </w:r>
      <w:r w:rsidRPr="00BF2FB6">
        <w:rPr>
          <w:lang w:val="sr-Cyrl-RS"/>
        </w:rPr>
        <w:t>) и захтевима Акционог плана заштите животне средине (ESAP из Пројекта унапређења стања животне средине у ПД РБ „Колубара</w:t>
      </w:r>
      <w:r w:rsidR="00AD5740" w:rsidRPr="00BF2FB6">
        <w:rPr>
          <w:lang w:val="sr-Cyrl-RS"/>
        </w:rPr>
        <w:t>”</w:t>
      </w:r>
      <w:r w:rsidRPr="00BF2FB6">
        <w:rPr>
          <w:lang w:val="sr-Cyrl-RS"/>
        </w:rPr>
        <w:t xml:space="preserve">) и Политике заштите животне средине и социјалне политике EBRD из 2008. </w:t>
      </w:r>
      <w:r w:rsidRPr="00CF77C1">
        <w:rPr>
          <w:lang w:val="sr-Cyrl-RS"/>
        </w:rPr>
        <w:t>године. Ова директива је у свему усаглашена са нормама датим у Директиви Европске заједнице 2008/50/EC (Directive 2008/50/EC on ambient air quality and cleaner air for Europe, Official Journal of the European Union L 152/3111.6.2008). Ниво загађености ваздуха прати се мерењем конце</w:t>
      </w:r>
      <w:r w:rsidR="004145CC">
        <w:rPr>
          <w:lang w:val="sr-Cyrl-RS"/>
        </w:rPr>
        <w:t>н</w:t>
      </w:r>
      <w:r w:rsidRPr="00CF77C1">
        <w:rPr>
          <w:lang w:val="sr-Cyrl-RS"/>
        </w:rPr>
        <w:t>трација суспендоване честице (ПМ10, ПМ2.5) у ваздуху, узимањем узорака и њиховом анализом. И у овој области примењене су најсавременије методе обарања прашине (уграђене су прскалице на свим пресипним местима, почев од процеса откопавања, преко транспорта и на крају одлагања). Такође, врши се и обарање прашине на путевима око овог система.</w:t>
      </w:r>
    </w:p>
    <w:p w14:paraId="082B0476" w14:textId="77777777" w:rsidR="00A3013F" w:rsidRPr="00CF77C1" w:rsidRDefault="00A3013F" w:rsidP="00D22907">
      <w:pPr>
        <w:ind w:firstLine="720"/>
        <w:rPr>
          <w:lang w:val="sr-Cyrl-RS"/>
        </w:rPr>
      </w:pPr>
      <w:r w:rsidRPr="00CF77C1">
        <w:rPr>
          <w:lang w:val="sr-Cyrl-RS"/>
        </w:rPr>
        <w:t>Исти систем ће бити инстал</w:t>
      </w:r>
      <w:r w:rsidR="00A84557" w:rsidRPr="00CF77C1">
        <w:rPr>
          <w:lang w:val="sr-Cyrl-RS"/>
        </w:rPr>
        <w:t>иран и на новом (VI БТО) систему</w:t>
      </w:r>
      <w:r w:rsidRPr="00CF77C1">
        <w:rPr>
          <w:lang w:val="sr-Cyrl-RS"/>
        </w:rPr>
        <w:t xml:space="preserve"> на ПК Дрмно. Убудуће ће се на свим новим системима примењивати овај систем заштите животне средине.</w:t>
      </w:r>
    </w:p>
    <w:p w14:paraId="7556CAE0" w14:textId="454B1D34" w:rsidR="00A3013F" w:rsidRPr="00CF77C1" w:rsidRDefault="00A3013F" w:rsidP="00D22907">
      <w:pPr>
        <w:ind w:firstLine="720"/>
        <w:rPr>
          <w:lang w:val="sr-Cyrl-RS"/>
        </w:rPr>
      </w:pPr>
      <w:r w:rsidRPr="00CF77C1">
        <w:rPr>
          <w:lang w:val="sr-Cyrl-RS"/>
        </w:rPr>
        <w:t>За све површинске копове урађени су пројекти рекултивације деградираних површина, а иста ће отпочети када се за то створе услови на унутрашњим одлагалиштима.</w:t>
      </w:r>
      <w:r w:rsidR="00D86A7B" w:rsidRPr="00CF77C1">
        <w:rPr>
          <w:lang w:val="sr-Cyrl-RS"/>
        </w:rPr>
        <w:t xml:space="preserve"> (Напомена: Сагласно Закону о рударству и геолошким истраживањима саставни</w:t>
      </w:r>
      <w:r w:rsidR="00625A5F">
        <w:rPr>
          <w:lang w:val="sr-Cyrl-RS"/>
        </w:rPr>
        <w:t xml:space="preserve"> део Главног рударског </w:t>
      </w:r>
      <w:r w:rsidR="00625A5F" w:rsidRPr="00655D7B">
        <w:rPr>
          <w:lang w:val="sr-Cyrl-RS"/>
        </w:rPr>
        <w:t>пројект</w:t>
      </w:r>
      <w:r w:rsidR="00D86A7B" w:rsidRPr="00655D7B">
        <w:rPr>
          <w:lang w:val="sr-Cyrl-RS"/>
        </w:rPr>
        <w:t>а</w:t>
      </w:r>
      <w:r w:rsidR="00D86A7B" w:rsidRPr="00CF77C1">
        <w:rPr>
          <w:lang w:val="sr-Cyrl-RS"/>
        </w:rPr>
        <w:t xml:space="preserve"> и Допунског рударског пројекта су технички пројекти рекултивације који се реализују када се за то створе услови на самом копу.)</w:t>
      </w:r>
    </w:p>
    <w:p w14:paraId="1DB1F36E" w14:textId="77777777" w:rsidR="001739E1" w:rsidRPr="00CF77C1" w:rsidRDefault="001739E1" w:rsidP="00D22907">
      <w:pPr>
        <w:ind w:firstLine="720"/>
        <w:rPr>
          <w:lang w:val="sr-Cyrl-RS"/>
        </w:rPr>
      </w:pPr>
      <w:r w:rsidRPr="00CF77C1">
        <w:rPr>
          <w:lang w:val="sr-Cyrl-RS"/>
        </w:rPr>
        <w:t xml:space="preserve">На свим површинским коповима </w:t>
      </w:r>
      <w:r w:rsidR="008E3D5A" w:rsidRPr="00CF77C1">
        <w:rPr>
          <w:lang w:val="sr-Cyrl-RS"/>
        </w:rPr>
        <w:t>врши се</w:t>
      </w:r>
      <w:r w:rsidRPr="00CF77C1">
        <w:rPr>
          <w:lang w:val="sr-Cyrl-RS"/>
        </w:rPr>
        <w:t xml:space="preserve"> мониторинг квалитета површинских вода која се у процесу oдводњавања испуштају у најближе рецепијенте. Поред тога врши се и контрола квалитета подземних вода у бунарима.</w:t>
      </w:r>
    </w:p>
    <w:p w14:paraId="4ED486C5" w14:textId="442FF1AE" w:rsidR="00882250" w:rsidRPr="00CF77C1" w:rsidRDefault="00086DE0" w:rsidP="00086DE0">
      <w:pPr>
        <w:pStyle w:val="Heading2"/>
        <w:numPr>
          <w:ilvl w:val="0"/>
          <w:numId w:val="0"/>
        </w:numPr>
        <w:ind w:left="720"/>
        <w:rPr>
          <w:rFonts w:ascii="Times New Roman" w:hAnsi="Times New Roman"/>
          <w:b w:val="0"/>
          <w:lang w:val="sr-Cyrl-RS"/>
        </w:rPr>
      </w:pPr>
      <w:bookmarkStart w:id="187" w:name="_Toc484260314"/>
      <w:r w:rsidRPr="00CF77C1">
        <w:rPr>
          <w:rFonts w:ascii="Times New Roman" w:hAnsi="Times New Roman"/>
          <w:b w:val="0"/>
          <w:lang w:val="sr-Cyrl-RS"/>
        </w:rPr>
        <w:t xml:space="preserve">3.7. </w:t>
      </w:r>
      <w:r w:rsidR="00882250" w:rsidRPr="00CF77C1">
        <w:rPr>
          <w:rFonts w:ascii="Times New Roman" w:hAnsi="Times New Roman"/>
          <w:b w:val="0"/>
          <w:lang w:val="sr-Cyrl-RS"/>
        </w:rPr>
        <w:t>Област енергетске ефикасности</w:t>
      </w:r>
      <w:bookmarkEnd w:id="185"/>
      <w:r w:rsidR="00C666BB" w:rsidRPr="00CF77C1">
        <w:rPr>
          <w:rFonts w:ascii="Times New Roman" w:hAnsi="Times New Roman"/>
          <w:b w:val="0"/>
          <w:lang w:val="sr-Cyrl-RS"/>
        </w:rPr>
        <w:t xml:space="preserve"> у сектору потрошње енергије</w:t>
      </w:r>
      <w:bookmarkEnd w:id="187"/>
    </w:p>
    <w:p w14:paraId="4A431C2A" w14:textId="09699B85" w:rsidR="001E7103" w:rsidRPr="00CF77C1" w:rsidRDefault="001E7103" w:rsidP="00D22907">
      <w:pPr>
        <w:ind w:firstLine="720"/>
        <w:rPr>
          <w:lang w:val="sr-Cyrl-RS"/>
        </w:rPr>
      </w:pPr>
      <w:r w:rsidRPr="00CF77C1">
        <w:rPr>
          <w:lang w:val="sr-Cyrl-RS"/>
        </w:rPr>
        <w:t xml:space="preserve">Област енергетске ефикасности </w:t>
      </w:r>
      <w:r w:rsidR="00455FC7" w:rsidRPr="00CF77C1">
        <w:rPr>
          <w:lang w:val="sr-Cyrl-RS"/>
        </w:rPr>
        <w:t xml:space="preserve">у крајњој потрошњи енергије и енергената </w:t>
      </w:r>
      <w:r w:rsidR="00C41F45" w:rsidRPr="00CF77C1">
        <w:rPr>
          <w:lang w:val="sr-Cyrl-RS"/>
        </w:rPr>
        <w:t xml:space="preserve">у </w:t>
      </w:r>
      <w:r w:rsidR="00185B50" w:rsidRPr="00CF77C1">
        <w:rPr>
          <w:lang w:val="sr-Cyrl-RS"/>
        </w:rPr>
        <w:t xml:space="preserve">Републици </w:t>
      </w:r>
      <w:r w:rsidR="00C41F45" w:rsidRPr="00CF77C1">
        <w:rPr>
          <w:lang w:val="sr-Cyrl-RS"/>
        </w:rPr>
        <w:t xml:space="preserve">Србији </w:t>
      </w:r>
      <w:r w:rsidRPr="00CF77C1">
        <w:rPr>
          <w:lang w:val="sr-Cyrl-RS"/>
        </w:rPr>
        <w:t xml:space="preserve">је </w:t>
      </w:r>
      <w:r w:rsidR="00C41F45" w:rsidRPr="00CF77C1">
        <w:rPr>
          <w:lang w:val="sr-Cyrl-RS"/>
        </w:rPr>
        <w:t>уређена кроз</w:t>
      </w:r>
      <w:r w:rsidRPr="00CF77C1">
        <w:rPr>
          <w:lang w:val="sr-Cyrl-RS"/>
        </w:rPr>
        <w:t xml:space="preserve"> два закона: Закон о енергетици</w:t>
      </w:r>
      <w:r w:rsidR="00C41F45" w:rsidRPr="00CF77C1">
        <w:rPr>
          <w:lang w:val="sr-Cyrl-RS"/>
        </w:rPr>
        <w:t xml:space="preserve"> </w:t>
      </w:r>
      <w:r w:rsidRPr="00CF77C1">
        <w:rPr>
          <w:lang w:val="sr-Cyrl-RS"/>
        </w:rPr>
        <w:t>и Закон о ефикасном коришћењу енергије</w:t>
      </w:r>
      <w:r w:rsidR="00455FC7" w:rsidRPr="00CF77C1">
        <w:rPr>
          <w:lang w:val="sr-Cyrl-RS"/>
        </w:rPr>
        <w:t xml:space="preserve">. Кроз ова два закона транспоновани су захтеви Директиве </w:t>
      </w:r>
      <w:r w:rsidR="00455FC7" w:rsidRPr="00CF77C1">
        <w:rPr>
          <w:rFonts w:eastAsia="Calibri"/>
          <w:lang w:val="sr-Cyrl-RS"/>
        </w:rPr>
        <w:t xml:space="preserve">2006/32/EC о </w:t>
      </w:r>
      <w:r w:rsidR="00AA4AA1" w:rsidRPr="00CF77C1">
        <w:rPr>
          <w:lang w:val="sr-Cyrl-RS"/>
        </w:rPr>
        <w:t>енергетској ефикасности финалне потрошње енергије и енергетским услуга</w:t>
      </w:r>
      <w:r w:rsidR="00CE09D5" w:rsidRPr="00CF77C1">
        <w:rPr>
          <w:lang w:val="sr-Cyrl-RS"/>
        </w:rPr>
        <w:t>ма</w:t>
      </w:r>
      <w:r w:rsidR="00AA4AA1" w:rsidRPr="00CF77C1">
        <w:rPr>
          <w:lang w:val="sr-Cyrl-RS"/>
        </w:rPr>
        <w:t xml:space="preserve"> (ЕСД).</w:t>
      </w:r>
      <w:r w:rsidR="00455FC7" w:rsidRPr="00CF77C1">
        <w:rPr>
          <w:rFonts w:eastAsia="Calibri"/>
          <w:lang w:val="sr-Cyrl-RS"/>
        </w:rPr>
        <w:t xml:space="preserve"> У међувремену је донета нова Директива </w:t>
      </w:r>
      <w:r w:rsidR="00455FC7" w:rsidRPr="00CF77C1">
        <w:rPr>
          <w:lang w:val="sr-Cyrl-RS"/>
        </w:rPr>
        <w:t>2012/27/EU</w:t>
      </w:r>
      <w:r w:rsidR="00AA4AA1" w:rsidRPr="00CF77C1">
        <w:rPr>
          <w:lang w:val="sr-Cyrl-RS"/>
        </w:rPr>
        <w:t xml:space="preserve"> о енергетској ефикасности (ЕЕД) која је заменила директиву ЕСД</w:t>
      </w:r>
      <w:r w:rsidR="00302B30" w:rsidRPr="00CF77C1">
        <w:rPr>
          <w:lang w:val="sr-Cyrl-RS"/>
        </w:rPr>
        <w:t xml:space="preserve"> и</w:t>
      </w:r>
      <w:r w:rsidR="00455FC7" w:rsidRPr="00CF77C1">
        <w:rPr>
          <w:lang w:val="sr-Cyrl-RS"/>
        </w:rPr>
        <w:t xml:space="preserve"> чија обавезујућа примена за </w:t>
      </w:r>
      <w:r w:rsidR="00D81940" w:rsidRPr="00CF77C1">
        <w:rPr>
          <w:lang w:val="sr-Cyrl-RS"/>
        </w:rPr>
        <w:t xml:space="preserve">потписнице </w:t>
      </w:r>
      <w:r w:rsidR="00455FC7" w:rsidRPr="00CF77C1">
        <w:rPr>
          <w:lang w:val="sr-Cyrl-RS"/>
        </w:rPr>
        <w:t>Енергетске заједнице почиње</w:t>
      </w:r>
      <w:r w:rsidR="00302B30" w:rsidRPr="00CF77C1">
        <w:rPr>
          <w:lang w:val="sr-Cyrl-RS"/>
        </w:rPr>
        <w:t xml:space="preserve"> крајем 2017. године</w:t>
      </w:r>
      <w:r w:rsidR="00D81940" w:rsidRPr="00CF77C1">
        <w:rPr>
          <w:lang w:val="sr-Cyrl-RS"/>
        </w:rPr>
        <w:t xml:space="preserve">, у складу са </w:t>
      </w:r>
      <w:r w:rsidR="00302B30" w:rsidRPr="00CF77C1">
        <w:rPr>
          <w:lang w:val="sr-Cyrl-RS"/>
        </w:rPr>
        <w:t>Одлуком Министарског савета (D/2015/08/MC-EnC) из октобра 2015. године. Одлуком су утврђени рокови и захтеви за примену појединих одредби ЕЕД</w:t>
      </w:r>
      <w:r w:rsidR="00D81940" w:rsidRPr="00CF77C1">
        <w:rPr>
          <w:lang w:val="sr-Cyrl-RS"/>
        </w:rPr>
        <w:t xml:space="preserve"> </w:t>
      </w:r>
      <w:r w:rsidR="00302B30" w:rsidRPr="00CF77C1">
        <w:rPr>
          <w:lang w:val="sr-Cyrl-RS"/>
        </w:rPr>
        <w:t>који се разликују у однос</w:t>
      </w:r>
      <w:r w:rsidR="00D81940" w:rsidRPr="00CF77C1">
        <w:rPr>
          <w:lang w:val="sr-Cyrl-RS"/>
        </w:rPr>
        <w:t>у на чланице ЕУ</w:t>
      </w:r>
      <w:r w:rsidR="00455FC7" w:rsidRPr="00CF77C1">
        <w:rPr>
          <w:lang w:val="sr-Cyrl-RS"/>
        </w:rPr>
        <w:t xml:space="preserve">. </w:t>
      </w:r>
      <w:r w:rsidR="00AA4AA1" w:rsidRPr="00CF77C1">
        <w:rPr>
          <w:lang w:val="sr-Cyrl-RS"/>
        </w:rPr>
        <w:t>Иако д</w:t>
      </w:r>
      <w:r w:rsidR="006A2309" w:rsidRPr="00CF77C1">
        <w:rPr>
          <w:lang w:val="sr-Cyrl-RS"/>
        </w:rPr>
        <w:t>о сада није вршено директно уса</w:t>
      </w:r>
      <w:r w:rsidR="00AA4AA1" w:rsidRPr="00CF77C1">
        <w:rPr>
          <w:lang w:val="sr-Cyrl-RS"/>
        </w:rPr>
        <w:t>г</w:t>
      </w:r>
      <w:r w:rsidR="006A2309" w:rsidRPr="00CF77C1">
        <w:rPr>
          <w:lang w:val="sr-Cyrl-RS"/>
        </w:rPr>
        <w:t>л</w:t>
      </w:r>
      <w:r w:rsidR="00AA4AA1" w:rsidRPr="00CF77C1">
        <w:rPr>
          <w:lang w:val="sr-Cyrl-RS"/>
        </w:rPr>
        <w:t>ашавање са новом директивом, п</w:t>
      </w:r>
      <w:r w:rsidR="00455FC7" w:rsidRPr="00CF77C1">
        <w:rPr>
          <w:lang w:val="sr-Cyrl-RS"/>
        </w:rPr>
        <w:t xml:space="preserve">оменути </w:t>
      </w:r>
      <w:r w:rsidRPr="00CF77C1">
        <w:rPr>
          <w:lang w:val="sr-Cyrl-RS"/>
        </w:rPr>
        <w:t>закони</w:t>
      </w:r>
      <w:r w:rsidR="00CE09D5" w:rsidRPr="00CF77C1">
        <w:rPr>
          <w:lang w:val="sr-Cyrl-RS"/>
        </w:rPr>
        <w:t>,</w:t>
      </w:r>
      <w:r w:rsidR="00CA5BDB" w:rsidRPr="00CF77C1">
        <w:rPr>
          <w:lang w:val="sr-Cyrl-RS"/>
        </w:rPr>
        <w:t xml:space="preserve"> а пре свега </w:t>
      </w:r>
      <w:r w:rsidR="00AD4928" w:rsidRPr="00CF77C1">
        <w:rPr>
          <w:lang w:val="sr-Cyrl-RS"/>
        </w:rPr>
        <w:t xml:space="preserve">Закон </w:t>
      </w:r>
      <w:r w:rsidR="00CA5BDB" w:rsidRPr="00CF77C1">
        <w:rPr>
          <w:lang w:val="sr-Cyrl-RS"/>
        </w:rPr>
        <w:t>о ефикасном коришћењу енергије</w:t>
      </w:r>
      <w:r w:rsidR="00CE09D5" w:rsidRPr="00CF77C1">
        <w:rPr>
          <w:lang w:val="sr-Cyrl-RS"/>
        </w:rPr>
        <w:t>,</w:t>
      </w:r>
      <w:r w:rsidRPr="00CF77C1">
        <w:rPr>
          <w:lang w:val="sr-Cyrl-RS"/>
        </w:rPr>
        <w:t xml:space="preserve"> су у доброј мери </w:t>
      </w:r>
      <w:r w:rsidR="00AA4AA1" w:rsidRPr="00CF77C1">
        <w:rPr>
          <w:lang w:val="sr-Cyrl-RS"/>
        </w:rPr>
        <w:t xml:space="preserve">већ </w:t>
      </w:r>
      <w:r w:rsidRPr="00CF77C1">
        <w:rPr>
          <w:lang w:val="sr-Cyrl-RS"/>
        </w:rPr>
        <w:t xml:space="preserve">усклађени са </w:t>
      </w:r>
      <w:r w:rsidR="00AA4AA1" w:rsidRPr="00CF77C1">
        <w:rPr>
          <w:lang w:val="sr-Cyrl-RS"/>
        </w:rPr>
        <w:t xml:space="preserve">њеним </w:t>
      </w:r>
      <w:r w:rsidRPr="00CF77C1">
        <w:rPr>
          <w:lang w:val="sr-Cyrl-RS"/>
        </w:rPr>
        <w:t>одредбама</w:t>
      </w:r>
      <w:r w:rsidR="00AA4AA1" w:rsidRPr="00CF77C1">
        <w:rPr>
          <w:lang w:val="sr-Cyrl-RS"/>
        </w:rPr>
        <w:t>.</w:t>
      </w:r>
    </w:p>
    <w:p w14:paraId="0B9C66FB" w14:textId="53DD93B9" w:rsidR="006A2309" w:rsidRPr="00CF77C1" w:rsidRDefault="006A2309" w:rsidP="00D22907">
      <w:pPr>
        <w:ind w:firstLine="720"/>
        <w:rPr>
          <w:lang w:val="sr-Cyrl-RS"/>
        </w:rPr>
      </w:pPr>
      <w:r w:rsidRPr="00CF77C1">
        <w:rPr>
          <w:lang w:val="sr-Cyrl-RS"/>
        </w:rPr>
        <w:t>Поред поменутих закона, област енергетске ефикасности у сектору зградарства је уређена Законом о планирању и изградњи</w:t>
      </w:r>
      <w:r w:rsidR="00E512E3" w:rsidRPr="00CF77C1">
        <w:rPr>
          <w:lang w:val="sr-Cyrl-RS"/>
        </w:rPr>
        <w:t xml:space="preserve"> </w:t>
      </w:r>
      <w:r w:rsidRPr="00CF77C1">
        <w:rPr>
          <w:lang w:val="sr-Cyrl-RS"/>
        </w:rPr>
        <w:t>и релевантним подзаконским актима: Правилником о енергетској ефикасности зграда</w:t>
      </w:r>
      <w:r w:rsidR="00E512E3" w:rsidRPr="00CF77C1">
        <w:rPr>
          <w:lang w:val="sr-Cyrl-RS"/>
        </w:rPr>
        <w:t xml:space="preserve"> (</w:t>
      </w:r>
      <w:r w:rsidR="002D61E3">
        <w:t>„Службени гласник РС”, број</w:t>
      </w:r>
      <w:r w:rsidR="005E7F26">
        <w:t xml:space="preserve"> 61/</w:t>
      </w:r>
      <w:r w:rsidR="00E512E3" w:rsidRPr="00CF77C1">
        <w:t>11</w:t>
      </w:r>
      <w:r w:rsidR="00E512E3" w:rsidRPr="00CF77C1">
        <w:rPr>
          <w:lang w:val="sr-Cyrl-RS"/>
        </w:rPr>
        <w:t>)</w:t>
      </w:r>
      <w:r w:rsidRPr="00CF77C1">
        <w:rPr>
          <w:lang w:val="sr-Cyrl-RS"/>
        </w:rPr>
        <w:t xml:space="preserve"> и Правилником о условима, садржини и начину издавања</w:t>
      </w:r>
      <w:r w:rsidR="0058221F" w:rsidRPr="00CF77C1">
        <w:rPr>
          <w:lang w:val="sr-Cyrl-RS"/>
        </w:rPr>
        <w:t xml:space="preserve"> </w:t>
      </w:r>
      <w:r w:rsidRPr="00CF77C1">
        <w:rPr>
          <w:lang w:val="sr-Cyrl-RS"/>
        </w:rPr>
        <w:t>сертификата о енергетским својствима зграда</w:t>
      </w:r>
      <w:r w:rsidR="00E512E3" w:rsidRPr="00CF77C1">
        <w:rPr>
          <w:lang w:val="sr-Cyrl-RS"/>
        </w:rPr>
        <w:t xml:space="preserve"> (</w:t>
      </w:r>
      <w:r w:rsidR="002D61E3">
        <w:t>„Службени гласник РС”, број</w:t>
      </w:r>
      <w:r w:rsidR="005E7F26">
        <w:t xml:space="preserve"> 69/</w:t>
      </w:r>
      <w:r w:rsidR="00E512E3" w:rsidRPr="00CF77C1">
        <w:t>12</w:t>
      </w:r>
      <w:r w:rsidR="00E512E3" w:rsidRPr="00CF77C1">
        <w:rPr>
          <w:lang w:val="sr-Cyrl-RS"/>
        </w:rPr>
        <w:t>)</w:t>
      </w:r>
      <w:r w:rsidRPr="00CF77C1">
        <w:rPr>
          <w:lang w:val="sr-Cyrl-RS"/>
        </w:rPr>
        <w:t>.</w:t>
      </w:r>
    </w:p>
    <w:p w14:paraId="0A2757FF" w14:textId="07633EFE" w:rsidR="00321093" w:rsidRPr="00CF77C1" w:rsidRDefault="00073C77" w:rsidP="00D22907">
      <w:pPr>
        <w:ind w:firstLine="720"/>
        <w:rPr>
          <w:lang w:val="sr-Cyrl-RS"/>
        </w:rPr>
      </w:pPr>
      <w:r w:rsidRPr="00CF77C1">
        <w:rPr>
          <w:lang w:val="sr-Cyrl-RS"/>
        </w:rPr>
        <w:t>Д</w:t>
      </w:r>
      <w:r w:rsidR="00321093" w:rsidRPr="00CF77C1">
        <w:rPr>
          <w:lang w:val="sr-Cyrl-RS"/>
        </w:rPr>
        <w:t xml:space="preserve">окумент којим се </w:t>
      </w:r>
      <w:r w:rsidR="00ED5B1A" w:rsidRPr="00CF77C1">
        <w:rPr>
          <w:lang w:val="sr-Cyrl-RS"/>
        </w:rPr>
        <w:t xml:space="preserve">планира и </w:t>
      </w:r>
      <w:r w:rsidR="00321093" w:rsidRPr="00CF77C1">
        <w:rPr>
          <w:lang w:val="sr-Cyrl-RS"/>
        </w:rPr>
        <w:t xml:space="preserve">спроводи унапређење енергетске ефикасности </w:t>
      </w:r>
      <w:r w:rsidRPr="00CF77C1">
        <w:rPr>
          <w:lang w:val="sr-Cyrl-RS"/>
        </w:rPr>
        <w:t xml:space="preserve">у складу са чланом 7. Закона о ефикасном коришћењу енергије </w:t>
      </w:r>
      <w:r w:rsidR="00321093" w:rsidRPr="00CF77C1">
        <w:rPr>
          <w:lang w:val="sr-Cyrl-RS"/>
        </w:rPr>
        <w:t>у</w:t>
      </w:r>
      <w:r w:rsidR="00185B50" w:rsidRPr="00CF77C1">
        <w:rPr>
          <w:lang w:val="sr-Cyrl-RS"/>
        </w:rPr>
        <w:t xml:space="preserve"> Републици</w:t>
      </w:r>
      <w:r w:rsidR="00321093" w:rsidRPr="00CF77C1">
        <w:rPr>
          <w:lang w:val="sr-Cyrl-RS"/>
        </w:rPr>
        <w:t xml:space="preserve"> Србији је Акциони план за енергетску ефикасност. </w:t>
      </w:r>
      <w:r w:rsidRPr="00CF77C1">
        <w:rPr>
          <w:lang w:val="sr-Cyrl-RS"/>
        </w:rPr>
        <w:t>Трећи акциони план за енергетску ефикасност за период</w:t>
      </w:r>
      <w:r w:rsidR="005E7F26">
        <w:rPr>
          <w:lang w:val="sr-Cyrl-RS"/>
        </w:rPr>
        <w:t xml:space="preserve"> од 2016. до 2018. г</w:t>
      </w:r>
      <w:r w:rsidRPr="00CF77C1">
        <w:rPr>
          <w:lang w:val="sr-Cyrl-RS"/>
        </w:rPr>
        <w:t>одине („Службени гласник РС”, број 1/17) (3. АПЕЕ) усвојен је на Влади крајем 2016. године. 3. АПЕЕ припремљен је у формату који је дефинисан на нивоу Енергетске заједницe, у складу са захтевима Директиве 2006/32/EC, али је обухватио и низ елемената који се тичу будуће примене Директиве 2012/27/EU. 3.АПЕЕ садржи: (1) националне циљеве уштеде за период 2016-2018. годи</w:t>
      </w:r>
      <w:r w:rsidR="00192A3F" w:rsidRPr="00CF77C1">
        <w:rPr>
          <w:lang w:val="sr-Cyrl-RS"/>
        </w:rPr>
        <w:t>н</w:t>
      </w:r>
      <w:r w:rsidRPr="00CF77C1">
        <w:rPr>
          <w:lang w:val="sr-Cyrl-RS"/>
        </w:rPr>
        <w:t>е, (2) мере за ефикасно коришћење енергије, активности, носиоце активности, рокове и процену очекиваних резултата сваке од мера за остварење задатог циља, (3) финансијске, правне и друге инструменте предвиђене за спровођење планираних мера и активности и (4) оцену степена остварења планираног циља уштеде енергије из претходног Акционог плана (за период 201</w:t>
      </w:r>
      <w:r w:rsidR="00BB61D7" w:rsidRPr="00CF77C1">
        <w:rPr>
          <w:lang w:val="sr-Cyrl-RS"/>
        </w:rPr>
        <w:t>3</w:t>
      </w:r>
      <w:r w:rsidRPr="00CF77C1">
        <w:rPr>
          <w:lang w:val="sr-Cyrl-RS"/>
        </w:rPr>
        <w:t>-2015. године).</w:t>
      </w:r>
    </w:p>
    <w:p w14:paraId="41A650A9" w14:textId="193F29C7" w:rsidR="00FB6B35" w:rsidRPr="00CF77C1" w:rsidRDefault="00086DE0" w:rsidP="00086DE0">
      <w:pPr>
        <w:pStyle w:val="Heading3"/>
        <w:numPr>
          <w:ilvl w:val="0"/>
          <w:numId w:val="0"/>
        </w:numPr>
        <w:ind w:left="720"/>
        <w:rPr>
          <w:b w:val="0"/>
          <w:lang w:val="sr-Cyrl-RS"/>
        </w:rPr>
      </w:pPr>
      <w:bookmarkStart w:id="188" w:name="_Toc484260315"/>
      <w:r w:rsidRPr="00CF77C1">
        <w:rPr>
          <w:b w:val="0"/>
          <w:lang w:val="sr-Cyrl-RS"/>
        </w:rPr>
        <w:t xml:space="preserve">3.7.1. </w:t>
      </w:r>
      <w:r w:rsidR="00524C73" w:rsidRPr="00CF77C1">
        <w:rPr>
          <w:b w:val="0"/>
          <w:lang w:val="sr-Cyrl-RS"/>
        </w:rPr>
        <w:t>Циљеви у области енергетске ефикасности и индикатори њихове реализације</w:t>
      </w:r>
      <w:bookmarkEnd w:id="188"/>
    </w:p>
    <w:p w14:paraId="25C00A0F" w14:textId="24C55F9F" w:rsidR="00942794" w:rsidRPr="00CF77C1" w:rsidRDefault="00073C77" w:rsidP="00D22907">
      <w:pPr>
        <w:ind w:firstLine="720"/>
        <w:rPr>
          <w:lang w:val="sr-Cyrl-RS"/>
        </w:rPr>
      </w:pPr>
      <w:r w:rsidRPr="00CF77C1">
        <w:rPr>
          <w:lang w:val="sr-Cyrl-RS"/>
        </w:rPr>
        <w:t>Са аспекта дефинисања циљева важно је имати у виду чињеницу да су на нивоу потписница Уговора о оснивању Енергетске заједнице циљеви до 2018. године дефинисани у складу са Директивом 2006/32/EC као уштеде финалне енергије од 9% у периоду од 2010-2018. године. Директивом 2012/27/EU Европска унија утврдила је циљ да потрошња енергије у ЕУ у 2020. години не сме бити већа од 1474 милиона тен примарне енергије, односно, 1078 милиона тен финалне енергије. За поједине државе чланице појединачни циљеви нису дефинисани Директивом, већ је државама препоручено да преиспитају своје националне циљеве да би се уклопиле у заједнички циљ. Као део имплементације ове Директиве на нивоу потписница Угов</w:t>
      </w:r>
      <w:r w:rsidR="00625A5F">
        <w:rPr>
          <w:lang w:val="sr-Cyrl-RS"/>
        </w:rPr>
        <w:t>ора о оснивању Енергетске зајед</w:t>
      </w:r>
      <w:r w:rsidRPr="00CF77C1">
        <w:rPr>
          <w:lang w:val="sr-Cyrl-RS"/>
        </w:rPr>
        <w:t>нице дефинисан је циљ да потрошња енергије не сме бити већа од 187 милиона тен примарне енергије, односно, 133 милиона тен финалне енергије. Сходно овом циљу, индикативни циљ Републике Србије у 2020. години је да потрошња примарне енергије не пређе 17,981 милиона тен примарне енергије, а потрошња финалне енергије 13,103 милиона тен финалне енергије за енергетске сврхе. Дефинисане вредности су веће од пројектованих и по референтном сценарију, а нарочито по сценарију са применом мера енергетске ефикасности из Стратегије</w:t>
      </w:r>
      <w:r w:rsidR="00137B22" w:rsidRPr="00CF77C1">
        <w:rPr>
          <w:lang w:val="sr-Cyrl-RS"/>
        </w:rPr>
        <w:t xml:space="preserve"> </w:t>
      </w:r>
      <w:r w:rsidR="00B9618D" w:rsidRPr="00CF77C1">
        <w:rPr>
          <w:lang w:val="sr-Cyrl-RS"/>
        </w:rPr>
        <w:t>енергетике</w:t>
      </w:r>
      <w:r w:rsidR="005C33BF" w:rsidRPr="00CF77C1">
        <w:rPr>
          <w:lang w:val="sr-Cyrl-RS"/>
        </w:rPr>
        <w:t>. Такође, подаци о реализацији енергетског биланса у 2015. години, показују да је остварење како потрошње примарне енергије (15</w:t>
      </w:r>
      <w:r w:rsidR="008F56C7" w:rsidRPr="00CF77C1">
        <w:rPr>
          <w:lang w:val="sr-Cyrl-RS"/>
        </w:rPr>
        <w:t>,</w:t>
      </w:r>
      <w:r w:rsidR="005C33BF" w:rsidRPr="00CF77C1">
        <w:rPr>
          <w:lang w:val="sr-Cyrl-RS"/>
        </w:rPr>
        <w:t xml:space="preserve">051 </w:t>
      </w:r>
      <w:r w:rsidR="003951ED" w:rsidRPr="00CF77C1">
        <w:rPr>
          <w:lang w:val="sr-Cyrl-RS"/>
        </w:rPr>
        <w:t xml:space="preserve">милиона </w:t>
      </w:r>
      <w:r w:rsidR="005C33BF" w:rsidRPr="00CF77C1">
        <w:rPr>
          <w:lang w:val="sr-Cyrl-RS"/>
        </w:rPr>
        <w:t>тен), тако и потрошње финалне енергије (8</w:t>
      </w:r>
      <w:r w:rsidR="008F56C7" w:rsidRPr="00CF77C1">
        <w:rPr>
          <w:lang w:val="sr-Cyrl-RS"/>
        </w:rPr>
        <w:t>,</w:t>
      </w:r>
      <w:r w:rsidR="005C33BF" w:rsidRPr="00CF77C1">
        <w:rPr>
          <w:lang w:val="sr-Cyrl-RS"/>
        </w:rPr>
        <w:t xml:space="preserve">776 </w:t>
      </w:r>
      <w:r w:rsidR="00ED709D" w:rsidRPr="00CF77C1">
        <w:rPr>
          <w:lang w:val="sr-Cyrl-RS"/>
        </w:rPr>
        <w:t xml:space="preserve">милиона </w:t>
      </w:r>
      <w:r w:rsidR="005C33BF" w:rsidRPr="00CF77C1">
        <w:rPr>
          <w:lang w:val="sr-Cyrl-RS"/>
        </w:rPr>
        <w:t>тен која укључује 617 хиљада тен за неенергетске и 8</w:t>
      </w:r>
      <w:r w:rsidR="008F56C7" w:rsidRPr="00CF77C1">
        <w:rPr>
          <w:lang w:val="sr-Cyrl-RS"/>
        </w:rPr>
        <w:t>,</w:t>
      </w:r>
      <w:r w:rsidR="005C33BF" w:rsidRPr="00CF77C1">
        <w:rPr>
          <w:lang w:val="sr-Cyrl-RS"/>
        </w:rPr>
        <w:t xml:space="preserve">159 </w:t>
      </w:r>
      <w:r w:rsidR="00ED709D" w:rsidRPr="00CF77C1">
        <w:rPr>
          <w:lang w:val="sr-Cyrl-RS"/>
        </w:rPr>
        <w:t xml:space="preserve">милиона </w:t>
      </w:r>
      <w:r w:rsidR="005C33BF" w:rsidRPr="00CF77C1">
        <w:rPr>
          <w:lang w:val="sr-Cyrl-RS"/>
        </w:rPr>
        <w:t xml:space="preserve">тен за енергетске сврхе) значајно испод пројектованих </w:t>
      </w:r>
      <w:r w:rsidR="008F56C7" w:rsidRPr="00CF77C1">
        <w:rPr>
          <w:lang w:val="sr-Cyrl-RS"/>
        </w:rPr>
        <w:t>потрошњи п</w:t>
      </w:r>
      <w:r w:rsidR="00997D77" w:rsidRPr="00CF77C1">
        <w:rPr>
          <w:lang w:val="sr-Cyrl-RS"/>
        </w:rPr>
        <w:t>рема</w:t>
      </w:r>
      <w:r w:rsidR="005127FE" w:rsidRPr="00CF77C1">
        <w:rPr>
          <w:lang w:val="sr-Cyrl-RS"/>
        </w:rPr>
        <w:t xml:space="preserve"> </w:t>
      </w:r>
      <w:r w:rsidR="005C33BF" w:rsidRPr="00CF77C1">
        <w:rPr>
          <w:lang w:val="sr-Cyrl-RS"/>
        </w:rPr>
        <w:t>оба пројектована сценарија</w:t>
      </w:r>
      <w:r w:rsidR="005337E1" w:rsidRPr="00CF77C1">
        <w:rPr>
          <w:lang w:val="sr-Cyrl-RS"/>
        </w:rPr>
        <w:t xml:space="preserve"> па ће Република Србија настојати да одржи тренд остваривања уштеда финалне потрошње енергије на нивоу од 1% у односу на 2008. годину</w:t>
      </w:r>
      <w:r w:rsidR="005C33BF" w:rsidRPr="00CF77C1">
        <w:rPr>
          <w:lang w:val="sr-Cyrl-RS"/>
        </w:rPr>
        <w:t xml:space="preserve">. Значајно већи ниво резерве постоји са аспекта потрошње финалне енергије, него са аспекта примарне енергије. Наиме, постоји простор за просечан </w:t>
      </w:r>
      <w:r w:rsidR="008F56C7" w:rsidRPr="00CF77C1">
        <w:rPr>
          <w:lang w:val="sr-Cyrl-RS"/>
        </w:rPr>
        <w:t xml:space="preserve">годишњи раст </w:t>
      </w:r>
      <w:r w:rsidR="005C33BF" w:rsidRPr="00CF77C1">
        <w:rPr>
          <w:lang w:val="sr-Cyrl-RS"/>
        </w:rPr>
        <w:t>потрошње примарне енергије</w:t>
      </w:r>
      <w:r w:rsidR="008F56C7" w:rsidRPr="00CF77C1">
        <w:rPr>
          <w:lang w:val="sr-Cyrl-RS"/>
        </w:rPr>
        <w:t xml:space="preserve"> од 3,6%</w:t>
      </w:r>
      <w:r w:rsidR="00ED709D" w:rsidRPr="00CF77C1">
        <w:rPr>
          <w:lang w:val="sr-Cyrl-RS"/>
        </w:rPr>
        <w:t>, односно, просечан</w:t>
      </w:r>
      <w:r w:rsidR="005C33BF" w:rsidRPr="00CF77C1">
        <w:rPr>
          <w:lang w:val="sr-Cyrl-RS"/>
        </w:rPr>
        <w:t xml:space="preserve"> раст потрошње укупне финалне енергије за енергетске сврхе </w:t>
      </w:r>
      <w:r w:rsidR="008F56C7" w:rsidRPr="00CF77C1">
        <w:rPr>
          <w:lang w:val="sr-Cyrl-RS"/>
        </w:rPr>
        <w:t xml:space="preserve">од 9,9% </w:t>
      </w:r>
      <w:r w:rsidR="005C33BF" w:rsidRPr="00CF77C1">
        <w:rPr>
          <w:lang w:val="sr-Cyrl-RS"/>
        </w:rPr>
        <w:t>у периоду до 2020. године.</w:t>
      </w:r>
    </w:p>
    <w:p w14:paraId="6D7B4789" w14:textId="52B41C90" w:rsidR="00C666BB" w:rsidRPr="00CF77C1" w:rsidRDefault="00C666BB" w:rsidP="00D22907">
      <w:pPr>
        <w:ind w:firstLine="720"/>
        <w:rPr>
          <w:lang w:val="sr-Cyrl-RS"/>
        </w:rPr>
      </w:pPr>
      <w:r w:rsidRPr="00CF77C1">
        <w:rPr>
          <w:lang w:val="sr-Cyrl-RS"/>
        </w:rPr>
        <w:t xml:space="preserve">Пројектовано смањење емисије гасова са ефектом стаклене баште због повећања енергетске ефикасности у сектору потрошње енергије прорачунато је коришћењем следећих емисионих фактора који су помножени са енергентима за финалну потрошњу: за топлане 0,287 tCO2/MWh произведене топлотне енергије (емисиони фактор са којим је рачунато у </w:t>
      </w:r>
      <w:r w:rsidR="00331048" w:rsidRPr="00CF77C1">
        <w:rPr>
          <w:lang w:val="sr-Cyrl-RS"/>
        </w:rPr>
        <w:t>Стратегији енергетике</w:t>
      </w:r>
      <w:r w:rsidRPr="00CF77C1">
        <w:rPr>
          <w:lang w:val="sr-Cyrl-RS"/>
        </w:rPr>
        <w:t>), за електричну енергију 1,099 tCO2/MWh (комбиновани емисиони фактор за производњу електричне енергије у ЕЕС Србије</w:t>
      </w:r>
      <w:r w:rsidR="00331048" w:rsidRPr="00CF77C1">
        <w:rPr>
          <w:lang w:val="sr-Cyrl-RS"/>
        </w:rPr>
        <w:t xml:space="preserve"> - </w:t>
      </w:r>
      <w:r w:rsidRPr="00CF77C1">
        <w:rPr>
          <w:lang w:val="sr-Cyrl-RS"/>
        </w:rPr>
        <w:t>нацио</w:t>
      </w:r>
      <w:r w:rsidR="00331048" w:rsidRPr="00CF77C1">
        <w:rPr>
          <w:lang w:val="sr-Cyrl-RS"/>
        </w:rPr>
        <w:t>нални емисиони фактори за 2017</w:t>
      </w:r>
      <w:r w:rsidR="00394402">
        <w:rPr>
          <w:lang w:val="sr-Cyrl-RS"/>
        </w:rPr>
        <w:t>. годину</w:t>
      </w:r>
      <w:r w:rsidR="002E08DF" w:rsidRPr="00CF77C1">
        <w:rPr>
          <w:lang w:val="sr-Cyrl-RS"/>
        </w:rPr>
        <w:t>), за деривате нафте 2,</w:t>
      </w:r>
      <w:r w:rsidRPr="00CF77C1">
        <w:rPr>
          <w:lang w:val="sr-Cyrl-RS"/>
        </w:rPr>
        <w:t xml:space="preserve">954 tCO2/тен (емисиони фактор са којим је рачунато у </w:t>
      </w:r>
      <w:r w:rsidR="00331048" w:rsidRPr="00CF77C1">
        <w:rPr>
          <w:lang w:val="sr-Cyrl-RS"/>
        </w:rPr>
        <w:t>Стратегији енергетике</w:t>
      </w:r>
      <w:r w:rsidRPr="00CF77C1">
        <w:rPr>
          <w:lang w:val="sr-Cyrl-RS"/>
        </w:rPr>
        <w:t xml:space="preserve">), за угаљ </w:t>
      </w:r>
      <w:r w:rsidR="00331048" w:rsidRPr="00CF77C1">
        <w:rPr>
          <w:lang w:val="sr-Cyrl-RS"/>
        </w:rPr>
        <w:t>101 </w:t>
      </w:r>
      <w:r w:rsidRPr="00CF77C1">
        <w:rPr>
          <w:lang w:val="sr-Cyrl-RS"/>
        </w:rPr>
        <w:t>kgCO2/TJ</w:t>
      </w:r>
      <w:r w:rsidR="00331048" w:rsidRPr="00CF77C1">
        <w:rPr>
          <w:lang w:val="sr-Cyrl-RS"/>
        </w:rPr>
        <w:t xml:space="preserve"> и за природни гас 56,1 kgCO2/TJ (Извор за последња два: 2006 IPCC Guidelines for National Greenhouse Gas Inventories - Stationary Combustion и њихове вредности су коришћене у Стратегији енергетике). Прорачун пројектованог нето смањења</w:t>
      </w:r>
      <w:r w:rsidRPr="00CF77C1">
        <w:rPr>
          <w:lang w:val="sr-Cyrl-RS"/>
        </w:rPr>
        <w:t xml:space="preserve"> емисије гасова са ефектом стаклене баште због повећања енергетске ефикасности у сектору потрошње енергије </w:t>
      </w:r>
      <w:r w:rsidR="00331048" w:rsidRPr="00CF77C1">
        <w:rPr>
          <w:lang w:val="sr-Cyrl-RS"/>
        </w:rPr>
        <w:t>извршен</w:t>
      </w:r>
      <w:r w:rsidRPr="00CF77C1">
        <w:rPr>
          <w:lang w:val="sr-Cyrl-RS"/>
        </w:rPr>
        <w:t xml:space="preserve"> је </w:t>
      </w:r>
      <w:r w:rsidR="00331048" w:rsidRPr="00CF77C1">
        <w:rPr>
          <w:lang w:val="sr-Cyrl-RS"/>
        </w:rPr>
        <w:t>на основу разлике у потрошњи за два сценарија</w:t>
      </w:r>
      <w:r w:rsidRPr="00CF77C1">
        <w:rPr>
          <w:lang w:val="sr-Cyrl-RS"/>
        </w:rPr>
        <w:t xml:space="preserve"> из Стратегије енергетике</w:t>
      </w:r>
      <w:r w:rsidR="00331048" w:rsidRPr="00CF77C1">
        <w:rPr>
          <w:lang w:val="sr-Cyrl-RS"/>
        </w:rPr>
        <w:t>: референтни и сценарио са применама мера енергетске ефикасности.</w:t>
      </w:r>
      <w:r w:rsidR="001877CE" w:rsidRPr="00CF77C1">
        <w:rPr>
          <w:lang w:val="sr-Cyrl-RS"/>
        </w:rPr>
        <w:t xml:space="preserve"> </w:t>
      </w:r>
      <w:r w:rsidR="00331048" w:rsidRPr="00CF77C1">
        <w:rPr>
          <w:lang w:val="sr-Cyrl-RS"/>
        </w:rPr>
        <w:t>Пројектовано нето смањење емисије гасова са ефектом стаклене баште</w:t>
      </w:r>
      <w:r w:rsidRPr="00CF77C1">
        <w:rPr>
          <w:lang w:val="sr-Cyrl-RS"/>
        </w:rPr>
        <w:t xml:space="preserve"> </w:t>
      </w:r>
      <w:r w:rsidR="00331048" w:rsidRPr="00CF77C1">
        <w:rPr>
          <w:lang w:val="sr-Cyrl-RS"/>
        </w:rPr>
        <w:t>због примена мера енергетске ефикасности у 2030. години износи 6</w:t>
      </w:r>
      <w:r w:rsidRPr="00CF77C1">
        <w:rPr>
          <w:lang w:val="sr-Cyrl-RS"/>
        </w:rPr>
        <w:t>.</w:t>
      </w:r>
      <w:r w:rsidR="00331048" w:rsidRPr="00CF77C1">
        <w:rPr>
          <w:lang w:val="sr-Cyrl-RS"/>
        </w:rPr>
        <w:t>669</w:t>
      </w:r>
      <w:r w:rsidRPr="00CF77C1">
        <w:rPr>
          <w:lang w:val="sr-Cyrl-RS"/>
        </w:rPr>
        <w:t>,</w:t>
      </w:r>
      <w:r w:rsidR="00331048" w:rsidRPr="00CF77C1">
        <w:rPr>
          <w:lang w:val="sr-Cyrl-RS"/>
        </w:rPr>
        <w:t>548</w:t>
      </w:r>
      <w:r w:rsidRPr="00CF77C1">
        <w:rPr>
          <w:lang w:val="sr-Cyrl-RS"/>
        </w:rPr>
        <w:t xml:space="preserve"> Gg CO2eq. То чини око </w:t>
      </w:r>
      <w:r w:rsidR="00331048" w:rsidRPr="00CF77C1">
        <w:rPr>
          <w:lang w:val="sr-Cyrl-RS"/>
        </w:rPr>
        <w:t>81</w:t>
      </w:r>
      <w:r w:rsidRPr="00CF77C1">
        <w:rPr>
          <w:lang w:val="sr-Cyrl-RS"/>
        </w:rPr>
        <w:t>% намераваног национално одређеног доприноса за 2030. годину.</w:t>
      </w:r>
    </w:p>
    <w:p w14:paraId="534EABDA" w14:textId="2A6CA328" w:rsidR="00A5732F" w:rsidRPr="00CF77C1" w:rsidRDefault="00A5732F" w:rsidP="00D22907">
      <w:pPr>
        <w:ind w:firstLine="720"/>
        <w:rPr>
          <w:lang w:val="sr-Cyrl-RS"/>
        </w:rPr>
      </w:pPr>
      <w:r w:rsidRPr="00CF77C1">
        <w:rPr>
          <w:lang w:val="sr-Cyrl-RS"/>
        </w:rPr>
        <w:t xml:space="preserve">Будући да је пад потрошње </w:t>
      </w:r>
      <w:r w:rsidR="0069696B" w:rsidRPr="00CF77C1">
        <w:rPr>
          <w:lang w:val="sr-Cyrl-RS"/>
        </w:rPr>
        <w:t xml:space="preserve">финалне енергије већи од пада потрошње примарне енергије очигледно је да су </w:t>
      </w:r>
      <w:r w:rsidR="00137B22" w:rsidRPr="00CF77C1">
        <w:rPr>
          <w:lang w:val="sr-Cyrl-RS"/>
        </w:rPr>
        <w:t xml:space="preserve">примењене </w:t>
      </w:r>
      <w:r w:rsidR="0069696B" w:rsidRPr="00CF77C1">
        <w:rPr>
          <w:lang w:val="sr-Cyrl-RS"/>
        </w:rPr>
        <w:t xml:space="preserve">мере побољшања енергетске ефикасности </w:t>
      </w:r>
      <w:r w:rsidR="00137B22" w:rsidRPr="00CF77C1">
        <w:rPr>
          <w:lang w:val="sr-Cyrl-RS"/>
        </w:rPr>
        <w:t xml:space="preserve">на нивоу финалне потрошње </w:t>
      </w:r>
      <w:r w:rsidR="0069696B" w:rsidRPr="00CF77C1">
        <w:rPr>
          <w:lang w:val="sr-Cyrl-RS"/>
        </w:rPr>
        <w:t xml:space="preserve">дале </w:t>
      </w:r>
      <w:r w:rsidR="00137B22" w:rsidRPr="00CF77C1">
        <w:rPr>
          <w:lang w:val="sr-Cyrl-RS"/>
        </w:rPr>
        <w:t>значајне</w:t>
      </w:r>
      <w:r w:rsidR="0069696B" w:rsidRPr="00CF77C1">
        <w:rPr>
          <w:lang w:val="sr-Cyrl-RS"/>
        </w:rPr>
        <w:t xml:space="preserve"> резултате</w:t>
      </w:r>
      <w:r w:rsidR="00137B22" w:rsidRPr="00CF77C1">
        <w:rPr>
          <w:lang w:val="sr-Cyrl-RS"/>
        </w:rPr>
        <w:t xml:space="preserve">. С друге стране, у претходним акционим плановима нису биле </w:t>
      </w:r>
      <w:r w:rsidR="005337E1" w:rsidRPr="00CF77C1">
        <w:rPr>
          <w:lang w:val="sr-Cyrl-RS"/>
        </w:rPr>
        <w:t>идентификоване мере у сектор</w:t>
      </w:r>
      <w:r w:rsidR="00225D52" w:rsidRPr="00CF77C1">
        <w:rPr>
          <w:lang w:val="sr-Cyrl-RS"/>
        </w:rPr>
        <w:t>има</w:t>
      </w:r>
      <w:r w:rsidR="0069696B" w:rsidRPr="00CF77C1">
        <w:rPr>
          <w:lang w:val="sr-Cyrl-RS"/>
        </w:rPr>
        <w:t xml:space="preserve"> трансформације, преноса и дистрибуције енергије</w:t>
      </w:r>
      <w:r w:rsidR="00225D52" w:rsidRPr="00CF77C1">
        <w:rPr>
          <w:lang w:val="sr-Cyrl-RS"/>
        </w:rPr>
        <w:t>.</w:t>
      </w:r>
      <w:r w:rsidR="00137B22" w:rsidRPr="00CF77C1">
        <w:rPr>
          <w:lang w:val="sr-Cyrl-RS"/>
        </w:rPr>
        <w:t xml:space="preserve"> </w:t>
      </w:r>
      <w:r w:rsidR="005337E1" w:rsidRPr="00CF77C1">
        <w:rPr>
          <w:lang w:val="sr-Cyrl-RS"/>
        </w:rPr>
        <w:t>Већа примена мера енергетске ефикасности у овим секторима очекује се као резултат примене</w:t>
      </w:r>
      <w:r w:rsidR="005337E1" w:rsidRPr="00CF77C1" w:rsidDel="005337E1">
        <w:rPr>
          <w:lang w:val="sr-Cyrl-RS"/>
        </w:rPr>
        <w:t xml:space="preserve"> </w:t>
      </w:r>
      <w:r w:rsidR="00137B22" w:rsidRPr="00CF77C1">
        <w:rPr>
          <w:lang w:val="sr-Cyrl-RS"/>
        </w:rPr>
        <w:t xml:space="preserve">подзаконских аката Закона о ефикасном коришћењу енергије, пре свега </w:t>
      </w:r>
      <w:r w:rsidR="002527BF" w:rsidRPr="00CF77C1">
        <w:rPr>
          <w:lang w:val="sr-Cyrl-RS"/>
        </w:rPr>
        <w:t xml:space="preserve">уредбе </w:t>
      </w:r>
      <w:r w:rsidR="00D5103C" w:rsidRPr="00CF77C1">
        <w:rPr>
          <w:lang w:val="sr-Cyrl-RS"/>
        </w:rPr>
        <w:t xml:space="preserve">и </w:t>
      </w:r>
      <w:r w:rsidR="002527BF" w:rsidRPr="00CF77C1">
        <w:rPr>
          <w:lang w:val="sr-Cyrl-RS"/>
        </w:rPr>
        <w:t xml:space="preserve">правилника </w:t>
      </w:r>
      <w:r w:rsidR="00D5103C" w:rsidRPr="00CF77C1">
        <w:rPr>
          <w:lang w:val="sr-Cyrl-RS"/>
        </w:rPr>
        <w:t>којим се прописују минимални захтеви енергетске ефикасности за нова и реконструисана постројења за производњу, пренос и дистрибуцију електричне и топлотне енергије</w:t>
      </w:r>
      <w:r w:rsidR="0069696B" w:rsidRPr="00CF77C1">
        <w:rPr>
          <w:lang w:val="sr-Cyrl-RS"/>
        </w:rPr>
        <w:t xml:space="preserve">. Мере енергетске ефикасности </w:t>
      </w:r>
      <w:r w:rsidR="005337E1" w:rsidRPr="00CF77C1">
        <w:rPr>
          <w:lang w:val="sr-Cyrl-RS"/>
        </w:rPr>
        <w:t xml:space="preserve">у секторима </w:t>
      </w:r>
      <w:r w:rsidR="007A162B" w:rsidRPr="00CF77C1">
        <w:rPr>
          <w:lang w:val="sr-Cyrl-RS"/>
        </w:rPr>
        <w:t>трансформације, преноса и дистри</w:t>
      </w:r>
      <w:r w:rsidR="0069696B" w:rsidRPr="00CF77C1">
        <w:rPr>
          <w:lang w:val="sr-Cyrl-RS"/>
        </w:rPr>
        <w:t>буци</w:t>
      </w:r>
      <w:r w:rsidR="007A162B" w:rsidRPr="00CF77C1">
        <w:rPr>
          <w:lang w:val="sr-Cyrl-RS"/>
        </w:rPr>
        <w:t>је енергије су предмет поглавља у којима се</w:t>
      </w:r>
      <w:r w:rsidR="0069696B" w:rsidRPr="00CF77C1">
        <w:rPr>
          <w:lang w:val="sr-Cyrl-RS"/>
        </w:rPr>
        <w:t xml:space="preserve"> обрађују</w:t>
      </w:r>
      <w:r w:rsidR="006C729D">
        <w:rPr>
          <w:lang w:val="sr-Cyrl-RS"/>
        </w:rPr>
        <w:t xml:space="preserve"> поједине области у оквиру ПОС</w:t>
      </w:r>
      <w:r w:rsidR="0069696B" w:rsidRPr="00CF77C1">
        <w:rPr>
          <w:lang w:val="sr-Cyrl-RS"/>
        </w:rPr>
        <w:t xml:space="preserve">, а у овом поглављу углавном се обрађују мере и активности </w:t>
      </w:r>
      <w:r w:rsidR="007A162B" w:rsidRPr="00CF77C1">
        <w:rPr>
          <w:lang w:val="sr-Cyrl-RS"/>
        </w:rPr>
        <w:t>у вези са финалном потрошњом</w:t>
      </w:r>
      <w:r w:rsidR="0069696B" w:rsidRPr="00CF77C1">
        <w:rPr>
          <w:lang w:val="sr-Cyrl-RS"/>
        </w:rPr>
        <w:t xml:space="preserve"> енергије.</w:t>
      </w:r>
    </w:p>
    <w:p w14:paraId="240F3E24" w14:textId="3BA66EF2" w:rsidR="00BD1C72" w:rsidRPr="00CF77C1" w:rsidRDefault="00073C77" w:rsidP="00D22907">
      <w:pPr>
        <w:ind w:firstLine="720"/>
        <w:rPr>
          <w:lang w:val="sr-Cyrl-RS"/>
        </w:rPr>
      </w:pPr>
      <w:r w:rsidRPr="00CF77C1">
        <w:rPr>
          <w:lang w:val="sr-Cyrl-RS"/>
        </w:rPr>
        <w:t xml:space="preserve">Према </w:t>
      </w:r>
      <w:r w:rsidR="005337E1" w:rsidRPr="00CF77C1">
        <w:rPr>
          <w:lang w:val="sr-Cyrl-RS"/>
        </w:rPr>
        <w:t>Директиви 2006/32/ЕЦ и према Одлуци 2009/05/МС-En</w:t>
      </w:r>
      <w:r w:rsidR="00C27F95" w:rsidRPr="00CF77C1">
        <w:rPr>
          <w:lang w:val="sr-Cyrl-RS"/>
        </w:rPr>
        <w:t>C</w:t>
      </w:r>
      <w:r w:rsidR="005337E1" w:rsidRPr="00CF77C1">
        <w:rPr>
          <w:lang w:val="sr-Cyrl-RS"/>
        </w:rPr>
        <w:t xml:space="preserve"> Министарског савета Енергетске заједнице</w:t>
      </w:r>
      <w:r w:rsidR="00DD33DE" w:rsidRPr="00CF77C1">
        <w:rPr>
          <w:lang w:val="sr-Cyrl-RS"/>
        </w:rPr>
        <w:t xml:space="preserve"> од 18. децембра 2009. године,</w:t>
      </w:r>
      <w:r w:rsidR="005337E1" w:rsidRPr="00CF77C1">
        <w:rPr>
          <w:lang w:val="sr-Cyrl-RS"/>
        </w:rPr>
        <w:t xml:space="preserve"> потписнице уговора о Енергетској заједници су се обавезале да остваре циљ уштеде од 9% финалне </w:t>
      </w:r>
      <w:r w:rsidR="00225D52" w:rsidRPr="00CF77C1">
        <w:rPr>
          <w:lang w:val="sr-Cyrl-RS"/>
        </w:rPr>
        <w:t xml:space="preserve">потрошње </w:t>
      </w:r>
      <w:r w:rsidR="005337E1" w:rsidRPr="00CF77C1">
        <w:rPr>
          <w:lang w:val="sr-Cyrl-RS"/>
        </w:rPr>
        <w:t xml:space="preserve">енергије у периоду од </w:t>
      </w:r>
      <w:r w:rsidR="00DD33DE" w:rsidRPr="00CF77C1">
        <w:rPr>
          <w:lang w:val="sr-Cyrl-RS"/>
        </w:rPr>
        <w:t>девет</w:t>
      </w:r>
      <w:r w:rsidR="005337E1" w:rsidRPr="00CF77C1">
        <w:rPr>
          <w:lang w:val="sr-Cyrl-RS"/>
        </w:rPr>
        <w:t xml:space="preserve"> година </w:t>
      </w:r>
      <w:r w:rsidR="00225D52" w:rsidRPr="00CF77C1">
        <w:rPr>
          <w:lang w:val="sr-Cyrl-RS"/>
        </w:rPr>
        <w:t>почевши од 2010. године</w:t>
      </w:r>
      <w:r w:rsidR="005337E1" w:rsidRPr="00CF77C1">
        <w:rPr>
          <w:lang w:val="sr-Cyrl-RS"/>
        </w:rPr>
        <w:t>. Референтна година за Републику Срби</w:t>
      </w:r>
      <w:r w:rsidR="00DD33DE" w:rsidRPr="00CF77C1">
        <w:rPr>
          <w:lang w:val="sr-Cyrl-RS"/>
        </w:rPr>
        <w:t>ју, у односу на коју се рачуна проценат уштеде је 2008,</w:t>
      </w:r>
      <w:r w:rsidR="005337E1" w:rsidRPr="00CF77C1">
        <w:rPr>
          <w:lang w:val="sr-Cyrl-RS"/>
        </w:rPr>
        <w:t xml:space="preserve"> због тога што су у тренутку примене Одлуке најтачнији расположиви подаци о потрошњи енергије били из Енергетског биланса за 2008. годину.</w:t>
      </w:r>
      <w:r w:rsidR="00BD1C72" w:rsidRPr="00CF77C1">
        <w:rPr>
          <w:lang w:val="sr-Cyrl-RS"/>
        </w:rPr>
        <w:t xml:space="preserve"> </w:t>
      </w:r>
      <w:r w:rsidR="00225D52" w:rsidRPr="00CF77C1">
        <w:rPr>
          <w:lang w:val="sr-Cyrl-RS"/>
        </w:rPr>
        <w:t>Овај</w:t>
      </w:r>
      <w:r w:rsidR="00BD1C72" w:rsidRPr="00CF77C1">
        <w:rPr>
          <w:lang w:val="sr-Cyrl-RS"/>
        </w:rPr>
        <w:t xml:space="preserve"> планирани циљ који је </w:t>
      </w:r>
      <w:r w:rsidR="00225D52" w:rsidRPr="00CF77C1">
        <w:rPr>
          <w:lang w:val="sr-Cyrl-RS"/>
        </w:rPr>
        <w:t>први пут у</w:t>
      </w:r>
      <w:r w:rsidR="00DD33DE" w:rsidRPr="00CF77C1">
        <w:rPr>
          <w:lang w:val="sr-Cyrl-RS"/>
        </w:rPr>
        <w:t>т</w:t>
      </w:r>
      <w:r w:rsidR="00225D52" w:rsidRPr="00CF77C1">
        <w:rPr>
          <w:lang w:val="sr-Cyrl-RS"/>
        </w:rPr>
        <w:t>врђен у оквиру Прв</w:t>
      </w:r>
      <w:r w:rsidR="00186981" w:rsidRPr="00CF77C1">
        <w:rPr>
          <w:lang w:val="sr-Cyrl-RS"/>
        </w:rPr>
        <w:t>ог</w:t>
      </w:r>
      <w:r w:rsidR="00225D52" w:rsidRPr="00CF77C1">
        <w:rPr>
          <w:lang w:val="sr-Cyrl-RS"/>
        </w:rPr>
        <w:t xml:space="preserve"> акцион</w:t>
      </w:r>
      <w:r w:rsidR="00186981" w:rsidRPr="00CF77C1">
        <w:rPr>
          <w:lang w:val="sr-Cyrl-RS"/>
        </w:rPr>
        <w:t>ог</w:t>
      </w:r>
      <w:r w:rsidR="00225D52" w:rsidRPr="00CF77C1">
        <w:rPr>
          <w:lang w:val="sr-Cyrl-RS"/>
        </w:rPr>
        <w:t xml:space="preserve"> план за енергетску ефикасност Републике Србије за период од 2010. до 2012. године, </w:t>
      </w:r>
      <w:r w:rsidR="00BD1C72" w:rsidRPr="00CF77C1">
        <w:rPr>
          <w:lang w:val="sr-Cyrl-RS"/>
        </w:rPr>
        <w:t xml:space="preserve">потврђен </w:t>
      </w:r>
      <w:r w:rsidR="00225D52" w:rsidRPr="00CF77C1">
        <w:rPr>
          <w:lang w:val="sr-Cyrl-RS"/>
        </w:rPr>
        <w:t xml:space="preserve">је </w:t>
      </w:r>
      <w:r w:rsidR="00BD1C72" w:rsidRPr="00CF77C1">
        <w:rPr>
          <w:lang w:val="sr-Cyrl-RS"/>
        </w:rPr>
        <w:t>и кроз 3. АПЕЕ</w:t>
      </w:r>
      <w:r w:rsidR="005127FE" w:rsidRPr="00CF77C1">
        <w:rPr>
          <w:lang w:val="sr-Cyrl-RS"/>
        </w:rPr>
        <w:t xml:space="preserve"> </w:t>
      </w:r>
      <w:r w:rsidR="00225D52" w:rsidRPr="00CF77C1">
        <w:rPr>
          <w:lang w:val="sr-Cyrl-RS"/>
        </w:rPr>
        <w:t>као очекивана</w:t>
      </w:r>
      <w:r w:rsidR="00BD1C72" w:rsidRPr="00CF77C1">
        <w:rPr>
          <w:lang w:val="sr-Cyrl-RS"/>
        </w:rPr>
        <w:t xml:space="preserve"> уштеда </w:t>
      </w:r>
      <w:r w:rsidR="00225D52" w:rsidRPr="00CF77C1">
        <w:rPr>
          <w:lang w:val="sr-Cyrl-RS"/>
        </w:rPr>
        <w:t xml:space="preserve">од </w:t>
      </w:r>
      <w:r w:rsidR="00BD1C72" w:rsidRPr="00CF77C1">
        <w:rPr>
          <w:lang w:val="sr-Cyrl-RS"/>
        </w:rPr>
        <w:t>укупно 752,4 хиљада тен до 2018.</w:t>
      </w:r>
      <w:r w:rsidR="002C640F" w:rsidRPr="00CF77C1">
        <w:rPr>
          <w:lang w:val="sr-Cyrl-RS"/>
        </w:rPr>
        <w:t xml:space="preserve"> </w:t>
      </w:r>
      <w:r w:rsidR="00BD1C72" w:rsidRPr="00CF77C1">
        <w:rPr>
          <w:lang w:val="sr-Cyrl-RS"/>
        </w:rPr>
        <w:t>године. Према анализи извршеној у 3. АПЕЕ, до 2014. године је постигнута уштеда 308,3 хиљаде тен, а пројектована уштеда до 2015. године износи 370 хиљада тен. Нису пројектоване вредности уштеда у 2016. и 2017. години, већ само коначна у 2018. години. Имајући у виду да је систем енергетског менаџмента тек успостављен и да се његови најзначајнији ефекти могу очекивати тек у 2018. години</w:t>
      </w:r>
      <w:r w:rsidR="0014457B" w:rsidRPr="00CF77C1">
        <w:rPr>
          <w:lang w:val="sr-Cyrl-RS"/>
        </w:rPr>
        <w:t>, као и да сличан закључак важи за примену ефикасних пнеуматика код друмских возила и за маркирање и мониторинг квалитета горива</w:t>
      </w:r>
      <w:r w:rsidR="005E7F26">
        <w:rPr>
          <w:lang w:val="sr-Cyrl-RS"/>
        </w:rPr>
        <w:t>, у ПОС</w:t>
      </w:r>
      <w:r w:rsidR="00BD1C72" w:rsidRPr="00CF77C1">
        <w:rPr>
          <w:lang w:val="sr-Cyrl-RS"/>
        </w:rPr>
        <w:t xml:space="preserve"> је формирана претпостављена уштеда по годинама да би се реализовао постављени циљ. </w:t>
      </w:r>
      <w:r w:rsidR="00C27F95" w:rsidRPr="00CF77C1">
        <w:rPr>
          <w:lang w:val="sr-Cyrl-RS"/>
        </w:rPr>
        <w:t>Претпостављена р</w:t>
      </w:r>
      <w:r w:rsidR="00BD1C72" w:rsidRPr="00CF77C1">
        <w:rPr>
          <w:lang w:val="sr-Cyrl-RS"/>
        </w:rPr>
        <w:t xml:space="preserve">еализација је </w:t>
      </w:r>
      <w:r w:rsidR="0014457B" w:rsidRPr="00CF77C1">
        <w:rPr>
          <w:lang w:val="sr-Cyrl-RS"/>
        </w:rPr>
        <w:t>формирана на основу претпоставке да ће се уштеде по поменутим категоријама јавити тек у 2018. години, а да ће однос осталих уштеда по годинама бити у односу 0,8:1:1,2. Индикатори реализације циља уштеда потрошње финалне енергије по годинама реализације 3. АПЕЕ су приказани у наредној табели.</w:t>
      </w:r>
    </w:p>
    <w:p w14:paraId="77CFAD76" w14:textId="7DE8A491" w:rsidR="0014457B" w:rsidRPr="00CF77C1" w:rsidRDefault="0014457B" w:rsidP="00D22907">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126</w:t>
      </w:r>
      <w:r w:rsidR="0092145E" w:rsidRPr="00CF77C1">
        <w:rPr>
          <w:b w:val="0"/>
          <w:lang w:val="sr-Cyrl-RS"/>
        </w:rPr>
        <w:fldChar w:fldCharType="end"/>
      </w:r>
      <w:r w:rsidRPr="00CF77C1">
        <w:rPr>
          <w:b w:val="0"/>
          <w:lang w:val="sr-Cyrl-RS"/>
        </w:rPr>
        <w:t xml:space="preserve">: Индикатори реализације циља </w:t>
      </w:r>
      <w:r w:rsidR="00DD33DE" w:rsidRPr="00CF77C1">
        <w:rPr>
          <w:b w:val="0"/>
          <w:lang w:val="sr-Cyrl-RS"/>
        </w:rPr>
        <w:t>остварења уштеда</w:t>
      </w:r>
      <w:r w:rsidR="005337E1" w:rsidRPr="00CF77C1">
        <w:rPr>
          <w:b w:val="0"/>
          <w:lang w:val="sr-Cyrl-RS"/>
        </w:rPr>
        <w:t xml:space="preserve"> </w:t>
      </w:r>
      <w:r w:rsidRPr="00CF77C1">
        <w:rPr>
          <w:b w:val="0"/>
          <w:lang w:val="sr-Cyrl-RS"/>
        </w:rPr>
        <w:t xml:space="preserve">финалне енергије по годинама </w:t>
      </w:r>
      <w:r w:rsidR="005337E1" w:rsidRPr="00CF77C1">
        <w:rPr>
          <w:b w:val="0"/>
          <w:lang w:val="sr-Cyrl-RS"/>
        </w:rPr>
        <w:t>на основу мера</w:t>
      </w:r>
      <w:r w:rsidRPr="00CF77C1">
        <w:rPr>
          <w:b w:val="0"/>
          <w:lang w:val="sr-Cyrl-RS"/>
        </w:rPr>
        <w:t xml:space="preserve"> унапређења енергетске ефикасности у периоду 2016-2018. година</w:t>
      </w:r>
    </w:p>
    <w:tbl>
      <w:tblPr>
        <w:tblStyle w:val="TableGrid"/>
        <w:tblW w:w="0" w:type="auto"/>
        <w:tblLook w:val="04A0" w:firstRow="1" w:lastRow="0" w:firstColumn="1" w:lastColumn="0" w:noHBand="0" w:noVBand="1"/>
      </w:tblPr>
      <w:tblGrid>
        <w:gridCol w:w="4361"/>
        <w:gridCol w:w="1736"/>
        <w:gridCol w:w="1737"/>
        <w:gridCol w:w="1737"/>
      </w:tblGrid>
      <w:tr w:rsidR="0014457B" w:rsidRPr="00CF77C1" w14:paraId="4C99A2D0" w14:textId="77777777" w:rsidTr="0014457B">
        <w:tc>
          <w:tcPr>
            <w:tcW w:w="4361" w:type="dxa"/>
            <w:vAlign w:val="center"/>
          </w:tcPr>
          <w:p w14:paraId="753E8585" w14:textId="77777777" w:rsidR="0014457B" w:rsidRPr="00CF77C1" w:rsidRDefault="0014457B" w:rsidP="0080044B">
            <w:pPr>
              <w:jc w:val="left"/>
              <w:rPr>
                <w:lang w:val="sr-Cyrl-RS"/>
              </w:rPr>
            </w:pPr>
            <w:r w:rsidRPr="00CF77C1">
              <w:rPr>
                <w:lang w:val="sr-Cyrl-RS"/>
              </w:rPr>
              <w:t>Година</w:t>
            </w:r>
          </w:p>
        </w:tc>
        <w:tc>
          <w:tcPr>
            <w:tcW w:w="1736" w:type="dxa"/>
            <w:vAlign w:val="center"/>
          </w:tcPr>
          <w:p w14:paraId="7A9530AE" w14:textId="079696FF" w:rsidR="0014457B" w:rsidRPr="00CF77C1" w:rsidRDefault="0014457B" w:rsidP="0080044B">
            <w:pPr>
              <w:jc w:val="center"/>
              <w:rPr>
                <w:lang w:val="sr-Cyrl-RS"/>
              </w:rPr>
            </w:pPr>
            <w:r w:rsidRPr="00CF77C1">
              <w:rPr>
                <w:lang w:val="sr-Cyrl-RS"/>
              </w:rPr>
              <w:t>2016</w:t>
            </w:r>
            <w:r w:rsidR="007A162B" w:rsidRPr="00CF77C1">
              <w:rPr>
                <w:lang w:val="sr-Cyrl-RS"/>
              </w:rPr>
              <w:t>.</w:t>
            </w:r>
          </w:p>
        </w:tc>
        <w:tc>
          <w:tcPr>
            <w:tcW w:w="1737" w:type="dxa"/>
            <w:vAlign w:val="center"/>
          </w:tcPr>
          <w:p w14:paraId="48797CAB" w14:textId="372B5E99" w:rsidR="0014457B" w:rsidRPr="00CF77C1" w:rsidRDefault="0014457B" w:rsidP="0080044B">
            <w:pPr>
              <w:jc w:val="center"/>
              <w:rPr>
                <w:lang w:val="sr-Cyrl-RS"/>
              </w:rPr>
            </w:pPr>
            <w:r w:rsidRPr="00CF77C1">
              <w:rPr>
                <w:lang w:val="sr-Cyrl-RS"/>
              </w:rPr>
              <w:t>2017</w:t>
            </w:r>
            <w:r w:rsidR="007A162B" w:rsidRPr="00CF77C1">
              <w:rPr>
                <w:lang w:val="sr-Cyrl-RS"/>
              </w:rPr>
              <w:t>.</w:t>
            </w:r>
          </w:p>
        </w:tc>
        <w:tc>
          <w:tcPr>
            <w:tcW w:w="1737" w:type="dxa"/>
            <w:vAlign w:val="center"/>
          </w:tcPr>
          <w:p w14:paraId="77B096E4" w14:textId="15D8E2A2" w:rsidR="0014457B" w:rsidRPr="00CF77C1" w:rsidRDefault="0014457B" w:rsidP="0080044B">
            <w:pPr>
              <w:jc w:val="center"/>
              <w:rPr>
                <w:lang w:val="sr-Cyrl-RS"/>
              </w:rPr>
            </w:pPr>
            <w:r w:rsidRPr="00CF77C1">
              <w:rPr>
                <w:lang w:val="sr-Cyrl-RS"/>
              </w:rPr>
              <w:t>2018</w:t>
            </w:r>
            <w:r w:rsidR="007A162B" w:rsidRPr="00CF77C1">
              <w:rPr>
                <w:lang w:val="sr-Cyrl-RS"/>
              </w:rPr>
              <w:t>.</w:t>
            </w:r>
          </w:p>
        </w:tc>
      </w:tr>
      <w:tr w:rsidR="0014457B" w:rsidRPr="00CF77C1" w14:paraId="120A800D" w14:textId="77777777" w:rsidTr="0014457B">
        <w:tc>
          <w:tcPr>
            <w:tcW w:w="4361" w:type="dxa"/>
            <w:vAlign w:val="center"/>
          </w:tcPr>
          <w:p w14:paraId="3D07D450" w14:textId="77777777" w:rsidR="0014457B" w:rsidRPr="00CF77C1" w:rsidRDefault="0014457B" w:rsidP="0080044B">
            <w:pPr>
              <w:jc w:val="left"/>
              <w:rPr>
                <w:lang w:val="sr-Cyrl-RS"/>
              </w:rPr>
            </w:pPr>
            <w:r w:rsidRPr="00CF77C1">
              <w:rPr>
                <w:lang w:val="sr-Cyrl-RS"/>
              </w:rPr>
              <w:t>Уштеда финалне енергије (хиљада тен)</w:t>
            </w:r>
          </w:p>
        </w:tc>
        <w:tc>
          <w:tcPr>
            <w:tcW w:w="1736" w:type="dxa"/>
            <w:vAlign w:val="center"/>
          </w:tcPr>
          <w:p w14:paraId="7068D73A" w14:textId="77777777" w:rsidR="0014457B" w:rsidRPr="00CF77C1" w:rsidRDefault="0014457B" w:rsidP="0080044B">
            <w:pPr>
              <w:jc w:val="center"/>
              <w:rPr>
                <w:lang w:val="sr-Cyrl-RS"/>
              </w:rPr>
            </w:pPr>
            <w:r w:rsidRPr="00CF77C1">
              <w:rPr>
                <w:lang w:val="sr-Cyrl-RS"/>
              </w:rPr>
              <w:t>448</w:t>
            </w:r>
          </w:p>
        </w:tc>
        <w:tc>
          <w:tcPr>
            <w:tcW w:w="1737" w:type="dxa"/>
            <w:vAlign w:val="center"/>
          </w:tcPr>
          <w:p w14:paraId="0115C7EE" w14:textId="77777777" w:rsidR="0014457B" w:rsidRPr="00CF77C1" w:rsidRDefault="0014457B" w:rsidP="0080044B">
            <w:pPr>
              <w:jc w:val="center"/>
              <w:rPr>
                <w:lang w:val="sr-Cyrl-RS"/>
              </w:rPr>
            </w:pPr>
            <w:r w:rsidRPr="00CF77C1">
              <w:rPr>
                <w:lang w:val="sr-Cyrl-RS"/>
              </w:rPr>
              <w:t>545,5</w:t>
            </w:r>
          </w:p>
        </w:tc>
        <w:tc>
          <w:tcPr>
            <w:tcW w:w="1737" w:type="dxa"/>
            <w:vAlign w:val="center"/>
          </w:tcPr>
          <w:p w14:paraId="3BA3B2AE" w14:textId="77777777" w:rsidR="0014457B" w:rsidRPr="00CF77C1" w:rsidRDefault="0014457B" w:rsidP="0080044B">
            <w:pPr>
              <w:jc w:val="center"/>
              <w:rPr>
                <w:lang w:val="sr-Cyrl-RS"/>
              </w:rPr>
            </w:pPr>
            <w:r w:rsidRPr="00CF77C1">
              <w:rPr>
                <w:lang w:val="sr-Cyrl-RS"/>
              </w:rPr>
              <w:t>752,4</w:t>
            </w:r>
          </w:p>
        </w:tc>
      </w:tr>
    </w:tbl>
    <w:p w14:paraId="37DF3290" w14:textId="5347C37D" w:rsidR="00D5103C" w:rsidRPr="00CF77C1" w:rsidRDefault="008F2FC4" w:rsidP="00D22907">
      <w:pPr>
        <w:ind w:firstLine="720"/>
        <w:rPr>
          <w:lang w:val="sr-Cyrl-RS"/>
        </w:rPr>
      </w:pPr>
      <w:r w:rsidRPr="00CF77C1">
        <w:rPr>
          <w:lang w:val="sr-Cyrl-RS"/>
        </w:rPr>
        <w:t>У оквиру</w:t>
      </w:r>
      <w:r w:rsidR="00D5103C" w:rsidRPr="00CF77C1">
        <w:rPr>
          <w:lang w:val="sr-Cyrl-RS"/>
        </w:rPr>
        <w:t xml:space="preserve"> израде 4. и 5. АПЕЕ, у оквиру којих ће бити извршена анализа ефеката примене мера ради остварења циљева </w:t>
      </w:r>
      <w:r w:rsidR="00943519" w:rsidRPr="00CF77C1">
        <w:rPr>
          <w:lang w:val="sr-Cyrl-RS"/>
        </w:rPr>
        <w:t xml:space="preserve">дефинисаних </w:t>
      </w:r>
      <w:r w:rsidR="00D5103C" w:rsidRPr="00CF77C1">
        <w:rPr>
          <w:lang w:val="sr-Cyrl-RS"/>
        </w:rPr>
        <w:t xml:space="preserve">у оквиру 3. АПЕЕ, </w:t>
      </w:r>
      <w:r w:rsidRPr="00CF77C1">
        <w:rPr>
          <w:lang w:val="sr-Cyrl-RS"/>
        </w:rPr>
        <w:t xml:space="preserve">утврдиће </w:t>
      </w:r>
      <w:r w:rsidR="00D5103C" w:rsidRPr="00CF77C1">
        <w:rPr>
          <w:lang w:val="sr-Cyrl-RS"/>
        </w:rPr>
        <w:t xml:space="preserve">се </w:t>
      </w:r>
      <w:r w:rsidR="00943519" w:rsidRPr="00CF77C1">
        <w:rPr>
          <w:lang w:val="sr-Cyrl-RS"/>
        </w:rPr>
        <w:t xml:space="preserve">и </w:t>
      </w:r>
      <w:r w:rsidR="00D5103C" w:rsidRPr="00CF77C1">
        <w:rPr>
          <w:lang w:val="sr-Cyrl-RS"/>
        </w:rPr>
        <w:t>циљеви за период 2019-2023. годин</w:t>
      </w:r>
      <w:r w:rsidRPr="00CF77C1">
        <w:rPr>
          <w:lang w:val="sr-Cyrl-RS"/>
        </w:rPr>
        <w:t>е</w:t>
      </w:r>
      <w:r w:rsidR="00D5103C" w:rsidRPr="00CF77C1">
        <w:rPr>
          <w:lang w:val="sr-Cyrl-RS"/>
        </w:rPr>
        <w:t>.</w:t>
      </w:r>
      <w:r w:rsidR="00AE7A03" w:rsidRPr="00CF77C1">
        <w:rPr>
          <w:lang w:val="sr-Cyrl-RS"/>
        </w:rPr>
        <w:t xml:space="preserve"> 4. АПЕЕ ће бити 1. Национални акциони план за енергетску ефикасност (НАПЕЕ) израђен у складу са директивом 2012/27/</w:t>
      </w:r>
      <w:r w:rsidR="00544477">
        <w:rPr>
          <w:lang w:val="sr-Cyrl-RS"/>
        </w:rPr>
        <w:t>ЕУ</w:t>
      </w:r>
      <w:r w:rsidR="00AE7A03" w:rsidRPr="00CF77C1">
        <w:rPr>
          <w:lang w:val="sr-Cyrl-RS"/>
        </w:rPr>
        <w:t>.</w:t>
      </w:r>
    </w:p>
    <w:p w14:paraId="08A38EDD" w14:textId="580ACE2F" w:rsidR="00F97EF4" w:rsidRPr="00CF77C1" w:rsidRDefault="00C24790" w:rsidP="00D22907">
      <w:pPr>
        <w:ind w:firstLine="720"/>
        <w:rPr>
          <w:lang w:val="sr-Cyrl-RS"/>
        </w:rPr>
      </w:pPr>
      <w:r w:rsidRPr="00CF77C1">
        <w:rPr>
          <w:lang w:val="sr-Cyrl-RS"/>
        </w:rPr>
        <w:t>Директива 2012/27/</w:t>
      </w:r>
      <w:r w:rsidR="00544477" w:rsidRPr="00544477">
        <w:rPr>
          <w:lang w:val="sr-Cyrl-RS"/>
        </w:rPr>
        <w:t xml:space="preserve"> </w:t>
      </w:r>
      <w:r w:rsidR="00544477">
        <w:rPr>
          <w:lang w:val="sr-Cyrl-RS"/>
        </w:rPr>
        <w:t>ЕУ</w:t>
      </w:r>
      <w:r w:rsidR="00544477" w:rsidRPr="00CF77C1">
        <w:rPr>
          <w:lang w:val="sr-Cyrl-RS"/>
        </w:rPr>
        <w:t xml:space="preserve"> </w:t>
      </w:r>
      <w:r w:rsidRPr="00CF77C1">
        <w:rPr>
          <w:lang w:val="sr-Cyrl-RS"/>
        </w:rPr>
        <w:t>наметнула је</w:t>
      </w:r>
      <w:r w:rsidR="00D25DC5" w:rsidRPr="00CF77C1">
        <w:rPr>
          <w:lang w:val="sr-Cyrl-RS"/>
        </w:rPr>
        <w:t xml:space="preserve"> Републици</w:t>
      </w:r>
      <w:r w:rsidRPr="00CF77C1">
        <w:rPr>
          <w:lang w:val="sr-Cyrl-RS"/>
        </w:rPr>
        <w:t xml:space="preserve"> Србији реализацију </w:t>
      </w:r>
      <w:r w:rsidR="005337E1" w:rsidRPr="00CF77C1">
        <w:rPr>
          <w:lang w:val="sr-Cyrl-RS"/>
        </w:rPr>
        <w:t xml:space="preserve">и </w:t>
      </w:r>
      <w:r w:rsidRPr="00CF77C1">
        <w:rPr>
          <w:lang w:val="sr-Cyrl-RS"/>
        </w:rPr>
        <w:t>два мерљива циља у погледу унапређења енергетске ефикасности</w:t>
      </w:r>
      <w:r w:rsidR="005337E1" w:rsidRPr="00CF77C1">
        <w:rPr>
          <w:lang w:val="sr-Cyrl-RS"/>
        </w:rPr>
        <w:t xml:space="preserve"> чије је достизање обавезујуће</w:t>
      </w:r>
      <w:r w:rsidRPr="00CF77C1">
        <w:rPr>
          <w:lang w:val="sr-Cyrl-RS"/>
        </w:rPr>
        <w:t xml:space="preserve">. </w:t>
      </w:r>
      <w:r w:rsidR="008F2FC4" w:rsidRPr="00CF77C1">
        <w:rPr>
          <w:lang w:val="sr-Cyrl-RS"/>
        </w:rPr>
        <w:t>Тако се у оквиру</w:t>
      </w:r>
      <w:r w:rsidRPr="00CF77C1">
        <w:rPr>
          <w:lang w:val="sr-Cyrl-RS"/>
        </w:rPr>
        <w:t xml:space="preserve"> члан</w:t>
      </w:r>
      <w:r w:rsidR="008F2FC4" w:rsidRPr="00CF77C1">
        <w:rPr>
          <w:lang w:val="sr-Cyrl-RS"/>
        </w:rPr>
        <w:t>а</w:t>
      </w:r>
      <w:r w:rsidRPr="00CF77C1">
        <w:rPr>
          <w:lang w:val="sr-Cyrl-RS"/>
        </w:rPr>
        <w:t xml:space="preserve"> 5. </w:t>
      </w:r>
      <w:r w:rsidR="008F2FC4" w:rsidRPr="00CF77C1">
        <w:rPr>
          <w:lang w:val="sr-Cyrl-RS"/>
        </w:rPr>
        <w:t xml:space="preserve">ЕЕД </w:t>
      </w:r>
      <w:r w:rsidRPr="00CF77C1">
        <w:rPr>
          <w:lang w:val="sr-Cyrl-RS"/>
        </w:rPr>
        <w:t xml:space="preserve">налаже да се у земљама чланицама ЕУ годишње изврши обнова зграда централне власти чија је површина 3% укупне површине свих зграда централне власти са циљем имплементација мера унапређења енергетске ефикасности. </w:t>
      </w:r>
      <w:r w:rsidR="00BE6094" w:rsidRPr="00CF77C1">
        <w:rPr>
          <w:lang w:val="sr-Cyrl-RS"/>
        </w:rPr>
        <w:t>Горе поменутом Одлуком Министарског савета з</w:t>
      </w:r>
      <w:r w:rsidRPr="00CF77C1">
        <w:rPr>
          <w:lang w:val="sr-Cyrl-RS"/>
        </w:rPr>
        <w:t xml:space="preserve">а потписнице Уговора о </w:t>
      </w:r>
      <w:r w:rsidR="008C4AD2" w:rsidRPr="00CF77C1">
        <w:rPr>
          <w:lang w:val="sr-Cyrl-RS"/>
        </w:rPr>
        <w:t>оснивању Енергетске заједнице</w:t>
      </w:r>
      <w:r w:rsidR="0041616A" w:rsidRPr="00CF77C1">
        <w:rPr>
          <w:lang w:val="sr-Cyrl-RS"/>
        </w:rPr>
        <w:t xml:space="preserve">, укључујући </w:t>
      </w:r>
      <w:r w:rsidR="00D25DC5" w:rsidRPr="00CF77C1">
        <w:rPr>
          <w:lang w:val="sr-Cyrl-RS"/>
        </w:rPr>
        <w:t xml:space="preserve">Републику </w:t>
      </w:r>
      <w:r w:rsidR="0041616A" w:rsidRPr="00CF77C1">
        <w:rPr>
          <w:lang w:val="sr-Cyrl-RS"/>
        </w:rPr>
        <w:t>Србију,</w:t>
      </w:r>
      <w:r w:rsidRPr="00CF77C1">
        <w:rPr>
          <w:lang w:val="sr-Cyrl-RS"/>
        </w:rPr>
        <w:t xml:space="preserve"> дефинисано је </w:t>
      </w:r>
      <w:r w:rsidR="00FD1BC0" w:rsidRPr="00CF77C1">
        <w:rPr>
          <w:lang w:val="sr-Cyrl-RS"/>
        </w:rPr>
        <w:t xml:space="preserve">да </w:t>
      </w:r>
      <w:r w:rsidR="005337E1" w:rsidRPr="00CF77C1">
        <w:rPr>
          <w:lang w:val="sr-Cyrl-RS"/>
        </w:rPr>
        <w:t xml:space="preserve">имају обавезу да унапреде </w:t>
      </w:r>
      <w:r w:rsidR="00943519" w:rsidRPr="00CF77C1">
        <w:rPr>
          <w:lang w:val="sr-Cyrl-RS"/>
        </w:rPr>
        <w:t>енергетск</w:t>
      </w:r>
      <w:r w:rsidR="00BE6094" w:rsidRPr="00CF77C1">
        <w:rPr>
          <w:lang w:val="sr-Cyrl-RS"/>
        </w:rPr>
        <w:t>у</w:t>
      </w:r>
      <w:r w:rsidR="00943519" w:rsidRPr="00CF77C1">
        <w:rPr>
          <w:lang w:val="sr-Cyrl-RS"/>
        </w:rPr>
        <w:t xml:space="preserve"> </w:t>
      </w:r>
      <w:r w:rsidR="00FD1BC0" w:rsidRPr="00CF77C1">
        <w:rPr>
          <w:lang w:val="sr-Cyrl-RS"/>
        </w:rPr>
        <w:t xml:space="preserve">ефикасност </w:t>
      </w:r>
      <w:r w:rsidR="00DD33DE" w:rsidRPr="00CF77C1">
        <w:rPr>
          <w:lang w:val="sr-Cyrl-RS"/>
        </w:rPr>
        <w:t>у</w:t>
      </w:r>
      <w:r w:rsidR="00EB26B9" w:rsidRPr="00CF77C1">
        <w:rPr>
          <w:lang w:val="sr-Cyrl-RS"/>
        </w:rPr>
        <w:t xml:space="preserve"> </w:t>
      </w:r>
      <w:r w:rsidR="00FD1BC0" w:rsidRPr="00CF77C1">
        <w:rPr>
          <w:lang w:val="sr-Cyrl-RS"/>
        </w:rPr>
        <w:t>1% укупне грејане/хлађене површине зграда које су у власништву и које користи централна власт, тако да те зграде достигну најмање енергетска својства дефинисана чланом 4. Директиве 2010/31/</w:t>
      </w:r>
      <w:r w:rsidR="00544477" w:rsidRPr="00544477">
        <w:rPr>
          <w:lang w:val="sr-Cyrl-RS"/>
        </w:rPr>
        <w:t xml:space="preserve"> </w:t>
      </w:r>
      <w:r w:rsidR="00544477">
        <w:rPr>
          <w:lang w:val="sr-Cyrl-RS"/>
        </w:rPr>
        <w:t>ЕУ</w:t>
      </w:r>
      <w:r w:rsidR="00FD1BC0" w:rsidRPr="00CF77C1">
        <w:rPr>
          <w:lang w:val="sr-Cyrl-RS"/>
        </w:rPr>
        <w:t>. Обавеза потписница Уговора о оснивању Енергетске заједнице је и да до 1. јануара 2017. године успоставе и учине јавно доступним инвентар грејаних/хлађених зграда централне власти са тоталном површином већом од 500 m</w:t>
      </w:r>
      <w:r w:rsidR="00544477">
        <w:rPr>
          <w:vertAlign w:val="superscript"/>
          <w:lang w:val="sr-Cyrl-RS"/>
        </w:rPr>
        <w:t>2</w:t>
      </w:r>
      <w:r w:rsidR="00FD1BC0" w:rsidRPr="00CF77C1">
        <w:rPr>
          <w:lang w:val="sr-Cyrl-RS"/>
        </w:rPr>
        <w:t xml:space="preserve"> а од 2019. год</w:t>
      </w:r>
      <w:r w:rsidR="00544477">
        <w:rPr>
          <w:lang w:val="sr-Cyrl-RS"/>
        </w:rPr>
        <w:t>ине са површином већом од 250 m</w:t>
      </w:r>
      <w:r w:rsidR="00544477">
        <w:rPr>
          <w:vertAlign w:val="superscript"/>
          <w:lang w:val="sr-Cyrl-RS"/>
        </w:rPr>
        <w:t>2</w:t>
      </w:r>
      <w:r w:rsidR="00FD1BC0" w:rsidRPr="00CF77C1">
        <w:rPr>
          <w:lang w:val="sr-Cyrl-RS"/>
        </w:rPr>
        <w:t>, а затим приступе реализацији овог циља према формираном инвентару.</w:t>
      </w:r>
      <w:r w:rsidRPr="00CF77C1">
        <w:rPr>
          <w:lang w:val="sr-Cyrl-RS"/>
        </w:rPr>
        <w:t xml:space="preserve"> Реализација циља би требало да започне 2018. године.</w:t>
      </w:r>
      <w:r w:rsidR="00F97EF4" w:rsidRPr="00CF77C1">
        <w:rPr>
          <w:lang w:val="sr-Cyrl-RS"/>
        </w:rPr>
        <w:t xml:space="preserve"> Иначе, обн</w:t>
      </w:r>
      <w:r w:rsidR="00272E09" w:rsidRPr="00CF77C1">
        <w:rPr>
          <w:lang w:val="sr-Cyrl-RS"/>
        </w:rPr>
        <w:t>о</w:t>
      </w:r>
      <w:r w:rsidR="00F97EF4" w:rsidRPr="00CF77C1">
        <w:rPr>
          <w:lang w:val="sr-Cyrl-RS"/>
        </w:rPr>
        <w:t xml:space="preserve">ва зграда централне власти </w:t>
      </w:r>
      <w:r w:rsidR="002F3734" w:rsidRPr="00CF77C1">
        <w:rPr>
          <w:lang w:val="sr-Cyrl-RS"/>
        </w:rPr>
        <w:t xml:space="preserve">треба да буде </w:t>
      </w:r>
      <w:r w:rsidR="00F97EF4" w:rsidRPr="00CF77C1">
        <w:rPr>
          <w:lang w:val="sr-Cyrl-RS"/>
        </w:rPr>
        <w:t xml:space="preserve">део шире Стратегије </w:t>
      </w:r>
      <w:r w:rsidR="00F067CD" w:rsidRPr="00CF77C1">
        <w:rPr>
          <w:lang w:val="sr-Cyrl-RS"/>
        </w:rPr>
        <w:t>реновирања</w:t>
      </w:r>
      <w:r w:rsidR="00F97EF4" w:rsidRPr="00CF77C1">
        <w:rPr>
          <w:lang w:val="sr-Cyrl-RS"/>
        </w:rPr>
        <w:t xml:space="preserve"> која је део мера које ће бити предузете</w:t>
      </w:r>
      <w:r w:rsidR="004B14B5" w:rsidRPr="00CF77C1">
        <w:rPr>
          <w:lang w:val="sr-Cyrl-RS"/>
        </w:rPr>
        <w:t xml:space="preserve"> ради задовољења захтева члана 4. Директиве 2012/27/</w:t>
      </w:r>
      <w:r w:rsidR="00544477" w:rsidRPr="00544477">
        <w:rPr>
          <w:lang w:val="sr-Cyrl-RS"/>
        </w:rPr>
        <w:t xml:space="preserve"> </w:t>
      </w:r>
      <w:r w:rsidR="00544477">
        <w:rPr>
          <w:lang w:val="sr-Cyrl-RS"/>
        </w:rPr>
        <w:t>ЕУ</w:t>
      </w:r>
      <w:r w:rsidR="00F97EF4" w:rsidRPr="00CF77C1">
        <w:rPr>
          <w:lang w:val="sr-Cyrl-RS"/>
        </w:rPr>
        <w:t xml:space="preserve">. </w:t>
      </w:r>
      <w:r w:rsidR="00D25DC5" w:rsidRPr="00CF77C1">
        <w:rPr>
          <w:lang w:val="sr-Cyrl-RS"/>
        </w:rPr>
        <w:t xml:space="preserve">Република </w:t>
      </w:r>
      <w:r w:rsidR="00A900E2" w:rsidRPr="00CF77C1">
        <w:rPr>
          <w:lang w:val="sr-Cyrl-RS"/>
        </w:rPr>
        <w:t xml:space="preserve">Србија је активности на припреми ове стратегије започела кроз учешће у </w:t>
      </w:r>
      <w:r w:rsidR="007A162B" w:rsidRPr="00CF77C1">
        <w:rPr>
          <w:lang w:val="sr-Cyrl-RS"/>
        </w:rPr>
        <w:t>„</w:t>
      </w:r>
      <w:r w:rsidR="00A900E2" w:rsidRPr="00CF77C1">
        <w:rPr>
          <w:lang w:val="sr-Cyrl-RS"/>
        </w:rPr>
        <w:t>ТАБУЛА</w:t>
      </w:r>
      <w:r w:rsidR="00AD5740" w:rsidRPr="00CF77C1">
        <w:rPr>
          <w:lang w:val="sr-Cyrl-RS"/>
        </w:rPr>
        <w:t>”</w:t>
      </w:r>
      <w:r w:rsidR="00A900E2" w:rsidRPr="00CF77C1">
        <w:rPr>
          <w:lang w:val="sr-Cyrl-RS"/>
        </w:rPr>
        <w:t xml:space="preserve"> пројекту чији је </w:t>
      </w:r>
      <w:r w:rsidR="008C4AD2" w:rsidRPr="00CF77C1">
        <w:rPr>
          <w:lang w:val="sr-Cyrl-RS"/>
        </w:rPr>
        <w:t xml:space="preserve">примарни </w:t>
      </w:r>
      <w:r w:rsidR="00A900E2" w:rsidRPr="00CF77C1">
        <w:rPr>
          <w:lang w:val="sr-Cyrl-RS"/>
        </w:rPr>
        <w:t xml:space="preserve">циљ </w:t>
      </w:r>
      <w:r w:rsidR="008C4AD2" w:rsidRPr="00CF77C1">
        <w:rPr>
          <w:lang w:val="sr-Cyrl-RS"/>
        </w:rPr>
        <w:t>категоризација зграда према години изградње, стилу градње и потребној енергиј</w:t>
      </w:r>
      <w:r w:rsidR="002F3734" w:rsidRPr="00CF77C1">
        <w:rPr>
          <w:lang w:val="sr-Cyrl-RS"/>
        </w:rPr>
        <w:t>и</w:t>
      </w:r>
      <w:r w:rsidR="008C4AD2" w:rsidRPr="00CF77C1">
        <w:rPr>
          <w:lang w:val="sr-Cyrl-RS"/>
        </w:rPr>
        <w:t xml:space="preserve"> за грејање, али чији је секундарни циљ </w:t>
      </w:r>
      <w:r w:rsidR="00A900E2" w:rsidRPr="00CF77C1">
        <w:rPr>
          <w:lang w:val="sr-Cyrl-RS"/>
        </w:rPr>
        <w:t>одређивање мера за енергетску ефикасност у стамбеном сект</w:t>
      </w:r>
      <w:r w:rsidR="00544477">
        <w:rPr>
          <w:lang w:val="sr-Cyrl-RS"/>
        </w:rPr>
        <w:t>о</w:t>
      </w:r>
      <w:r w:rsidR="00A900E2" w:rsidRPr="00CF77C1">
        <w:rPr>
          <w:lang w:val="sr-Cyrl-RS"/>
        </w:rPr>
        <w:t>ру. Учешће у пројекту омогућило је процену стамбеног фонда у</w:t>
      </w:r>
      <w:r w:rsidR="00D25DC5" w:rsidRPr="00CF77C1">
        <w:rPr>
          <w:lang w:val="sr-Cyrl-RS"/>
        </w:rPr>
        <w:t xml:space="preserve"> Републици</w:t>
      </w:r>
      <w:r w:rsidR="00A900E2" w:rsidRPr="00CF77C1">
        <w:rPr>
          <w:lang w:val="sr-Cyrl-RS"/>
        </w:rPr>
        <w:t xml:space="preserve"> Србији и његову категоризацију. </w:t>
      </w:r>
      <w:r w:rsidR="00F97EF4" w:rsidRPr="00CF77C1">
        <w:rPr>
          <w:lang w:val="sr-Cyrl-RS"/>
        </w:rPr>
        <w:t xml:space="preserve">Стратегија </w:t>
      </w:r>
      <w:r w:rsidR="00F067CD" w:rsidRPr="00CF77C1">
        <w:rPr>
          <w:lang w:val="sr-Cyrl-RS"/>
        </w:rPr>
        <w:t>реновирања</w:t>
      </w:r>
      <w:r w:rsidR="00F97EF4" w:rsidRPr="00CF77C1">
        <w:rPr>
          <w:lang w:val="sr-Cyrl-RS"/>
        </w:rPr>
        <w:t xml:space="preserve"> </w:t>
      </w:r>
      <w:r w:rsidR="002F3734" w:rsidRPr="00CF77C1">
        <w:rPr>
          <w:lang w:val="sr-Cyrl-RS"/>
        </w:rPr>
        <w:t xml:space="preserve">треба да обухвати </w:t>
      </w:r>
      <w:r w:rsidR="00F97EF4" w:rsidRPr="00CF77C1">
        <w:rPr>
          <w:lang w:val="sr-Cyrl-RS"/>
        </w:rPr>
        <w:t>све зграде: стамбене, пословне и јавне</w:t>
      </w:r>
      <w:r w:rsidR="002F3734" w:rsidRPr="00CF77C1">
        <w:rPr>
          <w:lang w:val="sr-Cyrl-RS"/>
        </w:rPr>
        <w:t>.</w:t>
      </w:r>
      <w:r w:rsidR="00EB26B9" w:rsidRPr="00CF77C1">
        <w:rPr>
          <w:lang w:val="sr-Cyrl-RS"/>
        </w:rPr>
        <w:t xml:space="preserve"> Реализацију пројекта као и активности на успостављању инвентара зграда централне власти помогао је ГИЗ.</w:t>
      </w:r>
    </w:p>
    <w:p w14:paraId="05AC71E1" w14:textId="56BCF032" w:rsidR="00F56EDC" w:rsidRPr="00CF77C1" w:rsidRDefault="00C24790" w:rsidP="00D22907">
      <w:pPr>
        <w:ind w:firstLine="720"/>
        <w:rPr>
          <w:lang w:val="sr-Cyrl-RS"/>
        </w:rPr>
      </w:pPr>
      <w:r w:rsidRPr="00CF77C1">
        <w:rPr>
          <w:lang w:val="sr-Cyrl-RS"/>
        </w:rPr>
        <w:t xml:space="preserve">Кроз </w:t>
      </w:r>
      <w:r w:rsidR="008C4AD2" w:rsidRPr="00CF77C1">
        <w:rPr>
          <w:lang w:val="sr-Cyrl-RS"/>
        </w:rPr>
        <w:t xml:space="preserve">транспозицију </w:t>
      </w:r>
      <w:r w:rsidRPr="00CF77C1">
        <w:rPr>
          <w:lang w:val="sr-Cyrl-RS"/>
        </w:rPr>
        <w:t>члан</w:t>
      </w:r>
      <w:r w:rsidR="008C4AD2" w:rsidRPr="00CF77C1">
        <w:rPr>
          <w:lang w:val="sr-Cyrl-RS"/>
        </w:rPr>
        <w:t>а</w:t>
      </w:r>
      <w:r w:rsidRPr="00CF77C1">
        <w:rPr>
          <w:lang w:val="sr-Cyrl-RS"/>
        </w:rPr>
        <w:t xml:space="preserve"> 7. Директиве </w:t>
      </w:r>
      <w:r w:rsidR="00DF7EED" w:rsidRPr="00CF77C1">
        <w:rPr>
          <w:lang w:val="sr-Cyrl-RS"/>
        </w:rPr>
        <w:t>2012/27/</w:t>
      </w:r>
      <w:r w:rsidR="0054506E" w:rsidRPr="0054506E">
        <w:rPr>
          <w:lang w:val="sr-Cyrl-RS"/>
        </w:rPr>
        <w:t xml:space="preserve"> </w:t>
      </w:r>
      <w:r w:rsidR="0054506E">
        <w:rPr>
          <w:lang w:val="sr-Cyrl-RS"/>
        </w:rPr>
        <w:t>ЕУ</w:t>
      </w:r>
      <w:r w:rsidR="0054506E" w:rsidRPr="00CF77C1">
        <w:rPr>
          <w:lang w:val="sr-Cyrl-RS"/>
        </w:rPr>
        <w:t xml:space="preserve"> </w:t>
      </w:r>
      <w:r w:rsidR="008C4AD2" w:rsidRPr="00CF77C1">
        <w:rPr>
          <w:lang w:val="sr-Cyrl-RS"/>
        </w:rPr>
        <w:t>потписнице</w:t>
      </w:r>
      <w:r w:rsidR="00BF771A" w:rsidRPr="00CF77C1">
        <w:rPr>
          <w:lang w:val="sr-Cyrl-RS"/>
        </w:rPr>
        <w:t xml:space="preserve"> Уговора о </w:t>
      </w:r>
      <w:r w:rsidR="008C4AD2" w:rsidRPr="00CF77C1">
        <w:rPr>
          <w:lang w:val="sr-Cyrl-RS"/>
        </w:rPr>
        <w:t>оснивању</w:t>
      </w:r>
      <w:r w:rsidR="00BF771A" w:rsidRPr="00CF77C1">
        <w:rPr>
          <w:lang w:val="sr-Cyrl-RS"/>
        </w:rPr>
        <w:t xml:space="preserve"> </w:t>
      </w:r>
      <w:r w:rsidR="002F3734" w:rsidRPr="00CF77C1">
        <w:rPr>
          <w:lang w:val="sr-Cyrl-RS"/>
        </w:rPr>
        <w:t xml:space="preserve">Енергетске заједнице </w:t>
      </w:r>
      <w:r w:rsidR="008C4AD2" w:rsidRPr="00CF77C1">
        <w:rPr>
          <w:lang w:val="sr-Cyrl-RS"/>
        </w:rPr>
        <w:t>обавезују се да</w:t>
      </w:r>
      <w:r w:rsidR="00F56EDC" w:rsidRPr="00CF77C1">
        <w:rPr>
          <w:lang w:val="sr-Cyrl-RS"/>
        </w:rPr>
        <w:t xml:space="preserve">, </w:t>
      </w:r>
      <w:r w:rsidR="00DF7EED" w:rsidRPr="00CF77C1">
        <w:rPr>
          <w:lang w:val="sr-Cyrl-RS"/>
        </w:rPr>
        <w:t xml:space="preserve">у периоду 2017-2020. година постигну кумулативну уштеду </w:t>
      </w:r>
      <w:r w:rsidR="00BF771A" w:rsidRPr="00CF77C1">
        <w:rPr>
          <w:lang w:val="sr-Cyrl-RS"/>
        </w:rPr>
        <w:t>7</w:t>
      </w:r>
      <w:r w:rsidR="00DF7EED" w:rsidRPr="00CF77C1">
        <w:rPr>
          <w:lang w:val="sr-Cyrl-RS"/>
        </w:rPr>
        <w:t xml:space="preserve">% од </w:t>
      </w:r>
      <w:r w:rsidR="00BF771A" w:rsidRPr="00CF77C1">
        <w:rPr>
          <w:lang w:val="sr-Cyrl-RS"/>
        </w:rPr>
        <w:t xml:space="preserve">просечне </w:t>
      </w:r>
      <w:r w:rsidR="00DF7EED" w:rsidRPr="00CF77C1">
        <w:rPr>
          <w:lang w:val="sr-Cyrl-RS"/>
        </w:rPr>
        <w:t>финалне потрошње енергије</w:t>
      </w:r>
      <w:r w:rsidR="00BF771A" w:rsidRPr="00CF77C1">
        <w:rPr>
          <w:lang w:val="sr-Cyrl-RS"/>
        </w:rPr>
        <w:t xml:space="preserve"> </w:t>
      </w:r>
      <w:r w:rsidR="00F56EDC" w:rsidRPr="00CF77C1">
        <w:rPr>
          <w:lang w:val="sr-Cyrl-RS"/>
        </w:rPr>
        <w:t xml:space="preserve">за енергетске сврхе (сходно дефиницији </w:t>
      </w:r>
      <w:r w:rsidR="00B40BB1">
        <w:rPr>
          <w:lang w:val="sr-Cyrl-RS"/>
        </w:rPr>
        <w:t xml:space="preserve">из Уредбе (ЕК) број </w:t>
      </w:r>
      <w:r w:rsidR="001466AE" w:rsidRPr="00CF77C1">
        <w:rPr>
          <w:lang w:val="sr-Cyrl-RS"/>
        </w:rPr>
        <w:t>1099/2008, за чију имплементацију је задужен Републички завод</w:t>
      </w:r>
      <w:r w:rsidR="00F56EDC" w:rsidRPr="00CF77C1">
        <w:rPr>
          <w:lang w:val="sr-Cyrl-RS"/>
        </w:rPr>
        <w:t xml:space="preserve"> за статистику) </w:t>
      </w:r>
      <w:r w:rsidR="00BF771A" w:rsidRPr="00CF77C1">
        <w:rPr>
          <w:lang w:val="sr-Cyrl-RS"/>
        </w:rPr>
        <w:t>у периоду 2013-2015. година</w:t>
      </w:r>
      <w:r w:rsidR="00DF7EED" w:rsidRPr="00CF77C1">
        <w:rPr>
          <w:lang w:val="sr-Cyrl-RS"/>
        </w:rPr>
        <w:t>, из које имају право да изузму потрошњу енергије у саобраћају.</w:t>
      </w:r>
      <w:r w:rsidR="00EB26B9" w:rsidRPr="00CF77C1">
        <w:rPr>
          <w:lang w:val="sr-Cyrl-RS"/>
        </w:rPr>
        <w:t xml:space="preserve"> </w:t>
      </w:r>
      <w:r w:rsidR="006A2309" w:rsidRPr="00CF77C1">
        <w:rPr>
          <w:lang w:val="sr-Cyrl-RS"/>
        </w:rPr>
        <w:t xml:space="preserve">Да би се овај циљ постигао успостављају се обавезујуће шеме којима се обезбеђује да дистрибутери енергије или малопродајне компаније које се баве продајом енергије постану странке обвезнице које обезбеђују да се постигне поменута уштеда у финалној потрошњи енергије. </w:t>
      </w:r>
      <w:r w:rsidR="00C27F95" w:rsidRPr="00CF77C1">
        <w:rPr>
          <w:lang w:val="sr-Cyrl-RS"/>
        </w:rPr>
        <w:t xml:space="preserve">Овај циљ је кроз директиву додатно разрађен тако да се реализује кроз постизање нових уштеда сваке године, почев од 1. јануара 2017. године, од 0,7% годишње продаје енергије крајњим купцима свих дистрибутера енергије или малопродајних компанија које се баве продајом енергије, у обиму који представља просек у периоду последње три године пре 1. јануара 2016. године. При томе се продаја енергије у транспортном сектору, по обиму, може делимично или сасвим изоставити из израчунавања. </w:t>
      </w:r>
      <w:r w:rsidR="00024C4C" w:rsidRPr="00CF77C1">
        <w:rPr>
          <w:lang w:val="sr-Cyrl-RS"/>
        </w:rPr>
        <w:t xml:space="preserve">Директива даје могућност </w:t>
      </w:r>
      <w:r w:rsidR="00EB26B9" w:rsidRPr="00CF77C1">
        <w:rPr>
          <w:lang w:val="sr-Cyrl-RS"/>
        </w:rPr>
        <w:t>да се ове</w:t>
      </w:r>
      <w:r w:rsidR="002716B0" w:rsidRPr="00CF77C1">
        <w:rPr>
          <w:lang w:val="sr-Cyrl-RS"/>
        </w:rPr>
        <w:t xml:space="preserve"> </w:t>
      </w:r>
      <w:r w:rsidR="00EB26B9" w:rsidRPr="00CF77C1">
        <w:rPr>
          <w:lang w:val="sr-Cyrl-RS"/>
        </w:rPr>
        <w:t xml:space="preserve">уштеде остваре успостављањем </w:t>
      </w:r>
      <w:r w:rsidR="00024C4C" w:rsidRPr="00CF77C1">
        <w:rPr>
          <w:lang w:val="sr-Cyrl-RS"/>
        </w:rPr>
        <w:t>обавезујуће шеме за енергетску ефикасност</w:t>
      </w:r>
      <w:r w:rsidR="00EB26B9" w:rsidRPr="00CF77C1">
        <w:rPr>
          <w:lang w:val="sr-Cyrl-RS"/>
        </w:rPr>
        <w:t xml:space="preserve">, </w:t>
      </w:r>
      <w:r w:rsidR="00024C4C" w:rsidRPr="00CF77C1">
        <w:rPr>
          <w:lang w:val="sr-Cyrl-RS"/>
        </w:rPr>
        <w:t>како</w:t>
      </w:r>
      <w:r w:rsidR="00EB26B9" w:rsidRPr="00CF77C1">
        <w:rPr>
          <w:lang w:val="sr-Cyrl-RS"/>
        </w:rPr>
        <w:t xml:space="preserve"> је дефинисан</w:t>
      </w:r>
      <w:r w:rsidR="00024C4C" w:rsidRPr="00CF77C1">
        <w:rPr>
          <w:lang w:val="sr-Cyrl-RS"/>
        </w:rPr>
        <w:t>о</w:t>
      </w:r>
      <w:r w:rsidR="00EB26B9" w:rsidRPr="00CF77C1">
        <w:rPr>
          <w:lang w:val="sr-Cyrl-RS"/>
        </w:rPr>
        <w:t xml:space="preserve"> ставом 1</w:t>
      </w:r>
      <w:r w:rsidR="005E7F26">
        <w:rPr>
          <w:lang w:val="sr-Cyrl-RS"/>
        </w:rPr>
        <w:t>.</w:t>
      </w:r>
      <w:r w:rsidR="00EB26B9" w:rsidRPr="00CF77C1">
        <w:rPr>
          <w:lang w:val="sr-Cyrl-RS"/>
        </w:rPr>
        <w:t xml:space="preserve"> овог члана, или применом алтернатив</w:t>
      </w:r>
      <w:r w:rsidR="005E7F26">
        <w:rPr>
          <w:lang w:val="sr-Cyrl-RS"/>
        </w:rPr>
        <w:t>них мера, дефинисаних ставом 9. овог члана, а у складу са ст.</w:t>
      </w:r>
      <w:r w:rsidR="00EB26B9" w:rsidRPr="00CF77C1">
        <w:rPr>
          <w:lang w:val="sr-Cyrl-RS"/>
        </w:rPr>
        <w:t xml:space="preserve"> 10</w:t>
      </w:r>
      <w:r w:rsidR="005E7F26">
        <w:rPr>
          <w:lang w:val="sr-Cyrl-RS"/>
        </w:rPr>
        <w:t>.</w:t>
      </w:r>
      <w:r w:rsidR="00EB26B9" w:rsidRPr="00CF77C1">
        <w:rPr>
          <w:lang w:val="sr-Cyrl-RS"/>
        </w:rPr>
        <w:t xml:space="preserve"> и 11</w:t>
      </w:r>
      <w:r w:rsidR="005E7F26">
        <w:rPr>
          <w:lang w:val="sr-Cyrl-RS"/>
        </w:rPr>
        <w:t>.</w:t>
      </w:r>
      <w:r w:rsidR="00EB26B9" w:rsidRPr="00CF77C1">
        <w:rPr>
          <w:lang w:val="sr-Cyrl-RS"/>
        </w:rPr>
        <w:t xml:space="preserve"> овог члана.</w:t>
      </w:r>
      <w:r w:rsidR="00DF7EED" w:rsidRPr="00CF77C1">
        <w:rPr>
          <w:lang w:val="sr-Cyrl-RS"/>
        </w:rPr>
        <w:t xml:space="preserve"> </w:t>
      </w:r>
      <w:r w:rsidR="00BF771A" w:rsidRPr="00CF77C1">
        <w:rPr>
          <w:lang w:val="sr-Cyrl-RS"/>
        </w:rPr>
        <w:t>При томе је износ уштеде могуће додатно умањити уколико се другим мерама већ постижу уштеде у сектору трансформације, дистрибуције и преноса, укључујући ефикасну инфраструктуру даљинског грејања и хлађења, као и ако се у обзир узму мере које се већ спроводе почев од 2008. године. Највеће смањење потребних уштеда у том случају може да буде 25% од прорачунате вредности.</w:t>
      </w:r>
      <w:r w:rsidR="00B90A1C" w:rsidRPr="00CF77C1">
        <w:rPr>
          <w:lang w:val="sr-Cyrl-RS"/>
        </w:rPr>
        <w:t xml:space="preserve"> </w:t>
      </w:r>
      <w:r w:rsidR="005E7F26">
        <w:rPr>
          <w:lang w:val="sr-Cyrl-RS"/>
        </w:rPr>
        <w:t>У члану 7. став 2. Директиве</w:t>
      </w:r>
      <w:r w:rsidR="00F56EDC" w:rsidRPr="00CF77C1">
        <w:rPr>
          <w:lang w:val="sr-Cyrl-RS"/>
        </w:rPr>
        <w:t xml:space="preserve"> је дефинисано да се уштеде са укалкулисаним смањењем од 25% од прорачунате вредности могу распоредити по годинама тако да би </w:t>
      </w:r>
      <w:r w:rsidR="00B90A1C" w:rsidRPr="00CF77C1">
        <w:rPr>
          <w:lang w:val="sr-Cyrl-RS"/>
        </w:rPr>
        <w:t xml:space="preserve">обавеза </w:t>
      </w:r>
      <w:r w:rsidR="00F56EDC" w:rsidRPr="00CF77C1">
        <w:rPr>
          <w:lang w:val="sr-Cyrl-RS"/>
        </w:rPr>
        <w:t xml:space="preserve">државе чланице </w:t>
      </w:r>
      <w:r w:rsidR="00B90A1C" w:rsidRPr="00CF77C1">
        <w:rPr>
          <w:lang w:val="sr-Cyrl-RS"/>
        </w:rPr>
        <w:t>била да постигне уштеде од 0,5% у 2017. и додатних 0,5% у 2018. години, а затим додатних 0,7% у 2019</w:t>
      </w:r>
      <w:r w:rsidR="00F56EDC" w:rsidRPr="00CF77C1">
        <w:rPr>
          <w:lang w:val="sr-Cyrl-RS"/>
        </w:rPr>
        <w:t>. години и 0,7% у 2020. години.</w:t>
      </w:r>
      <w:r w:rsidR="00477371" w:rsidRPr="00CF77C1">
        <w:rPr>
          <w:lang w:val="sr-Cyrl-RS"/>
        </w:rPr>
        <w:t xml:space="preserve"> Са друге стране кумулативна вредност енергије коју је потребно уштедети уколико се укалкулише смањење од 25% је за 7,25% ниже од вредности која се прорачунава применом уштеда дефинисани</w:t>
      </w:r>
      <w:r w:rsidR="005E7F26">
        <w:rPr>
          <w:lang w:val="sr-Cyrl-RS"/>
        </w:rPr>
        <w:t xml:space="preserve">х по годинама у члану 7. став 2. </w:t>
      </w:r>
      <w:r w:rsidR="00477371" w:rsidRPr="00CF77C1">
        <w:rPr>
          <w:lang w:val="sr-Cyrl-RS"/>
        </w:rPr>
        <w:t>Директиве.</w:t>
      </w:r>
    </w:p>
    <w:p w14:paraId="4399840E" w14:textId="3971CE1E" w:rsidR="00B90A1C" w:rsidRPr="00CF77C1" w:rsidRDefault="00B90A1C" w:rsidP="00D22907">
      <w:pPr>
        <w:ind w:firstLine="720"/>
        <w:rPr>
          <w:lang w:val="sr-Cyrl-RS"/>
        </w:rPr>
      </w:pPr>
      <w:r w:rsidRPr="00CF77C1">
        <w:rPr>
          <w:lang w:val="sr-Cyrl-RS"/>
        </w:rPr>
        <w:t xml:space="preserve">С обзиром </w:t>
      </w:r>
      <w:r w:rsidR="007A162B" w:rsidRPr="00CF77C1">
        <w:rPr>
          <w:lang w:val="sr-Cyrl-RS"/>
        </w:rPr>
        <w:t xml:space="preserve">на то </w:t>
      </w:r>
      <w:r w:rsidRPr="00CF77C1">
        <w:rPr>
          <w:lang w:val="sr-Cyrl-RS"/>
        </w:rPr>
        <w:t>да су</w:t>
      </w:r>
      <w:r w:rsidR="00FC0FEE" w:rsidRPr="00CF77C1">
        <w:rPr>
          <w:lang w:val="sr-Cyrl-RS"/>
        </w:rPr>
        <w:t>,</w:t>
      </w:r>
      <w:r w:rsidRPr="00CF77C1">
        <w:rPr>
          <w:lang w:val="sr-Cyrl-RS"/>
        </w:rPr>
        <w:t xml:space="preserve"> на основу енергетских биланса у 2013. и 2014. години и на основу претходних података Републичког завода за статистику за 2015. годину</w:t>
      </w:r>
      <w:r w:rsidR="00FC0FEE" w:rsidRPr="00CF77C1">
        <w:rPr>
          <w:lang w:val="sr-Cyrl-RS"/>
        </w:rPr>
        <w:t>,</w:t>
      </w:r>
      <w:r w:rsidRPr="00CF77C1">
        <w:rPr>
          <w:lang w:val="sr-Cyrl-RS"/>
        </w:rPr>
        <w:t xml:space="preserve"> финалне потрошње енергије за енергетске </w:t>
      </w:r>
      <w:r w:rsidR="00F56EDC" w:rsidRPr="00CF77C1">
        <w:rPr>
          <w:lang w:val="sr-Cyrl-RS"/>
        </w:rPr>
        <w:t>сврхе</w:t>
      </w:r>
      <w:r w:rsidR="007A162B" w:rsidRPr="00CF77C1">
        <w:rPr>
          <w:lang w:val="sr-Cyrl-RS"/>
        </w:rPr>
        <w:t>,</w:t>
      </w:r>
      <w:r w:rsidRPr="00CF77C1">
        <w:rPr>
          <w:lang w:val="sr-Cyrl-RS"/>
        </w:rPr>
        <w:t xml:space="preserve"> изузимајући саобраћај</w:t>
      </w:r>
      <w:r w:rsidR="007A162B" w:rsidRPr="00CF77C1">
        <w:rPr>
          <w:lang w:val="sr-Cyrl-RS"/>
        </w:rPr>
        <w:t>,</w:t>
      </w:r>
      <w:r w:rsidRPr="00CF77C1">
        <w:rPr>
          <w:lang w:val="sr-Cyrl-RS"/>
        </w:rPr>
        <w:t xml:space="preserve"> редом биле: 6.437,6 хиљада тен, 5.758,8 хиљада тен и 6.123,3 хиљада тен, просечна вредност потрошње у односу на коју се рачуна потребна уштеда је 6.106,5 хиљада тен. </w:t>
      </w:r>
      <w:r w:rsidR="0071278E" w:rsidRPr="00CF77C1">
        <w:rPr>
          <w:lang w:val="sr-Cyrl-RS"/>
        </w:rPr>
        <w:t>Показатељи могуће</w:t>
      </w:r>
      <w:r w:rsidRPr="00CF77C1">
        <w:rPr>
          <w:lang w:val="sr-Cyrl-RS"/>
        </w:rPr>
        <w:t xml:space="preserve"> реализације имплементације члана 7. Директиве 2012/27/</w:t>
      </w:r>
      <w:r w:rsidR="00D3029C">
        <w:rPr>
          <w:lang w:val="sr-Cyrl-RS"/>
        </w:rPr>
        <w:t>ЕУ</w:t>
      </w:r>
      <w:r w:rsidR="00D3029C" w:rsidRPr="00CF77C1">
        <w:rPr>
          <w:lang w:val="sr-Cyrl-RS"/>
        </w:rPr>
        <w:t xml:space="preserve"> </w:t>
      </w:r>
      <w:r w:rsidR="00FD1BC0" w:rsidRPr="00CF77C1">
        <w:rPr>
          <w:lang w:val="sr-Cyrl-RS"/>
        </w:rPr>
        <w:t xml:space="preserve">сходно динамици дефинисаној у </w:t>
      </w:r>
      <w:r w:rsidR="005E7F26">
        <w:rPr>
          <w:lang w:val="sr-Cyrl-RS"/>
        </w:rPr>
        <w:t>члану 7. став</w:t>
      </w:r>
      <w:r w:rsidR="00FD1BC0" w:rsidRPr="00CF77C1">
        <w:rPr>
          <w:lang w:val="sr-Cyrl-RS"/>
        </w:rPr>
        <w:t xml:space="preserve"> 2</w:t>
      </w:r>
      <w:r w:rsidR="005E7F26">
        <w:rPr>
          <w:lang w:val="sr-Cyrl-RS"/>
        </w:rPr>
        <w:t xml:space="preserve">. Директиве </w:t>
      </w:r>
      <w:r w:rsidRPr="00CF77C1">
        <w:rPr>
          <w:lang w:val="sr-Cyrl-RS"/>
        </w:rPr>
        <w:t>су дати</w:t>
      </w:r>
      <w:r w:rsidR="00FD1BC0" w:rsidRPr="00CF77C1">
        <w:rPr>
          <w:lang w:val="sr-Cyrl-RS"/>
        </w:rPr>
        <w:t xml:space="preserve"> у наредној табели по годинама</w:t>
      </w:r>
      <w:r w:rsidR="00477371" w:rsidRPr="00CF77C1">
        <w:rPr>
          <w:lang w:val="sr-Cyrl-RS"/>
        </w:rPr>
        <w:t xml:space="preserve"> (други ред)</w:t>
      </w:r>
      <w:r w:rsidR="00FD1BC0" w:rsidRPr="00CF77C1">
        <w:rPr>
          <w:lang w:val="sr-Cyrl-RS"/>
        </w:rPr>
        <w:t xml:space="preserve">. </w:t>
      </w:r>
      <w:r w:rsidRPr="00CF77C1">
        <w:rPr>
          <w:lang w:val="sr-Cyrl-RS"/>
        </w:rPr>
        <w:t xml:space="preserve">Међутим, успостављање </w:t>
      </w:r>
      <w:r w:rsidR="00024C4C" w:rsidRPr="00CF77C1">
        <w:rPr>
          <w:lang w:val="sr-Cyrl-RS"/>
        </w:rPr>
        <w:t xml:space="preserve">обавезујуће шеме за енергетску ефикасност </w:t>
      </w:r>
      <w:r w:rsidRPr="00CF77C1">
        <w:rPr>
          <w:lang w:val="sr-Cyrl-RS"/>
        </w:rPr>
        <w:t xml:space="preserve">захтева читав низ координисаних припремних активности које </w:t>
      </w:r>
      <w:r w:rsidR="00115212" w:rsidRPr="00CF77C1">
        <w:rPr>
          <w:lang w:val="sr-Cyrl-RS"/>
        </w:rPr>
        <w:t xml:space="preserve">би </w:t>
      </w:r>
      <w:r w:rsidR="007A162B" w:rsidRPr="00CF77C1">
        <w:rPr>
          <w:lang w:val="sr-Cyrl-RS"/>
        </w:rPr>
        <w:t>се у</w:t>
      </w:r>
      <w:r w:rsidR="00D25DC5" w:rsidRPr="00CF77C1">
        <w:rPr>
          <w:lang w:val="sr-Cyrl-RS"/>
        </w:rPr>
        <w:t xml:space="preserve"> Републици</w:t>
      </w:r>
      <w:r w:rsidR="007A162B" w:rsidRPr="00CF77C1">
        <w:rPr>
          <w:lang w:val="sr-Cyrl-RS"/>
        </w:rPr>
        <w:t xml:space="preserve"> Србији реализовале</w:t>
      </w:r>
      <w:r w:rsidRPr="00CF77C1">
        <w:rPr>
          <w:lang w:val="sr-Cyrl-RS"/>
        </w:rPr>
        <w:t xml:space="preserve"> током 2017. </w:t>
      </w:r>
      <w:r w:rsidR="00EB26B9" w:rsidRPr="00CF77C1">
        <w:rPr>
          <w:lang w:val="sr-Cyrl-RS"/>
        </w:rPr>
        <w:t xml:space="preserve">и 2018. </w:t>
      </w:r>
      <w:r w:rsidRPr="00CF77C1">
        <w:rPr>
          <w:lang w:val="sr-Cyrl-RS"/>
        </w:rPr>
        <w:t xml:space="preserve">године, </w:t>
      </w:r>
      <w:r w:rsidR="00115212" w:rsidRPr="00CF77C1">
        <w:rPr>
          <w:lang w:val="sr-Cyrl-RS"/>
        </w:rPr>
        <w:t>ако се ово изабере као најбоља или једна од опција за спровођење члана 7</w:t>
      </w:r>
      <w:r w:rsidR="007A162B" w:rsidRPr="00CF77C1">
        <w:rPr>
          <w:lang w:val="sr-Cyrl-RS"/>
        </w:rPr>
        <w:t>.</w:t>
      </w:r>
      <w:r w:rsidR="00115212" w:rsidRPr="00CF77C1">
        <w:rPr>
          <w:lang w:val="sr-Cyrl-RS"/>
        </w:rPr>
        <w:t xml:space="preserve"> </w:t>
      </w:r>
      <w:r w:rsidR="007A162B" w:rsidRPr="00CF77C1">
        <w:rPr>
          <w:lang w:val="sr-Cyrl-RS"/>
        </w:rPr>
        <w:t>Директиве</w:t>
      </w:r>
      <w:r w:rsidR="00115212" w:rsidRPr="00CF77C1">
        <w:rPr>
          <w:lang w:val="sr-Cyrl-RS"/>
        </w:rPr>
        <w:t xml:space="preserve">, </w:t>
      </w:r>
      <w:r w:rsidRPr="00CF77C1">
        <w:rPr>
          <w:lang w:val="sr-Cyrl-RS"/>
        </w:rPr>
        <w:t xml:space="preserve">тако да </w:t>
      </w:r>
      <w:r w:rsidR="00FD1BC0" w:rsidRPr="00CF77C1">
        <w:rPr>
          <w:lang w:val="sr-Cyrl-RS"/>
        </w:rPr>
        <w:t xml:space="preserve">се може очекивати да </w:t>
      </w:r>
      <w:r w:rsidRPr="00CF77C1">
        <w:rPr>
          <w:lang w:val="sr-Cyrl-RS"/>
        </w:rPr>
        <w:t>примена шем</w:t>
      </w:r>
      <w:r w:rsidR="00115212" w:rsidRPr="00CF77C1">
        <w:rPr>
          <w:lang w:val="sr-Cyrl-RS"/>
        </w:rPr>
        <w:t>е</w:t>
      </w:r>
      <w:r w:rsidRPr="00CF77C1">
        <w:rPr>
          <w:lang w:val="sr-Cyrl-RS"/>
        </w:rPr>
        <w:t xml:space="preserve"> </w:t>
      </w:r>
      <w:r w:rsidR="00FD1BC0" w:rsidRPr="00CF77C1">
        <w:rPr>
          <w:lang w:val="sr-Cyrl-RS"/>
        </w:rPr>
        <w:t>започне</w:t>
      </w:r>
      <w:r w:rsidRPr="00CF77C1">
        <w:rPr>
          <w:lang w:val="sr-Cyrl-RS"/>
        </w:rPr>
        <w:t xml:space="preserve"> </w:t>
      </w:r>
      <w:r w:rsidR="00EB26B9" w:rsidRPr="00CF77C1">
        <w:rPr>
          <w:lang w:val="sr-Cyrl-RS"/>
        </w:rPr>
        <w:t xml:space="preserve">најраније </w:t>
      </w:r>
      <w:r w:rsidR="00FD1BC0" w:rsidRPr="00CF77C1">
        <w:rPr>
          <w:lang w:val="sr-Cyrl-RS"/>
        </w:rPr>
        <w:t xml:space="preserve">2019. године. </w:t>
      </w:r>
      <w:r w:rsidRPr="00CF77C1">
        <w:rPr>
          <w:lang w:val="sr-Cyrl-RS"/>
        </w:rPr>
        <w:t xml:space="preserve">У том смислу </w:t>
      </w:r>
      <w:r w:rsidR="00FD1BC0" w:rsidRPr="00CF77C1">
        <w:rPr>
          <w:lang w:val="sr-Cyrl-RS"/>
        </w:rPr>
        <w:t>у табели су приказани и ревидирани индикатори реализације имплементације члана 7. Директиве 2012/27/</w:t>
      </w:r>
      <w:r w:rsidR="00D3029C">
        <w:rPr>
          <w:lang w:val="sr-Cyrl-RS"/>
        </w:rPr>
        <w:t>ЕУ</w:t>
      </w:r>
      <w:r w:rsidR="00477371" w:rsidRPr="00CF77C1">
        <w:rPr>
          <w:lang w:val="sr-Cyrl-RS"/>
        </w:rPr>
        <w:t>, уколико се Република Србија у имплементацији ослони само на примену шема обавеза у погледу енергетске ефикасности</w:t>
      </w:r>
      <w:r w:rsidRPr="00CF77C1">
        <w:rPr>
          <w:lang w:val="sr-Cyrl-RS"/>
        </w:rPr>
        <w:t>.</w:t>
      </w:r>
    </w:p>
    <w:p w14:paraId="736BD337" w14:textId="747FCDCD" w:rsidR="00FD1BC0" w:rsidRPr="00CF77C1" w:rsidRDefault="00C049E0" w:rsidP="00D22907">
      <w:pPr>
        <w:ind w:firstLine="720"/>
        <w:rPr>
          <w:lang w:val="sr-Cyrl-RS"/>
        </w:rPr>
      </w:pPr>
      <w:r w:rsidRPr="00CF77C1">
        <w:rPr>
          <w:lang w:val="sr-Cyrl-RS"/>
        </w:rPr>
        <w:t>Уколико се претпостави да су инвестиције у мере повећања енергетске ефикасности сразмерне годишњим уштедама које се кроз примену тих мера постижу</w:t>
      </w:r>
      <w:r w:rsidR="007A162B" w:rsidRPr="00CF77C1">
        <w:rPr>
          <w:lang w:val="sr-Cyrl-RS"/>
        </w:rPr>
        <w:t>,</w:t>
      </w:r>
      <w:r w:rsidRPr="00CF77C1">
        <w:rPr>
          <w:lang w:val="sr-Cyrl-RS"/>
        </w:rPr>
        <w:t xml:space="preserve"> од великог је значаја што пре започети са имплементацијом мера ради реализације циљева дефинисаних чланом 7. Директиве 2012/27/</w:t>
      </w:r>
      <w:r w:rsidR="0016783D">
        <w:rPr>
          <w:lang w:val="sr-Cyrl-RS"/>
        </w:rPr>
        <w:t>ЕУ</w:t>
      </w:r>
      <w:r w:rsidR="0016783D" w:rsidRPr="00CF77C1">
        <w:rPr>
          <w:lang w:val="sr-Cyrl-RS"/>
        </w:rPr>
        <w:t xml:space="preserve"> </w:t>
      </w:r>
      <w:r w:rsidRPr="00CF77C1">
        <w:rPr>
          <w:lang w:val="sr-Cyrl-RS"/>
        </w:rPr>
        <w:t>и то у што већем обиму. У</w:t>
      </w:r>
      <w:r w:rsidR="00B30734" w:rsidRPr="00CF77C1">
        <w:rPr>
          <w:lang w:val="sr-Cyrl-RS"/>
        </w:rPr>
        <w:t>колико би се имплементација мера енергетске ефикасности ради остварења уштеда прописани</w:t>
      </w:r>
      <w:r w:rsidR="0016783D">
        <w:rPr>
          <w:lang w:val="sr-Cyrl-RS"/>
        </w:rPr>
        <w:t>х чланом 7. Директиве 2012/27/ЕУ</w:t>
      </w:r>
      <w:r w:rsidR="00B30734" w:rsidRPr="00CF77C1">
        <w:rPr>
          <w:lang w:val="sr-Cyrl-RS"/>
        </w:rPr>
        <w:t xml:space="preserve"> реализовала кроз све године у периоду 2017-2020</w:t>
      </w:r>
      <w:r w:rsidRPr="00CF77C1">
        <w:rPr>
          <w:lang w:val="sr-Cyrl-RS"/>
        </w:rPr>
        <w:t>. н</w:t>
      </w:r>
      <w:r w:rsidR="005E7F26">
        <w:rPr>
          <w:lang w:val="sr-Cyrl-RS"/>
        </w:rPr>
        <w:t>а начин предложен у члану</w:t>
      </w:r>
      <w:r w:rsidRPr="00CF77C1">
        <w:rPr>
          <w:lang w:val="sr-Cyrl-RS"/>
        </w:rPr>
        <w:t xml:space="preserve"> 7.</w:t>
      </w:r>
      <w:r w:rsidR="005E7F26">
        <w:rPr>
          <w:lang w:val="sr-Cyrl-RS"/>
        </w:rPr>
        <w:t xml:space="preserve"> став 2.</w:t>
      </w:r>
      <w:r w:rsidRPr="00CF77C1">
        <w:rPr>
          <w:lang w:val="sr-Cyrl-RS"/>
        </w:rPr>
        <w:t xml:space="preserve"> Директиве</w:t>
      </w:r>
      <w:r w:rsidR="00B30734" w:rsidRPr="00CF77C1">
        <w:rPr>
          <w:lang w:val="sr-Cyrl-RS"/>
        </w:rPr>
        <w:t xml:space="preserve">, (у </w:t>
      </w:r>
      <w:r w:rsidR="000642D2" w:rsidRPr="00CF77C1">
        <w:rPr>
          <w:lang w:val="sr-Cyrl-RS"/>
        </w:rPr>
        <w:fldChar w:fldCharType="begin"/>
      </w:r>
      <w:r w:rsidR="000642D2" w:rsidRPr="00CF77C1">
        <w:rPr>
          <w:lang w:val="sr-Cyrl-RS"/>
        </w:rPr>
        <w:instrText xml:space="preserve"> REF _Ref472611451 \h  \* MERGEFORMAT </w:instrText>
      </w:r>
      <w:r w:rsidR="000642D2" w:rsidRPr="00CF77C1">
        <w:rPr>
          <w:lang w:val="sr-Cyrl-RS"/>
        </w:rPr>
      </w:r>
      <w:r w:rsidR="000642D2" w:rsidRPr="00CF77C1">
        <w:rPr>
          <w:lang w:val="sr-Cyrl-RS"/>
        </w:rPr>
        <w:fldChar w:fldCharType="separate"/>
      </w:r>
      <w:r w:rsidR="002D5918" w:rsidRPr="002D5918">
        <w:rPr>
          <w:lang w:val="sr-Cyrl-RS"/>
        </w:rPr>
        <w:t>таб. 127</w:t>
      </w:r>
      <w:r w:rsidR="000642D2" w:rsidRPr="00CF77C1">
        <w:rPr>
          <w:lang w:val="sr-Cyrl-RS"/>
        </w:rPr>
        <w:fldChar w:fldCharType="end"/>
      </w:r>
      <w:r w:rsidR="00B30734" w:rsidRPr="00CF77C1">
        <w:rPr>
          <w:lang w:val="sr-Cyrl-RS"/>
        </w:rPr>
        <w:t xml:space="preserve">) </w:t>
      </w:r>
      <w:r w:rsidRPr="00CF77C1">
        <w:rPr>
          <w:lang w:val="sr-Cyrl-RS"/>
        </w:rPr>
        <w:t xml:space="preserve">укупне инвестиције би биле за око 36% мање од износа потребног за инвестиције </w:t>
      </w:r>
      <w:r w:rsidR="0063762E" w:rsidRPr="00CF77C1">
        <w:rPr>
          <w:lang w:val="sr-Cyrl-RS"/>
        </w:rPr>
        <w:t>ако</w:t>
      </w:r>
      <w:r w:rsidR="00477371" w:rsidRPr="00CF77C1">
        <w:rPr>
          <w:lang w:val="sr-Cyrl-RS"/>
        </w:rPr>
        <w:t xml:space="preserve"> би се Република Србија у задовољењу услова прописаних чланом 7.</w:t>
      </w:r>
      <w:r w:rsidR="005E7F26">
        <w:rPr>
          <w:lang w:val="sr-Cyrl-RS"/>
        </w:rPr>
        <w:t xml:space="preserve"> Директиве</w:t>
      </w:r>
      <w:r w:rsidR="00477371" w:rsidRPr="00CF77C1">
        <w:rPr>
          <w:lang w:val="sr-Cyrl-RS"/>
        </w:rPr>
        <w:t xml:space="preserve"> ослонила само на примену </w:t>
      </w:r>
      <w:r w:rsidR="00115212" w:rsidRPr="00CF77C1">
        <w:rPr>
          <w:lang w:val="sr-Cyrl-RS"/>
        </w:rPr>
        <w:t>обавезујуће шеме за енергетску ефикасност</w:t>
      </w:r>
      <w:r w:rsidR="00477371" w:rsidRPr="00CF77C1">
        <w:rPr>
          <w:lang w:val="sr-Cyrl-RS"/>
        </w:rPr>
        <w:t xml:space="preserve"> од 2019. године</w:t>
      </w:r>
      <w:r w:rsidR="0063762E" w:rsidRPr="00CF77C1">
        <w:rPr>
          <w:lang w:val="sr-Cyrl-RS"/>
        </w:rPr>
        <w:t xml:space="preserve"> (у </w:t>
      </w:r>
      <w:r w:rsidR="000642D2" w:rsidRPr="00CF77C1">
        <w:rPr>
          <w:lang w:val="sr-Cyrl-RS"/>
        </w:rPr>
        <w:fldChar w:fldCharType="begin"/>
      </w:r>
      <w:r w:rsidR="000642D2" w:rsidRPr="00CF77C1">
        <w:rPr>
          <w:lang w:val="sr-Cyrl-RS"/>
        </w:rPr>
        <w:instrText xml:space="preserve"> REF _Ref472611451 \h  \* MERGEFORMAT </w:instrText>
      </w:r>
      <w:r w:rsidR="000642D2" w:rsidRPr="00CF77C1">
        <w:rPr>
          <w:lang w:val="sr-Cyrl-RS"/>
        </w:rPr>
      </w:r>
      <w:r w:rsidR="000642D2" w:rsidRPr="00CF77C1">
        <w:rPr>
          <w:lang w:val="sr-Cyrl-RS"/>
        </w:rPr>
        <w:fldChar w:fldCharType="separate"/>
      </w:r>
      <w:r w:rsidR="002D5918" w:rsidRPr="002D5918">
        <w:rPr>
          <w:lang w:val="sr-Cyrl-RS"/>
        </w:rPr>
        <w:t>таб. 127</w:t>
      </w:r>
      <w:r w:rsidR="000642D2" w:rsidRPr="00CF77C1">
        <w:rPr>
          <w:lang w:val="sr-Cyrl-RS"/>
        </w:rPr>
        <w:fldChar w:fldCharType="end"/>
      </w:r>
      <w:r w:rsidR="0063762E" w:rsidRPr="00CF77C1">
        <w:rPr>
          <w:lang w:val="sr-Cyrl-RS"/>
        </w:rPr>
        <w:t>)</w:t>
      </w:r>
      <w:r w:rsidR="00477371" w:rsidRPr="00CF77C1">
        <w:rPr>
          <w:lang w:val="sr-Cyrl-RS"/>
        </w:rPr>
        <w:t xml:space="preserve">. Наведене вредности јасно указују на чињеницу да је неопходно што пре започети имплементацију других мера за унапређење енергетске ефикасности (пре свега </w:t>
      </w:r>
      <w:r w:rsidR="00EB26B9" w:rsidRPr="00CF77C1">
        <w:rPr>
          <w:lang w:val="sr-Cyrl-RS"/>
        </w:rPr>
        <w:t>обезбеђењем већих</w:t>
      </w:r>
      <w:r w:rsidR="00D432B4" w:rsidRPr="00CF77C1">
        <w:rPr>
          <w:lang w:val="sr-Cyrl-RS"/>
        </w:rPr>
        <w:t xml:space="preserve"> и стабилних</w:t>
      </w:r>
      <w:r w:rsidR="00EB26B9" w:rsidRPr="00CF77C1">
        <w:rPr>
          <w:lang w:val="sr-Cyrl-RS"/>
        </w:rPr>
        <w:t xml:space="preserve"> прихода за рад</w:t>
      </w:r>
      <w:r w:rsidR="00EB26B9" w:rsidRPr="00CF77C1" w:rsidDel="00EB26B9">
        <w:rPr>
          <w:lang w:val="sr-Cyrl-RS"/>
        </w:rPr>
        <w:t xml:space="preserve"> </w:t>
      </w:r>
      <w:r w:rsidR="00477371" w:rsidRPr="00CF77C1">
        <w:rPr>
          <w:lang w:val="sr-Cyrl-RS"/>
        </w:rPr>
        <w:t>Буџетског фонда за енергетску ефикасност) ради остварења кумулативних потребних уштеда дефинисани</w:t>
      </w:r>
      <w:r w:rsidR="0016783D">
        <w:rPr>
          <w:lang w:val="sr-Cyrl-RS"/>
        </w:rPr>
        <w:t>х чланом 7. Директиве 2012/27/ЕУ</w:t>
      </w:r>
      <w:r w:rsidR="00477371" w:rsidRPr="00CF77C1">
        <w:rPr>
          <w:lang w:val="sr-Cyrl-RS"/>
        </w:rPr>
        <w:t>.</w:t>
      </w:r>
    </w:p>
    <w:p w14:paraId="0A92E5C9" w14:textId="46E51B54" w:rsidR="00C24790" w:rsidRPr="00CF77C1" w:rsidRDefault="00B90A1C" w:rsidP="00D22907">
      <w:pPr>
        <w:pStyle w:val="Caption"/>
        <w:ind w:firstLine="720"/>
        <w:rPr>
          <w:b w:val="0"/>
          <w:lang w:val="sr-Cyrl-RS"/>
        </w:rPr>
      </w:pPr>
      <w:bookmarkStart w:id="189" w:name="_Ref472611451"/>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127</w:t>
      </w:r>
      <w:r w:rsidR="0092145E" w:rsidRPr="00CF77C1">
        <w:rPr>
          <w:b w:val="0"/>
          <w:lang w:val="sr-Cyrl-RS"/>
        </w:rPr>
        <w:fldChar w:fldCharType="end"/>
      </w:r>
      <w:bookmarkEnd w:id="189"/>
      <w:r w:rsidRPr="00CF77C1">
        <w:rPr>
          <w:b w:val="0"/>
          <w:lang w:val="sr-Cyrl-RS"/>
        </w:rPr>
        <w:t xml:space="preserve">: </w:t>
      </w:r>
      <w:r w:rsidR="0071278E" w:rsidRPr="00CF77C1">
        <w:rPr>
          <w:b w:val="0"/>
          <w:lang w:val="sr-Cyrl-RS"/>
        </w:rPr>
        <w:t>Показатељи два начина могуће</w:t>
      </w:r>
      <w:r w:rsidRPr="00CF77C1">
        <w:rPr>
          <w:b w:val="0"/>
          <w:lang w:val="sr-Cyrl-RS"/>
        </w:rPr>
        <w:t xml:space="preserve"> реализације имплементације члана 7. Директиве 2012/27/</w:t>
      </w:r>
      <w:r w:rsidR="0080515F">
        <w:rPr>
          <w:b w:val="0"/>
          <w:lang w:val="sr-Cyrl-RS"/>
        </w:rPr>
        <w:t>ЕУ</w:t>
      </w:r>
    </w:p>
    <w:tbl>
      <w:tblPr>
        <w:tblStyle w:val="TableGrid"/>
        <w:tblW w:w="9571" w:type="dxa"/>
        <w:tblLayout w:type="fixed"/>
        <w:tblLook w:val="04A0" w:firstRow="1" w:lastRow="0" w:firstColumn="1" w:lastColumn="0" w:noHBand="0" w:noVBand="1"/>
      </w:tblPr>
      <w:tblGrid>
        <w:gridCol w:w="4928"/>
        <w:gridCol w:w="763"/>
        <w:gridCol w:w="763"/>
        <w:gridCol w:w="763"/>
        <w:gridCol w:w="764"/>
        <w:gridCol w:w="1590"/>
      </w:tblGrid>
      <w:tr w:rsidR="00B90A1C" w:rsidRPr="00CF77C1" w14:paraId="705B5CE4" w14:textId="77777777" w:rsidTr="00331048">
        <w:tc>
          <w:tcPr>
            <w:tcW w:w="4928" w:type="dxa"/>
            <w:vAlign w:val="center"/>
          </w:tcPr>
          <w:p w14:paraId="40860CC9" w14:textId="77777777" w:rsidR="00B90A1C" w:rsidRPr="00CF77C1" w:rsidRDefault="00B90A1C" w:rsidP="00331048">
            <w:pPr>
              <w:framePr w:hSpace="180" w:wrap="around" w:vAnchor="text" w:hAnchor="text" w:y="1"/>
              <w:spacing w:before="20" w:after="20"/>
              <w:jc w:val="left"/>
              <w:rPr>
                <w:lang w:val="sr-Cyrl-RS"/>
              </w:rPr>
            </w:pPr>
            <w:r w:rsidRPr="00CF77C1">
              <w:rPr>
                <w:lang w:val="sr-Cyrl-RS"/>
              </w:rPr>
              <w:t>Година</w:t>
            </w:r>
          </w:p>
        </w:tc>
        <w:tc>
          <w:tcPr>
            <w:tcW w:w="763" w:type="dxa"/>
            <w:vAlign w:val="center"/>
          </w:tcPr>
          <w:p w14:paraId="71A560C5" w14:textId="7C8AB282" w:rsidR="00B90A1C" w:rsidRPr="00CF77C1" w:rsidRDefault="00B90A1C" w:rsidP="00331048">
            <w:pPr>
              <w:framePr w:hSpace="180" w:wrap="around" w:vAnchor="text" w:hAnchor="text" w:y="1"/>
              <w:spacing w:before="20" w:after="20"/>
              <w:jc w:val="center"/>
              <w:rPr>
                <w:lang w:val="sr-Cyrl-RS"/>
              </w:rPr>
            </w:pPr>
            <w:r w:rsidRPr="00CF77C1">
              <w:rPr>
                <w:lang w:val="sr-Cyrl-RS"/>
              </w:rPr>
              <w:t>2017</w:t>
            </w:r>
            <w:r w:rsidR="007A162B" w:rsidRPr="00CF77C1">
              <w:rPr>
                <w:lang w:val="sr-Cyrl-RS"/>
              </w:rPr>
              <w:t>.</w:t>
            </w:r>
          </w:p>
        </w:tc>
        <w:tc>
          <w:tcPr>
            <w:tcW w:w="763" w:type="dxa"/>
            <w:vAlign w:val="center"/>
          </w:tcPr>
          <w:p w14:paraId="707E5907" w14:textId="6FEF1132" w:rsidR="00B90A1C" w:rsidRPr="00CF77C1" w:rsidRDefault="00B90A1C" w:rsidP="00331048">
            <w:pPr>
              <w:framePr w:hSpace="180" w:wrap="around" w:vAnchor="text" w:hAnchor="text" w:y="1"/>
              <w:spacing w:before="20" w:after="20"/>
              <w:jc w:val="center"/>
              <w:rPr>
                <w:lang w:val="sr-Cyrl-RS"/>
              </w:rPr>
            </w:pPr>
            <w:r w:rsidRPr="00CF77C1">
              <w:rPr>
                <w:lang w:val="sr-Cyrl-RS"/>
              </w:rPr>
              <w:t>2018</w:t>
            </w:r>
            <w:r w:rsidR="007A162B" w:rsidRPr="00CF77C1">
              <w:rPr>
                <w:lang w:val="sr-Cyrl-RS"/>
              </w:rPr>
              <w:t>.</w:t>
            </w:r>
          </w:p>
        </w:tc>
        <w:tc>
          <w:tcPr>
            <w:tcW w:w="763" w:type="dxa"/>
            <w:vAlign w:val="center"/>
          </w:tcPr>
          <w:p w14:paraId="3A2A5E4D" w14:textId="4173A1A0" w:rsidR="00B90A1C" w:rsidRPr="00CF77C1" w:rsidRDefault="00B90A1C" w:rsidP="00331048">
            <w:pPr>
              <w:framePr w:hSpace="180" w:wrap="around" w:vAnchor="text" w:hAnchor="text" w:y="1"/>
              <w:spacing w:before="20" w:after="20"/>
              <w:jc w:val="center"/>
              <w:rPr>
                <w:lang w:val="sr-Cyrl-RS"/>
              </w:rPr>
            </w:pPr>
            <w:r w:rsidRPr="00CF77C1">
              <w:rPr>
                <w:lang w:val="sr-Cyrl-RS"/>
              </w:rPr>
              <w:t>2019</w:t>
            </w:r>
            <w:r w:rsidR="007A162B" w:rsidRPr="00CF77C1">
              <w:rPr>
                <w:lang w:val="sr-Cyrl-RS"/>
              </w:rPr>
              <w:t>.</w:t>
            </w:r>
          </w:p>
        </w:tc>
        <w:tc>
          <w:tcPr>
            <w:tcW w:w="764" w:type="dxa"/>
            <w:vAlign w:val="center"/>
          </w:tcPr>
          <w:p w14:paraId="06707416" w14:textId="0C0C57B6" w:rsidR="00B90A1C" w:rsidRPr="00CF77C1" w:rsidRDefault="00B90A1C" w:rsidP="00331048">
            <w:pPr>
              <w:framePr w:hSpace="180" w:wrap="around" w:vAnchor="text" w:hAnchor="text" w:y="1"/>
              <w:spacing w:before="20" w:after="20"/>
              <w:jc w:val="center"/>
              <w:rPr>
                <w:lang w:val="sr-Cyrl-RS"/>
              </w:rPr>
            </w:pPr>
            <w:r w:rsidRPr="00CF77C1">
              <w:rPr>
                <w:lang w:val="sr-Cyrl-RS"/>
              </w:rPr>
              <w:t>2020</w:t>
            </w:r>
            <w:r w:rsidR="007A162B" w:rsidRPr="00CF77C1">
              <w:rPr>
                <w:lang w:val="sr-Cyrl-RS"/>
              </w:rPr>
              <w:t>.</w:t>
            </w:r>
          </w:p>
        </w:tc>
        <w:tc>
          <w:tcPr>
            <w:tcW w:w="1590" w:type="dxa"/>
            <w:vAlign w:val="center"/>
          </w:tcPr>
          <w:p w14:paraId="232227BE" w14:textId="77777777" w:rsidR="00B90A1C" w:rsidRPr="00CF77C1" w:rsidRDefault="00FD1BC0" w:rsidP="00331048">
            <w:pPr>
              <w:framePr w:hSpace="180" w:wrap="around" w:vAnchor="text" w:hAnchor="text" w:y="1"/>
              <w:spacing w:before="20" w:after="20"/>
              <w:jc w:val="center"/>
              <w:rPr>
                <w:lang w:val="sr-Cyrl-RS"/>
              </w:rPr>
            </w:pPr>
            <w:r w:rsidRPr="00CF77C1">
              <w:rPr>
                <w:lang w:val="sr-Cyrl-RS"/>
              </w:rPr>
              <w:t>Кумулативно</w:t>
            </w:r>
          </w:p>
        </w:tc>
      </w:tr>
      <w:tr w:rsidR="00B90A1C" w:rsidRPr="00CF77C1" w14:paraId="11D1AE56" w14:textId="77777777" w:rsidTr="00331048">
        <w:tc>
          <w:tcPr>
            <w:tcW w:w="4928" w:type="dxa"/>
            <w:vAlign w:val="center"/>
          </w:tcPr>
          <w:p w14:paraId="7C0791DB" w14:textId="77777777" w:rsidR="00B90A1C" w:rsidRPr="00CF77C1" w:rsidRDefault="00B90A1C" w:rsidP="00331048">
            <w:pPr>
              <w:framePr w:hSpace="180" w:wrap="around" w:vAnchor="text" w:hAnchor="text" w:y="1"/>
              <w:spacing w:before="20" w:after="20"/>
              <w:jc w:val="left"/>
              <w:rPr>
                <w:lang w:val="sr-Cyrl-RS"/>
              </w:rPr>
            </w:pPr>
            <w:r w:rsidRPr="00CF77C1">
              <w:rPr>
                <w:lang w:val="sr-Cyrl-RS"/>
              </w:rPr>
              <w:t>Пројектована годишња уштеда у финалној потрошњи енергије изузимајући саобраћај (хиљаде тен)</w:t>
            </w:r>
            <w:r w:rsidR="00EB26B9" w:rsidRPr="00CF77C1">
              <w:rPr>
                <w:lang w:val="sr-Cyrl-RS"/>
              </w:rPr>
              <w:t xml:space="preserve"> ако реализација започне</w:t>
            </w:r>
            <w:r w:rsidR="005127FE" w:rsidRPr="00CF77C1">
              <w:rPr>
                <w:lang w:val="sr-Cyrl-RS"/>
              </w:rPr>
              <w:t xml:space="preserve"> </w:t>
            </w:r>
            <w:r w:rsidR="00EB26B9" w:rsidRPr="00CF77C1">
              <w:rPr>
                <w:lang w:val="sr-Cyrl-RS"/>
              </w:rPr>
              <w:t>2017. године</w:t>
            </w:r>
          </w:p>
        </w:tc>
        <w:tc>
          <w:tcPr>
            <w:tcW w:w="763" w:type="dxa"/>
            <w:vAlign w:val="center"/>
          </w:tcPr>
          <w:p w14:paraId="497388A7" w14:textId="77777777" w:rsidR="00B90A1C" w:rsidRPr="00CF77C1" w:rsidRDefault="00B90A1C" w:rsidP="00331048">
            <w:pPr>
              <w:framePr w:hSpace="180" w:wrap="around" w:vAnchor="text" w:hAnchor="text" w:y="1"/>
              <w:spacing w:before="20" w:after="20"/>
              <w:jc w:val="right"/>
              <w:rPr>
                <w:lang w:val="sr-Cyrl-RS"/>
              </w:rPr>
            </w:pPr>
            <w:r w:rsidRPr="00CF77C1">
              <w:rPr>
                <w:lang w:val="sr-Cyrl-RS"/>
              </w:rPr>
              <w:t>30,5</w:t>
            </w:r>
          </w:p>
        </w:tc>
        <w:tc>
          <w:tcPr>
            <w:tcW w:w="763" w:type="dxa"/>
            <w:vAlign w:val="center"/>
          </w:tcPr>
          <w:p w14:paraId="704E3F83" w14:textId="77777777" w:rsidR="00B90A1C" w:rsidRPr="00CF77C1" w:rsidRDefault="00B90A1C" w:rsidP="00331048">
            <w:pPr>
              <w:framePr w:hSpace="180" w:wrap="around" w:vAnchor="text" w:hAnchor="text" w:y="1"/>
              <w:spacing w:before="20" w:after="20"/>
              <w:jc w:val="right"/>
              <w:rPr>
                <w:lang w:val="sr-Cyrl-RS"/>
              </w:rPr>
            </w:pPr>
            <w:r w:rsidRPr="00CF77C1">
              <w:rPr>
                <w:lang w:val="sr-Cyrl-RS"/>
              </w:rPr>
              <w:t>61</w:t>
            </w:r>
          </w:p>
        </w:tc>
        <w:tc>
          <w:tcPr>
            <w:tcW w:w="763" w:type="dxa"/>
            <w:vAlign w:val="center"/>
          </w:tcPr>
          <w:p w14:paraId="04E7846C" w14:textId="77777777" w:rsidR="00B90A1C" w:rsidRPr="00CF77C1" w:rsidRDefault="00B90A1C" w:rsidP="00331048">
            <w:pPr>
              <w:framePr w:hSpace="180" w:wrap="around" w:vAnchor="text" w:hAnchor="text" w:y="1"/>
              <w:spacing w:before="20" w:after="20"/>
              <w:jc w:val="right"/>
              <w:rPr>
                <w:lang w:val="sr-Cyrl-RS"/>
              </w:rPr>
            </w:pPr>
            <w:r w:rsidRPr="00CF77C1">
              <w:rPr>
                <w:lang w:val="sr-Cyrl-RS"/>
              </w:rPr>
              <w:t>103,7</w:t>
            </w:r>
          </w:p>
        </w:tc>
        <w:tc>
          <w:tcPr>
            <w:tcW w:w="764" w:type="dxa"/>
            <w:vAlign w:val="center"/>
          </w:tcPr>
          <w:p w14:paraId="40CFD237" w14:textId="77777777" w:rsidR="00B90A1C" w:rsidRPr="00CF77C1" w:rsidRDefault="00B90A1C" w:rsidP="00331048">
            <w:pPr>
              <w:framePr w:hSpace="180" w:wrap="around" w:vAnchor="text" w:hAnchor="text" w:y="1"/>
              <w:spacing w:before="20" w:after="20"/>
              <w:jc w:val="right"/>
              <w:rPr>
                <w:lang w:val="sr-Cyrl-RS"/>
              </w:rPr>
            </w:pPr>
            <w:r w:rsidRPr="00CF77C1">
              <w:rPr>
                <w:lang w:val="sr-Cyrl-RS"/>
              </w:rPr>
              <w:t>146,4</w:t>
            </w:r>
          </w:p>
        </w:tc>
        <w:tc>
          <w:tcPr>
            <w:tcW w:w="1590" w:type="dxa"/>
            <w:vAlign w:val="center"/>
          </w:tcPr>
          <w:p w14:paraId="7FC05D8C" w14:textId="77777777" w:rsidR="00B90A1C" w:rsidRPr="00CF77C1" w:rsidRDefault="00477371" w:rsidP="00331048">
            <w:pPr>
              <w:framePr w:hSpace="180" w:wrap="around" w:vAnchor="text" w:hAnchor="text" w:y="1"/>
              <w:spacing w:before="20" w:after="20"/>
              <w:jc w:val="right"/>
              <w:rPr>
                <w:lang w:val="sr-Cyrl-RS"/>
              </w:rPr>
            </w:pPr>
            <w:r w:rsidRPr="00CF77C1">
              <w:rPr>
                <w:lang w:val="sr-Cyrl-RS"/>
              </w:rPr>
              <w:t>341,9</w:t>
            </w:r>
          </w:p>
        </w:tc>
      </w:tr>
      <w:tr w:rsidR="00B90A1C" w:rsidRPr="00CF77C1" w14:paraId="16F90F2D" w14:textId="77777777" w:rsidTr="00331048">
        <w:tc>
          <w:tcPr>
            <w:tcW w:w="4928" w:type="dxa"/>
            <w:vAlign w:val="center"/>
          </w:tcPr>
          <w:p w14:paraId="3419D111" w14:textId="77777777" w:rsidR="00B90A1C" w:rsidRPr="00CF77C1" w:rsidRDefault="00B90A1C" w:rsidP="00331048">
            <w:pPr>
              <w:framePr w:hSpace="180" w:wrap="around" w:vAnchor="text" w:hAnchor="text" w:y="1"/>
              <w:spacing w:before="20" w:after="20"/>
              <w:jc w:val="left"/>
              <w:rPr>
                <w:lang w:val="sr-Cyrl-RS"/>
              </w:rPr>
            </w:pPr>
            <w:r w:rsidRPr="00CF77C1">
              <w:rPr>
                <w:lang w:val="sr-Cyrl-RS"/>
              </w:rPr>
              <w:t>Ревидирана годишња уштеда у финалној потрошњи енергије изузимајући саобраћај</w:t>
            </w:r>
            <w:r w:rsidR="00FC1AD0" w:rsidRPr="00CF77C1">
              <w:rPr>
                <w:lang w:val="sr-Cyrl-RS"/>
              </w:rPr>
              <w:t xml:space="preserve"> уколико се реализација започне 2019. године</w:t>
            </w:r>
            <w:r w:rsidRPr="00CF77C1">
              <w:rPr>
                <w:lang w:val="sr-Cyrl-RS"/>
              </w:rPr>
              <w:t xml:space="preserve"> (хиљаде тен)</w:t>
            </w:r>
          </w:p>
        </w:tc>
        <w:tc>
          <w:tcPr>
            <w:tcW w:w="763" w:type="dxa"/>
            <w:vAlign w:val="center"/>
          </w:tcPr>
          <w:p w14:paraId="5D763903" w14:textId="77777777" w:rsidR="00B90A1C" w:rsidRPr="00CF77C1" w:rsidRDefault="00B90A1C" w:rsidP="00331048">
            <w:pPr>
              <w:framePr w:hSpace="180" w:wrap="around" w:vAnchor="text" w:hAnchor="text" w:y="1"/>
              <w:spacing w:before="20" w:after="20"/>
              <w:jc w:val="right"/>
              <w:rPr>
                <w:lang w:val="sr-Cyrl-RS"/>
              </w:rPr>
            </w:pPr>
          </w:p>
        </w:tc>
        <w:tc>
          <w:tcPr>
            <w:tcW w:w="763" w:type="dxa"/>
            <w:vAlign w:val="center"/>
          </w:tcPr>
          <w:p w14:paraId="1B761F01" w14:textId="77777777" w:rsidR="00B90A1C" w:rsidRPr="00CF77C1" w:rsidRDefault="00B90A1C" w:rsidP="00331048">
            <w:pPr>
              <w:framePr w:hSpace="180" w:wrap="around" w:vAnchor="text" w:hAnchor="text" w:y="1"/>
              <w:spacing w:before="20" w:after="20"/>
              <w:jc w:val="right"/>
              <w:rPr>
                <w:lang w:val="sr-Cyrl-RS"/>
              </w:rPr>
            </w:pPr>
          </w:p>
        </w:tc>
        <w:tc>
          <w:tcPr>
            <w:tcW w:w="763" w:type="dxa"/>
            <w:vAlign w:val="center"/>
          </w:tcPr>
          <w:p w14:paraId="1D9026F5" w14:textId="77777777" w:rsidR="00B90A1C" w:rsidRPr="00CF77C1" w:rsidRDefault="00477371" w:rsidP="00331048">
            <w:pPr>
              <w:framePr w:hSpace="180" w:wrap="around" w:vAnchor="text" w:hAnchor="text" w:y="1"/>
              <w:spacing w:before="20" w:after="20"/>
              <w:jc w:val="right"/>
              <w:rPr>
                <w:lang w:val="sr-Cyrl-RS"/>
              </w:rPr>
            </w:pPr>
            <w:r w:rsidRPr="00CF77C1">
              <w:rPr>
                <w:lang w:val="sr-Cyrl-RS"/>
              </w:rPr>
              <w:t>114</w:t>
            </w:r>
          </w:p>
        </w:tc>
        <w:tc>
          <w:tcPr>
            <w:tcW w:w="764" w:type="dxa"/>
            <w:vAlign w:val="center"/>
          </w:tcPr>
          <w:p w14:paraId="3E334452" w14:textId="77777777" w:rsidR="00B90A1C" w:rsidRPr="00CF77C1" w:rsidRDefault="00477371" w:rsidP="00331048">
            <w:pPr>
              <w:framePr w:hSpace="180" w:wrap="around" w:vAnchor="text" w:hAnchor="text" w:y="1"/>
              <w:spacing w:before="20" w:after="20"/>
              <w:jc w:val="right"/>
              <w:rPr>
                <w:lang w:val="sr-Cyrl-RS"/>
              </w:rPr>
            </w:pPr>
            <w:r w:rsidRPr="00CF77C1">
              <w:rPr>
                <w:lang w:val="sr-Cyrl-RS"/>
              </w:rPr>
              <w:t>227,9</w:t>
            </w:r>
          </w:p>
        </w:tc>
        <w:tc>
          <w:tcPr>
            <w:tcW w:w="1590" w:type="dxa"/>
            <w:vAlign w:val="center"/>
          </w:tcPr>
          <w:p w14:paraId="4FD0C3EC" w14:textId="77777777" w:rsidR="00B90A1C" w:rsidRPr="00CF77C1" w:rsidRDefault="00477371" w:rsidP="00331048">
            <w:pPr>
              <w:framePr w:hSpace="180" w:wrap="around" w:vAnchor="text" w:hAnchor="text" w:y="1"/>
              <w:spacing w:before="20" w:after="20"/>
              <w:jc w:val="right"/>
              <w:rPr>
                <w:lang w:val="sr-Cyrl-RS"/>
              </w:rPr>
            </w:pPr>
            <w:r w:rsidRPr="00CF77C1">
              <w:rPr>
                <w:lang w:val="sr-Cyrl-RS"/>
              </w:rPr>
              <w:t>341,9</w:t>
            </w:r>
          </w:p>
        </w:tc>
      </w:tr>
    </w:tbl>
    <w:p w14:paraId="6BC7EE0A" w14:textId="77777777" w:rsidR="00477371" w:rsidRPr="00CF77C1" w:rsidRDefault="00477371" w:rsidP="00D22907">
      <w:pPr>
        <w:ind w:firstLine="720"/>
        <w:rPr>
          <w:lang w:val="sr-Cyrl-RS"/>
        </w:rPr>
      </w:pPr>
      <w:r w:rsidRPr="00CF77C1">
        <w:rPr>
          <w:lang w:val="sr-Cyrl-RS"/>
        </w:rPr>
        <w:t>Напомена: Кумулативна уштеда коју Република Србија треба да постигне</w:t>
      </w:r>
      <w:r w:rsidR="00FC1AD0" w:rsidRPr="00CF77C1">
        <w:rPr>
          <w:lang w:val="sr-Cyrl-RS"/>
        </w:rPr>
        <w:t>,</w:t>
      </w:r>
      <w:r w:rsidRPr="00CF77C1">
        <w:rPr>
          <w:lang w:val="sr-Cyrl-RS"/>
        </w:rPr>
        <w:t xml:space="preserve"> имајући у виду могућност умањења од 25% уколико се другим мерама већ постижу уштеде у сектору трансформације, дистрибуције и преноса, укључујући ефикасну инфраструктуру даљинског грејања и хлађења, као и ако се у обзир узму мере које се већ спроводе почев од 2008. године</w:t>
      </w:r>
      <w:r w:rsidR="00FC1AD0" w:rsidRPr="00CF77C1">
        <w:rPr>
          <w:lang w:val="sr-Cyrl-RS"/>
        </w:rPr>
        <w:t>,</w:t>
      </w:r>
      <w:r w:rsidRPr="00CF77C1">
        <w:rPr>
          <w:lang w:val="sr-Cyrl-RS"/>
        </w:rPr>
        <w:t xml:space="preserve"> нижа је од вредности приказане у табели и износи 320,6 хиљада тен.</w:t>
      </w:r>
    </w:p>
    <w:p w14:paraId="187624CB" w14:textId="074BDB04" w:rsidR="009B2E19" w:rsidRPr="00CF77C1" w:rsidRDefault="009B2E19" w:rsidP="00D22907">
      <w:pPr>
        <w:ind w:firstLine="720"/>
        <w:rPr>
          <w:lang w:val="sr-Cyrl-RS"/>
        </w:rPr>
      </w:pPr>
      <w:r w:rsidRPr="00CF77C1">
        <w:rPr>
          <w:lang w:val="sr-Cyrl-RS"/>
        </w:rPr>
        <w:t>Како би се подржала производња енергије из постројења за комбиновану производњу топлотне и електричне енергије и повећала енергетска ефикасност у секторима производње енергије, израђена је студија о потенцијалима за имплементацију постројења за комбиновану производњу топлотне и електричне енергије (CHP) кроз пројекат финансиран из IPA „Промоција обновљивих извора енергије и енергетске ефикасности - део Б: Промоција производње из CHP и енергетске ефикасности” у 2012. години. Министарство рударства и енергетике је поднело захтев за помоћ од Регионалног програма за енергетску ефикасност ЕБРД за имплементацију члана 14. Директиве о енергетској ефикасности (2012/27/</w:t>
      </w:r>
      <w:r w:rsidR="007E415C">
        <w:rPr>
          <w:lang w:val="sr-Cyrl-RS"/>
        </w:rPr>
        <w:t>ЕУ</w:t>
      </w:r>
      <w:r w:rsidRPr="00CF77C1">
        <w:rPr>
          <w:lang w:val="sr-Cyrl-RS"/>
        </w:rPr>
        <w:t>), односно анализе процене за потенцијалну примену високоефикасних постројења за комбиновану производњу топлотне и електричне енергије и ефикасних система даљинског грејања и хлађења.</w:t>
      </w:r>
    </w:p>
    <w:p w14:paraId="7003D46A" w14:textId="2EC0262A" w:rsidR="009970D5" w:rsidRPr="00CF77C1" w:rsidRDefault="009970D5" w:rsidP="00D22907">
      <w:pPr>
        <w:ind w:firstLine="720"/>
        <w:rPr>
          <w:lang w:val="sr-Cyrl-RS"/>
        </w:rPr>
      </w:pPr>
      <w:r w:rsidRPr="00CF77C1">
        <w:rPr>
          <w:lang w:val="sr-Cyrl-RS"/>
        </w:rPr>
        <w:t xml:space="preserve">Један од алата који стоји на располагању за </w:t>
      </w:r>
      <w:r w:rsidR="000F0F55" w:rsidRPr="00CF77C1">
        <w:rPr>
          <w:lang w:val="sr-Cyrl-RS"/>
        </w:rPr>
        <w:t xml:space="preserve">подстицање реализације </w:t>
      </w:r>
      <w:r w:rsidRPr="00CF77C1">
        <w:rPr>
          <w:lang w:val="sr-Cyrl-RS"/>
        </w:rPr>
        <w:t>мер</w:t>
      </w:r>
      <w:r w:rsidR="000F0F55" w:rsidRPr="00CF77C1">
        <w:rPr>
          <w:lang w:val="sr-Cyrl-RS"/>
        </w:rPr>
        <w:t>а</w:t>
      </w:r>
      <w:r w:rsidRPr="00CF77C1">
        <w:rPr>
          <w:lang w:val="sr-Cyrl-RS"/>
        </w:rPr>
        <w:t xml:space="preserve"> унапређења енергетске ефикасности је Буџетски фонд. У 2016. години </w:t>
      </w:r>
      <w:r w:rsidR="000F0F55" w:rsidRPr="00CF77C1">
        <w:rPr>
          <w:lang w:val="sr-Cyrl-RS"/>
        </w:rPr>
        <w:t xml:space="preserve">у оквиру Буџетског фонда </w:t>
      </w:r>
      <w:r w:rsidRPr="00CF77C1">
        <w:rPr>
          <w:lang w:val="sr-Cyrl-RS"/>
        </w:rPr>
        <w:t xml:space="preserve">опредељено је 160 милиона РСД за реализацију пројеката енергетске ефикасности у јединицама локалне самоуправе. Ова средства су мала и недовољна за реализацију свих планираних </w:t>
      </w:r>
      <w:r w:rsidR="00B12A6E" w:rsidRPr="00CF77C1">
        <w:rPr>
          <w:lang w:val="sr-Cyrl-RS"/>
        </w:rPr>
        <w:t>п</w:t>
      </w:r>
      <w:r w:rsidRPr="00CF77C1">
        <w:rPr>
          <w:lang w:val="sr-Cyrl-RS"/>
        </w:rPr>
        <w:t xml:space="preserve">ројеката енергетске ефикасности. </w:t>
      </w:r>
      <w:r w:rsidR="007E415C">
        <w:rPr>
          <w:lang w:val="sr-Cyrl-RS"/>
        </w:rPr>
        <w:t>Тако су на пример само за сп</w:t>
      </w:r>
      <w:r w:rsidR="00873D82" w:rsidRPr="00CF77C1">
        <w:rPr>
          <w:lang w:val="sr-Cyrl-RS"/>
        </w:rPr>
        <w:t>ровођење мере Унапређење енергетске ефикасности зграда у јавном и комерцијалном сектору</w:t>
      </w:r>
      <w:r w:rsidR="00A735D5" w:rsidRPr="00CF77C1">
        <w:rPr>
          <w:lang w:val="sr-Cyrl-RS"/>
        </w:rPr>
        <w:t xml:space="preserve"> </w:t>
      </w:r>
      <w:r w:rsidR="00873D82" w:rsidRPr="00CF77C1">
        <w:rPr>
          <w:lang w:val="sr-Cyrl-RS"/>
        </w:rPr>
        <w:t xml:space="preserve">(мера ЈК1 предвиђена за реализацију у оквиру 3. АПЕЕ) потребна средства процењена на 58 милиона </w:t>
      </w:r>
      <w:r w:rsidR="007A162B" w:rsidRPr="00CF77C1">
        <w:rPr>
          <w:lang w:val="sr-Cyrl-RS"/>
        </w:rPr>
        <w:t>€</w:t>
      </w:r>
      <w:r w:rsidR="00873D82" w:rsidRPr="00CF77C1">
        <w:rPr>
          <w:lang w:val="sr-Cyrl-RS"/>
        </w:rPr>
        <w:t xml:space="preserve"> годишње. </w:t>
      </w:r>
      <w:r w:rsidRPr="00CF77C1">
        <w:rPr>
          <w:lang w:val="sr-Cyrl-RS"/>
        </w:rPr>
        <w:t xml:space="preserve">Један од </w:t>
      </w:r>
      <w:r w:rsidR="0071278E" w:rsidRPr="00CF77C1">
        <w:rPr>
          <w:lang w:val="sr-Cyrl-RS"/>
        </w:rPr>
        <w:t>могућих</w:t>
      </w:r>
      <w:r w:rsidR="000F0F55" w:rsidRPr="00CF77C1">
        <w:rPr>
          <w:lang w:val="sr-Cyrl-RS"/>
        </w:rPr>
        <w:t xml:space="preserve"> </w:t>
      </w:r>
      <w:r w:rsidRPr="00CF77C1">
        <w:rPr>
          <w:lang w:val="sr-Cyrl-RS"/>
        </w:rPr>
        <w:t xml:space="preserve">механизама </w:t>
      </w:r>
      <w:r w:rsidR="000F0F55" w:rsidRPr="00CF77C1">
        <w:rPr>
          <w:lang w:val="sr-Cyrl-RS"/>
        </w:rPr>
        <w:t xml:space="preserve">за повећање прихода </w:t>
      </w:r>
      <w:r w:rsidRPr="00CF77C1">
        <w:rPr>
          <w:lang w:val="sr-Cyrl-RS"/>
        </w:rPr>
        <w:t>Фонда је увођење накнаде за енергију и енергенте</w:t>
      </w:r>
      <w:r w:rsidR="00873D82" w:rsidRPr="00CF77C1">
        <w:rPr>
          <w:lang w:val="sr-Cyrl-RS"/>
        </w:rPr>
        <w:t>. Тако би увођењем накнада на електричну енергију и енергенте (нафтне деривате и природни гас) у висини од 0,015 РСД/kWh у почетној фази, могла да се обезбеде средства од око 9 милиона € годишње.</w:t>
      </w:r>
      <w:r w:rsidRPr="00CF77C1">
        <w:rPr>
          <w:lang w:val="sr-Cyrl-RS"/>
        </w:rPr>
        <w:t xml:space="preserve"> Ов</w:t>
      </w:r>
      <w:r w:rsidR="00E50EB6" w:rsidRPr="00CF77C1">
        <w:rPr>
          <w:lang w:val="sr-Cyrl-RS"/>
        </w:rPr>
        <w:t>у</w:t>
      </w:r>
      <w:r w:rsidRPr="00CF77C1">
        <w:rPr>
          <w:lang w:val="sr-Cyrl-RS"/>
        </w:rPr>
        <w:t xml:space="preserve"> активност треба </w:t>
      </w:r>
      <w:r w:rsidR="00E50EB6" w:rsidRPr="00CF77C1">
        <w:rPr>
          <w:lang w:val="sr-Cyrl-RS"/>
        </w:rPr>
        <w:t>спровести што је раније могуће</w:t>
      </w:r>
      <w:r w:rsidR="0071278E" w:rsidRPr="00CF77C1">
        <w:rPr>
          <w:lang w:val="sr-Cyrl-RS"/>
        </w:rPr>
        <w:t>, по могућству</w:t>
      </w:r>
      <w:r w:rsidR="00E50EB6" w:rsidRPr="00CF77C1">
        <w:rPr>
          <w:lang w:val="sr-Cyrl-RS"/>
        </w:rPr>
        <w:t xml:space="preserve"> </w:t>
      </w:r>
      <w:r w:rsidR="0071278E" w:rsidRPr="00CF77C1">
        <w:rPr>
          <w:lang w:val="sr-Cyrl-RS"/>
        </w:rPr>
        <w:t>већ од</w:t>
      </w:r>
      <w:r w:rsidRPr="00CF77C1">
        <w:rPr>
          <w:lang w:val="sr-Cyrl-RS"/>
        </w:rPr>
        <w:t xml:space="preserve"> 2017.</w:t>
      </w:r>
      <w:r w:rsidR="00F1757E" w:rsidRPr="00CF77C1">
        <w:rPr>
          <w:lang w:val="sr-Cyrl-RS"/>
        </w:rPr>
        <w:t xml:space="preserve"> </w:t>
      </w:r>
      <w:r w:rsidRPr="00CF77C1">
        <w:rPr>
          <w:lang w:val="sr-Cyrl-RS"/>
        </w:rPr>
        <w:t>годин</w:t>
      </w:r>
      <w:r w:rsidR="0071278E" w:rsidRPr="00CF77C1">
        <w:rPr>
          <w:lang w:val="sr-Cyrl-RS"/>
        </w:rPr>
        <w:t>е,</w:t>
      </w:r>
      <w:r w:rsidRPr="00CF77C1">
        <w:rPr>
          <w:lang w:val="sr-Cyrl-RS"/>
        </w:rPr>
        <w:t xml:space="preserve"> </w:t>
      </w:r>
      <w:r w:rsidR="0071278E" w:rsidRPr="00CF77C1">
        <w:rPr>
          <w:lang w:val="sr-Cyrl-RS"/>
        </w:rPr>
        <w:t>ради остварења уштеда прописаних чланом 7. Директиве 2012/27/</w:t>
      </w:r>
      <w:r w:rsidR="007E415C">
        <w:rPr>
          <w:lang w:val="sr-Cyrl-RS"/>
        </w:rPr>
        <w:t xml:space="preserve">ЕУ </w:t>
      </w:r>
      <w:r w:rsidR="0071278E" w:rsidRPr="00CF77C1">
        <w:rPr>
          <w:lang w:val="sr-Cyrl-RS"/>
        </w:rPr>
        <w:t>уз најниже инвестиције</w:t>
      </w:r>
      <w:r w:rsidRPr="00CF77C1">
        <w:rPr>
          <w:lang w:val="sr-Cyrl-RS"/>
        </w:rPr>
        <w:t xml:space="preserve">. Поред ових средстава </w:t>
      </w:r>
      <w:r w:rsidR="007A162B" w:rsidRPr="00CF77C1">
        <w:rPr>
          <w:lang w:val="sr-Cyrl-RS"/>
        </w:rPr>
        <w:t xml:space="preserve">Буџетски </w:t>
      </w:r>
      <w:r w:rsidRPr="00CF77C1">
        <w:rPr>
          <w:lang w:val="sr-Cyrl-RS"/>
        </w:rPr>
        <w:t xml:space="preserve">фонд прикупља и средства из донација (организације и фондови) које даље расподељује корисницима. </w:t>
      </w:r>
      <w:r w:rsidR="00164A2B" w:rsidRPr="00CF77C1">
        <w:rPr>
          <w:lang w:val="sr-Cyrl-RS"/>
        </w:rPr>
        <w:t xml:space="preserve">Због ограниченог буџета, </w:t>
      </w:r>
      <w:r w:rsidRPr="00CF77C1">
        <w:rPr>
          <w:lang w:val="sr-Cyrl-RS"/>
        </w:rPr>
        <w:t xml:space="preserve">Буџетски фонд </w:t>
      </w:r>
      <w:r w:rsidR="00157DA1" w:rsidRPr="00CF77C1">
        <w:rPr>
          <w:lang w:val="sr-Cyrl-RS"/>
        </w:rPr>
        <w:t xml:space="preserve">је у претходном периоду </w:t>
      </w:r>
      <w:r w:rsidRPr="00CF77C1">
        <w:rPr>
          <w:lang w:val="sr-Cyrl-RS"/>
        </w:rPr>
        <w:t xml:space="preserve">углавном </w:t>
      </w:r>
      <w:r w:rsidR="00157DA1" w:rsidRPr="00CF77C1">
        <w:rPr>
          <w:lang w:val="sr-Cyrl-RS"/>
        </w:rPr>
        <w:t>опредељивао</w:t>
      </w:r>
      <w:r w:rsidRPr="00CF77C1">
        <w:rPr>
          <w:lang w:val="sr-Cyrl-RS"/>
        </w:rPr>
        <w:t xml:space="preserve"> средства за пројекте који се тичу јединица локалне самоуправе. Циклус пројеката за јединице локалне самоуправе временски је захтеван, будући да претпоставља доношење програма финансирања за дату годину, расписивање јавног позива, селектовање пројеката, спровођење процедуре јавне набавке (у неким случајевима јединице локалне самоуправе морају извршити измену </w:t>
      </w:r>
      <w:r w:rsidR="00164A2B" w:rsidRPr="00CF77C1">
        <w:rPr>
          <w:lang w:val="sr-Cyrl-RS"/>
        </w:rPr>
        <w:t xml:space="preserve">буџета и </w:t>
      </w:r>
      <w:r w:rsidRPr="00CF77C1">
        <w:rPr>
          <w:lang w:val="sr-Cyrl-RS"/>
        </w:rPr>
        <w:t>плана јавних набавки за текућу годину) и спроведу дефинисане радове. Зб</w:t>
      </w:r>
      <w:r w:rsidR="00F1757E" w:rsidRPr="00CF77C1">
        <w:rPr>
          <w:lang w:val="sr-Cyrl-RS"/>
        </w:rPr>
        <w:t>о</w:t>
      </w:r>
      <w:r w:rsidRPr="00CF77C1">
        <w:rPr>
          <w:lang w:val="sr-Cyrl-RS"/>
        </w:rPr>
        <w:t>г свега наведеног, неопходно је да Буџетски фонд има средства да у свакој години спроведе јавни нови позив, као и да финансира реализацију одобрених и уговорених пројеката из претходне.</w:t>
      </w:r>
      <w:r w:rsidR="00164A2B" w:rsidRPr="00CF77C1">
        <w:rPr>
          <w:lang w:val="sr-Cyrl-RS"/>
        </w:rPr>
        <w:t xml:space="preserve"> </w:t>
      </w:r>
      <w:r w:rsidR="00157DA1" w:rsidRPr="00CF77C1">
        <w:rPr>
          <w:lang w:val="sr-Cyrl-RS"/>
        </w:rPr>
        <w:t xml:space="preserve">Поред повећања обима финансирања пројекта у јавном сектору, повећање средстава </w:t>
      </w:r>
      <w:r w:rsidR="000E0D41">
        <w:rPr>
          <w:lang w:val="sr-Cyrl-RS"/>
        </w:rPr>
        <w:t xml:space="preserve">Буџетског </w:t>
      </w:r>
      <w:r w:rsidR="000E0D41" w:rsidRPr="00CF77C1">
        <w:rPr>
          <w:lang w:val="sr-Cyrl-RS"/>
        </w:rPr>
        <w:t xml:space="preserve">фонда </w:t>
      </w:r>
      <w:r w:rsidR="00157DA1" w:rsidRPr="00CF77C1">
        <w:rPr>
          <w:lang w:val="sr-Cyrl-RS"/>
        </w:rPr>
        <w:t xml:space="preserve">је потребно и да би се у </w:t>
      </w:r>
      <w:r w:rsidR="00164A2B" w:rsidRPr="00CF77C1">
        <w:rPr>
          <w:lang w:val="sr-Cyrl-RS"/>
        </w:rPr>
        <w:t xml:space="preserve">наредном периоду </w:t>
      </w:r>
      <w:r w:rsidR="00157DA1" w:rsidRPr="00CF77C1">
        <w:rPr>
          <w:lang w:val="sr-Cyrl-RS"/>
        </w:rPr>
        <w:t>омогућила</w:t>
      </w:r>
      <w:r w:rsidR="00164A2B" w:rsidRPr="00CF77C1">
        <w:rPr>
          <w:lang w:val="sr-Cyrl-RS"/>
        </w:rPr>
        <w:t xml:space="preserve"> реализација пројеката енергетске ефикасности у другим секторима потрошње енергије</w:t>
      </w:r>
      <w:r w:rsidR="00157DA1" w:rsidRPr="00CF77C1">
        <w:rPr>
          <w:lang w:val="sr-Cyrl-RS"/>
        </w:rPr>
        <w:t>.</w:t>
      </w:r>
      <w:r w:rsidR="00E50EB6" w:rsidRPr="00CF77C1">
        <w:rPr>
          <w:lang w:val="sr-Cyrl-RS"/>
        </w:rPr>
        <w:t xml:space="preserve"> </w:t>
      </w:r>
      <w:r w:rsidR="00157DA1" w:rsidRPr="00CF77C1">
        <w:rPr>
          <w:lang w:val="sr-Cyrl-RS"/>
        </w:rPr>
        <w:t>П</w:t>
      </w:r>
      <w:r w:rsidR="00E50EB6" w:rsidRPr="00CF77C1">
        <w:rPr>
          <w:lang w:val="sr-Cyrl-RS"/>
        </w:rPr>
        <w:t xml:space="preserve">отребно је и ојачати капацитете </w:t>
      </w:r>
      <w:r w:rsidR="007A162B" w:rsidRPr="00CF77C1">
        <w:rPr>
          <w:lang w:val="sr-Cyrl-RS"/>
        </w:rPr>
        <w:t xml:space="preserve">министарства надлежног за послове рударства и енергетике </w:t>
      </w:r>
      <w:r w:rsidR="00E50EB6" w:rsidRPr="00CF77C1">
        <w:rPr>
          <w:lang w:val="sr-Cyrl-RS"/>
        </w:rPr>
        <w:t>да спроводи активности Буџетског фонда, с обзиром да овај фонд представља само буџетску линију</w:t>
      </w:r>
      <w:r w:rsidR="00157DA1" w:rsidRPr="00CF77C1">
        <w:rPr>
          <w:lang w:val="sr-Cyrl-RS"/>
        </w:rPr>
        <w:t>,</w:t>
      </w:r>
      <w:r w:rsidR="00E50EB6" w:rsidRPr="00CF77C1">
        <w:rPr>
          <w:lang w:val="sr-Cyrl-RS"/>
        </w:rPr>
        <w:t xml:space="preserve"> а да послове врше запослени </w:t>
      </w:r>
      <w:r w:rsidR="007A162B" w:rsidRPr="00CF77C1">
        <w:rPr>
          <w:lang w:val="sr-Cyrl-RS"/>
        </w:rPr>
        <w:t>министарства надлежног за послове рударства и енергетике</w:t>
      </w:r>
      <w:r w:rsidR="00B12A6E" w:rsidRPr="00CF77C1">
        <w:rPr>
          <w:lang w:val="sr-Cyrl-RS"/>
        </w:rPr>
        <w:t>.</w:t>
      </w:r>
    </w:p>
    <w:p w14:paraId="5DF8DE2B" w14:textId="4846FC05" w:rsidR="009970D5" w:rsidRPr="00CF77C1" w:rsidRDefault="009970D5" w:rsidP="00D22907">
      <w:pPr>
        <w:ind w:firstLine="720"/>
        <w:rPr>
          <w:lang w:val="sr-Cyrl-RS"/>
        </w:rPr>
      </w:pPr>
      <w:r w:rsidRPr="00CF77C1">
        <w:rPr>
          <w:lang w:val="sr-Cyrl-RS"/>
        </w:rPr>
        <w:t>Коришћење средстава из Буџетског фонда дефинисано је Правилником о условима за расподелу и коришћење средстава Буџетског фонда за унапређење енергетске ефикасности Републике Србије и критеријума о изузимању од вршења енергетског прегледа („Службени гласник РС</w:t>
      </w:r>
      <w:r w:rsidR="00AD5740" w:rsidRPr="00CF77C1">
        <w:rPr>
          <w:lang w:val="sr-Cyrl-RS"/>
        </w:rPr>
        <w:t>”</w:t>
      </w:r>
      <w:r w:rsidR="00541846">
        <w:rPr>
          <w:lang w:val="sr-Latn-CS"/>
        </w:rPr>
        <w:t>,</w:t>
      </w:r>
      <w:r w:rsidR="00B40BB1">
        <w:rPr>
          <w:lang w:val="sr-Cyrl-RS"/>
        </w:rPr>
        <w:t xml:space="preserve"> број</w:t>
      </w:r>
      <w:r w:rsidRPr="00CF77C1">
        <w:rPr>
          <w:lang w:val="sr-Cyrl-RS"/>
        </w:rPr>
        <w:t xml:space="preserve"> 15/16). Овим актом дефинисано је ко може да буде корисник средстава Буџетског фонда </w:t>
      </w:r>
      <w:r w:rsidR="006D7DD0" w:rsidRPr="00CF77C1">
        <w:rPr>
          <w:lang w:val="sr-Cyrl-RS"/>
        </w:rPr>
        <w:t>-</w:t>
      </w:r>
      <w:r w:rsidRPr="00CF77C1">
        <w:rPr>
          <w:lang w:val="sr-Cyrl-RS"/>
        </w:rPr>
        <w:t xml:space="preserve"> правна и физичка лица са седиштем, односно пребивалиштем на територији Републике Србије, а посебно се истичу корисници: (1) Јединице </w:t>
      </w:r>
      <w:r w:rsidR="00F1757E" w:rsidRPr="00CF77C1">
        <w:rPr>
          <w:lang w:val="sr-Cyrl-RS"/>
        </w:rPr>
        <w:t>л</w:t>
      </w:r>
      <w:r w:rsidRPr="00CF77C1">
        <w:rPr>
          <w:lang w:val="sr-Cyrl-RS"/>
        </w:rPr>
        <w:t>окалне самоуправе које се налазе у девастираним подручјима у складу са законом којим се уређује регионални развој, као и остале јединице локалне самоуправе и (2) сектор домаћинстава (</w:t>
      </w:r>
      <w:r w:rsidR="00935076" w:rsidRPr="00CF77C1">
        <w:rPr>
          <w:lang w:val="sr-Cyrl-RS"/>
        </w:rPr>
        <w:t>физичка лица, скупштина зграде и савет зграде</w:t>
      </w:r>
      <w:r w:rsidRPr="00CF77C1">
        <w:rPr>
          <w:lang w:val="sr-Cyrl-RS"/>
        </w:rPr>
        <w:t xml:space="preserve">). Све процедуре за доделу средстава су прецизно разрађене у </w:t>
      </w:r>
      <w:r w:rsidR="00942E03" w:rsidRPr="00CF77C1">
        <w:rPr>
          <w:lang w:val="sr-Cyrl-RS"/>
        </w:rPr>
        <w:t xml:space="preserve">поменутом </w:t>
      </w:r>
      <w:r w:rsidR="00C0247C" w:rsidRPr="00CF77C1">
        <w:rPr>
          <w:lang w:val="sr-Cyrl-RS"/>
        </w:rPr>
        <w:t>правилнику</w:t>
      </w:r>
      <w:r w:rsidR="00942E03" w:rsidRPr="00CF77C1">
        <w:rPr>
          <w:lang w:val="sr-Cyrl-RS"/>
        </w:rPr>
        <w:t>, при чему треба нагласити следеће:</w:t>
      </w:r>
    </w:p>
    <w:p w14:paraId="2F6FF49C" w14:textId="49E5E77F" w:rsidR="00942E03" w:rsidRPr="00CF77C1" w:rsidRDefault="00942E03" w:rsidP="00D22907">
      <w:pPr>
        <w:pStyle w:val="ListParagraph"/>
        <w:numPr>
          <w:ilvl w:val="0"/>
          <w:numId w:val="46"/>
        </w:numPr>
        <w:spacing w:before="60" w:after="60"/>
        <w:ind w:left="0" w:firstLine="720"/>
        <w:contextualSpacing w:val="0"/>
        <w:rPr>
          <w:lang w:val="sr-Cyrl-RS"/>
        </w:rPr>
      </w:pPr>
      <w:r w:rsidRPr="00CF77C1">
        <w:rPr>
          <w:lang w:val="sr-Cyrl-RS"/>
        </w:rPr>
        <w:t xml:space="preserve">обезбеђено је </w:t>
      </w:r>
      <w:r w:rsidR="007A162B" w:rsidRPr="00CF77C1">
        <w:rPr>
          <w:lang w:val="sr-Cyrl-RS"/>
        </w:rPr>
        <w:t xml:space="preserve">равномерно коришћење средстава Буџетског фонда </w:t>
      </w:r>
      <w:r w:rsidRPr="00CF77C1">
        <w:rPr>
          <w:lang w:val="sr-Cyrl-RS"/>
        </w:rPr>
        <w:t>онда од стране јединица локалне самоуправе кроз ограничење да се може финансирати само један пројекат једне једи</w:t>
      </w:r>
      <w:r w:rsidR="00D11E10" w:rsidRPr="00CF77C1">
        <w:rPr>
          <w:lang w:val="sr-Cyrl-RS"/>
        </w:rPr>
        <w:t>нице локалне самоуправе годишње,</w:t>
      </w:r>
    </w:p>
    <w:p w14:paraId="7507C81B" w14:textId="77777777" w:rsidR="00942E03" w:rsidRPr="00CF77C1" w:rsidRDefault="00942E03" w:rsidP="00D22907">
      <w:pPr>
        <w:pStyle w:val="ListParagraph"/>
        <w:numPr>
          <w:ilvl w:val="0"/>
          <w:numId w:val="46"/>
        </w:numPr>
        <w:spacing w:before="60" w:after="60"/>
        <w:ind w:left="0" w:firstLine="720"/>
        <w:contextualSpacing w:val="0"/>
        <w:rPr>
          <w:lang w:val="sr-Cyrl-RS"/>
        </w:rPr>
      </w:pPr>
      <w:r w:rsidRPr="00CF77C1">
        <w:rPr>
          <w:lang w:val="sr-Cyrl-RS"/>
        </w:rPr>
        <w:t>обезбеђени су максимални ефекти коришћења средстава кроз примену дефинисаних критеријума за избор пројекта (максимизација односа уштеда и уложених средстава, удео сопствених средстава, период повраћаја инвестиције),</w:t>
      </w:r>
    </w:p>
    <w:p w14:paraId="46949FEE" w14:textId="77777777" w:rsidR="00942E03" w:rsidRPr="00CF77C1" w:rsidRDefault="00942E03" w:rsidP="00D22907">
      <w:pPr>
        <w:pStyle w:val="ListParagraph"/>
        <w:numPr>
          <w:ilvl w:val="0"/>
          <w:numId w:val="46"/>
        </w:numPr>
        <w:spacing w:before="60" w:after="60"/>
        <w:ind w:left="0" w:firstLine="720"/>
        <w:contextualSpacing w:val="0"/>
        <w:rPr>
          <w:lang w:val="sr-Cyrl-RS"/>
        </w:rPr>
      </w:pPr>
      <w:r w:rsidRPr="00CF77C1">
        <w:rPr>
          <w:lang w:val="sr-Cyrl-RS"/>
        </w:rPr>
        <w:t>дефинисане су мере енергетске ефикасности које су предмет финансирања, а које су у складу са мерама из 3. АПЕЕ.</w:t>
      </w:r>
    </w:p>
    <w:p w14:paraId="4EC84B7F" w14:textId="4514E6A3" w:rsidR="00B90A1C" w:rsidRPr="00CF77C1" w:rsidRDefault="00873D82" w:rsidP="00D22907">
      <w:pPr>
        <w:ind w:firstLine="720"/>
        <w:rPr>
          <w:lang w:val="sr-Cyrl-RS"/>
        </w:rPr>
      </w:pPr>
      <w:r w:rsidRPr="00CF77C1">
        <w:rPr>
          <w:lang w:val="sr-Cyrl-RS"/>
        </w:rPr>
        <w:t xml:space="preserve">Имајући у виду да је за реализацију циљева у области енергетске ефикасности до 2023. године потребно обезбедити значајно већа средства за рад </w:t>
      </w:r>
      <w:r w:rsidR="007A162B" w:rsidRPr="00CF77C1">
        <w:rPr>
          <w:lang w:val="sr-Cyrl-RS"/>
        </w:rPr>
        <w:t>Буџетског фонда</w:t>
      </w:r>
      <w:r w:rsidRPr="00CF77C1">
        <w:rPr>
          <w:lang w:val="sr-Cyrl-RS"/>
        </w:rPr>
        <w:t>, неопходно је у периоду 2017-2019.</w:t>
      </w:r>
      <w:r w:rsidR="00DA427C">
        <w:rPr>
          <w:lang w:val="sr-Cyrl-RS"/>
        </w:rPr>
        <w:t xml:space="preserve"> године</w:t>
      </w:r>
      <w:r w:rsidRPr="00CF77C1">
        <w:rPr>
          <w:lang w:val="sr-Cyrl-RS"/>
        </w:rPr>
        <w:t xml:space="preserve"> разрадити и друге механизме финансирања </w:t>
      </w:r>
      <w:r w:rsidR="007A162B" w:rsidRPr="00CF77C1">
        <w:rPr>
          <w:lang w:val="sr-Cyrl-RS"/>
        </w:rPr>
        <w:t>Буџетског фонда</w:t>
      </w:r>
      <w:r w:rsidRPr="00CF77C1">
        <w:rPr>
          <w:lang w:val="sr-Cyrl-RS"/>
        </w:rPr>
        <w:t xml:space="preserve">, као што је на пример увођење накнаде на енергију и енергенте, а који су могући у складу са правним статусом </w:t>
      </w:r>
      <w:r w:rsidR="007A162B" w:rsidRPr="00CF77C1">
        <w:rPr>
          <w:lang w:val="sr-Cyrl-RS"/>
        </w:rPr>
        <w:t>Буџетског фонда</w:t>
      </w:r>
      <w:r w:rsidRPr="00CF77C1">
        <w:rPr>
          <w:lang w:val="sr-Cyrl-RS"/>
        </w:rPr>
        <w:t xml:space="preserve">, као и анализирати могуће унапређење његовог рада кроз евентуалну измену правног статуса </w:t>
      </w:r>
      <w:r w:rsidR="007A162B" w:rsidRPr="00CF77C1">
        <w:rPr>
          <w:lang w:val="sr-Cyrl-RS"/>
        </w:rPr>
        <w:t xml:space="preserve">Буџетског фонда </w:t>
      </w:r>
      <w:r w:rsidRPr="00CF77C1">
        <w:rPr>
          <w:lang w:val="sr-Cyrl-RS"/>
        </w:rPr>
        <w:t>и успостављања механизма повраћаја средстава фонда (</w:t>
      </w:r>
      <w:r w:rsidR="007A162B" w:rsidRPr="00CF77C1">
        <w:rPr>
          <w:lang w:val="sr-Cyrl-RS"/>
        </w:rPr>
        <w:t xml:space="preserve">тзв. </w:t>
      </w:r>
      <w:r w:rsidRPr="00CF77C1">
        <w:rPr>
          <w:lang w:val="sr-Cyrl-RS"/>
        </w:rPr>
        <w:t>револвинг фонд).</w:t>
      </w:r>
    </w:p>
    <w:p w14:paraId="1C70643C" w14:textId="295D8458" w:rsidR="00B31A43" w:rsidRPr="00CF77C1" w:rsidRDefault="00B31A43" w:rsidP="00D22907">
      <w:pPr>
        <w:ind w:firstLine="720"/>
        <w:rPr>
          <w:lang w:val="sr-Cyrl-RS"/>
        </w:rPr>
      </w:pPr>
      <w:r w:rsidRPr="00CF77C1">
        <w:rPr>
          <w:lang w:val="sr-Cyrl-RS"/>
        </w:rPr>
        <w:t xml:space="preserve">У складу са могућностима које даје Закон о </w:t>
      </w:r>
      <w:r w:rsidR="0049024D" w:rsidRPr="00CF77C1">
        <w:rPr>
          <w:lang w:val="sr-Cyrl-RS"/>
        </w:rPr>
        <w:t>ефикасном коришћењу енергије</w:t>
      </w:r>
      <w:r w:rsidRPr="00CF77C1">
        <w:rPr>
          <w:lang w:val="sr-Cyrl-RS"/>
        </w:rPr>
        <w:t xml:space="preserve"> препоручује се је</w:t>
      </w:r>
      <w:r w:rsidR="007401E1" w:rsidRPr="00CF77C1">
        <w:rPr>
          <w:lang w:val="sr-Cyrl-RS"/>
        </w:rPr>
        <w:t xml:space="preserve">диницама локалне самоуправе да </w:t>
      </w:r>
      <w:r w:rsidRPr="00CF77C1">
        <w:rPr>
          <w:lang w:val="sr-Cyrl-RS"/>
        </w:rPr>
        <w:t>формирају буџетске фондове на локалном нивоу за унапређење енергетске ефикасности на начин сличан Буџетском фонду.</w:t>
      </w:r>
    </w:p>
    <w:p w14:paraId="75051F66" w14:textId="6C08031B" w:rsidR="00B853D0" w:rsidRPr="00CF77C1" w:rsidRDefault="00086DE0" w:rsidP="00086DE0">
      <w:pPr>
        <w:pStyle w:val="Heading3"/>
        <w:numPr>
          <w:ilvl w:val="0"/>
          <w:numId w:val="0"/>
        </w:numPr>
        <w:ind w:firstLine="720"/>
        <w:rPr>
          <w:b w:val="0"/>
          <w:lang w:val="sr-Cyrl-RS"/>
        </w:rPr>
      </w:pPr>
      <w:bookmarkStart w:id="190" w:name="_Toc463001132"/>
      <w:bookmarkStart w:id="191" w:name="_Toc484260316"/>
      <w:r w:rsidRPr="00CF77C1">
        <w:rPr>
          <w:b w:val="0"/>
          <w:lang w:val="sr-Cyrl-RS"/>
        </w:rPr>
        <w:t xml:space="preserve">3.7.2. </w:t>
      </w:r>
      <w:r w:rsidR="00B853D0" w:rsidRPr="00CF77C1">
        <w:rPr>
          <w:b w:val="0"/>
          <w:lang w:val="sr-Cyrl-RS"/>
        </w:rPr>
        <w:t xml:space="preserve">Преглед мера </w:t>
      </w:r>
      <w:r w:rsidR="00F067CD" w:rsidRPr="00CF77C1">
        <w:rPr>
          <w:b w:val="0"/>
          <w:lang w:val="sr-Cyrl-RS"/>
        </w:rPr>
        <w:t xml:space="preserve">и активности за њихово спровођење </w:t>
      </w:r>
      <w:r w:rsidR="00B853D0" w:rsidRPr="00CF77C1">
        <w:rPr>
          <w:b w:val="0"/>
          <w:lang w:val="sr-Cyrl-RS"/>
        </w:rPr>
        <w:t>у области енергетске ефикасности</w:t>
      </w:r>
      <w:bookmarkEnd w:id="190"/>
      <w:bookmarkEnd w:id="191"/>
    </w:p>
    <w:p w14:paraId="60928B35" w14:textId="5D473AA6" w:rsidR="00524C73" w:rsidRPr="00CF77C1" w:rsidRDefault="00B853D0" w:rsidP="00D22907">
      <w:pPr>
        <w:ind w:firstLine="720"/>
        <w:rPr>
          <w:lang w:val="sr-Cyrl-RS"/>
        </w:rPr>
      </w:pPr>
      <w:r w:rsidRPr="00CF77C1">
        <w:rPr>
          <w:lang w:val="sr-Cyrl-RS"/>
        </w:rPr>
        <w:t>Основ за дефинисање листе мера у области енергетске ефикасност</w:t>
      </w:r>
      <w:r w:rsidR="00457DA6">
        <w:rPr>
          <w:lang w:val="sr-Cyrl-RS"/>
        </w:rPr>
        <w:t>и је био 3. АПЕЕ. У мере у ПОС</w:t>
      </w:r>
      <w:r w:rsidRPr="00CF77C1">
        <w:rPr>
          <w:lang w:val="sr-Cyrl-RS"/>
        </w:rPr>
        <w:t xml:space="preserve"> које ће се имплементирати у периоду 2018. године, уврштене су мере које су елементи овог плана, а још увек нису имплементиране.</w:t>
      </w:r>
    </w:p>
    <w:p w14:paraId="70F35388" w14:textId="4EB5C3F4" w:rsidR="00B853D0" w:rsidRPr="00CF77C1" w:rsidRDefault="00B853D0" w:rsidP="00D22907">
      <w:pPr>
        <w:ind w:firstLine="720"/>
        <w:rPr>
          <w:lang w:val="sr-Cyrl-RS"/>
        </w:rPr>
      </w:pPr>
      <w:r w:rsidRPr="00CF77C1">
        <w:rPr>
          <w:lang w:val="sr-Cyrl-RS"/>
        </w:rPr>
        <w:t>Поред ових мера, посебна пажња је посвећена мерама имплементације захтева Директиве 2012/27/</w:t>
      </w:r>
      <w:r w:rsidR="00D62AEB">
        <w:rPr>
          <w:lang w:val="sr-Cyrl-RS"/>
        </w:rPr>
        <w:t xml:space="preserve">ЕУ </w:t>
      </w:r>
      <w:r w:rsidRPr="00CF77C1">
        <w:rPr>
          <w:lang w:val="sr-Cyrl-RS"/>
        </w:rPr>
        <w:t>који нису препознате као елеменат плана (нпр. успостављању шема обавеза у погледу енергетске ефикасности), као и активностима на праћењу резултата имплементације тек примењених мера (каква је нпр. увођење система енергетског менаџмента). Такође, посебне мере су периодичне израде нових акционих планова за енергетску ефикасност (четвртог - за период 2019-2021. и петог - за период 2022-2024. година) који заправо представљају документе који ће садржати анализу ефеката постојећих и нове мере које ће се имплементир</w:t>
      </w:r>
      <w:r w:rsidR="00585E18">
        <w:rPr>
          <w:lang w:val="sr-Cyrl-RS"/>
        </w:rPr>
        <w:t>ати у периоду реализације ПОС.</w:t>
      </w:r>
    </w:p>
    <w:p w14:paraId="41D87C19" w14:textId="6AF6F4E6" w:rsidR="00F067CD" w:rsidRPr="00CF77C1" w:rsidRDefault="00F067CD" w:rsidP="00D22907">
      <w:pPr>
        <w:ind w:firstLine="720"/>
        <w:rPr>
          <w:lang w:val="sr-Cyrl-RS"/>
        </w:rPr>
      </w:pPr>
      <w:r w:rsidRPr="00CF77C1">
        <w:rPr>
          <w:lang w:val="sr-Cyrl-RS"/>
        </w:rPr>
        <w:t xml:space="preserve">Закон о ефикасном коришћењу енергије предвиђа увођење система енергетског менаџмента на локалном нивоу, у индустријском сектору и у области зградарства, чему је посвећена посебна пажња као мери која треба да донесе значајне уштеде. Закон прописује и спровођење обавезних енергетских прегледа код обвезника система у прописаном временском периоду (једном у пет година код обвезника система у индустријском сектору, односно једном у десет година код обвезника система у области зградарства). Овај систем предвиђа шему успостављања система обуке и лиценцирања овлашћених енергетских менаџера и енергетских саветника који извештавају надлежно </w:t>
      </w:r>
      <w:r w:rsidR="005C650D" w:rsidRPr="00CF77C1">
        <w:rPr>
          <w:lang w:val="sr-Cyrl-RS"/>
        </w:rPr>
        <w:t xml:space="preserve">министарство </w:t>
      </w:r>
      <w:r w:rsidRPr="00CF77C1">
        <w:rPr>
          <w:lang w:val="sr-Cyrl-RS"/>
        </w:rPr>
        <w:t>кроз обавезне годишње извештаје (енергетски менаџери) и спроводе обавезне енергетске прегледе (енергетски саветници). План је да се систем енергетских менаџера успостави у првом кварталу 2017. године, при чему се први извешт</w:t>
      </w:r>
      <w:r w:rsidR="007A162B" w:rsidRPr="00CF77C1">
        <w:rPr>
          <w:lang w:val="sr-Cyrl-RS"/>
        </w:rPr>
        <w:t>аји енергетских менаџера према м</w:t>
      </w:r>
      <w:r w:rsidRPr="00CF77C1">
        <w:rPr>
          <w:lang w:val="sr-Cyrl-RS"/>
        </w:rPr>
        <w:t xml:space="preserve">инистарству </w:t>
      </w:r>
      <w:r w:rsidR="007A162B" w:rsidRPr="00CF77C1">
        <w:rPr>
          <w:lang w:val="sr-Cyrl-RS"/>
        </w:rPr>
        <w:t xml:space="preserve">надлежном за послове рударства и енергетике </w:t>
      </w:r>
      <w:r w:rsidRPr="00CF77C1">
        <w:rPr>
          <w:lang w:val="sr-Cyrl-RS"/>
        </w:rPr>
        <w:t>очекују крајем марта 2017. године. Систем енергетског менаџмента се сматра основном мером за унапређење енергетске ефикасности у с</w:t>
      </w:r>
      <w:r w:rsidR="00CF6EC6" w:rsidRPr="00CF77C1">
        <w:rPr>
          <w:lang w:val="sr-Cyrl-RS"/>
        </w:rPr>
        <w:t>вим секторима потрошње енергије и зато је као посебна мера наведен у прегледу мера иако је део мера које је потребно имплементирати у оквиру 3. АПЕЕ.</w:t>
      </w:r>
    </w:p>
    <w:p w14:paraId="291D8FF1" w14:textId="24BEE22A" w:rsidR="00F067CD" w:rsidRPr="00CF77C1" w:rsidRDefault="00F067CD" w:rsidP="00D22907">
      <w:pPr>
        <w:ind w:firstLine="720"/>
        <w:rPr>
          <w:lang w:val="sr-Cyrl-RS"/>
        </w:rPr>
      </w:pPr>
      <w:r w:rsidRPr="00CF77C1">
        <w:rPr>
          <w:lang w:val="sr-Cyrl-RS"/>
        </w:rPr>
        <w:t>Преглед мера у области енергетске ефикасности које треба да буду имплеме</w:t>
      </w:r>
      <w:r w:rsidR="00585E18">
        <w:rPr>
          <w:lang w:val="sr-Cyrl-RS"/>
        </w:rPr>
        <w:t>нтиране у току реализације ПОС</w:t>
      </w:r>
      <w:r w:rsidRPr="00CF77C1">
        <w:rPr>
          <w:lang w:val="sr-Cyrl-RS"/>
        </w:rPr>
        <w:t xml:space="preserve"> дат је у наредној табели.</w:t>
      </w:r>
      <w:r w:rsidR="004B03FF" w:rsidRPr="00CF77C1">
        <w:rPr>
          <w:lang w:val="sr-Cyrl-RS"/>
        </w:rPr>
        <w:t xml:space="preserve"> Активности за спровођење мера које потичу из 3. АПЕЕ су детаљно описане у самом план</w:t>
      </w:r>
      <w:r w:rsidR="006C729D">
        <w:rPr>
          <w:lang w:val="sr-Cyrl-RS"/>
        </w:rPr>
        <w:t>у и нису поново навођене у ПОС</w:t>
      </w:r>
      <w:r w:rsidR="004B03FF" w:rsidRPr="00CF77C1">
        <w:rPr>
          <w:lang w:val="sr-Cyrl-RS"/>
        </w:rPr>
        <w:t xml:space="preserve"> већ је само наглашено да се њихов опис налази у 3. АПЕЕ.</w:t>
      </w:r>
    </w:p>
    <w:p w14:paraId="452339DB" w14:textId="77777777" w:rsidR="00BA424A" w:rsidRPr="00CF77C1" w:rsidRDefault="00BA424A" w:rsidP="00D22907">
      <w:pPr>
        <w:ind w:firstLine="720"/>
        <w:rPr>
          <w:lang w:val="sr-Cyrl-RS"/>
        </w:rPr>
      </w:pPr>
    </w:p>
    <w:p w14:paraId="6E27E79D" w14:textId="77777777" w:rsidR="00F067CD" w:rsidRPr="00CF77C1" w:rsidRDefault="00F067CD" w:rsidP="00D22907">
      <w:pPr>
        <w:ind w:firstLine="720"/>
        <w:rPr>
          <w:lang w:val="sr-Cyrl-RS"/>
        </w:rPr>
        <w:sectPr w:rsidR="00F067CD" w:rsidRPr="00CF77C1" w:rsidSect="00017454">
          <w:headerReference w:type="default" r:id="rId142"/>
          <w:footerReference w:type="default" r:id="rId143"/>
          <w:pgSz w:w="11907" w:h="16839" w:code="9"/>
          <w:pgMar w:top="1134" w:right="1134" w:bottom="1134" w:left="1418" w:header="720" w:footer="720" w:gutter="0"/>
          <w:cols w:space="720"/>
          <w:docGrid w:linePitch="360"/>
        </w:sectPr>
      </w:pPr>
    </w:p>
    <w:p w14:paraId="0BED74CA" w14:textId="2E07440F" w:rsidR="00F067CD" w:rsidRPr="00CF77C1" w:rsidRDefault="00F067CD" w:rsidP="00D22907">
      <w:pPr>
        <w:pStyle w:val="Caption"/>
        <w:ind w:firstLine="720"/>
        <w:rPr>
          <w:b w:val="0"/>
          <w:lang w:val="sr-Cyrl-RS"/>
        </w:rPr>
      </w:pPr>
      <w:r w:rsidRPr="00CF77C1">
        <w:rPr>
          <w:b w:val="0"/>
          <w:lang w:val="sr-Cyrl-RS"/>
        </w:rPr>
        <w:t xml:space="preserve">таб. </w:t>
      </w:r>
      <w:r w:rsidR="0092145E" w:rsidRPr="00CF77C1">
        <w:rPr>
          <w:b w:val="0"/>
          <w:lang w:val="sr-Cyrl-RS"/>
        </w:rPr>
        <w:fldChar w:fldCharType="begin"/>
      </w:r>
      <w:r w:rsidRPr="00CF77C1">
        <w:rPr>
          <w:b w:val="0"/>
          <w:lang w:val="sr-Cyrl-RS"/>
        </w:rPr>
        <w:instrText xml:space="preserve"> SEQ таб. \* ARABIC </w:instrText>
      </w:r>
      <w:r w:rsidR="0092145E" w:rsidRPr="00CF77C1">
        <w:rPr>
          <w:b w:val="0"/>
          <w:lang w:val="sr-Cyrl-RS"/>
        </w:rPr>
        <w:fldChar w:fldCharType="separate"/>
      </w:r>
      <w:r w:rsidR="002D5918">
        <w:rPr>
          <w:b w:val="0"/>
          <w:noProof/>
          <w:lang w:val="sr-Cyrl-RS"/>
        </w:rPr>
        <w:t>128</w:t>
      </w:r>
      <w:r w:rsidR="0092145E" w:rsidRPr="00CF77C1">
        <w:rPr>
          <w:b w:val="0"/>
          <w:lang w:val="sr-Cyrl-RS"/>
        </w:rPr>
        <w:fldChar w:fldCharType="end"/>
      </w:r>
      <w:r w:rsidRPr="00CF77C1">
        <w:rPr>
          <w:b w:val="0"/>
          <w:lang w:val="sr-Cyrl-RS"/>
        </w:rPr>
        <w:t>: Преглед мера у области енергетске ефикасности које ће бити спрове</w:t>
      </w:r>
      <w:r w:rsidR="006C729D">
        <w:rPr>
          <w:b w:val="0"/>
          <w:lang w:val="sr-Cyrl-RS"/>
        </w:rPr>
        <w:t>дене у периоду реализације ПОС</w:t>
      </w:r>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9"/>
        <w:gridCol w:w="5955"/>
        <w:gridCol w:w="2124"/>
        <w:gridCol w:w="1845"/>
        <w:gridCol w:w="1277"/>
        <w:gridCol w:w="1700"/>
      </w:tblGrid>
      <w:tr w:rsidR="002E0A68" w:rsidRPr="00CF77C1" w14:paraId="4DE1EABB" w14:textId="77777777" w:rsidTr="00A555ED">
        <w:trPr>
          <w:cantSplit/>
          <w:tblHeader/>
        </w:trPr>
        <w:tc>
          <w:tcPr>
            <w:tcW w:w="615" w:type="pct"/>
            <w:vAlign w:val="center"/>
          </w:tcPr>
          <w:p w14:paraId="2FA61B83" w14:textId="77777777" w:rsidR="003D5BDA" w:rsidRPr="00CF77C1" w:rsidRDefault="003D5BDA" w:rsidP="0080044B">
            <w:pPr>
              <w:pStyle w:val="Tabletext"/>
              <w:keepNext/>
              <w:keepLines/>
              <w:spacing w:before="20" w:after="20" w:line="240" w:lineRule="auto"/>
              <w:jc w:val="center"/>
              <w:rPr>
                <w:rFonts w:ascii="Times New Roman" w:hAnsi="Times New Roman"/>
                <w:sz w:val="22"/>
                <w:szCs w:val="22"/>
                <w:lang w:val="sr-Cyrl-RS"/>
              </w:rPr>
            </w:pPr>
            <w:r w:rsidRPr="00CF77C1">
              <w:rPr>
                <w:rFonts w:ascii="Times New Roman" w:eastAsia="Calibri" w:hAnsi="Times New Roman"/>
                <w:bCs/>
                <w:sz w:val="22"/>
                <w:szCs w:val="22"/>
                <w:bdr w:val="nil"/>
                <w:lang w:val="sr-Cyrl-RS"/>
              </w:rPr>
              <w:t>Назив мере</w:t>
            </w:r>
          </w:p>
        </w:tc>
        <w:tc>
          <w:tcPr>
            <w:tcW w:w="2024" w:type="pct"/>
            <w:vAlign w:val="center"/>
          </w:tcPr>
          <w:p w14:paraId="127A37ED" w14:textId="77777777" w:rsidR="003D5BDA" w:rsidRPr="00CF77C1" w:rsidRDefault="00CF6EC6" w:rsidP="0080044B">
            <w:pPr>
              <w:pStyle w:val="Tabletext"/>
              <w:keepNext/>
              <w:keepLines/>
              <w:spacing w:before="20" w:after="20" w:line="240" w:lineRule="auto"/>
              <w:jc w:val="center"/>
              <w:rPr>
                <w:rFonts w:ascii="Times New Roman" w:hAnsi="Times New Roman"/>
                <w:sz w:val="22"/>
                <w:szCs w:val="22"/>
                <w:lang w:val="sr-Cyrl-RS"/>
              </w:rPr>
            </w:pPr>
            <w:r w:rsidRPr="00CF77C1">
              <w:rPr>
                <w:rFonts w:ascii="Times New Roman" w:eastAsia="Calibri" w:hAnsi="Times New Roman"/>
                <w:bCs/>
                <w:sz w:val="22"/>
                <w:szCs w:val="22"/>
                <w:bdr w:val="nil"/>
                <w:lang w:val="sr-Cyrl-RS"/>
              </w:rPr>
              <w:t>Опис а</w:t>
            </w:r>
            <w:r w:rsidR="003D5BDA" w:rsidRPr="00CF77C1">
              <w:rPr>
                <w:rFonts w:ascii="Times New Roman" w:eastAsia="Calibri" w:hAnsi="Times New Roman"/>
                <w:bCs/>
                <w:sz w:val="22"/>
                <w:szCs w:val="22"/>
                <w:bdr w:val="nil"/>
                <w:lang w:val="sr-Cyrl-RS"/>
              </w:rPr>
              <w:t xml:space="preserve">ктивности за </w:t>
            </w:r>
            <w:r w:rsidRPr="00CF77C1">
              <w:rPr>
                <w:rFonts w:ascii="Times New Roman" w:eastAsia="Calibri" w:hAnsi="Times New Roman"/>
                <w:bCs/>
                <w:sz w:val="22"/>
                <w:szCs w:val="22"/>
                <w:bdr w:val="nil"/>
                <w:lang w:val="sr-Cyrl-RS"/>
              </w:rPr>
              <w:t>спровођење мера</w:t>
            </w:r>
          </w:p>
        </w:tc>
        <w:tc>
          <w:tcPr>
            <w:tcW w:w="722" w:type="pct"/>
            <w:vAlign w:val="center"/>
          </w:tcPr>
          <w:p w14:paraId="75C02F93" w14:textId="77777777" w:rsidR="003D5BDA" w:rsidRPr="00CF77C1" w:rsidRDefault="003D5BDA" w:rsidP="0080044B">
            <w:pPr>
              <w:pStyle w:val="Tabletext"/>
              <w:keepNext/>
              <w:keepLines/>
              <w:spacing w:before="20" w:after="20" w:line="240" w:lineRule="auto"/>
              <w:jc w:val="center"/>
              <w:rPr>
                <w:rFonts w:ascii="Times New Roman" w:eastAsia="Calibri" w:hAnsi="Times New Roman"/>
                <w:bCs/>
                <w:sz w:val="22"/>
                <w:szCs w:val="22"/>
                <w:bdr w:val="nil"/>
                <w:lang w:val="sr-Cyrl-RS"/>
              </w:rPr>
            </w:pPr>
            <w:r w:rsidRPr="00CF77C1">
              <w:rPr>
                <w:rFonts w:ascii="Times New Roman" w:eastAsia="Calibri" w:hAnsi="Times New Roman"/>
                <w:bCs/>
                <w:sz w:val="22"/>
                <w:szCs w:val="22"/>
                <w:bdr w:val="nil"/>
                <w:lang w:val="sr-Cyrl-RS"/>
              </w:rPr>
              <w:t>Реализатори мере</w:t>
            </w:r>
          </w:p>
        </w:tc>
        <w:tc>
          <w:tcPr>
            <w:tcW w:w="627" w:type="pct"/>
            <w:vAlign w:val="center"/>
          </w:tcPr>
          <w:p w14:paraId="68EE083F" w14:textId="77777777" w:rsidR="003D5BDA" w:rsidRPr="00CF77C1" w:rsidRDefault="003D5BDA" w:rsidP="0080044B">
            <w:pPr>
              <w:pStyle w:val="Tabletext"/>
              <w:keepNext/>
              <w:keepLines/>
              <w:spacing w:before="20" w:after="20" w:line="240" w:lineRule="auto"/>
              <w:jc w:val="center"/>
              <w:rPr>
                <w:rFonts w:ascii="Times New Roman" w:hAnsi="Times New Roman"/>
                <w:sz w:val="22"/>
                <w:szCs w:val="22"/>
                <w:lang w:val="sr-Cyrl-RS"/>
              </w:rPr>
            </w:pPr>
            <w:r w:rsidRPr="00CF77C1">
              <w:rPr>
                <w:rFonts w:ascii="Times New Roman" w:eastAsia="Calibri" w:hAnsi="Times New Roman"/>
                <w:bCs/>
                <w:sz w:val="22"/>
                <w:szCs w:val="22"/>
                <w:bdr w:val="nil"/>
                <w:lang w:val="sr-Cyrl-RS"/>
              </w:rPr>
              <w:t>Циљана крајња потрошња</w:t>
            </w:r>
          </w:p>
        </w:tc>
        <w:tc>
          <w:tcPr>
            <w:tcW w:w="434" w:type="pct"/>
            <w:vAlign w:val="center"/>
          </w:tcPr>
          <w:p w14:paraId="0EBF3DD2" w14:textId="77777777" w:rsidR="003D5BDA" w:rsidRPr="00CF77C1" w:rsidRDefault="003D5BDA" w:rsidP="0080044B">
            <w:pPr>
              <w:pStyle w:val="Tabletext"/>
              <w:keepNext/>
              <w:keepLines/>
              <w:spacing w:before="20" w:after="20" w:line="240" w:lineRule="auto"/>
              <w:jc w:val="center"/>
              <w:rPr>
                <w:rFonts w:ascii="Times New Roman" w:hAnsi="Times New Roman"/>
                <w:sz w:val="22"/>
                <w:szCs w:val="22"/>
                <w:lang w:val="sr-Cyrl-RS"/>
              </w:rPr>
            </w:pPr>
            <w:r w:rsidRPr="00CF77C1">
              <w:rPr>
                <w:rFonts w:ascii="Times New Roman" w:eastAsia="Calibri" w:hAnsi="Times New Roman"/>
                <w:bCs/>
                <w:sz w:val="22"/>
                <w:szCs w:val="22"/>
                <w:bdr w:val="nil"/>
                <w:lang w:val="sr-Cyrl-RS"/>
              </w:rPr>
              <w:t>Трајање</w:t>
            </w:r>
          </w:p>
        </w:tc>
        <w:tc>
          <w:tcPr>
            <w:tcW w:w="578" w:type="pct"/>
            <w:vAlign w:val="center"/>
          </w:tcPr>
          <w:p w14:paraId="59B3481A" w14:textId="77777777" w:rsidR="003D5BDA" w:rsidRPr="00CF77C1" w:rsidRDefault="003D5BDA" w:rsidP="0080044B">
            <w:pPr>
              <w:pStyle w:val="Tabletext"/>
              <w:keepNext/>
              <w:keepLines/>
              <w:spacing w:before="20" w:after="20" w:line="240" w:lineRule="auto"/>
              <w:jc w:val="center"/>
              <w:rPr>
                <w:rFonts w:ascii="Times New Roman" w:hAnsi="Times New Roman"/>
                <w:sz w:val="22"/>
                <w:szCs w:val="22"/>
                <w:lang w:val="sr-Cyrl-RS"/>
              </w:rPr>
            </w:pPr>
            <w:r w:rsidRPr="00CF77C1">
              <w:rPr>
                <w:rFonts w:ascii="Times New Roman" w:eastAsia="Calibri" w:hAnsi="Times New Roman"/>
                <w:bCs/>
                <w:sz w:val="22"/>
                <w:szCs w:val="22"/>
                <w:bdr w:val="nil"/>
                <w:lang w:val="sr-Cyrl-RS"/>
              </w:rPr>
              <w:t>Индикатор реализације мере</w:t>
            </w:r>
          </w:p>
        </w:tc>
      </w:tr>
      <w:tr w:rsidR="002E0A68" w:rsidRPr="00CF77C1" w14:paraId="29566B02" w14:textId="77777777" w:rsidTr="00A555ED">
        <w:trPr>
          <w:cantSplit/>
        </w:trPr>
        <w:tc>
          <w:tcPr>
            <w:tcW w:w="615" w:type="pct"/>
            <w:vAlign w:val="center"/>
          </w:tcPr>
          <w:p w14:paraId="6EF6E73D" w14:textId="77777777" w:rsidR="00873D82" w:rsidRPr="00CF77C1" w:rsidRDefault="00873D82"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 xml:space="preserve">Мере предвиђене Трећим </w:t>
            </w:r>
            <w:r w:rsidRPr="00CF77C1">
              <w:rPr>
                <w:rFonts w:ascii="Times New Roman" w:eastAsia="Calibri" w:hAnsi="Times New Roman"/>
                <w:spacing w:val="-10"/>
                <w:sz w:val="22"/>
                <w:szCs w:val="22"/>
                <w:bdr w:val="nil"/>
                <w:lang w:val="sr-Cyrl-RS"/>
              </w:rPr>
              <w:t xml:space="preserve">акционим планом за енергетску ефикасност Републике Србије за период 2016-2018. </w:t>
            </w:r>
          </w:p>
        </w:tc>
        <w:tc>
          <w:tcPr>
            <w:tcW w:w="2024" w:type="pct"/>
            <w:vAlign w:val="center"/>
          </w:tcPr>
          <w:p w14:paraId="1112112A" w14:textId="77777777" w:rsidR="00873D82" w:rsidRPr="00CF77C1" w:rsidRDefault="00873D82"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hAnsi="Times New Roman"/>
                <w:sz w:val="22"/>
                <w:szCs w:val="22"/>
                <w:lang w:val="sr-Cyrl-RS" w:eastAsia="en-GB"/>
              </w:rPr>
              <w:t xml:space="preserve">Спровођење Активности дефинисаних кроз </w:t>
            </w:r>
            <w:r w:rsidRPr="00CF77C1">
              <w:rPr>
                <w:rFonts w:ascii="Times New Roman" w:eastAsia="Calibri" w:hAnsi="Times New Roman"/>
                <w:sz w:val="22"/>
                <w:szCs w:val="22"/>
                <w:bdr w:val="nil"/>
                <w:lang w:val="sr-Cyrl-RS"/>
              </w:rPr>
              <w:t xml:space="preserve">Трећи </w:t>
            </w:r>
            <w:r w:rsidRPr="00CF77C1">
              <w:rPr>
                <w:rFonts w:ascii="Times New Roman" w:eastAsia="Calibri" w:hAnsi="Times New Roman"/>
                <w:spacing w:val="-10"/>
                <w:sz w:val="22"/>
                <w:szCs w:val="22"/>
                <w:bdr w:val="nil"/>
                <w:lang w:val="sr-Cyrl-RS"/>
              </w:rPr>
              <w:t>акциони план за енергетску ефикасност</w:t>
            </w:r>
            <w:r w:rsidRPr="00CF77C1">
              <w:rPr>
                <w:rFonts w:ascii="Times New Roman" w:hAnsi="Times New Roman"/>
                <w:sz w:val="22"/>
                <w:szCs w:val="22"/>
                <w:lang w:val="sr-Cyrl-RS" w:eastAsia="en-GB"/>
              </w:rPr>
              <w:t>.</w:t>
            </w:r>
          </w:p>
        </w:tc>
        <w:tc>
          <w:tcPr>
            <w:tcW w:w="722" w:type="pct"/>
            <w:vAlign w:val="center"/>
          </w:tcPr>
          <w:p w14:paraId="7D29316D" w14:textId="7884C862" w:rsidR="00873D82" w:rsidRPr="00CF77C1" w:rsidRDefault="00AC627E"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873D82" w:rsidRPr="00CF77C1">
              <w:rPr>
                <w:rFonts w:ascii="Times New Roman" w:eastAsia="Calibri" w:hAnsi="Times New Roman"/>
                <w:sz w:val="22"/>
                <w:szCs w:val="22"/>
                <w:bdr w:val="nil"/>
                <w:lang w:val="sr-Cyrl-RS"/>
              </w:rPr>
              <w:t xml:space="preserve"> рударства и енергетике, остали субјекти предвиђени по појединачним мерама у оквиру 3. АПЕЕ</w:t>
            </w:r>
          </w:p>
        </w:tc>
        <w:tc>
          <w:tcPr>
            <w:tcW w:w="627" w:type="pct"/>
            <w:vAlign w:val="center"/>
          </w:tcPr>
          <w:p w14:paraId="305A1324" w14:textId="77777777" w:rsidR="00873D82" w:rsidRPr="00CF77C1" w:rsidRDefault="00873D82" w:rsidP="0080044B">
            <w:pPr>
              <w:pStyle w:val="Tabletext"/>
              <w:keepNext/>
              <w:keepLines/>
              <w:spacing w:before="20" w:after="20" w:line="240" w:lineRule="auto"/>
              <w:jc w:val="left"/>
              <w:rPr>
                <w:rFonts w:ascii="Times New Roman" w:hAnsi="Times New Roman"/>
                <w:sz w:val="22"/>
                <w:szCs w:val="22"/>
                <w:lang w:val="sr-Cyrl-RS"/>
              </w:rPr>
            </w:pPr>
            <w:r w:rsidRPr="00CF77C1">
              <w:rPr>
                <w:rFonts w:ascii="Times New Roman" w:hAnsi="Times New Roman"/>
                <w:sz w:val="22"/>
                <w:szCs w:val="22"/>
                <w:lang w:val="sr-Cyrl-RS"/>
              </w:rPr>
              <w:t>Сви сектори</w:t>
            </w:r>
          </w:p>
        </w:tc>
        <w:tc>
          <w:tcPr>
            <w:tcW w:w="434" w:type="pct"/>
            <w:vAlign w:val="center"/>
          </w:tcPr>
          <w:p w14:paraId="0A9D1F54" w14:textId="77777777" w:rsidR="00873D82" w:rsidRPr="00CF77C1" w:rsidRDefault="00873D82" w:rsidP="0080044B">
            <w:pPr>
              <w:pStyle w:val="Tabletext"/>
              <w:keepNext/>
              <w:keepLines/>
              <w:spacing w:before="20" w:after="20" w:line="240" w:lineRule="auto"/>
              <w:jc w:val="center"/>
              <w:rPr>
                <w:rFonts w:ascii="Times New Roman" w:hAnsi="Times New Roman"/>
                <w:spacing w:val="-6"/>
                <w:sz w:val="22"/>
                <w:szCs w:val="22"/>
                <w:lang w:val="sr-Cyrl-RS"/>
              </w:rPr>
            </w:pPr>
            <w:r w:rsidRPr="00CF77C1">
              <w:rPr>
                <w:rFonts w:ascii="Times New Roman" w:hAnsi="Times New Roman"/>
                <w:spacing w:val="-6"/>
                <w:sz w:val="22"/>
                <w:szCs w:val="22"/>
                <w:lang w:val="sr-Cyrl-RS"/>
              </w:rPr>
              <w:t>2017 -2018.</w:t>
            </w:r>
          </w:p>
        </w:tc>
        <w:tc>
          <w:tcPr>
            <w:tcW w:w="578" w:type="pct"/>
            <w:vAlign w:val="center"/>
          </w:tcPr>
          <w:p w14:paraId="48C7856C" w14:textId="77777777" w:rsidR="00873D82" w:rsidRPr="00CF77C1" w:rsidRDefault="00873D82" w:rsidP="0080044B">
            <w:pPr>
              <w:jc w:val="center"/>
              <w:rPr>
                <w:sz w:val="22"/>
                <w:szCs w:val="22"/>
                <w:lang w:val="sr-Cyrl-RS"/>
              </w:rPr>
            </w:pPr>
            <w:r w:rsidRPr="00CF77C1">
              <w:rPr>
                <w:spacing w:val="-6"/>
                <w:sz w:val="22"/>
                <w:szCs w:val="22"/>
                <w:lang w:val="sr-Cyrl-RS"/>
              </w:rPr>
              <w:t xml:space="preserve">Уштеда </w:t>
            </w:r>
            <w:r w:rsidRPr="00CF77C1">
              <w:rPr>
                <w:sz w:val="22"/>
                <w:szCs w:val="22"/>
                <w:lang w:val="sr-Cyrl-RS"/>
              </w:rPr>
              <w:t xml:space="preserve">752,4 </w:t>
            </w:r>
            <w:r w:rsidRPr="00CF77C1">
              <w:rPr>
                <w:spacing w:val="-6"/>
                <w:sz w:val="22"/>
                <w:szCs w:val="22"/>
                <w:lang w:val="sr-Cyrl-RS"/>
              </w:rPr>
              <w:t>хиљада тен до 2018.</w:t>
            </w:r>
          </w:p>
        </w:tc>
      </w:tr>
      <w:tr w:rsidR="002E0A68" w:rsidRPr="00CF77C1" w14:paraId="32139D14" w14:textId="77777777" w:rsidTr="00A555ED">
        <w:trPr>
          <w:cantSplit/>
        </w:trPr>
        <w:tc>
          <w:tcPr>
            <w:tcW w:w="615" w:type="pct"/>
            <w:vAlign w:val="center"/>
          </w:tcPr>
          <w:p w14:paraId="7353FF58" w14:textId="77777777" w:rsidR="003D5BDA" w:rsidRPr="00CF77C1" w:rsidRDefault="003D5BDA" w:rsidP="002E0A68">
            <w:pPr>
              <w:pStyle w:val="Tabletext"/>
              <w:spacing w:before="20" w:after="20" w:line="240" w:lineRule="auto"/>
              <w:jc w:val="left"/>
              <w:rPr>
                <w:rFonts w:ascii="Times New Roman" w:eastAsia="Calibri" w:hAnsi="Times New Roman"/>
                <w:sz w:val="22"/>
                <w:szCs w:val="22"/>
                <w:bdr w:val="nil"/>
                <w:lang w:val="sr-Cyrl-RS"/>
              </w:rPr>
            </w:pPr>
            <w:r w:rsidRPr="00CF77C1">
              <w:rPr>
                <w:rFonts w:ascii="Times New Roman" w:hAnsi="Times New Roman"/>
                <w:sz w:val="22"/>
                <w:szCs w:val="22"/>
                <w:lang w:val="sr-Cyrl-RS" w:eastAsia="en-GB"/>
              </w:rPr>
              <w:t>Увођење</w:t>
            </w:r>
            <w:r w:rsidR="00E50EB6" w:rsidRPr="00CF77C1">
              <w:rPr>
                <w:rFonts w:ascii="Times New Roman" w:hAnsi="Times New Roman"/>
                <w:sz w:val="22"/>
                <w:szCs w:val="22"/>
                <w:lang w:val="sr-Cyrl-RS" w:eastAsia="en-GB"/>
              </w:rPr>
              <w:t xml:space="preserve"> и функционисање</w:t>
            </w:r>
            <w:r w:rsidRPr="00CF77C1">
              <w:rPr>
                <w:rFonts w:ascii="Times New Roman" w:hAnsi="Times New Roman"/>
                <w:sz w:val="22"/>
                <w:szCs w:val="22"/>
                <w:lang w:val="sr-Cyrl-RS" w:eastAsia="en-GB"/>
              </w:rPr>
              <w:t xml:space="preserve"> система енергетског менаџмента (СЕМ) у јавни и комерцијални сектор и сектор индустрије</w:t>
            </w:r>
          </w:p>
        </w:tc>
        <w:tc>
          <w:tcPr>
            <w:tcW w:w="2024" w:type="pct"/>
            <w:vAlign w:val="center"/>
          </w:tcPr>
          <w:p w14:paraId="7877C814" w14:textId="35C58928" w:rsidR="006A2309" w:rsidRPr="00CF77C1" w:rsidRDefault="006A2309"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 xml:space="preserve">Идентификација обвезника СЕМ кроз прикупљање пријава о потрошњи енергије у складу са </w:t>
            </w:r>
            <w:r w:rsidR="007A162B" w:rsidRPr="00CF77C1">
              <w:rPr>
                <w:rFonts w:ascii="Times New Roman" w:hAnsi="Times New Roman"/>
                <w:sz w:val="22"/>
                <w:szCs w:val="22"/>
                <w:lang w:val="sr-Cyrl-RS" w:eastAsia="en-GB"/>
              </w:rPr>
              <w:t>У</w:t>
            </w:r>
            <w:r w:rsidRPr="00CF77C1">
              <w:rPr>
                <w:rFonts w:ascii="Times New Roman" w:hAnsi="Times New Roman"/>
                <w:sz w:val="22"/>
                <w:szCs w:val="22"/>
                <w:lang w:val="sr-Cyrl-RS" w:eastAsia="en-GB"/>
              </w:rPr>
              <w:t xml:space="preserve">редбом </w:t>
            </w:r>
            <w:r w:rsidR="00B9618D" w:rsidRPr="00CF77C1">
              <w:rPr>
                <w:rStyle w:val="Hyperlink"/>
                <w:rFonts w:ascii="Times New Roman" w:hAnsi="Times New Roman"/>
                <w:color w:val="auto"/>
                <w:u w:val="none"/>
                <w:lang w:val="sr-Cyrl-RS"/>
              </w:rPr>
              <w:t xml:space="preserve">о </w:t>
            </w:r>
            <w:r w:rsidR="00B9618D" w:rsidRPr="00CF77C1">
              <w:rPr>
                <w:rFonts w:ascii="Times New Roman" w:hAnsi="Times New Roman"/>
                <w:sz w:val="22"/>
                <w:szCs w:val="22"/>
                <w:lang w:val="sr-Cyrl-RS" w:eastAsia="en-GB"/>
              </w:rPr>
              <w:t>утврђивању граничних вред</w:t>
            </w:r>
            <w:r w:rsidR="00CB46EE" w:rsidRPr="00CF77C1">
              <w:rPr>
                <w:rFonts w:ascii="Times New Roman" w:hAnsi="Times New Roman"/>
                <w:sz w:val="22"/>
                <w:szCs w:val="22"/>
                <w:lang w:val="sr-Cyrl-RS" w:eastAsia="en-GB"/>
              </w:rPr>
              <w:t>ности годишње потрошње енергије</w:t>
            </w:r>
          </w:p>
          <w:p w14:paraId="2643A3E0" w14:textId="3D80C980" w:rsidR="00E46C90" w:rsidRPr="00CF77C1" w:rsidRDefault="0038613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Обука и лиценцирање лица</w:t>
            </w:r>
            <w:r w:rsidR="005127FE" w:rsidRPr="00CF77C1">
              <w:rPr>
                <w:rFonts w:ascii="Times New Roman" w:hAnsi="Times New Roman"/>
                <w:sz w:val="22"/>
                <w:szCs w:val="22"/>
                <w:lang w:val="sr-Cyrl-RS" w:eastAsia="en-GB"/>
              </w:rPr>
              <w:t xml:space="preserve"> </w:t>
            </w:r>
            <w:r w:rsidR="00FC5C2A">
              <w:rPr>
                <w:rFonts w:ascii="Times New Roman" w:hAnsi="Times New Roman"/>
                <w:sz w:val="22"/>
                <w:szCs w:val="22"/>
                <w:lang w:val="sr-Cyrl-RS" w:eastAsia="en-GB"/>
              </w:rPr>
              <w:t>за обављање посла енергетско</w:t>
            </w:r>
            <w:r w:rsidRPr="00CF77C1">
              <w:rPr>
                <w:rFonts w:ascii="Times New Roman" w:hAnsi="Times New Roman"/>
                <w:sz w:val="22"/>
                <w:szCs w:val="22"/>
                <w:lang w:val="sr-Cyrl-RS" w:eastAsia="en-GB"/>
              </w:rPr>
              <w:t>г менаџера (ЕМ) и енергетског саветника (ЕС)</w:t>
            </w:r>
          </w:p>
          <w:p w14:paraId="0BF27E8D" w14:textId="77777777" w:rsidR="00386138" w:rsidRPr="00CF77C1" w:rsidRDefault="0038613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Именовање енергетских менаџера од стране обвезника система у складу са правилницима који уређују ову област</w:t>
            </w:r>
          </w:p>
          <w:p w14:paraId="70EDA735" w14:textId="77777777" w:rsidR="00386138" w:rsidRPr="00CF77C1" w:rsidRDefault="0038613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Завршетак израде правног оквира и његово даље унапређење</w:t>
            </w:r>
          </w:p>
          <w:p w14:paraId="6834A11A" w14:textId="11278F00" w:rsidR="00E46C90" w:rsidRPr="00CF77C1" w:rsidRDefault="0038613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 xml:space="preserve">Припрема програма и планова од стране </w:t>
            </w:r>
            <w:r w:rsidR="007A162B" w:rsidRPr="00CF77C1">
              <w:rPr>
                <w:rFonts w:ascii="Times New Roman" w:hAnsi="Times New Roman"/>
                <w:sz w:val="22"/>
                <w:szCs w:val="22"/>
                <w:lang w:val="sr-Cyrl-RS" w:eastAsia="en-GB"/>
              </w:rPr>
              <w:t xml:space="preserve">обвезника </w:t>
            </w:r>
            <w:r w:rsidRPr="00CF77C1">
              <w:rPr>
                <w:rFonts w:ascii="Times New Roman" w:hAnsi="Times New Roman"/>
                <w:sz w:val="22"/>
                <w:szCs w:val="22"/>
                <w:lang w:val="sr-Cyrl-RS" w:eastAsia="en-GB"/>
              </w:rPr>
              <w:t>СЕМ</w:t>
            </w:r>
          </w:p>
          <w:p w14:paraId="46153E3C" w14:textId="402C63D8" w:rsidR="00E46C90" w:rsidRPr="00CF77C1" w:rsidRDefault="0038613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Спровођење мера унапређења енергетске ефикасности ради остварења циљева</w:t>
            </w:r>
            <w:r w:rsidR="005127FE" w:rsidRPr="00CF77C1">
              <w:rPr>
                <w:rFonts w:ascii="Times New Roman" w:hAnsi="Times New Roman"/>
                <w:sz w:val="22"/>
                <w:szCs w:val="22"/>
                <w:lang w:val="sr-Cyrl-RS" w:eastAsia="en-GB"/>
              </w:rPr>
              <w:t xml:space="preserve"> </w:t>
            </w:r>
            <w:r w:rsidRPr="00CF77C1">
              <w:rPr>
                <w:rFonts w:ascii="Times New Roman" w:hAnsi="Times New Roman"/>
                <w:sz w:val="22"/>
                <w:szCs w:val="22"/>
                <w:lang w:val="sr-Cyrl-RS" w:eastAsia="en-GB"/>
              </w:rPr>
              <w:t>уштеде примарне енергије дефинисаних Уредбом</w:t>
            </w:r>
            <w:r w:rsidR="00B9618D" w:rsidRPr="00CF77C1">
              <w:rPr>
                <w:rFonts w:ascii="Times New Roman" w:hAnsi="Times New Roman"/>
                <w:sz w:val="22"/>
                <w:szCs w:val="22"/>
                <w:lang w:val="sr-Cyrl-RS" w:eastAsia="en-GB"/>
              </w:rPr>
              <w:t xml:space="preserve"> о утврђивању граничних вредности годишње потрошње енергије</w:t>
            </w:r>
            <w:r w:rsidR="00CB46EE" w:rsidRPr="00CF77C1">
              <w:rPr>
                <w:rFonts w:ascii="Times New Roman" w:hAnsi="Times New Roman"/>
                <w:sz w:val="22"/>
                <w:szCs w:val="22"/>
                <w:lang w:val="sr-Cyrl-RS" w:eastAsia="en-GB"/>
              </w:rPr>
              <w:t xml:space="preserve"> </w:t>
            </w:r>
          </w:p>
          <w:p w14:paraId="38014AD4" w14:textId="77777777" w:rsidR="00E46C90" w:rsidRPr="00CF77C1" w:rsidRDefault="0038613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Извештавање Министарства путем успостављене web апликације и базе за праћење рада</w:t>
            </w:r>
          </w:p>
          <w:p w14:paraId="24A08859" w14:textId="77777777" w:rsidR="00E46C90" w:rsidRPr="00CF77C1" w:rsidRDefault="0038613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Регуларно спровођење енергетских прегледа у роковима датим законом о ЕКЕ.</w:t>
            </w:r>
          </w:p>
          <w:p w14:paraId="3D9B964C" w14:textId="77777777" w:rsidR="003D5BDA" w:rsidRPr="00CF77C1" w:rsidRDefault="000D23D8" w:rsidP="003E39B4">
            <w:pPr>
              <w:pStyle w:val="Tabletext"/>
              <w:numPr>
                <w:ilvl w:val="0"/>
                <w:numId w:val="46"/>
              </w:numPr>
              <w:spacing w:before="20" w:after="20" w:line="240" w:lineRule="auto"/>
              <w:ind w:left="187" w:hanging="170"/>
              <w:jc w:val="left"/>
              <w:rPr>
                <w:rFonts w:ascii="Times New Roman" w:hAnsi="Times New Roman"/>
                <w:sz w:val="22"/>
                <w:szCs w:val="22"/>
                <w:lang w:val="sr-Cyrl-RS" w:eastAsia="en-GB"/>
              </w:rPr>
            </w:pPr>
            <w:r w:rsidRPr="00CF77C1">
              <w:rPr>
                <w:rFonts w:ascii="Times New Roman" w:hAnsi="Times New Roman"/>
                <w:sz w:val="22"/>
                <w:szCs w:val="22"/>
                <w:lang w:val="sr-Cyrl-RS" w:eastAsia="en-GB"/>
              </w:rPr>
              <w:t>Имплементација пројеката којима се подстиче спровођење СЕМ код обвезника и других институција</w:t>
            </w:r>
            <w:r w:rsidR="00CF6EC6" w:rsidRPr="00CF77C1">
              <w:rPr>
                <w:rFonts w:ascii="Times New Roman" w:hAnsi="Times New Roman"/>
                <w:sz w:val="22"/>
                <w:szCs w:val="22"/>
                <w:lang w:val="sr-Cyrl-RS" w:eastAsia="en-GB"/>
              </w:rPr>
              <w:t>.</w:t>
            </w:r>
          </w:p>
        </w:tc>
        <w:tc>
          <w:tcPr>
            <w:tcW w:w="722" w:type="pct"/>
            <w:vAlign w:val="center"/>
          </w:tcPr>
          <w:p w14:paraId="14E1C4E4" w14:textId="7249A31A" w:rsidR="003D5BDA" w:rsidRPr="00CF77C1" w:rsidRDefault="00AC627E" w:rsidP="002E0A68">
            <w:pPr>
              <w:pStyle w:val="Tabletext"/>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3D5BDA" w:rsidRPr="00CF77C1">
              <w:rPr>
                <w:rFonts w:ascii="Times New Roman" w:eastAsia="Calibri" w:hAnsi="Times New Roman"/>
                <w:sz w:val="22"/>
                <w:szCs w:val="22"/>
                <w:bdr w:val="nil"/>
                <w:lang w:val="sr-Cyrl-RS"/>
              </w:rPr>
              <w:t xml:space="preserve"> рударства и енергетике,</w:t>
            </w:r>
            <w:r w:rsidR="00386138" w:rsidRPr="00CF77C1">
              <w:rPr>
                <w:rFonts w:ascii="Times New Roman" w:eastAsia="Calibri" w:hAnsi="Times New Roman"/>
                <w:sz w:val="22"/>
                <w:szCs w:val="22"/>
                <w:bdr w:val="nil"/>
                <w:lang w:val="sr-Cyrl-RS"/>
              </w:rPr>
              <w:t xml:space="preserve"> организација за обуку,</w:t>
            </w:r>
            <w:r w:rsidR="003D5BDA" w:rsidRPr="00CF77C1">
              <w:rPr>
                <w:rFonts w:ascii="Times New Roman" w:eastAsia="Calibri" w:hAnsi="Times New Roman"/>
                <w:sz w:val="22"/>
                <w:szCs w:val="22"/>
                <w:bdr w:val="nil"/>
                <w:lang w:val="sr-Cyrl-RS"/>
              </w:rPr>
              <w:t xml:space="preserve"> обвезници СЕМ</w:t>
            </w:r>
          </w:p>
        </w:tc>
        <w:tc>
          <w:tcPr>
            <w:tcW w:w="627" w:type="pct"/>
            <w:vAlign w:val="center"/>
          </w:tcPr>
          <w:p w14:paraId="344B2C28" w14:textId="77777777" w:rsidR="003D5BDA" w:rsidRPr="00CF77C1" w:rsidRDefault="003D5BDA" w:rsidP="002E0A68">
            <w:pPr>
              <w:pStyle w:val="Tabletext"/>
              <w:spacing w:before="20" w:after="20" w:line="240" w:lineRule="auto"/>
              <w:jc w:val="left"/>
              <w:rPr>
                <w:rFonts w:ascii="Times New Roman" w:hAnsi="Times New Roman"/>
                <w:sz w:val="22"/>
                <w:szCs w:val="22"/>
                <w:lang w:val="sr-Cyrl-RS"/>
              </w:rPr>
            </w:pPr>
            <w:r w:rsidRPr="00CF77C1">
              <w:rPr>
                <w:rFonts w:ascii="Times New Roman" w:eastAsia="Calibri" w:hAnsi="Times New Roman"/>
                <w:sz w:val="22"/>
                <w:szCs w:val="22"/>
                <w:bdr w:val="nil"/>
                <w:lang w:val="sr-Cyrl-RS"/>
              </w:rPr>
              <w:t>Коришћење енергије у зградама, општинским службама, великим индустријским системима и осталој крајњој потрошњи</w:t>
            </w:r>
          </w:p>
        </w:tc>
        <w:tc>
          <w:tcPr>
            <w:tcW w:w="434" w:type="pct"/>
            <w:vAlign w:val="center"/>
          </w:tcPr>
          <w:p w14:paraId="42E9BF64" w14:textId="4771DA9D" w:rsidR="003D5BDA" w:rsidRPr="00CF77C1" w:rsidRDefault="003D5BDA" w:rsidP="002E0A68">
            <w:pPr>
              <w:pStyle w:val="Tabletext"/>
              <w:spacing w:before="20" w:after="20" w:line="240" w:lineRule="auto"/>
              <w:jc w:val="center"/>
              <w:rPr>
                <w:rFonts w:ascii="Times New Roman" w:hAnsi="Times New Roman"/>
                <w:spacing w:val="-6"/>
                <w:sz w:val="22"/>
                <w:szCs w:val="22"/>
                <w:lang w:val="sr-Cyrl-RS"/>
              </w:rPr>
            </w:pPr>
            <w:r w:rsidRPr="00CF77C1">
              <w:rPr>
                <w:rFonts w:ascii="Times New Roman" w:eastAsia="Calibri" w:hAnsi="Times New Roman"/>
                <w:spacing w:val="-6"/>
                <w:sz w:val="22"/>
                <w:szCs w:val="22"/>
                <w:bdr w:val="nil"/>
                <w:lang w:val="sr-Cyrl-RS"/>
              </w:rPr>
              <w:t>2017 -</w:t>
            </w:r>
            <w:r w:rsidR="00C27F95" w:rsidRPr="00CF77C1">
              <w:rPr>
                <w:rFonts w:ascii="Times New Roman" w:eastAsia="Calibri" w:hAnsi="Times New Roman"/>
                <w:spacing w:val="-6"/>
                <w:sz w:val="22"/>
                <w:szCs w:val="22"/>
                <w:bdr w:val="nil"/>
                <w:lang w:val="sr-Cyrl-RS"/>
              </w:rPr>
              <w:t xml:space="preserve"> 2023</w:t>
            </w:r>
            <w:r w:rsidRPr="00CF77C1">
              <w:rPr>
                <w:rFonts w:ascii="Times New Roman" w:eastAsia="Calibri" w:hAnsi="Times New Roman"/>
                <w:spacing w:val="-6"/>
                <w:sz w:val="22"/>
                <w:szCs w:val="22"/>
                <w:bdr w:val="nil"/>
                <w:lang w:val="sr-Cyrl-RS"/>
              </w:rPr>
              <w:t>.</w:t>
            </w:r>
            <w:r w:rsidR="00C27F95" w:rsidRPr="00CF77C1">
              <w:rPr>
                <w:rFonts w:ascii="Times New Roman" w:eastAsia="Calibri" w:hAnsi="Times New Roman"/>
                <w:spacing w:val="-6"/>
                <w:sz w:val="22"/>
                <w:szCs w:val="22"/>
                <w:bdr w:val="nil"/>
                <w:lang w:val="sr-Cyrl-RS"/>
              </w:rPr>
              <w:t xml:space="preserve"> (и наставља се након завршетка</w:t>
            </w:r>
            <w:r w:rsidR="009C3876" w:rsidRPr="00CF77C1">
              <w:rPr>
                <w:rFonts w:ascii="Times New Roman" w:eastAsia="Calibri" w:hAnsi="Times New Roman"/>
                <w:spacing w:val="-6"/>
                <w:sz w:val="22"/>
                <w:szCs w:val="22"/>
                <w:bdr w:val="nil"/>
                <w:lang w:val="sr-Cyrl-RS"/>
              </w:rPr>
              <w:t xml:space="preserve"> </w:t>
            </w:r>
            <w:r w:rsidR="00C27F95" w:rsidRPr="00CF77C1">
              <w:rPr>
                <w:rFonts w:ascii="Times New Roman" w:eastAsia="Calibri" w:hAnsi="Times New Roman"/>
                <w:spacing w:val="-6"/>
                <w:sz w:val="22"/>
                <w:szCs w:val="22"/>
                <w:bdr w:val="nil"/>
                <w:lang w:val="sr-Cyrl-RS"/>
              </w:rPr>
              <w:t>овог периода)</w:t>
            </w:r>
          </w:p>
        </w:tc>
        <w:tc>
          <w:tcPr>
            <w:tcW w:w="578" w:type="pct"/>
            <w:vAlign w:val="center"/>
          </w:tcPr>
          <w:p w14:paraId="1C603666" w14:textId="77777777" w:rsidR="003D5BDA" w:rsidRPr="00CF77C1" w:rsidRDefault="003D5BDA" w:rsidP="002E0A68">
            <w:pPr>
              <w:spacing w:before="20" w:after="20"/>
              <w:jc w:val="center"/>
              <w:rPr>
                <w:spacing w:val="-6"/>
                <w:sz w:val="22"/>
                <w:szCs w:val="22"/>
                <w:lang w:val="sr-Cyrl-RS"/>
              </w:rPr>
            </w:pPr>
            <w:r w:rsidRPr="00CF77C1">
              <w:rPr>
                <w:spacing w:val="-6"/>
                <w:sz w:val="22"/>
                <w:szCs w:val="22"/>
                <w:lang w:val="sr-Cyrl-RS"/>
              </w:rPr>
              <w:t>Уштеда 49,9 хиљада тен у 2018.</w:t>
            </w:r>
          </w:p>
        </w:tc>
      </w:tr>
      <w:tr w:rsidR="002E0A68" w:rsidRPr="00CF77C1" w14:paraId="0650C9F4" w14:textId="77777777" w:rsidTr="00A555ED">
        <w:trPr>
          <w:cantSplit/>
        </w:trPr>
        <w:tc>
          <w:tcPr>
            <w:tcW w:w="615" w:type="pct"/>
            <w:vAlign w:val="center"/>
          </w:tcPr>
          <w:p w14:paraId="357DE0AF" w14:textId="77777777" w:rsidR="00950EE8" w:rsidRPr="00CF77C1" w:rsidRDefault="00950EE8" w:rsidP="0080044B">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Транспозиција Директиве 2012/27/ЕУ</w:t>
            </w:r>
          </w:p>
        </w:tc>
        <w:tc>
          <w:tcPr>
            <w:tcW w:w="2024" w:type="pct"/>
            <w:vAlign w:val="center"/>
          </w:tcPr>
          <w:p w14:paraId="392159F0" w14:textId="77777777" w:rsidR="00950EE8" w:rsidRPr="00CF77C1" w:rsidRDefault="00950EE8"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Ревизија закона о ефикасном коришћењу енергије и друге регулативе која је од значаја за пуну транспозицију Директиве</w:t>
            </w:r>
          </w:p>
        </w:tc>
        <w:tc>
          <w:tcPr>
            <w:tcW w:w="722" w:type="pct"/>
            <w:vAlign w:val="center"/>
          </w:tcPr>
          <w:p w14:paraId="4F842726" w14:textId="7F14BF0E" w:rsidR="00950EE8" w:rsidRPr="00CF77C1" w:rsidRDefault="00AC627E"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4622A0" w:rsidRPr="00CF77C1">
              <w:rPr>
                <w:rFonts w:ascii="Times New Roman" w:eastAsia="Calibri" w:hAnsi="Times New Roman"/>
                <w:sz w:val="22"/>
                <w:szCs w:val="22"/>
                <w:bdr w:val="nil"/>
                <w:lang w:val="sr-Cyrl-RS"/>
              </w:rPr>
              <w:t xml:space="preserve"> рударства и енергетике и друге институције у чијој се надлежности налазе прописи које треба ревидирати</w:t>
            </w:r>
          </w:p>
        </w:tc>
        <w:tc>
          <w:tcPr>
            <w:tcW w:w="627" w:type="pct"/>
            <w:vAlign w:val="center"/>
          </w:tcPr>
          <w:p w14:paraId="1BDECA47" w14:textId="77777777" w:rsidR="00950EE8" w:rsidRPr="00CF77C1" w:rsidRDefault="004622A0"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Сви сектори потрошње</w:t>
            </w:r>
          </w:p>
        </w:tc>
        <w:tc>
          <w:tcPr>
            <w:tcW w:w="434" w:type="pct"/>
            <w:vAlign w:val="center"/>
          </w:tcPr>
          <w:p w14:paraId="4D02C7BB" w14:textId="77777777" w:rsidR="00950EE8" w:rsidRPr="00CF77C1" w:rsidRDefault="004622A0" w:rsidP="0080044B">
            <w:pPr>
              <w:pStyle w:val="Tabletext"/>
              <w:keepNext/>
              <w:keepLines/>
              <w:spacing w:before="20" w:after="20" w:line="240" w:lineRule="auto"/>
              <w:jc w:val="center"/>
              <w:rPr>
                <w:rFonts w:ascii="Times New Roman" w:eastAsia="Calibri" w:hAnsi="Times New Roman"/>
                <w:spacing w:val="-6"/>
                <w:sz w:val="22"/>
                <w:szCs w:val="22"/>
                <w:bdr w:val="nil"/>
                <w:lang w:val="sr-Cyrl-RS"/>
              </w:rPr>
            </w:pPr>
            <w:r w:rsidRPr="00CF77C1">
              <w:rPr>
                <w:rFonts w:ascii="Times New Roman" w:eastAsia="Calibri" w:hAnsi="Times New Roman"/>
                <w:spacing w:val="-6"/>
                <w:sz w:val="22"/>
                <w:szCs w:val="22"/>
                <w:bdr w:val="nil"/>
                <w:lang w:val="sr-Cyrl-RS"/>
              </w:rPr>
              <w:t>2017-2019</w:t>
            </w:r>
            <w:r w:rsidR="00C27F95" w:rsidRPr="00CF77C1">
              <w:rPr>
                <w:rFonts w:ascii="Times New Roman" w:eastAsia="Calibri" w:hAnsi="Times New Roman"/>
                <w:spacing w:val="-6"/>
                <w:sz w:val="22"/>
                <w:szCs w:val="22"/>
                <w:bdr w:val="nil"/>
                <w:lang w:val="sr-Cyrl-RS"/>
              </w:rPr>
              <w:t>.</w:t>
            </w:r>
          </w:p>
        </w:tc>
        <w:tc>
          <w:tcPr>
            <w:tcW w:w="578" w:type="pct"/>
            <w:vAlign w:val="center"/>
          </w:tcPr>
          <w:p w14:paraId="7EB524C6" w14:textId="77777777" w:rsidR="00950EE8" w:rsidRPr="00CF77C1" w:rsidRDefault="004622A0" w:rsidP="0080044B">
            <w:pPr>
              <w:tabs>
                <w:tab w:val="left" w:pos="2552"/>
              </w:tabs>
              <w:spacing w:before="20" w:after="20"/>
              <w:jc w:val="center"/>
              <w:rPr>
                <w:spacing w:val="-6"/>
                <w:sz w:val="22"/>
                <w:szCs w:val="22"/>
                <w:lang w:val="sr-Cyrl-RS"/>
              </w:rPr>
            </w:pPr>
            <w:r w:rsidRPr="00CF77C1">
              <w:rPr>
                <w:spacing w:val="-6"/>
                <w:sz w:val="22"/>
                <w:szCs w:val="22"/>
                <w:lang w:val="sr-Cyrl-RS"/>
              </w:rPr>
              <w:t>Објављене измене закона о ефикасном коришћењу енергије</w:t>
            </w:r>
          </w:p>
        </w:tc>
      </w:tr>
      <w:tr w:rsidR="002E0A68" w:rsidRPr="00CF77C1" w14:paraId="59F15AE8" w14:textId="77777777" w:rsidTr="00A555ED">
        <w:trPr>
          <w:cantSplit/>
        </w:trPr>
        <w:tc>
          <w:tcPr>
            <w:tcW w:w="615" w:type="pct"/>
            <w:vAlign w:val="center"/>
          </w:tcPr>
          <w:p w14:paraId="6460393B" w14:textId="27CDA319" w:rsidR="003D5BDA" w:rsidRPr="00CF77C1" w:rsidRDefault="003D5BDA" w:rsidP="00E3459D">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Имплементација захтева члана 7. Директиве 2012/27/</w:t>
            </w:r>
            <w:r w:rsidR="00E3459D">
              <w:rPr>
                <w:rFonts w:ascii="Times New Roman" w:eastAsia="Calibri" w:hAnsi="Times New Roman"/>
                <w:spacing w:val="-10"/>
                <w:sz w:val="22"/>
                <w:szCs w:val="22"/>
                <w:bdr w:val="nil"/>
                <w:lang w:val="sr-Cyrl-RS"/>
              </w:rPr>
              <w:t>ЕУ</w:t>
            </w:r>
          </w:p>
        </w:tc>
        <w:tc>
          <w:tcPr>
            <w:tcW w:w="2024" w:type="pct"/>
            <w:vAlign w:val="center"/>
          </w:tcPr>
          <w:p w14:paraId="5A8070FC" w14:textId="77777777" w:rsidR="004622A0" w:rsidRPr="00CF77C1" w:rsidRDefault="004622A0"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 xml:space="preserve">Сагледавање </w:t>
            </w:r>
            <w:r w:rsidR="00AC0429" w:rsidRPr="00CF77C1">
              <w:rPr>
                <w:rFonts w:ascii="Times New Roman" w:eastAsia="Calibri" w:hAnsi="Times New Roman"/>
                <w:sz w:val="22"/>
                <w:szCs w:val="22"/>
                <w:bdr w:val="nil"/>
                <w:lang w:val="sr-Cyrl-RS"/>
              </w:rPr>
              <w:t xml:space="preserve">и избор најбољег </w:t>
            </w:r>
            <w:r w:rsidRPr="00CF77C1">
              <w:rPr>
                <w:rFonts w:ascii="Times New Roman" w:eastAsia="Calibri" w:hAnsi="Times New Roman"/>
                <w:sz w:val="22"/>
                <w:szCs w:val="22"/>
                <w:bdr w:val="nil"/>
                <w:lang w:val="sr-Cyrl-RS"/>
              </w:rPr>
              <w:t>модалитета за примену члана 7.</w:t>
            </w:r>
            <w:r w:rsidR="00FF69EC" w:rsidRPr="00CF77C1">
              <w:rPr>
                <w:rFonts w:ascii="Times New Roman" w:eastAsia="Calibri" w:hAnsi="Times New Roman"/>
                <w:sz w:val="22"/>
                <w:szCs w:val="22"/>
                <w:bdr w:val="nil"/>
                <w:lang w:val="sr-Cyrl-RS"/>
              </w:rPr>
              <w:t xml:space="preserve"> уз подршку ЕМРД РЕЕП пројекта</w:t>
            </w:r>
          </w:p>
          <w:p w14:paraId="0C7B6A9D" w14:textId="77777777" w:rsidR="004622A0" w:rsidRPr="00CF77C1" w:rsidRDefault="004622A0"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Доношење релевантне регулативе за примену члана 7.</w:t>
            </w:r>
          </w:p>
          <w:p w14:paraId="75B5AE32" w14:textId="77777777" w:rsidR="004622A0" w:rsidRPr="00CF77C1" w:rsidRDefault="004622A0"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Припремне активности обвезника примене члана 7.</w:t>
            </w:r>
          </w:p>
          <w:p w14:paraId="55E8B7F6" w14:textId="77777777" w:rsidR="00CF6EC6" w:rsidRPr="00CF77C1" w:rsidRDefault="004622A0"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Спровођење члана 7. према изабраном модалитету</w:t>
            </w:r>
          </w:p>
        </w:tc>
        <w:tc>
          <w:tcPr>
            <w:tcW w:w="722" w:type="pct"/>
            <w:vAlign w:val="center"/>
          </w:tcPr>
          <w:p w14:paraId="5BE645B0" w14:textId="0360ECDD" w:rsidR="003D5BDA" w:rsidRPr="00CF77C1" w:rsidRDefault="00AC627E" w:rsidP="00A876FF">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3D5BDA" w:rsidRPr="00CF77C1">
              <w:rPr>
                <w:rFonts w:ascii="Times New Roman" w:eastAsia="Calibri" w:hAnsi="Times New Roman"/>
                <w:sz w:val="22"/>
                <w:szCs w:val="22"/>
                <w:bdr w:val="nil"/>
                <w:lang w:val="sr-Cyrl-RS"/>
              </w:rPr>
              <w:t xml:space="preserve"> рударства и енергетике, јавна предузећа, снабдевачи,</w:t>
            </w:r>
            <w:r w:rsidR="00FF69EC" w:rsidRPr="00CF77C1">
              <w:rPr>
                <w:rFonts w:ascii="Times New Roman" w:eastAsia="Calibri" w:hAnsi="Times New Roman"/>
                <w:sz w:val="22"/>
                <w:szCs w:val="22"/>
                <w:bdr w:val="nil"/>
                <w:lang w:val="sr-Cyrl-RS"/>
              </w:rPr>
              <w:t xml:space="preserve"> дистрибутери</w:t>
            </w:r>
          </w:p>
        </w:tc>
        <w:tc>
          <w:tcPr>
            <w:tcW w:w="627" w:type="pct"/>
            <w:vAlign w:val="center"/>
          </w:tcPr>
          <w:p w14:paraId="2C0C4B4D" w14:textId="77777777" w:rsidR="003D5BDA" w:rsidRPr="00CF77C1" w:rsidRDefault="003D5BDA"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Домаћинства, јавни и комерцијални сектор, улична расвета и пољопривреда</w:t>
            </w:r>
          </w:p>
        </w:tc>
        <w:tc>
          <w:tcPr>
            <w:tcW w:w="434" w:type="pct"/>
            <w:vAlign w:val="center"/>
          </w:tcPr>
          <w:p w14:paraId="6EB1A50F" w14:textId="77777777" w:rsidR="003D5BDA" w:rsidRPr="00CF77C1" w:rsidRDefault="003D5BDA" w:rsidP="0080044B">
            <w:pPr>
              <w:pStyle w:val="Tabletext"/>
              <w:keepNext/>
              <w:keepLines/>
              <w:spacing w:before="20" w:after="20" w:line="240" w:lineRule="auto"/>
              <w:jc w:val="center"/>
              <w:rPr>
                <w:rFonts w:ascii="Times New Roman" w:eastAsia="Calibri" w:hAnsi="Times New Roman"/>
                <w:spacing w:val="-6"/>
                <w:sz w:val="22"/>
                <w:szCs w:val="22"/>
                <w:bdr w:val="nil"/>
                <w:lang w:val="sr-Cyrl-RS"/>
              </w:rPr>
            </w:pPr>
            <w:r w:rsidRPr="00CF77C1">
              <w:rPr>
                <w:rFonts w:ascii="Times New Roman" w:eastAsia="Calibri" w:hAnsi="Times New Roman"/>
                <w:spacing w:val="-6"/>
                <w:sz w:val="22"/>
                <w:szCs w:val="22"/>
                <w:bdr w:val="nil"/>
                <w:lang w:val="sr-Cyrl-RS"/>
              </w:rPr>
              <w:t>2017 - 2020.</w:t>
            </w:r>
          </w:p>
        </w:tc>
        <w:tc>
          <w:tcPr>
            <w:tcW w:w="578" w:type="pct"/>
            <w:vAlign w:val="center"/>
          </w:tcPr>
          <w:p w14:paraId="3016135B" w14:textId="77777777" w:rsidR="003D5BDA" w:rsidRPr="00CF77C1" w:rsidRDefault="003D5BDA" w:rsidP="0080044B">
            <w:pPr>
              <w:spacing w:before="20" w:after="20"/>
              <w:jc w:val="center"/>
              <w:rPr>
                <w:rFonts w:eastAsia="Calibri"/>
                <w:spacing w:val="-6"/>
                <w:sz w:val="22"/>
                <w:szCs w:val="22"/>
                <w:bdr w:val="nil"/>
                <w:lang w:val="sr-Cyrl-RS"/>
              </w:rPr>
            </w:pPr>
            <w:r w:rsidRPr="00CF77C1">
              <w:rPr>
                <w:spacing w:val="-6"/>
                <w:sz w:val="22"/>
                <w:szCs w:val="22"/>
                <w:lang w:val="sr-Cyrl-RS"/>
              </w:rPr>
              <w:t xml:space="preserve">Уштеда </w:t>
            </w:r>
            <w:r w:rsidRPr="00CF77C1">
              <w:rPr>
                <w:sz w:val="22"/>
                <w:szCs w:val="22"/>
                <w:lang w:val="sr-Cyrl-RS"/>
              </w:rPr>
              <w:t xml:space="preserve">320,6 </w:t>
            </w:r>
            <w:r w:rsidRPr="00CF77C1">
              <w:rPr>
                <w:spacing w:val="-6"/>
                <w:sz w:val="22"/>
                <w:szCs w:val="22"/>
                <w:lang w:val="sr-Cyrl-RS"/>
              </w:rPr>
              <w:t>хиљада тен до 2020.</w:t>
            </w:r>
          </w:p>
        </w:tc>
      </w:tr>
      <w:tr w:rsidR="002E0A68" w:rsidRPr="00CF77C1" w14:paraId="0214DA20" w14:textId="77777777" w:rsidTr="00A555ED">
        <w:trPr>
          <w:cantSplit/>
        </w:trPr>
        <w:tc>
          <w:tcPr>
            <w:tcW w:w="615" w:type="pct"/>
            <w:shd w:val="clear" w:color="auto" w:fill="auto"/>
            <w:vAlign w:val="center"/>
          </w:tcPr>
          <w:p w14:paraId="1B394FC0" w14:textId="143A71EE" w:rsidR="00CF6EC6" w:rsidRPr="00CF77C1" w:rsidRDefault="008D166E" w:rsidP="00E3459D">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 xml:space="preserve">Имплементација захтева чланова </w:t>
            </w:r>
            <w:r w:rsidRPr="00CF77C1">
              <w:rPr>
                <w:rFonts w:ascii="Times New Roman" w:eastAsia="Calibri" w:hAnsi="Times New Roman"/>
                <w:spacing w:val="-10"/>
                <w:sz w:val="22"/>
                <w:szCs w:val="22"/>
                <w:bdr w:val="nil"/>
                <w:lang w:val="en-US"/>
              </w:rPr>
              <w:t>5</w:t>
            </w:r>
            <w:r w:rsidR="00CF6EC6" w:rsidRPr="00CF77C1">
              <w:rPr>
                <w:rFonts w:ascii="Times New Roman" w:eastAsia="Calibri" w:hAnsi="Times New Roman"/>
                <w:spacing w:val="-10"/>
                <w:sz w:val="22"/>
                <w:szCs w:val="22"/>
                <w:bdr w:val="nil"/>
                <w:lang w:val="sr-Cyrl-RS"/>
              </w:rPr>
              <w:t>. Директиве 2012/27/</w:t>
            </w:r>
            <w:r w:rsidR="00E3459D">
              <w:rPr>
                <w:rFonts w:ascii="Times New Roman" w:eastAsia="Calibri" w:hAnsi="Times New Roman"/>
                <w:spacing w:val="-10"/>
                <w:sz w:val="22"/>
                <w:szCs w:val="22"/>
                <w:bdr w:val="nil"/>
                <w:lang w:val="sr-Cyrl-RS"/>
              </w:rPr>
              <w:t>ЕУ</w:t>
            </w:r>
          </w:p>
        </w:tc>
        <w:tc>
          <w:tcPr>
            <w:tcW w:w="2024" w:type="pct"/>
            <w:vAlign w:val="center"/>
          </w:tcPr>
          <w:p w14:paraId="00B52796" w14:textId="77777777"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Формирање пописа зграда централне власти;</w:t>
            </w:r>
          </w:p>
          <w:p w14:paraId="40BC46C3" w14:textId="77777777" w:rsidR="00CF6EC6" w:rsidRPr="00CF77C1" w:rsidRDefault="00FF69EC"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 xml:space="preserve">Идентификација минималних захтева које морају да испуне зграде централне власти спрам захтева члана 5. </w:t>
            </w:r>
            <w:r w:rsidR="00AC0429" w:rsidRPr="00CF77C1">
              <w:rPr>
                <w:rFonts w:ascii="Times New Roman" w:eastAsia="Calibri" w:hAnsi="Times New Roman"/>
                <w:sz w:val="22"/>
                <w:szCs w:val="22"/>
                <w:bdr w:val="nil"/>
                <w:lang w:val="sr-Cyrl-RS"/>
              </w:rPr>
              <w:t>директив</w:t>
            </w:r>
            <w:r w:rsidRPr="00CF77C1">
              <w:rPr>
                <w:rFonts w:ascii="Times New Roman" w:eastAsia="Calibri" w:hAnsi="Times New Roman"/>
                <w:sz w:val="22"/>
                <w:szCs w:val="22"/>
                <w:bdr w:val="nil"/>
                <w:lang w:val="sr-Cyrl-RS"/>
              </w:rPr>
              <w:t>е</w:t>
            </w:r>
          </w:p>
          <w:p w14:paraId="11F37332" w14:textId="19EDDA98"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Израда плана реновирања зграда централне власти у складу са</w:t>
            </w:r>
            <w:r w:rsidR="007A162B" w:rsidRPr="00CF77C1">
              <w:rPr>
                <w:rFonts w:ascii="Times New Roman" w:eastAsia="Calibri" w:hAnsi="Times New Roman"/>
                <w:sz w:val="22"/>
                <w:szCs w:val="22"/>
                <w:bdr w:val="nil"/>
                <w:lang w:val="sr-Cyrl-RS"/>
              </w:rPr>
              <w:t xml:space="preserve"> захтевима Директиве 2012/27/</w:t>
            </w:r>
            <w:r w:rsidR="004077DA">
              <w:rPr>
                <w:rFonts w:ascii="Times New Roman" w:eastAsia="Calibri" w:hAnsi="Times New Roman"/>
                <w:sz w:val="22"/>
                <w:szCs w:val="22"/>
                <w:bdr w:val="nil"/>
                <w:lang w:val="sr-Cyrl-RS"/>
              </w:rPr>
              <w:t>ЕУ</w:t>
            </w:r>
          </w:p>
          <w:p w14:paraId="439707A0" w14:textId="7C1A132F"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Спровођење формираног плана рен</w:t>
            </w:r>
            <w:r w:rsidR="007A162B" w:rsidRPr="00CF77C1">
              <w:rPr>
                <w:rFonts w:ascii="Times New Roman" w:eastAsia="Calibri" w:hAnsi="Times New Roman"/>
                <w:sz w:val="22"/>
                <w:szCs w:val="22"/>
                <w:bdr w:val="nil"/>
                <w:lang w:val="sr-Cyrl-RS"/>
              </w:rPr>
              <w:t>овирања зграда централне власти</w:t>
            </w:r>
          </w:p>
        </w:tc>
        <w:tc>
          <w:tcPr>
            <w:tcW w:w="722" w:type="pct"/>
            <w:vAlign w:val="center"/>
          </w:tcPr>
          <w:p w14:paraId="140C6363" w14:textId="6BC2F82E" w:rsidR="00CF6EC6" w:rsidRPr="00CF77C1" w:rsidRDefault="00AC627E"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CF6EC6" w:rsidRPr="00CF77C1">
              <w:rPr>
                <w:rFonts w:ascii="Times New Roman" w:eastAsia="Calibri" w:hAnsi="Times New Roman"/>
                <w:sz w:val="22"/>
                <w:szCs w:val="22"/>
                <w:bdr w:val="nil"/>
                <w:lang w:val="sr-Cyrl-RS"/>
              </w:rPr>
              <w:t xml:space="preserve"> рударства и енергетике, </w:t>
            </w:r>
            <w:r w:rsidR="005C650D" w:rsidRPr="00CF77C1">
              <w:rPr>
                <w:rFonts w:ascii="Times New Roman" w:eastAsia="Calibri" w:hAnsi="Times New Roman"/>
                <w:sz w:val="22"/>
                <w:szCs w:val="22"/>
                <w:bdr w:val="nil"/>
                <w:lang w:val="sr-Cyrl-RS"/>
              </w:rPr>
              <w:t>министарство надлежно за послове</w:t>
            </w:r>
            <w:r w:rsidR="00CF6EC6" w:rsidRPr="00CF77C1">
              <w:rPr>
                <w:rFonts w:ascii="Times New Roman" w:eastAsia="Calibri" w:hAnsi="Times New Roman"/>
                <w:sz w:val="22"/>
                <w:szCs w:val="22"/>
                <w:bdr w:val="nil"/>
                <w:lang w:val="sr-Cyrl-RS"/>
              </w:rPr>
              <w:t xml:space="preserve"> грађевинарства, саобраћаја и инфраструктуре</w:t>
            </w:r>
          </w:p>
        </w:tc>
        <w:tc>
          <w:tcPr>
            <w:tcW w:w="627" w:type="pct"/>
            <w:shd w:val="clear" w:color="auto" w:fill="auto"/>
            <w:vAlign w:val="center"/>
          </w:tcPr>
          <w:p w14:paraId="3A4D93C6" w14:textId="77777777" w:rsidR="00CF6EC6" w:rsidRPr="00CF77C1" w:rsidRDefault="00D901DA"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Ј</w:t>
            </w:r>
            <w:r w:rsidR="00FF69EC" w:rsidRPr="00CF77C1">
              <w:rPr>
                <w:rFonts w:ascii="Times New Roman" w:eastAsia="Calibri" w:hAnsi="Times New Roman"/>
                <w:sz w:val="22"/>
                <w:szCs w:val="22"/>
                <w:bdr w:val="nil"/>
                <w:lang w:val="sr-Cyrl-RS"/>
              </w:rPr>
              <w:t>авни сектор</w:t>
            </w:r>
          </w:p>
        </w:tc>
        <w:tc>
          <w:tcPr>
            <w:tcW w:w="434" w:type="pct"/>
            <w:shd w:val="clear" w:color="auto" w:fill="auto"/>
            <w:vAlign w:val="center"/>
          </w:tcPr>
          <w:p w14:paraId="4D2ADF5B" w14:textId="77777777" w:rsidR="00CF6EC6" w:rsidRPr="00CF77C1" w:rsidRDefault="00CF6EC6" w:rsidP="0080044B">
            <w:pPr>
              <w:pStyle w:val="Tabletext"/>
              <w:keepNext/>
              <w:keepLines/>
              <w:spacing w:before="20" w:after="20" w:line="240" w:lineRule="auto"/>
              <w:jc w:val="center"/>
              <w:rPr>
                <w:rFonts w:ascii="Times New Roman" w:eastAsia="Calibri" w:hAnsi="Times New Roman"/>
                <w:spacing w:val="-6"/>
                <w:sz w:val="22"/>
                <w:szCs w:val="22"/>
                <w:bdr w:val="nil"/>
                <w:lang w:val="sr-Cyrl-RS"/>
              </w:rPr>
            </w:pPr>
            <w:r w:rsidRPr="00CF77C1">
              <w:rPr>
                <w:rFonts w:ascii="Times New Roman" w:eastAsia="Calibri" w:hAnsi="Times New Roman"/>
                <w:spacing w:val="-6"/>
                <w:sz w:val="22"/>
                <w:szCs w:val="22"/>
                <w:bdr w:val="nil"/>
                <w:lang w:val="sr-Cyrl-RS"/>
              </w:rPr>
              <w:t>2017 - 2023.</w:t>
            </w:r>
          </w:p>
        </w:tc>
        <w:tc>
          <w:tcPr>
            <w:tcW w:w="578" w:type="pct"/>
            <w:shd w:val="clear" w:color="auto" w:fill="auto"/>
            <w:vAlign w:val="center"/>
          </w:tcPr>
          <w:p w14:paraId="00C78A64" w14:textId="77777777" w:rsidR="00CF6EC6" w:rsidRPr="00CF77C1" w:rsidRDefault="00402472" w:rsidP="0080044B">
            <w:pPr>
              <w:tabs>
                <w:tab w:val="left" w:pos="2552"/>
              </w:tabs>
              <w:spacing w:before="20" w:after="20"/>
              <w:jc w:val="center"/>
              <w:rPr>
                <w:rFonts w:eastAsia="Calibri"/>
                <w:spacing w:val="-6"/>
                <w:sz w:val="22"/>
                <w:szCs w:val="22"/>
                <w:bdr w:val="nil"/>
                <w:lang w:val="sr-Cyrl-RS"/>
              </w:rPr>
            </w:pPr>
            <w:r w:rsidRPr="00CF77C1">
              <w:rPr>
                <w:rFonts w:eastAsia="Calibri"/>
                <w:spacing w:val="-6"/>
                <w:sz w:val="22"/>
                <w:szCs w:val="22"/>
                <w:bdr w:val="nil"/>
                <w:lang w:val="sr-Cyrl-RS"/>
              </w:rPr>
              <w:t xml:space="preserve"> Донет програм рехабилитације зграда централне власти и извештаји о његовом спровођењу.</w:t>
            </w:r>
          </w:p>
        </w:tc>
      </w:tr>
      <w:tr w:rsidR="002E0A68" w:rsidRPr="00CF77C1" w14:paraId="6633A054" w14:textId="77777777" w:rsidTr="00A555ED">
        <w:trPr>
          <w:cantSplit/>
        </w:trPr>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500AF27" w14:textId="77777777" w:rsidR="00651835" w:rsidRPr="00CF77C1" w:rsidRDefault="00651835" w:rsidP="0080044B">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Заокружење правног оквира у погледу енергетске ефикасности у зградама</w:t>
            </w:r>
          </w:p>
        </w:tc>
        <w:tc>
          <w:tcPr>
            <w:tcW w:w="2024" w:type="pct"/>
            <w:tcBorders>
              <w:top w:val="single" w:sz="4" w:space="0" w:color="auto"/>
              <w:left w:val="single" w:sz="4" w:space="0" w:color="auto"/>
              <w:bottom w:val="single" w:sz="4" w:space="0" w:color="auto"/>
              <w:right w:val="single" w:sz="4" w:space="0" w:color="auto"/>
            </w:tcBorders>
            <w:vAlign w:val="center"/>
          </w:tcPr>
          <w:p w14:paraId="364C52FB" w14:textId="77777777" w:rsidR="00651835" w:rsidRPr="00CF77C1" w:rsidRDefault="00651835"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У</w:t>
            </w:r>
            <w:r w:rsidR="006A2309" w:rsidRPr="00CF77C1">
              <w:rPr>
                <w:rFonts w:ascii="Times New Roman" w:eastAsia="Calibri" w:hAnsi="Times New Roman"/>
                <w:sz w:val="22"/>
                <w:szCs w:val="22"/>
                <w:bdr w:val="nil"/>
                <w:lang w:val="sr-Cyrl-RS"/>
              </w:rPr>
              <w:t>тврђ</w:t>
            </w:r>
            <w:r w:rsidRPr="00CF77C1">
              <w:rPr>
                <w:rFonts w:ascii="Times New Roman" w:eastAsia="Calibri" w:hAnsi="Times New Roman"/>
                <w:sz w:val="22"/>
                <w:szCs w:val="22"/>
                <w:bdr w:val="nil"/>
                <w:lang w:val="sr-Cyrl-RS"/>
              </w:rPr>
              <w:t>ивање трошковно оптималних нивоа</w:t>
            </w:r>
            <w:r w:rsidR="006A2309" w:rsidRPr="00CF77C1">
              <w:rPr>
                <w:rFonts w:ascii="Times New Roman" w:eastAsia="Calibri" w:hAnsi="Times New Roman"/>
                <w:sz w:val="22"/>
                <w:szCs w:val="22"/>
                <w:bdr w:val="nil"/>
                <w:lang w:val="sr-Cyrl-RS"/>
              </w:rPr>
              <w:t xml:space="preserve"> енергетске ефикасности зграда</w:t>
            </w:r>
          </w:p>
          <w:p w14:paraId="29183064" w14:textId="77777777" w:rsidR="00651835" w:rsidRPr="00CF77C1" w:rsidRDefault="00651835"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Укључење свих облика енергије и термотехничких система приликом сертификације зграда</w:t>
            </w:r>
          </w:p>
          <w:p w14:paraId="20053190" w14:textId="3BD35E9E" w:rsidR="00651835" w:rsidRPr="00CF77C1" w:rsidRDefault="00651835"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Доношење плана за испуње</w:t>
            </w:r>
            <w:r w:rsidR="002658F3">
              <w:rPr>
                <w:rFonts w:ascii="Times New Roman" w:eastAsia="Calibri" w:hAnsi="Times New Roman"/>
                <w:sz w:val="22"/>
                <w:szCs w:val="22"/>
                <w:bdr w:val="nil"/>
                <w:lang w:val="sr-Cyrl-RS"/>
              </w:rPr>
              <w:t>ње</w:t>
            </w:r>
            <w:r w:rsidRPr="00CF77C1">
              <w:rPr>
                <w:rFonts w:ascii="Times New Roman" w:eastAsia="Calibri" w:hAnsi="Times New Roman"/>
                <w:sz w:val="22"/>
                <w:szCs w:val="22"/>
                <w:bdr w:val="nil"/>
                <w:lang w:val="sr-Cyrl-RS"/>
              </w:rPr>
              <w:t xml:space="preserve"> захтева у погледу зграда са нултом потрошњом енергије</w:t>
            </w:r>
          </w:p>
          <w:p w14:paraId="024B34DD" w14:textId="4B42B82D" w:rsidR="00651835" w:rsidRPr="00CF77C1" w:rsidDel="00651835" w:rsidRDefault="006A2309" w:rsidP="0049024D">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Ревидирање регулативе у</w:t>
            </w:r>
            <w:r w:rsidR="00651835" w:rsidRPr="00CF77C1">
              <w:rPr>
                <w:rFonts w:ascii="Times New Roman" w:eastAsia="Calibri" w:hAnsi="Times New Roman"/>
                <w:sz w:val="22"/>
                <w:szCs w:val="22"/>
                <w:bdr w:val="nil"/>
                <w:lang w:val="sr-Cyrl-RS"/>
              </w:rPr>
              <w:t xml:space="preserve"> области енергетске ефикасности </w:t>
            </w:r>
            <w:r w:rsidRPr="00CF77C1">
              <w:rPr>
                <w:rFonts w:ascii="Times New Roman" w:eastAsia="Calibri" w:hAnsi="Times New Roman"/>
                <w:sz w:val="22"/>
                <w:szCs w:val="22"/>
                <w:bdr w:val="nil"/>
                <w:lang w:val="sr-Cyrl-RS"/>
              </w:rPr>
              <w:t>у зградама (</w:t>
            </w:r>
            <w:r w:rsidR="00B9618D" w:rsidRPr="00CF77C1">
              <w:rPr>
                <w:rFonts w:ascii="Times New Roman" w:eastAsia="Calibri" w:hAnsi="Times New Roman"/>
                <w:sz w:val="22"/>
                <w:szCs w:val="22"/>
                <w:bdr w:val="nil"/>
                <w:lang w:val="sr-Cyrl-RS"/>
              </w:rPr>
              <w:t>Правилника о енергетској ефикасности зграда</w:t>
            </w:r>
            <w:r w:rsidRPr="00CF77C1">
              <w:rPr>
                <w:rFonts w:ascii="Times New Roman" w:eastAsia="Calibri" w:hAnsi="Times New Roman"/>
                <w:sz w:val="22"/>
                <w:szCs w:val="22"/>
                <w:bdr w:val="nil"/>
                <w:lang w:val="sr-Cyrl-RS"/>
              </w:rPr>
              <w:t xml:space="preserve"> </w:t>
            </w:r>
            <w:r w:rsidR="00CB46EE" w:rsidRPr="00CF77C1">
              <w:rPr>
                <w:rFonts w:ascii="Times New Roman" w:eastAsia="Calibri" w:hAnsi="Times New Roman"/>
                <w:sz w:val="22"/>
                <w:szCs w:val="22"/>
                <w:bdr w:val="nil"/>
                <w:lang w:val="sr-Cyrl-RS"/>
              </w:rPr>
              <w:t>- „Службени гласник РС”, број 61/</w:t>
            </w:r>
            <w:r w:rsidR="00E512E3" w:rsidRPr="00CF77C1">
              <w:rPr>
                <w:rFonts w:ascii="Times New Roman" w:eastAsia="Calibri" w:hAnsi="Times New Roman"/>
                <w:sz w:val="22"/>
                <w:szCs w:val="22"/>
                <w:bdr w:val="nil"/>
                <w:lang w:val="sr-Cyrl-RS"/>
              </w:rPr>
              <w:t xml:space="preserve">11 </w:t>
            </w:r>
            <w:r w:rsidRPr="00CF77C1">
              <w:rPr>
                <w:rFonts w:ascii="Times New Roman" w:eastAsia="Calibri" w:hAnsi="Times New Roman"/>
                <w:sz w:val="22"/>
                <w:szCs w:val="22"/>
                <w:bdr w:val="nil"/>
                <w:lang w:val="sr-Cyrl-RS"/>
              </w:rPr>
              <w:t xml:space="preserve">и </w:t>
            </w:r>
            <w:r w:rsidR="00B9618D" w:rsidRPr="00CF77C1">
              <w:rPr>
                <w:rFonts w:ascii="Times New Roman" w:eastAsia="Calibri" w:hAnsi="Times New Roman"/>
                <w:sz w:val="22"/>
                <w:szCs w:val="22"/>
                <w:bdr w:val="nil"/>
                <w:lang w:val="sr-Cyrl-RS"/>
              </w:rPr>
              <w:t>Правилника о условима, садржини и начину издавања сертификата о енергетским својствима зграда</w:t>
            </w:r>
            <w:r w:rsidR="00E512E3" w:rsidRPr="00CF77C1">
              <w:rPr>
                <w:rFonts w:ascii="Times New Roman" w:eastAsia="Calibri" w:hAnsi="Times New Roman"/>
                <w:sz w:val="22"/>
                <w:szCs w:val="22"/>
                <w:bdr w:val="nil"/>
                <w:lang w:val="sr-Cyrl-RS"/>
              </w:rPr>
              <w:t xml:space="preserve"> - </w:t>
            </w:r>
            <w:r w:rsidR="00CB46EE" w:rsidRPr="00CF77C1">
              <w:rPr>
                <w:rFonts w:ascii="Times New Roman" w:eastAsia="Calibri" w:hAnsi="Times New Roman"/>
                <w:sz w:val="22"/>
                <w:szCs w:val="22"/>
                <w:bdr w:val="nil"/>
                <w:lang w:val="sr-Cyrl-RS"/>
              </w:rPr>
              <w:t>„Службени гласник РС”, број 69/</w:t>
            </w:r>
            <w:r w:rsidR="00E512E3" w:rsidRPr="00CF77C1">
              <w:rPr>
                <w:rFonts w:ascii="Times New Roman" w:eastAsia="Calibri" w:hAnsi="Times New Roman"/>
                <w:sz w:val="22"/>
                <w:szCs w:val="22"/>
                <w:bdr w:val="nil"/>
                <w:lang w:val="sr-Cyrl-RS"/>
              </w:rPr>
              <w:t>12</w:t>
            </w:r>
            <w:r w:rsidRPr="00CF77C1">
              <w:rPr>
                <w:rFonts w:ascii="Times New Roman" w:eastAsia="Calibri" w:hAnsi="Times New Roman"/>
                <w:sz w:val="22"/>
                <w:szCs w:val="22"/>
                <w:bdr w:val="nil"/>
                <w:lang w:val="sr-Cyrl-RS"/>
              </w:rPr>
              <w:t xml:space="preserve">) </w:t>
            </w:r>
            <w:r w:rsidR="00651835" w:rsidRPr="00CF77C1">
              <w:rPr>
                <w:rFonts w:ascii="Times New Roman" w:eastAsia="Calibri" w:hAnsi="Times New Roman"/>
                <w:sz w:val="22"/>
                <w:szCs w:val="22"/>
                <w:bdr w:val="nil"/>
                <w:lang w:val="sr-Cyrl-RS"/>
              </w:rPr>
              <w:t xml:space="preserve">која је донета на основу </w:t>
            </w:r>
            <w:r w:rsidRPr="00CF77C1">
              <w:rPr>
                <w:rFonts w:ascii="Times New Roman" w:eastAsia="Calibri" w:hAnsi="Times New Roman"/>
                <w:sz w:val="22"/>
                <w:szCs w:val="22"/>
                <w:bdr w:val="nil"/>
                <w:lang w:val="sr-Cyrl-RS"/>
              </w:rPr>
              <w:t xml:space="preserve">Закона </w:t>
            </w:r>
            <w:r w:rsidR="00651835" w:rsidRPr="00CF77C1">
              <w:rPr>
                <w:rFonts w:ascii="Times New Roman" w:eastAsia="Calibri" w:hAnsi="Times New Roman"/>
                <w:sz w:val="22"/>
                <w:szCs w:val="22"/>
                <w:bdr w:val="nil"/>
                <w:lang w:val="sr-Cyrl-RS"/>
              </w:rPr>
              <w:t>о планирању и изградњи</w:t>
            </w:r>
          </w:p>
        </w:tc>
        <w:tc>
          <w:tcPr>
            <w:tcW w:w="722" w:type="pct"/>
            <w:tcBorders>
              <w:top w:val="single" w:sz="4" w:space="0" w:color="auto"/>
              <w:left w:val="single" w:sz="4" w:space="0" w:color="auto"/>
              <w:bottom w:val="single" w:sz="4" w:space="0" w:color="auto"/>
              <w:right w:val="single" w:sz="4" w:space="0" w:color="auto"/>
            </w:tcBorders>
            <w:vAlign w:val="center"/>
          </w:tcPr>
          <w:p w14:paraId="1A37A3B5" w14:textId="44F1D9C6" w:rsidR="00651835" w:rsidRPr="00CF77C1" w:rsidRDefault="00AC627E"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651835" w:rsidRPr="00CF77C1">
              <w:rPr>
                <w:rFonts w:ascii="Times New Roman" w:eastAsia="Calibri" w:hAnsi="Times New Roman"/>
                <w:sz w:val="22"/>
                <w:szCs w:val="22"/>
                <w:bdr w:val="nil"/>
                <w:lang w:val="sr-Cyrl-RS"/>
              </w:rPr>
              <w:t xml:space="preserve"> грађевинарства, саобраћаја и инфраструктуре</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3900AAE" w14:textId="108FC9C9" w:rsidR="00651835" w:rsidRPr="00CF77C1" w:rsidRDefault="007A162B"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С</w:t>
            </w:r>
            <w:r w:rsidR="00651835" w:rsidRPr="00CF77C1">
              <w:rPr>
                <w:rFonts w:ascii="Times New Roman" w:eastAsia="Calibri" w:hAnsi="Times New Roman"/>
                <w:sz w:val="22"/>
                <w:szCs w:val="22"/>
                <w:bdr w:val="nil"/>
                <w:lang w:val="sr-Cyrl-RS"/>
              </w:rPr>
              <w:t xml:space="preserve">ектор зградарства </w:t>
            </w:r>
          </w:p>
        </w:tc>
        <w:tc>
          <w:tcPr>
            <w:tcW w:w="434" w:type="pct"/>
            <w:tcBorders>
              <w:top w:val="single" w:sz="4" w:space="0" w:color="auto"/>
              <w:left w:val="single" w:sz="4" w:space="0" w:color="auto"/>
              <w:bottom w:val="single" w:sz="4" w:space="0" w:color="auto"/>
              <w:right w:val="single" w:sz="4" w:space="0" w:color="auto"/>
            </w:tcBorders>
            <w:shd w:val="clear" w:color="auto" w:fill="auto"/>
            <w:vAlign w:val="center"/>
          </w:tcPr>
          <w:p w14:paraId="27F6A156" w14:textId="06EB0054" w:rsidR="00651835" w:rsidRPr="00CF77C1" w:rsidRDefault="00651835" w:rsidP="0080044B">
            <w:pPr>
              <w:pStyle w:val="Tabletext"/>
              <w:keepNext/>
              <w:keepLines/>
              <w:spacing w:before="20" w:after="20" w:line="240" w:lineRule="auto"/>
              <w:jc w:val="center"/>
              <w:rPr>
                <w:rFonts w:ascii="Times New Roman" w:eastAsia="Calibri" w:hAnsi="Times New Roman"/>
                <w:spacing w:val="-6"/>
                <w:sz w:val="22"/>
                <w:szCs w:val="22"/>
                <w:bdr w:val="nil"/>
                <w:lang w:val="sr-Cyrl-RS"/>
              </w:rPr>
            </w:pPr>
            <w:r w:rsidRPr="00CF77C1">
              <w:rPr>
                <w:rFonts w:ascii="Times New Roman" w:eastAsia="Calibri" w:hAnsi="Times New Roman"/>
                <w:spacing w:val="-6"/>
                <w:sz w:val="22"/>
                <w:szCs w:val="22"/>
                <w:bdr w:val="nil"/>
                <w:lang w:val="sr-Cyrl-RS"/>
              </w:rPr>
              <w:t>2017-2020</w:t>
            </w:r>
            <w:r w:rsidR="00703D9A">
              <w:rPr>
                <w:rFonts w:ascii="Times New Roman" w:eastAsia="Calibri" w:hAnsi="Times New Roman"/>
                <w:spacing w:val="-6"/>
                <w:sz w:val="22"/>
                <w:szCs w:val="22"/>
                <w:bdr w:val="nil"/>
                <w:lang w:val="sr-Cyrl-RS"/>
              </w:rPr>
              <w:t>.</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3B9817D7" w14:textId="77777777" w:rsidR="00651835" w:rsidRPr="00CF77C1" w:rsidRDefault="00651835" w:rsidP="0080044B">
            <w:pPr>
              <w:spacing w:before="20" w:after="20"/>
              <w:jc w:val="center"/>
              <w:rPr>
                <w:rFonts w:eastAsia="Calibri"/>
                <w:spacing w:val="-6"/>
                <w:sz w:val="22"/>
                <w:szCs w:val="22"/>
                <w:bdr w:val="nil"/>
                <w:lang w:val="sr-Cyrl-RS"/>
              </w:rPr>
            </w:pPr>
            <w:r w:rsidRPr="00CF77C1">
              <w:rPr>
                <w:rFonts w:eastAsia="Calibri"/>
                <w:spacing w:val="-6"/>
                <w:sz w:val="22"/>
                <w:szCs w:val="22"/>
                <w:bdr w:val="nil"/>
                <w:lang w:val="sr-Cyrl-RS"/>
              </w:rPr>
              <w:t>Ре</w:t>
            </w:r>
            <w:r w:rsidR="00C27F95" w:rsidRPr="00CF77C1">
              <w:rPr>
                <w:rFonts w:eastAsia="Calibri"/>
                <w:spacing w:val="-6"/>
                <w:sz w:val="22"/>
                <w:szCs w:val="22"/>
                <w:bdr w:val="nil"/>
                <w:lang w:val="sr-Cyrl-RS"/>
              </w:rPr>
              <w:t>видирана регулатива</w:t>
            </w:r>
          </w:p>
          <w:p w14:paraId="54D76467" w14:textId="77777777" w:rsidR="00651835" w:rsidRPr="00CF77C1" w:rsidRDefault="00651835" w:rsidP="0080044B">
            <w:pPr>
              <w:spacing w:before="20" w:after="20"/>
              <w:jc w:val="center"/>
              <w:rPr>
                <w:rFonts w:eastAsia="Calibri"/>
                <w:spacing w:val="-6"/>
                <w:sz w:val="22"/>
                <w:szCs w:val="22"/>
                <w:bdr w:val="nil"/>
                <w:lang w:val="sr-Cyrl-RS"/>
              </w:rPr>
            </w:pPr>
          </w:p>
        </w:tc>
      </w:tr>
      <w:tr w:rsidR="002E0A68" w:rsidRPr="00CF77C1" w14:paraId="26A1504D" w14:textId="77777777" w:rsidTr="00A555ED">
        <w:trPr>
          <w:cantSplit/>
        </w:trPr>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59A9958" w14:textId="77777777" w:rsidR="00CF6EC6" w:rsidRPr="00CF77C1" w:rsidRDefault="00CF6EC6" w:rsidP="0080044B">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Припрема Четвртог акционог плана за енергетску ефикасност Републике Србије за период 2019-2021.</w:t>
            </w:r>
          </w:p>
        </w:tc>
        <w:tc>
          <w:tcPr>
            <w:tcW w:w="2024" w:type="pct"/>
            <w:tcBorders>
              <w:top w:val="single" w:sz="4" w:space="0" w:color="auto"/>
              <w:left w:val="single" w:sz="4" w:space="0" w:color="auto"/>
              <w:bottom w:val="single" w:sz="4" w:space="0" w:color="auto"/>
              <w:right w:val="single" w:sz="4" w:space="0" w:color="auto"/>
            </w:tcBorders>
            <w:vAlign w:val="center"/>
          </w:tcPr>
          <w:p w14:paraId="76F9B535" w14:textId="77777777"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Припрема подлога за 4. АПЕЕ;</w:t>
            </w:r>
          </w:p>
          <w:p w14:paraId="64A9B633" w14:textId="37EDFBD9"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 xml:space="preserve">Анализа реализованих мера и </w:t>
            </w:r>
            <w:r w:rsidR="004146AE">
              <w:rPr>
                <w:rFonts w:ascii="Times New Roman" w:eastAsia="Calibri" w:hAnsi="Times New Roman"/>
                <w:sz w:val="22"/>
                <w:szCs w:val="22"/>
                <w:bdr w:val="nil"/>
                <w:lang w:val="sr-Cyrl-RS"/>
              </w:rPr>
              <w:t>формира</w:t>
            </w:r>
            <w:r w:rsidRPr="00CF77C1">
              <w:rPr>
                <w:rFonts w:ascii="Times New Roman" w:eastAsia="Calibri" w:hAnsi="Times New Roman"/>
                <w:sz w:val="22"/>
                <w:szCs w:val="22"/>
                <w:bdr w:val="nil"/>
                <w:lang w:val="sr-Cyrl-RS"/>
              </w:rPr>
              <w:t>ње циљева 4. АПЕЕ;</w:t>
            </w:r>
          </w:p>
          <w:p w14:paraId="5DBFBDC8" w14:textId="77777777"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Израда 4. АПЕЕ;</w:t>
            </w:r>
          </w:p>
        </w:tc>
        <w:tc>
          <w:tcPr>
            <w:tcW w:w="722" w:type="pct"/>
            <w:tcBorders>
              <w:top w:val="single" w:sz="4" w:space="0" w:color="auto"/>
              <w:left w:val="single" w:sz="4" w:space="0" w:color="auto"/>
              <w:bottom w:val="single" w:sz="4" w:space="0" w:color="auto"/>
              <w:right w:val="single" w:sz="4" w:space="0" w:color="auto"/>
            </w:tcBorders>
            <w:vAlign w:val="center"/>
          </w:tcPr>
          <w:p w14:paraId="1FE09A25" w14:textId="717A85EC" w:rsidR="00CF6EC6" w:rsidRPr="00CF77C1" w:rsidRDefault="00AC627E" w:rsidP="00A876FF">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CF6EC6" w:rsidRPr="00CF77C1">
              <w:rPr>
                <w:rFonts w:ascii="Times New Roman" w:eastAsia="Calibri" w:hAnsi="Times New Roman"/>
                <w:sz w:val="22"/>
                <w:szCs w:val="22"/>
                <w:bdr w:val="nil"/>
                <w:lang w:val="sr-Cyrl-RS"/>
              </w:rPr>
              <w:t xml:space="preserve"> рударства и енергетике</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68633EB" w14:textId="77777777" w:rsidR="00CF6EC6" w:rsidRPr="00CF77C1" w:rsidRDefault="00CF6EC6"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Сви сектори</w:t>
            </w:r>
          </w:p>
        </w:tc>
        <w:tc>
          <w:tcPr>
            <w:tcW w:w="434" w:type="pct"/>
            <w:tcBorders>
              <w:top w:val="single" w:sz="4" w:space="0" w:color="auto"/>
              <w:left w:val="single" w:sz="4" w:space="0" w:color="auto"/>
              <w:bottom w:val="single" w:sz="4" w:space="0" w:color="auto"/>
              <w:right w:val="single" w:sz="4" w:space="0" w:color="auto"/>
            </w:tcBorders>
            <w:shd w:val="clear" w:color="auto" w:fill="auto"/>
            <w:vAlign w:val="center"/>
          </w:tcPr>
          <w:p w14:paraId="658273DE" w14:textId="77777777" w:rsidR="00CF6EC6" w:rsidRPr="00CF77C1" w:rsidRDefault="00CF6EC6" w:rsidP="0080044B">
            <w:pPr>
              <w:pStyle w:val="Tabletext"/>
              <w:keepNext/>
              <w:keepLines/>
              <w:spacing w:before="20" w:after="20" w:line="240" w:lineRule="auto"/>
              <w:jc w:val="center"/>
              <w:rPr>
                <w:rFonts w:ascii="Times New Roman" w:eastAsia="Calibri" w:hAnsi="Times New Roman"/>
                <w:spacing w:val="-6"/>
                <w:sz w:val="22"/>
                <w:szCs w:val="22"/>
                <w:bdr w:val="nil"/>
                <w:lang w:val="sr-Cyrl-RS"/>
              </w:rPr>
            </w:pPr>
            <w:r w:rsidRPr="00CF77C1">
              <w:rPr>
                <w:rFonts w:ascii="Times New Roman" w:eastAsia="Calibri" w:hAnsi="Times New Roman"/>
                <w:spacing w:val="-6"/>
                <w:sz w:val="22"/>
                <w:szCs w:val="22"/>
                <w:bdr w:val="nil"/>
                <w:lang w:val="sr-Cyrl-RS"/>
              </w:rPr>
              <w:t>2017-2018.</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58A40003" w14:textId="77777777" w:rsidR="00CF6EC6" w:rsidRPr="00CF77C1" w:rsidRDefault="00CF6EC6" w:rsidP="0080044B">
            <w:pPr>
              <w:spacing w:before="20" w:after="20"/>
              <w:jc w:val="center"/>
              <w:rPr>
                <w:rFonts w:eastAsia="Calibri"/>
                <w:spacing w:val="-6"/>
                <w:sz w:val="22"/>
                <w:szCs w:val="22"/>
                <w:bdr w:val="nil"/>
                <w:lang w:val="sr-Cyrl-RS"/>
              </w:rPr>
            </w:pPr>
            <w:r w:rsidRPr="00CF77C1">
              <w:rPr>
                <w:rFonts w:eastAsia="Calibri"/>
                <w:spacing w:val="-6"/>
                <w:sz w:val="22"/>
                <w:szCs w:val="22"/>
                <w:bdr w:val="nil"/>
                <w:lang w:val="sr-Cyrl-RS"/>
              </w:rPr>
              <w:t>Донет 4. АПЕЕ</w:t>
            </w:r>
          </w:p>
        </w:tc>
      </w:tr>
      <w:tr w:rsidR="002E0A68" w:rsidRPr="00CF77C1" w14:paraId="1CEB2648" w14:textId="77777777" w:rsidTr="00A555ED">
        <w:trPr>
          <w:cantSplit/>
        </w:trPr>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5927251" w14:textId="77777777" w:rsidR="00CF6EC6" w:rsidRPr="00CF77C1" w:rsidRDefault="00CF6EC6" w:rsidP="0080044B">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Припрема Петог акционог плана за енергетску ефикасност Републике Србије за период 2022-2024.</w:t>
            </w:r>
          </w:p>
        </w:tc>
        <w:tc>
          <w:tcPr>
            <w:tcW w:w="2024" w:type="pct"/>
            <w:tcBorders>
              <w:top w:val="single" w:sz="4" w:space="0" w:color="auto"/>
              <w:left w:val="single" w:sz="4" w:space="0" w:color="auto"/>
              <w:bottom w:val="single" w:sz="4" w:space="0" w:color="auto"/>
              <w:right w:val="single" w:sz="4" w:space="0" w:color="auto"/>
            </w:tcBorders>
            <w:vAlign w:val="center"/>
          </w:tcPr>
          <w:p w14:paraId="2E3846D3" w14:textId="77777777"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Припрема подлога за 5. АПЕЕ;</w:t>
            </w:r>
          </w:p>
          <w:p w14:paraId="4001C560" w14:textId="77777777"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Анализа реализованих мера и формирење циљева 5. АПЕЕ;</w:t>
            </w:r>
          </w:p>
          <w:p w14:paraId="1EFDBA9C" w14:textId="77777777"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Израда 5. АПЕЕ;</w:t>
            </w:r>
          </w:p>
        </w:tc>
        <w:tc>
          <w:tcPr>
            <w:tcW w:w="722" w:type="pct"/>
            <w:tcBorders>
              <w:top w:val="single" w:sz="4" w:space="0" w:color="auto"/>
              <w:left w:val="single" w:sz="4" w:space="0" w:color="auto"/>
              <w:bottom w:val="single" w:sz="4" w:space="0" w:color="auto"/>
              <w:right w:val="single" w:sz="4" w:space="0" w:color="auto"/>
            </w:tcBorders>
            <w:vAlign w:val="center"/>
          </w:tcPr>
          <w:p w14:paraId="06ECB822" w14:textId="683B7C21" w:rsidR="00CF6EC6" w:rsidRPr="00CF77C1" w:rsidRDefault="00AC627E" w:rsidP="00A876FF">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CF6EC6" w:rsidRPr="00CF77C1">
              <w:rPr>
                <w:rFonts w:ascii="Times New Roman" w:eastAsia="Calibri" w:hAnsi="Times New Roman"/>
                <w:sz w:val="22"/>
                <w:szCs w:val="22"/>
                <w:bdr w:val="nil"/>
                <w:lang w:val="sr-Cyrl-RS"/>
              </w:rPr>
              <w:t xml:space="preserve"> рударства и енергетике</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260B270" w14:textId="77777777" w:rsidR="00CF6EC6" w:rsidRPr="00CF77C1" w:rsidRDefault="00CF6EC6"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Сви сектори</w:t>
            </w:r>
          </w:p>
        </w:tc>
        <w:tc>
          <w:tcPr>
            <w:tcW w:w="434" w:type="pct"/>
            <w:tcBorders>
              <w:top w:val="single" w:sz="4" w:space="0" w:color="auto"/>
              <w:left w:val="single" w:sz="4" w:space="0" w:color="auto"/>
              <w:bottom w:val="single" w:sz="4" w:space="0" w:color="auto"/>
              <w:right w:val="single" w:sz="4" w:space="0" w:color="auto"/>
            </w:tcBorders>
            <w:shd w:val="clear" w:color="auto" w:fill="auto"/>
            <w:vAlign w:val="center"/>
          </w:tcPr>
          <w:p w14:paraId="12AA5479" w14:textId="77777777" w:rsidR="00CF6EC6" w:rsidRPr="00CF77C1" w:rsidRDefault="00CF6EC6" w:rsidP="0080044B">
            <w:pPr>
              <w:pStyle w:val="Tabletext"/>
              <w:keepNext/>
              <w:keepLines/>
              <w:spacing w:before="20" w:after="20" w:line="240" w:lineRule="auto"/>
              <w:jc w:val="center"/>
              <w:rPr>
                <w:rFonts w:ascii="Times New Roman" w:eastAsia="Calibri" w:hAnsi="Times New Roman"/>
                <w:spacing w:val="-6"/>
                <w:sz w:val="22"/>
                <w:szCs w:val="22"/>
                <w:bdr w:val="nil"/>
                <w:lang w:val="sr-Cyrl-RS"/>
              </w:rPr>
            </w:pPr>
            <w:r w:rsidRPr="00CF77C1">
              <w:rPr>
                <w:rFonts w:ascii="Times New Roman" w:eastAsia="Calibri" w:hAnsi="Times New Roman"/>
                <w:spacing w:val="-6"/>
                <w:sz w:val="22"/>
                <w:szCs w:val="22"/>
                <w:bdr w:val="nil"/>
                <w:lang w:val="sr-Cyrl-RS"/>
              </w:rPr>
              <w:t>2020-2021.</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2B775B02" w14:textId="77777777" w:rsidR="00CF6EC6" w:rsidRPr="00CF77C1" w:rsidRDefault="00CF6EC6" w:rsidP="0080044B">
            <w:pPr>
              <w:spacing w:before="20" w:after="20"/>
              <w:jc w:val="center"/>
              <w:rPr>
                <w:rFonts w:eastAsia="Calibri"/>
                <w:spacing w:val="-6"/>
                <w:sz w:val="22"/>
                <w:szCs w:val="22"/>
                <w:bdr w:val="nil"/>
                <w:lang w:val="sr-Cyrl-RS"/>
              </w:rPr>
            </w:pPr>
            <w:r w:rsidRPr="00CF77C1">
              <w:rPr>
                <w:rFonts w:eastAsia="Calibri"/>
                <w:spacing w:val="-6"/>
                <w:sz w:val="22"/>
                <w:szCs w:val="22"/>
                <w:bdr w:val="nil"/>
                <w:lang w:val="sr-Cyrl-RS"/>
              </w:rPr>
              <w:t>Донет 5. АПЕЕ</w:t>
            </w:r>
          </w:p>
        </w:tc>
      </w:tr>
      <w:tr w:rsidR="002E0A68" w:rsidRPr="00CF77C1" w14:paraId="5AD7FE0F" w14:textId="77777777" w:rsidTr="00A555ED">
        <w:trPr>
          <w:cantSplit/>
          <w:trHeight w:val="623"/>
        </w:trPr>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042867BC" w14:textId="4CA86554" w:rsidR="00CF6EC6" w:rsidRPr="00CF77C1" w:rsidRDefault="00CF6EC6" w:rsidP="007A162B">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Јачање техничког</w:t>
            </w:r>
            <w:r w:rsidR="007A162B" w:rsidRPr="00CF77C1">
              <w:rPr>
                <w:rFonts w:ascii="Times New Roman" w:eastAsia="Calibri" w:hAnsi="Times New Roman"/>
                <w:spacing w:val="-10"/>
                <w:sz w:val="22"/>
                <w:szCs w:val="22"/>
                <w:bdr w:val="nil"/>
                <w:lang w:val="sr-Cyrl-RS"/>
              </w:rPr>
              <w:t xml:space="preserve"> и административног капацитета м</w:t>
            </w:r>
            <w:r w:rsidRPr="00CF77C1">
              <w:rPr>
                <w:rFonts w:ascii="Times New Roman" w:eastAsia="Calibri" w:hAnsi="Times New Roman"/>
                <w:spacing w:val="-10"/>
                <w:sz w:val="22"/>
                <w:szCs w:val="22"/>
                <w:bdr w:val="nil"/>
                <w:lang w:val="sr-Cyrl-RS"/>
              </w:rPr>
              <w:t xml:space="preserve">инистарства </w:t>
            </w:r>
            <w:r w:rsidR="007A162B" w:rsidRPr="00CF77C1">
              <w:rPr>
                <w:rFonts w:ascii="Times New Roman" w:eastAsia="Calibri" w:hAnsi="Times New Roman"/>
                <w:spacing w:val="-10"/>
                <w:sz w:val="22"/>
                <w:szCs w:val="22"/>
                <w:bdr w:val="nil"/>
                <w:lang w:val="sr-Cyrl-RS"/>
              </w:rPr>
              <w:t xml:space="preserve">надлежног за послове </w:t>
            </w:r>
            <w:r w:rsidRPr="00CF77C1">
              <w:rPr>
                <w:rFonts w:ascii="Times New Roman" w:eastAsia="Calibri" w:hAnsi="Times New Roman"/>
                <w:spacing w:val="-10"/>
                <w:sz w:val="22"/>
                <w:szCs w:val="22"/>
                <w:bdr w:val="nil"/>
                <w:lang w:val="sr-Cyrl-RS"/>
              </w:rPr>
              <w:t>рударства и енергетике у области енергетске ефикасности</w:t>
            </w:r>
          </w:p>
        </w:tc>
        <w:tc>
          <w:tcPr>
            <w:tcW w:w="2024" w:type="pct"/>
            <w:tcBorders>
              <w:top w:val="single" w:sz="4" w:space="0" w:color="auto"/>
              <w:left w:val="single" w:sz="4" w:space="0" w:color="auto"/>
              <w:bottom w:val="single" w:sz="4" w:space="0" w:color="auto"/>
              <w:right w:val="single" w:sz="4" w:space="0" w:color="auto"/>
            </w:tcBorders>
            <w:vAlign w:val="center"/>
          </w:tcPr>
          <w:p w14:paraId="1D204707" w14:textId="77777777"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Пријем новог особља;</w:t>
            </w:r>
          </w:p>
          <w:p w14:paraId="7A51A611" w14:textId="79E445F6" w:rsidR="00CF6EC6" w:rsidRPr="00CF77C1" w:rsidRDefault="00CF6EC6"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Обуке и тренинзи новог особља</w:t>
            </w:r>
            <w:r w:rsidR="00484F1E">
              <w:rPr>
                <w:rFonts w:ascii="Times New Roman" w:eastAsia="Calibri" w:hAnsi="Times New Roman"/>
                <w:sz w:val="22"/>
                <w:szCs w:val="22"/>
                <w:bdr w:val="nil"/>
                <w:lang w:val="sr-Cyrl-RS"/>
              </w:rPr>
              <w:t>.</w:t>
            </w:r>
          </w:p>
        </w:tc>
        <w:tc>
          <w:tcPr>
            <w:tcW w:w="722" w:type="pct"/>
            <w:tcBorders>
              <w:top w:val="single" w:sz="4" w:space="0" w:color="auto"/>
              <w:left w:val="single" w:sz="4" w:space="0" w:color="auto"/>
              <w:bottom w:val="single" w:sz="4" w:space="0" w:color="auto"/>
              <w:right w:val="single" w:sz="4" w:space="0" w:color="auto"/>
            </w:tcBorders>
            <w:vAlign w:val="center"/>
          </w:tcPr>
          <w:p w14:paraId="295CC1CE" w14:textId="0AB6C7F7" w:rsidR="00CF6EC6" w:rsidRPr="00CF77C1" w:rsidRDefault="00AC627E"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CF6EC6" w:rsidRPr="00CF77C1">
              <w:rPr>
                <w:rFonts w:ascii="Times New Roman" w:eastAsia="Calibri" w:hAnsi="Times New Roman"/>
                <w:sz w:val="22"/>
                <w:szCs w:val="22"/>
                <w:bdr w:val="nil"/>
                <w:lang w:val="sr-Cyrl-RS"/>
              </w:rPr>
              <w:t xml:space="preserve"> рударства и енергетике, </w:t>
            </w:r>
            <w:r w:rsidR="005C650D" w:rsidRPr="00CF77C1">
              <w:rPr>
                <w:rFonts w:ascii="Times New Roman" w:eastAsia="Calibri" w:hAnsi="Times New Roman"/>
                <w:sz w:val="22"/>
                <w:szCs w:val="22"/>
                <w:bdr w:val="nil"/>
                <w:lang w:val="sr-Cyrl-RS"/>
              </w:rPr>
              <w:t>министарство надлежно за послове</w:t>
            </w:r>
            <w:r w:rsidR="00CF6EC6" w:rsidRPr="00CF77C1">
              <w:rPr>
                <w:rFonts w:ascii="Times New Roman" w:eastAsia="Calibri" w:hAnsi="Times New Roman"/>
                <w:sz w:val="22"/>
                <w:szCs w:val="22"/>
                <w:bdr w:val="nil"/>
                <w:lang w:val="sr-Cyrl-RS"/>
              </w:rPr>
              <w:t xml:space="preserve"> финансија</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683B767" w14:textId="5565E07A" w:rsidR="00CF6EC6" w:rsidRPr="00CF77C1" w:rsidRDefault="00A555ED" w:rsidP="002E0A68">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Нема утицаја</w:t>
            </w:r>
          </w:p>
        </w:tc>
        <w:tc>
          <w:tcPr>
            <w:tcW w:w="434" w:type="pct"/>
            <w:tcBorders>
              <w:top w:val="single" w:sz="4" w:space="0" w:color="auto"/>
              <w:left w:val="single" w:sz="4" w:space="0" w:color="auto"/>
              <w:bottom w:val="single" w:sz="4" w:space="0" w:color="auto"/>
              <w:right w:val="single" w:sz="4" w:space="0" w:color="auto"/>
            </w:tcBorders>
            <w:shd w:val="clear" w:color="auto" w:fill="auto"/>
            <w:vAlign w:val="center"/>
          </w:tcPr>
          <w:p w14:paraId="661FD3C4" w14:textId="717CA840" w:rsidR="00CF6EC6" w:rsidRPr="00CF77C1" w:rsidRDefault="00CF6EC6" w:rsidP="00A555ED">
            <w:pPr>
              <w:pStyle w:val="Tabletext"/>
              <w:keepNext/>
              <w:keepLines/>
              <w:spacing w:before="20" w:after="20" w:line="240" w:lineRule="auto"/>
              <w:jc w:val="center"/>
              <w:rPr>
                <w:rFonts w:ascii="Times New Roman" w:eastAsia="Calibri" w:hAnsi="Times New Roman"/>
                <w:spacing w:val="-6"/>
                <w:sz w:val="22"/>
                <w:szCs w:val="22"/>
                <w:highlight w:val="yellow"/>
                <w:bdr w:val="nil"/>
                <w:lang w:val="sr-Cyrl-RS"/>
              </w:rPr>
            </w:pPr>
            <w:r w:rsidRPr="00CF77C1">
              <w:rPr>
                <w:rFonts w:ascii="Times New Roman" w:eastAsia="Calibri" w:hAnsi="Times New Roman"/>
                <w:spacing w:val="-6"/>
                <w:sz w:val="22"/>
                <w:szCs w:val="22"/>
                <w:bdr w:val="nil"/>
                <w:lang w:val="sr-Cyrl-RS"/>
              </w:rPr>
              <w:t>201</w:t>
            </w:r>
            <w:r w:rsidR="00A555ED" w:rsidRPr="00CF77C1">
              <w:rPr>
                <w:rFonts w:ascii="Times New Roman" w:eastAsia="Calibri" w:hAnsi="Times New Roman"/>
                <w:spacing w:val="-6"/>
                <w:sz w:val="22"/>
                <w:szCs w:val="22"/>
                <w:bdr w:val="nil"/>
                <w:lang w:val="sr-Cyrl-RS"/>
              </w:rPr>
              <w:t>8-2019</w:t>
            </w:r>
            <w:r w:rsidRPr="00CF77C1">
              <w:rPr>
                <w:rFonts w:ascii="Times New Roman" w:eastAsia="Calibri" w:hAnsi="Times New Roman"/>
                <w:spacing w:val="-6"/>
                <w:sz w:val="22"/>
                <w:szCs w:val="22"/>
                <w:bdr w:val="nil"/>
                <w:lang w:val="sr-Cyrl-RS"/>
              </w:rPr>
              <w:t>.</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6E0BEEE0" w14:textId="52ED7544" w:rsidR="00CF6EC6" w:rsidRPr="00CF77C1" w:rsidRDefault="00CF6EC6" w:rsidP="00C13FB6">
            <w:pPr>
              <w:spacing w:before="20" w:after="20"/>
              <w:jc w:val="center"/>
              <w:rPr>
                <w:rFonts w:eastAsia="Calibri"/>
                <w:spacing w:val="-6"/>
                <w:sz w:val="22"/>
                <w:szCs w:val="22"/>
                <w:bdr w:val="nil"/>
                <w:lang w:val="sr-Cyrl-RS"/>
              </w:rPr>
            </w:pPr>
            <w:r w:rsidRPr="00CF77C1">
              <w:rPr>
                <w:rFonts w:eastAsia="Calibri"/>
                <w:spacing w:val="-6"/>
                <w:sz w:val="22"/>
                <w:szCs w:val="22"/>
                <w:bdr w:val="nil"/>
                <w:lang w:val="sr-Cyrl-RS"/>
              </w:rPr>
              <w:t xml:space="preserve">Запослено </w:t>
            </w:r>
            <w:r w:rsidR="00C13FB6">
              <w:rPr>
                <w:rFonts w:eastAsia="Calibri"/>
                <w:spacing w:val="-6"/>
                <w:sz w:val="22"/>
                <w:szCs w:val="22"/>
                <w:bdr w:val="nil"/>
                <w:lang w:val="sr-Cyrl-RS"/>
              </w:rPr>
              <w:t xml:space="preserve">пет </w:t>
            </w:r>
            <w:r w:rsidRPr="00CF77C1">
              <w:rPr>
                <w:rFonts w:eastAsia="Calibri"/>
                <w:spacing w:val="-6"/>
                <w:sz w:val="22"/>
                <w:szCs w:val="22"/>
                <w:bdr w:val="nil"/>
                <w:lang w:val="sr-Cyrl-RS"/>
              </w:rPr>
              <w:t>нових стручњака у Сектору за енергетску ефикасност</w:t>
            </w:r>
            <w:r w:rsidR="00A555ED" w:rsidRPr="00CF77C1">
              <w:rPr>
                <w:rFonts w:eastAsia="Calibri"/>
                <w:spacing w:val="-6"/>
                <w:sz w:val="22"/>
                <w:szCs w:val="22"/>
                <w:bdr w:val="nil"/>
                <w:lang w:val="sr-Cyrl-RS"/>
              </w:rPr>
              <w:t>*</w:t>
            </w:r>
          </w:p>
        </w:tc>
      </w:tr>
      <w:tr w:rsidR="002E0A68" w:rsidRPr="00CF77C1" w14:paraId="4B51BDD2" w14:textId="77777777" w:rsidTr="00A555ED">
        <w:trPr>
          <w:cantSplit/>
        </w:trPr>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2B3A7ADD" w14:textId="77777777" w:rsidR="00873D82" w:rsidRPr="00CF77C1" w:rsidRDefault="00873D82" w:rsidP="0080044B">
            <w:pPr>
              <w:pStyle w:val="Tabletext"/>
              <w:keepNext/>
              <w:keepLines/>
              <w:spacing w:before="20" w:after="20" w:line="240" w:lineRule="auto"/>
              <w:jc w:val="left"/>
              <w:rPr>
                <w:rFonts w:ascii="Times New Roman" w:eastAsia="Calibri" w:hAnsi="Times New Roman"/>
                <w:spacing w:val="-10"/>
                <w:sz w:val="22"/>
                <w:szCs w:val="22"/>
                <w:bdr w:val="nil"/>
                <w:lang w:val="sr-Cyrl-RS"/>
              </w:rPr>
            </w:pPr>
            <w:r w:rsidRPr="00CF77C1">
              <w:rPr>
                <w:rFonts w:ascii="Times New Roman" w:eastAsia="Calibri" w:hAnsi="Times New Roman"/>
                <w:spacing w:val="-10"/>
                <w:sz w:val="22"/>
                <w:szCs w:val="22"/>
                <w:bdr w:val="nil"/>
                <w:lang w:val="sr-Cyrl-RS"/>
              </w:rPr>
              <w:t>Формирање одрживог начина финансирања пројеката енергетске ефикасности</w:t>
            </w:r>
          </w:p>
        </w:tc>
        <w:tc>
          <w:tcPr>
            <w:tcW w:w="2024" w:type="pct"/>
            <w:tcBorders>
              <w:top w:val="single" w:sz="4" w:space="0" w:color="auto"/>
              <w:left w:val="single" w:sz="4" w:space="0" w:color="auto"/>
              <w:bottom w:val="single" w:sz="4" w:space="0" w:color="auto"/>
              <w:right w:val="single" w:sz="4" w:space="0" w:color="auto"/>
            </w:tcBorders>
            <w:vAlign w:val="center"/>
          </w:tcPr>
          <w:p w14:paraId="7D883BF6" w14:textId="77777777" w:rsidR="00873D82" w:rsidRPr="00CF77C1" w:rsidRDefault="00873D82"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Сагледавање могућности за унапређење рада Буџетског фонда за унапређење енергетске ефикасности у постојећим правним условима или уз измену подзаконске регулативе;</w:t>
            </w:r>
          </w:p>
          <w:p w14:paraId="6E7137BD" w14:textId="77777777" w:rsidR="00873D82" w:rsidRPr="00CF77C1" w:rsidRDefault="00873D82"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Обезбеђење већих прихода за рад Буџетског фонда кроз донације, накнаде или друге погодне механизме;</w:t>
            </w:r>
          </w:p>
          <w:p w14:paraId="087432BE" w14:textId="77777777" w:rsidR="00873D82" w:rsidRPr="00CF77C1" w:rsidRDefault="00873D82"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Финансирање пројеката унапређења енергетске ефикасности из повољних кредита међународних финансијских институција;</w:t>
            </w:r>
          </w:p>
          <w:p w14:paraId="6CCB57D8" w14:textId="42557F2F" w:rsidR="00873D82" w:rsidRPr="00CF77C1" w:rsidRDefault="00873D82" w:rsidP="003E39B4">
            <w:pPr>
              <w:pStyle w:val="Tabletext"/>
              <w:keepNext/>
              <w:keepLines/>
              <w:numPr>
                <w:ilvl w:val="0"/>
                <w:numId w:val="58"/>
              </w:numPr>
              <w:spacing w:before="20" w:after="20" w:line="240" w:lineRule="auto"/>
              <w:ind w:left="170" w:hanging="170"/>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Избор оптималног модалитета рада Буџетског фонда који би дао најбоље резултате, са акцентом на могућност да се средства уложена у мере унапређења енергетске ефикасности враћају у фонд и формирање предлога потребне измене законске и подзаконске регулативе релевантне за рад фонда</w:t>
            </w:r>
            <w:r w:rsidR="00534BF5">
              <w:rPr>
                <w:rFonts w:ascii="Times New Roman" w:eastAsia="Calibri" w:hAnsi="Times New Roman"/>
                <w:sz w:val="22"/>
                <w:szCs w:val="22"/>
                <w:bdr w:val="nil"/>
                <w:lang w:val="sr-Cyrl-RS"/>
              </w:rPr>
              <w:t>.</w:t>
            </w:r>
          </w:p>
        </w:tc>
        <w:tc>
          <w:tcPr>
            <w:tcW w:w="722" w:type="pct"/>
            <w:tcBorders>
              <w:top w:val="single" w:sz="4" w:space="0" w:color="auto"/>
              <w:left w:val="single" w:sz="4" w:space="0" w:color="auto"/>
              <w:bottom w:val="single" w:sz="4" w:space="0" w:color="auto"/>
              <w:right w:val="single" w:sz="4" w:space="0" w:color="auto"/>
            </w:tcBorders>
            <w:vAlign w:val="center"/>
          </w:tcPr>
          <w:p w14:paraId="4FF5FBD8" w14:textId="1BF0324E" w:rsidR="00873D82" w:rsidRPr="00CF77C1" w:rsidRDefault="00AC627E" w:rsidP="008C2E90">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873D82" w:rsidRPr="00CF77C1">
              <w:rPr>
                <w:rFonts w:ascii="Times New Roman" w:eastAsia="Calibri" w:hAnsi="Times New Roman"/>
                <w:sz w:val="22"/>
                <w:szCs w:val="22"/>
                <w:bdr w:val="nil"/>
                <w:lang w:val="sr-Cyrl-RS"/>
              </w:rPr>
              <w:t xml:space="preserve"> рударства и енергетике, </w:t>
            </w:r>
            <w:r w:rsidRPr="00CF77C1">
              <w:rPr>
                <w:rFonts w:ascii="Times New Roman" w:eastAsia="Calibri" w:hAnsi="Times New Roman"/>
                <w:sz w:val="22"/>
                <w:szCs w:val="22"/>
                <w:bdr w:val="nil"/>
                <w:lang w:val="sr-Cyrl-RS"/>
              </w:rPr>
              <w:t>м</w:t>
            </w:r>
            <w:r w:rsidR="005C650D" w:rsidRPr="00CF77C1">
              <w:rPr>
                <w:rFonts w:ascii="Times New Roman" w:eastAsia="Calibri" w:hAnsi="Times New Roman"/>
                <w:sz w:val="22"/>
                <w:szCs w:val="22"/>
                <w:bdr w:val="nil"/>
                <w:lang w:val="sr-Cyrl-RS"/>
              </w:rPr>
              <w:t>инистарство надлежно за послове</w:t>
            </w:r>
            <w:r w:rsidR="00873D82" w:rsidRPr="00CF77C1">
              <w:rPr>
                <w:rFonts w:ascii="Times New Roman" w:eastAsia="Calibri" w:hAnsi="Times New Roman"/>
                <w:sz w:val="22"/>
                <w:szCs w:val="22"/>
                <w:bdr w:val="nil"/>
                <w:lang w:val="sr-Cyrl-RS"/>
              </w:rPr>
              <w:t xml:space="preserve"> финансија</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ACB6968" w14:textId="77777777" w:rsidR="00873D82" w:rsidRPr="00CF77C1" w:rsidRDefault="00873D82" w:rsidP="0080044B">
            <w:pPr>
              <w:pStyle w:val="Tabletext"/>
              <w:keepNext/>
              <w:keepLines/>
              <w:spacing w:before="20" w:after="20" w:line="240" w:lineRule="auto"/>
              <w:jc w:val="left"/>
              <w:rPr>
                <w:rFonts w:ascii="Times New Roman" w:eastAsia="Calibri" w:hAnsi="Times New Roman"/>
                <w:sz w:val="22"/>
                <w:szCs w:val="22"/>
                <w:bdr w:val="nil"/>
                <w:lang w:val="sr-Cyrl-RS"/>
              </w:rPr>
            </w:pPr>
            <w:r w:rsidRPr="00CF77C1">
              <w:rPr>
                <w:rFonts w:ascii="Times New Roman" w:eastAsia="Calibri" w:hAnsi="Times New Roman"/>
                <w:sz w:val="22"/>
                <w:szCs w:val="22"/>
                <w:bdr w:val="nil"/>
                <w:lang w:val="sr-Cyrl-RS"/>
              </w:rPr>
              <w:t>Домаћинства, јавни и комерцијални сектор</w:t>
            </w:r>
          </w:p>
        </w:tc>
        <w:tc>
          <w:tcPr>
            <w:tcW w:w="434" w:type="pct"/>
            <w:tcBorders>
              <w:top w:val="single" w:sz="4" w:space="0" w:color="auto"/>
              <w:left w:val="single" w:sz="4" w:space="0" w:color="auto"/>
              <w:bottom w:val="single" w:sz="4" w:space="0" w:color="auto"/>
              <w:right w:val="single" w:sz="4" w:space="0" w:color="auto"/>
            </w:tcBorders>
            <w:shd w:val="clear" w:color="auto" w:fill="auto"/>
            <w:vAlign w:val="center"/>
          </w:tcPr>
          <w:p w14:paraId="58978FC0" w14:textId="77777777" w:rsidR="00873D82" w:rsidRPr="00CF77C1" w:rsidRDefault="00873D82" w:rsidP="0080044B">
            <w:pPr>
              <w:pStyle w:val="Tabletext"/>
              <w:keepNext/>
              <w:keepLines/>
              <w:spacing w:before="20" w:after="20" w:line="240" w:lineRule="auto"/>
              <w:jc w:val="center"/>
              <w:rPr>
                <w:rFonts w:ascii="Times New Roman" w:eastAsia="Calibri" w:hAnsi="Times New Roman"/>
                <w:spacing w:val="-6"/>
                <w:sz w:val="22"/>
                <w:szCs w:val="22"/>
                <w:bdr w:val="nil"/>
                <w:lang w:val="sr-Cyrl-RS"/>
              </w:rPr>
            </w:pPr>
            <w:r w:rsidRPr="00CF77C1">
              <w:rPr>
                <w:rFonts w:ascii="Times New Roman" w:eastAsia="Calibri" w:hAnsi="Times New Roman"/>
                <w:spacing w:val="-6"/>
                <w:sz w:val="22"/>
                <w:szCs w:val="22"/>
                <w:bdr w:val="nil"/>
                <w:lang w:val="sr-Cyrl-RS"/>
              </w:rPr>
              <w:t>2017 - 2023.</w:t>
            </w:r>
          </w:p>
        </w:tc>
        <w:tc>
          <w:tcPr>
            <w:tcW w:w="578" w:type="pct"/>
            <w:tcBorders>
              <w:top w:val="single" w:sz="4" w:space="0" w:color="auto"/>
              <w:left w:val="single" w:sz="4" w:space="0" w:color="auto"/>
              <w:bottom w:val="single" w:sz="4" w:space="0" w:color="auto"/>
              <w:right w:val="single" w:sz="4" w:space="0" w:color="auto"/>
            </w:tcBorders>
            <w:shd w:val="clear" w:color="auto" w:fill="auto"/>
            <w:vAlign w:val="center"/>
          </w:tcPr>
          <w:p w14:paraId="497291D7" w14:textId="77777777" w:rsidR="00873D82" w:rsidRPr="00CF77C1" w:rsidRDefault="00873D82" w:rsidP="0080044B">
            <w:pPr>
              <w:spacing w:before="20" w:after="20"/>
              <w:jc w:val="center"/>
              <w:rPr>
                <w:rFonts w:eastAsia="Calibri"/>
                <w:spacing w:val="-6"/>
                <w:sz w:val="22"/>
                <w:szCs w:val="22"/>
                <w:bdr w:val="nil"/>
                <w:lang w:val="sr-Cyrl-RS"/>
              </w:rPr>
            </w:pPr>
            <w:r w:rsidRPr="00CF77C1">
              <w:rPr>
                <w:rFonts w:eastAsia="Calibri"/>
                <w:spacing w:val="-6"/>
                <w:sz w:val="22"/>
                <w:szCs w:val="22"/>
                <w:bdr w:val="nil"/>
                <w:lang w:val="sr-Cyrl-RS"/>
              </w:rPr>
              <w:t>Број пројеката реализованих из средстава Буџетског фонда</w:t>
            </w:r>
          </w:p>
        </w:tc>
      </w:tr>
    </w:tbl>
    <w:p w14:paraId="42FEEC6E" w14:textId="490C371B" w:rsidR="00A555ED" w:rsidRPr="00CF77C1" w:rsidRDefault="0046275B" w:rsidP="0080044B">
      <w:pPr>
        <w:rPr>
          <w:lang w:val="sr-Cyrl-RS"/>
        </w:rPr>
      </w:pPr>
      <w:r w:rsidRPr="00CF77C1">
        <w:rPr>
          <w:lang w:val="sr-Cyrl-RS"/>
        </w:rPr>
        <w:t>*Напомена: Реализација индикатора за</w:t>
      </w:r>
      <w:r w:rsidR="00623EFC">
        <w:rPr>
          <w:lang w:val="sr-Cyrl-RS"/>
        </w:rPr>
        <w:t>висиће од билансних могућности б</w:t>
      </w:r>
      <w:r w:rsidRPr="00CF77C1">
        <w:rPr>
          <w:lang w:val="sr-Cyrl-RS"/>
        </w:rPr>
        <w:t>уџета Републике Србије у 2018. и 2019. години, као и од Одлуке о максималном броју запослених на неодређено време у систему државних органа за те године.</w:t>
      </w:r>
    </w:p>
    <w:p w14:paraId="0D69EE86" w14:textId="77777777" w:rsidR="00F067CD" w:rsidRPr="00CF77C1" w:rsidRDefault="00F067CD" w:rsidP="0080044B">
      <w:pPr>
        <w:rPr>
          <w:lang w:val="sr-Cyrl-RS"/>
        </w:rPr>
        <w:sectPr w:rsidR="00F067CD" w:rsidRPr="00CF77C1" w:rsidSect="00017454">
          <w:headerReference w:type="default" r:id="rId144"/>
          <w:footerReference w:type="even" r:id="rId145"/>
          <w:footerReference w:type="default" r:id="rId146"/>
          <w:pgSz w:w="16839" w:h="11907" w:orient="landscape" w:code="9"/>
          <w:pgMar w:top="1418" w:right="1134" w:bottom="1134" w:left="1134" w:header="1004" w:footer="720" w:gutter="0"/>
          <w:cols w:space="720"/>
          <w:docGrid w:linePitch="360"/>
        </w:sectPr>
      </w:pPr>
    </w:p>
    <w:p w14:paraId="7B5D755E" w14:textId="1041BE4C" w:rsidR="00BA424A" w:rsidRPr="00CF77C1" w:rsidRDefault="00086DE0" w:rsidP="00086DE0">
      <w:pPr>
        <w:pStyle w:val="Heading1"/>
        <w:numPr>
          <w:ilvl w:val="0"/>
          <w:numId w:val="0"/>
        </w:numPr>
        <w:ind w:left="357" w:firstLine="363"/>
        <w:jc w:val="both"/>
        <w:rPr>
          <w:b w:val="0"/>
          <w:lang w:val="sr-Cyrl-RS"/>
        </w:rPr>
      </w:pPr>
      <w:bookmarkStart w:id="192" w:name="_Toc484260317"/>
      <w:bookmarkStart w:id="193" w:name="_Ref265625063"/>
      <w:bookmarkStart w:id="194" w:name="_Toc265875760"/>
      <w:bookmarkStart w:id="195" w:name="_Toc461727146"/>
      <w:bookmarkStart w:id="196" w:name="_Toc463001135"/>
      <w:r w:rsidRPr="00CF77C1">
        <w:rPr>
          <w:b w:val="0"/>
          <w:lang w:val="sr-Cyrl-RS"/>
        </w:rPr>
        <w:t xml:space="preserve">4. </w:t>
      </w:r>
      <w:r w:rsidR="00BA424A" w:rsidRPr="00CF77C1">
        <w:rPr>
          <w:b w:val="0"/>
          <w:lang w:val="sr-Cyrl-RS"/>
        </w:rPr>
        <w:t>Одређивање приоритета пројеката</w:t>
      </w:r>
      <w:bookmarkEnd w:id="192"/>
      <w:r w:rsidRPr="00CF77C1">
        <w:rPr>
          <w:b w:val="0"/>
          <w:lang w:val="sr-Cyrl-RS"/>
        </w:rPr>
        <w:t xml:space="preserve"> </w:t>
      </w:r>
    </w:p>
    <w:p w14:paraId="7EC82A23" w14:textId="0BB55B37" w:rsidR="00BA424A" w:rsidRPr="00CF77C1" w:rsidRDefault="008151A2" w:rsidP="00D22907">
      <w:pPr>
        <w:ind w:firstLine="720"/>
        <w:rPr>
          <w:lang w:val="sr-Cyrl-RS"/>
        </w:rPr>
      </w:pPr>
      <w:r w:rsidRPr="00CF77C1">
        <w:rPr>
          <w:lang w:val="sr-Cyrl-RS"/>
        </w:rPr>
        <w:t xml:space="preserve">У циљу усклађеног прикупљања информација о стратешким инфраструктурним пројектима у области енергетике и усклађеног третирања појединачних пројеката, те оптималног начина проналажења инвеститора за појединачне </w:t>
      </w:r>
      <w:r w:rsidR="00AC627E" w:rsidRPr="00CF77C1">
        <w:rPr>
          <w:lang w:val="sr-Cyrl-RS"/>
        </w:rPr>
        <w:t>пројекте, Влада</w:t>
      </w:r>
      <w:r w:rsidRPr="00CF77C1">
        <w:rPr>
          <w:lang w:val="sr-Cyrl-RS"/>
        </w:rPr>
        <w:t xml:space="preserve"> је формирала Јединствену</w:t>
      </w:r>
      <w:r w:rsidR="00AD45D9" w:rsidRPr="00CF77C1">
        <w:rPr>
          <w:lang w:val="sr-Cyrl-RS"/>
        </w:rPr>
        <w:t xml:space="preserve"> листу</w:t>
      </w:r>
      <w:r w:rsidRPr="00CF77C1">
        <w:rPr>
          <w:lang w:val="sr-Cyrl-RS"/>
        </w:rPr>
        <w:t xml:space="preserve"> приоритетних инфраструктурних пројеката у области енергетике. З</w:t>
      </w:r>
      <w:r w:rsidR="00AD45D9" w:rsidRPr="00CF77C1">
        <w:rPr>
          <w:lang w:val="sr-Cyrl-RS"/>
        </w:rPr>
        <w:t>а потребе избора п</w:t>
      </w:r>
      <w:r w:rsidR="00BA424A" w:rsidRPr="00CF77C1">
        <w:rPr>
          <w:lang w:val="sr-Cyrl-RS"/>
        </w:rPr>
        <w:t>ројеката који значајно доприносе остварењу стратешких циљева</w:t>
      </w:r>
      <w:r w:rsidRPr="00CF77C1">
        <w:rPr>
          <w:lang w:val="sr-Cyrl-RS"/>
        </w:rPr>
        <w:t>,</w:t>
      </w:r>
      <w:r w:rsidR="00BA424A" w:rsidRPr="00CF77C1">
        <w:rPr>
          <w:lang w:val="sr-Cyrl-RS"/>
        </w:rPr>
        <w:t xml:space="preserve"> </w:t>
      </w:r>
      <w:r w:rsidR="00CF5096" w:rsidRPr="00CF77C1">
        <w:rPr>
          <w:lang w:val="sr-Cyrl-RS"/>
        </w:rPr>
        <w:t>приоритизације тих пројеката, као</w:t>
      </w:r>
      <w:r w:rsidRPr="00CF77C1">
        <w:rPr>
          <w:lang w:val="sr-Cyrl-RS"/>
        </w:rPr>
        <w:t xml:space="preserve"> </w:t>
      </w:r>
      <w:r w:rsidR="00BA424A" w:rsidRPr="00CF77C1">
        <w:rPr>
          <w:lang w:val="sr-Cyrl-RS"/>
        </w:rPr>
        <w:t>и оцене спремности (зрелости) пројекта за реализацију</w:t>
      </w:r>
      <w:r w:rsidR="00CF5096" w:rsidRPr="00CF77C1">
        <w:rPr>
          <w:lang w:val="sr-Cyrl-RS"/>
        </w:rPr>
        <w:t>,</w:t>
      </w:r>
      <w:r w:rsidR="00BA424A" w:rsidRPr="00CF77C1">
        <w:rPr>
          <w:lang w:val="sr-Cyrl-RS"/>
        </w:rPr>
        <w:t xml:space="preserve"> </w:t>
      </w:r>
      <w:r w:rsidR="00AC627E" w:rsidRPr="00CF77C1">
        <w:rPr>
          <w:lang w:val="sr-Cyrl-RS"/>
        </w:rPr>
        <w:t>Влада</w:t>
      </w:r>
      <w:r w:rsidRPr="00CF77C1">
        <w:rPr>
          <w:lang w:val="sr-Cyrl-RS"/>
        </w:rPr>
        <w:t xml:space="preserve"> је </w:t>
      </w:r>
      <w:r w:rsidR="00BA424A" w:rsidRPr="00CF77C1">
        <w:rPr>
          <w:lang w:val="sr-Cyrl-RS"/>
        </w:rPr>
        <w:t xml:space="preserve">формирала посебну Методологију за селекцију и приоритизацију </w:t>
      </w:r>
      <w:r w:rsidR="002500F1" w:rsidRPr="00CF77C1">
        <w:rPr>
          <w:lang w:val="sr-Cyrl-RS"/>
        </w:rPr>
        <w:t xml:space="preserve">инфраструктурних пројеката и Водич за њену примену. </w:t>
      </w:r>
      <w:r w:rsidR="00AD45D9" w:rsidRPr="00CF77C1">
        <w:rPr>
          <w:lang w:val="sr-Cyrl-RS"/>
        </w:rPr>
        <w:t>Ова методологија је примењена з</w:t>
      </w:r>
      <w:r w:rsidR="002500F1" w:rsidRPr="00CF77C1">
        <w:rPr>
          <w:lang w:val="sr-Cyrl-RS"/>
        </w:rPr>
        <w:t>а оцену</w:t>
      </w:r>
      <w:r w:rsidR="00585E18">
        <w:rPr>
          <w:lang w:val="sr-Cyrl-RS"/>
        </w:rPr>
        <w:t xml:space="preserve"> пројеката који су предмет ПОС</w:t>
      </w:r>
      <w:r w:rsidR="00852C89" w:rsidRPr="00CF77C1">
        <w:rPr>
          <w:lang w:val="sr-Cyrl-RS"/>
        </w:rPr>
        <w:t>, а нису били на Јединственој листи,</w:t>
      </w:r>
      <w:r w:rsidR="002500F1" w:rsidRPr="00CF77C1">
        <w:rPr>
          <w:lang w:val="sr-Cyrl-RS"/>
        </w:rPr>
        <w:t xml:space="preserve"> </w:t>
      </w:r>
      <w:r w:rsidRPr="00CF77C1">
        <w:rPr>
          <w:lang w:val="sr-Cyrl-RS"/>
        </w:rPr>
        <w:t xml:space="preserve">ради будућег </w:t>
      </w:r>
      <w:r w:rsidR="00AD45D9" w:rsidRPr="00CF77C1">
        <w:rPr>
          <w:lang w:val="sr-Cyrl-RS"/>
        </w:rPr>
        <w:t>укључења</w:t>
      </w:r>
      <w:r w:rsidRPr="00CF77C1">
        <w:rPr>
          <w:lang w:val="sr-Cyrl-RS"/>
        </w:rPr>
        <w:t xml:space="preserve"> пројеката на ову листу </w:t>
      </w:r>
      <w:r w:rsidR="002500F1" w:rsidRPr="00CF77C1">
        <w:rPr>
          <w:lang w:val="sr-Cyrl-RS"/>
        </w:rPr>
        <w:t xml:space="preserve">и </w:t>
      </w:r>
      <w:r w:rsidRPr="00CF77C1">
        <w:rPr>
          <w:lang w:val="sr-Cyrl-RS"/>
        </w:rPr>
        <w:t xml:space="preserve">предлог допуне Јединствене листе приказан је у </w:t>
      </w:r>
      <w:r w:rsidRPr="00CF77C1">
        <w:rPr>
          <w:lang w:val="sr-Cyrl-RS"/>
        </w:rPr>
        <w:fldChar w:fldCharType="begin"/>
      </w:r>
      <w:r w:rsidRPr="00CF77C1">
        <w:rPr>
          <w:lang w:val="sr-Cyrl-RS"/>
        </w:rPr>
        <w:instrText xml:space="preserve"> REF _Ref478730171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sidRPr="002D5918">
        <w:rPr>
          <w:lang w:val="sr-Cyrl-RS"/>
        </w:rPr>
        <w:t xml:space="preserve">таб. </w:t>
      </w:r>
      <w:r w:rsidR="002D5918" w:rsidRPr="002D5918">
        <w:rPr>
          <w:noProof/>
          <w:lang w:val="sr-Cyrl-RS"/>
        </w:rPr>
        <w:t>129</w:t>
      </w:r>
      <w:r w:rsidRPr="00CF77C1">
        <w:rPr>
          <w:lang w:val="sr-Cyrl-RS"/>
        </w:rPr>
        <w:fldChar w:fldCharType="end"/>
      </w:r>
      <w:r w:rsidR="002500F1" w:rsidRPr="00CF77C1">
        <w:rPr>
          <w:lang w:val="sr-Cyrl-RS"/>
        </w:rPr>
        <w:t>.</w:t>
      </w:r>
      <w:r w:rsidR="00AD45D9" w:rsidRPr="00CF77C1">
        <w:rPr>
          <w:lang w:val="sr-Cyrl-RS"/>
        </w:rPr>
        <w:t xml:space="preserve"> На листу нису укључени пројекти из области рударства.</w:t>
      </w:r>
      <w:r w:rsidR="00852C89" w:rsidRPr="00CF77C1">
        <w:rPr>
          <w:lang w:val="sr-Cyrl-RS"/>
        </w:rPr>
        <w:t xml:space="preserve"> У току 2018. године биће извршена ревизија Јединствене листе у току ће се формирати нови ранг пројеката према извршеном бодовању.</w:t>
      </w:r>
    </w:p>
    <w:p w14:paraId="315DD3F5" w14:textId="5909D51E" w:rsidR="002500F1" w:rsidRPr="00CF77C1" w:rsidRDefault="00217867" w:rsidP="00D22907">
      <w:pPr>
        <w:ind w:firstLine="720"/>
        <w:rPr>
          <w:lang w:val="sr-Cyrl-RS"/>
        </w:rPr>
      </w:pPr>
      <w:r w:rsidRPr="00CF77C1">
        <w:rPr>
          <w:lang w:val="sr-Cyrl-RS"/>
        </w:rPr>
        <w:t>Избор и</w:t>
      </w:r>
      <w:r w:rsidR="002500F1" w:rsidRPr="00CF77C1">
        <w:rPr>
          <w:lang w:val="sr-Cyrl-RS"/>
        </w:rPr>
        <w:t xml:space="preserve"> </w:t>
      </w:r>
      <w:r w:rsidRPr="00CF77C1">
        <w:rPr>
          <w:lang w:val="sr-Cyrl-RS"/>
        </w:rPr>
        <w:t>анализа</w:t>
      </w:r>
      <w:r w:rsidR="002500F1" w:rsidRPr="00CF77C1">
        <w:rPr>
          <w:lang w:val="sr-Cyrl-RS"/>
        </w:rPr>
        <w:t xml:space="preserve"> пројеката</w:t>
      </w:r>
      <w:r w:rsidR="00585E18">
        <w:rPr>
          <w:lang w:val="sr-Cyrl-RS"/>
        </w:rPr>
        <w:t xml:space="preserve"> који су предмет ПОС</w:t>
      </w:r>
      <w:r w:rsidRPr="00CF77C1">
        <w:rPr>
          <w:lang w:val="sr-Cyrl-RS"/>
        </w:rPr>
        <w:t xml:space="preserve"> вршен је на основу стратешких циљева дефинисаних Стратегијом </w:t>
      </w:r>
      <w:r w:rsidR="00B9618D" w:rsidRPr="00CF77C1">
        <w:rPr>
          <w:lang w:val="sr-Cyrl-RS"/>
        </w:rPr>
        <w:t>енергетике</w:t>
      </w:r>
      <w:r w:rsidRPr="00CF77C1">
        <w:rPr>
          <w:lang w:val="sr-Cyrl-RS"/>
        </w:rPr>
        <w:t xml:space="preserve">. Током поступка одређивања приоритета према Методологији процењено је да су неки стратешки циљеви потцењени у систему оцењивања дефинисаног </w:t>
      </w:r>
      <w:r w:rsidR="008151A2" w:rsidRPr="00CF77C1">
        <w:rPr>
          <w:lang w:val="sr-Cyrl-RS"/>
        </w:rPr>
        <w:t>Критеријумима за процену стратешке релевантности пројеката у области енергије</w:t>
      </w:r>
      <w:r w:rsidRPr="00CF77C1">
        <w:rPr>
          <w:lang w:val="sr-Cyrl-RS"/>
        </w:rPr>
        <w:t xml:space="preserve">. У том смислу редефинисан је систем оцена и параметара за оцењивање, као и тежинских фактора појединих оцена да би се адекватно сагледао утицај пројеката на реализацију циљева дефинисаних Стратегијом </w:t>
      </w:r>
      <w:r w:rsidR="00B9618D" w:rsidRPr="00CF77C1">
        <w:rPr>
          <w:lang w:val="sr-Cyrl-RS"/>
        </w:rPr>
        <w:t>енергетике</w:t>
      </w:r>
      <w:r w:rsidRPr="00CF77C1">
        <w:rPr>
          <w:lang w:val="sr-Cyrl-RS"/>
        </w:rPr>
        <w:t xml:space="preserve">. Нове оцене су одређене у распону 1-5, а тежински фактори у распону 1-3. Преглед нових оцена по појединим ефектима пројеката, као и збирних оцена дат је у </w:t>
      </w:r>
      <w:r w:rsidRPr="00CF77C1">
        <w:rPr>
          <w:lang w:val="sr-Cyrl-RS"/>
        </w:rPr>
        <w:fldChar w:fldCharType="begin"/>
      </w:r>
      <w:r w:rsidRPr="00CF77C1">
        <w:rPr>
          <w:lang w:val="sr-Cyrl-RS"/>
        </w:rPr>
        <w:instrText xml:space="preserve"> REF _Ref476119074 \h </w:instrText>
      </w:r>
      <w:r w:rsidR="009F21CF" w:rsidRPr="00CF77C1">
        <w:rPr>
          <w:lang w:val="sr-Cyrl-RS"/>
        </w:rPr>
        <w:instrText xml:space="preserve"> \* MERGEFORMAT </w:instrText>
      </w:r>
      <w:r w:rsidRPr="00CF77C1">
        <w:rPr>
          <w:lang w:val="sr-Cyrl-RS"/>
        </w:rPr>
      </w:r>
      <w:r w:rsidRPr="00CF77C1">
        <w:rPr>
          <w:lang w:val="sr-Cyrl-RS"/>
        </w:rPr>
        <w:fldChar w:fldCharType="separate"/>
      </w:r>
      <w:r w:rsidR="002D5918" w:rsidRPr="002D5918">
        <w:rPr>
          <w:lang w:val="sr-Cyrl-RS"/>
        </w:rPr>
        <w:t>таб. 130</w:t>
      </w:r>
      <w:r w:rsidRPr="00CF77C1">
        <w:rPr>
          <w:lang w:val="sr-Cyrl-RS"/>
        </w:rPr>
        <w:fldChar w:fldCharType="end"/>
      </w:r>
      <w:r w:rsidRPr="00CF77C1">
        <w:rPr>
          <w:lang w:val="sr-Cyrl-RS"/>
        </w:rPr>
        <w:t>.</w:t>
      </w:r>
    </w:p>
    <w:p w14:paraId="00E12798" w14:textId="7AFDF26A" w:rsidR="00F0139B" w:rsidRPr="00CF77C1" w:rsidRDefault="00F0139B" w:rsidP="00D22907">
      <w:pPr>
        <w:ind w:firstLine="720"/>
        <w:rPr>
          <w:lang w:val="sr-Cyrl-RS"/>
        </w:rPr>
      </w:pPr>
      <w:r w:rsidRPr="00CF77C1">
        <w:rPr>
          <w:lang w:val="sr-Cyrl-RS"/>
        </w:rPr>
        <w:t xml:space="preserve">У </w:t>
      </w:r>
      <w:r w:rsidRPr="00CF77C1">
        <w:rPr>
          <w:lang w:val="sr-Cyrl-RS"/>
        </w:rPr>
        <w:fldChar w:fldCharType="begin"/>
      </w:r>
      <w:r w:rsidRPr="00CF77C1">
        <w:rPr>
          <w:lang w:val="sr-Cyrl-RS"/>
        </w:rPr>
        <w:instrText xml:space="preserve"> REF _Ref476119074 \h  \* MERGEFORMAT </w:instrText>
      </w:r>
      <w:r w:rsidRPr="00CF77C1">
        <w:rPr>
          <w:lang w:val="sr-Cyrl-RS"/>
        </w:rPr>
      </w:r>
      <w:r w:rsidRPr="00CF77C1">
        <w:rPr>
          <w:lang w:val="sr-Cyrl-RS"/>
        </w:rPr>
        <w:fldChar w:fldCharType="separate"/>
      </w:r>
      <w:r w:rsidR="002D5918" w:rsidRPr="002D5918">
        <w:rPr>
          <w:lang w:val="sr-Cyrl-RS"/>
        </w:rPr>
        <w:t>таб. 130</w:t>
      </w:r>
      <w:r w:rsidRPr="00CF77C1">
        <w:rPr>
          <w:lang w:val="sr-Cyrl-RS"/>
        </w:rPr>
        <w:fldChar w:fldCharType="end"/>
      </w:r>
      <w:r w:rsidRPr="00CF77C1">
        <w:rPr>
          <w:lang w:val="sr-Cyrl-RS"/>
        </w:rPr>
        <w:t xml:space="preserve"> посебно су истакнути пројекти који се налазе на Јединственој листи</w:t>
      </w:r>
      <w:r w:rsidR="00262E96" w:rsidRPr="00CF77C1">
        <w:rPr>
          <w:lang w:val="sr-Cyrl-RS"/>
        </w:rPr>
        <w:t xml:space="preserve"> </w:t>
      </w:r>
      <w:r w:rsidRPr="00CF77C1">
        <w:rPr>
          <w:lang w:val="sr-Cyrl-RS"/>
        </w:rPr>
        <w:t>приоритетних инфраструктурних пројеката у области енергетике и листама пројеката од међународног значаја</w:t>
      </w:r>
      <w:r w:rsidR="00AD45D9" w:rsidRPr="00CF77C1">
        <w:rPr>
          <w:lang w:val="sr-Cyrl-RS"/>
        </w:rPr>
        <w:t xml:space="preserve">: </w:t>
      </w:r>
      <w:r w:rsidRPr="00CF77C1">
        <w:rPr>
          <w:lang w:val="sr-Cyrl-RS"/>
        </w:rPr>
        <w:t>Приоритетној листи инфраструктурних енергетских пројеката</w:t>
      </w:r>
      <w:r w:rsidR="00CF5096" w:rsidRPr="00CF77C1">
        <w:rPr>
          <w:lang w:val="sr-Cyrl-RS"/>
        </w:rPr>
        <w:t xml:space="preserve"> од значаја за Енергетску заједницу</w:t>
      </w:r>
      <w:r w:rsidRPr="00CF77C1">
        <w:rPr>
          <w:lang w:val="sr-Cyrl-RS"/>
        </w:rPr>
        <w:t xml:space="preserve"> (PECI </w:t>
      </w:r>
      <w:r w:rsidR="00262E96" w:rsidRPr="00CF77C1">
        <w:rPr>
          <w:lang w:val="sr-Cyrl-RS"/>
        </w:rPr>
        <w:t xml:space="preserve">и PMI </w:t>
      </w:r>
      <w:r w:rsidRPr="00CF77C1">
        <w:rPr>
          <w:lang w:val="sr-Cyrl-RS"/>
        </w:rPr>
        <w:t xml:space="preserve">листи), Листи пројеката од заједничког интереса </w:t>
      </w:r>
      <w:r w:rsidR="00CF5096" w:rsidRPr="00CF77C1">
        <w:rPr>
          <w:lang w:val="sr-Cyrl-RS"/>
        </w:rPr>
        <w:t xml:space="preserve">Европске комисије </w:t>
      </w:r>
      <w:r w:rsidRPr="00CF77C1">
        <w:rPr>
          <w:lang w:val="sr-Cyrl-RS"/>
        </w:rPr>
        <w:t>(PCI листи), Листи пројеката инвестиционог оквира Западног Балкана (WBIF листи), Листи пројеката за повезаност гасом средњеисточне и југоисточне Европе (CESEC листи),</w:t>
      </w:r>
      <w:r w:rsidR="00CF5096" w:rsidRPr="00CF77C1">
        <w:rPr>
          <w:lang w:val="sr-Cyrl-RS"/>
        </w:rPr>
        <w:t xml:space="preserve"> Листи пројеката у оквиру иницијативе Западни Балкан 6 (WB6 листи)</w:t>
      </w:r>
      <w:r w:rsidR="00852C89" w:rsidRPr="00CF77C1">
        <w:rPr>
          <w:lang w:val="sr-Cyrl-RS"/>
        </w:rPr>
        <w:t>,</w:t>
      </w:r>
      <w:r w:rsidRPr="00CF77C1">
        <w:rPr>
          <w:lang w:val="sr-Cyrl-RS"/>
        </w:rPr>
        <w:t xml:space="preserve"> групи пројеката за која су алоцирана средства у оквиру више рунди билатералних преговора између Влада</w:t>
      </w:r>
      <w:r w:rsidR="00B471D5">
        <w:rPr>
          <w:lang w:val="sr-Cyrl-RS"/>
        </w:rPr>
        <w:t xml:space="preserve"> Савезне Републике</w:t>
      </w:r>
      <w:r w:rsidRPr="00CF77C1">
        <w:rPr>
          <w:lang w:val="sr-Cyrl-RS"/>
        </w:rPr>
        <w:t xml:space="preserve"> Немачке и</w:t>
      </w:r>
      <w:r w:rsidR="00585E18">
        <w:rPr>
          <w:lang w:val="sr-Cyrl-RS"/>
        </w:rPr>
        <w:t xml:space="preserve"> Владе</w:t>
      </w:r>
      <w:r w:rsidRPr="00CF77C1">
        <w:rPr>
          <w:lang w:val="sr-Cyrl-RS"/>
        </w:rPr>
        <w:t xml:space="preserve"> Републике Србије.</w:t>
      </w:r>
    </w:p>
    <w:p w14:paraId="60056B90" w14:textId="02AC6E04" w:rsidR="00BA424A" w:rsidRPr="00CF77C1" w:rsidRDefault="00C21665" w:rsidP="00D22907">
      <w:pPr>
        <w:ind w:firstLine="720"/>
        <w:rPr>
          <w:lang w:val="sr-Cyrl-RS"/>
        </w:rPr>
      </w:pPr>
      <w:r w:rsidRPr="007E447E">
        <w:rPr>
          <w:lang w:val="sr-Cyrl-RS"/>
        </w:rPr>
        <w:t xml:space="preserve">У </w:t>
      </w:r>
      <w:r w:rsidRPr="007E447E">
        <w:rPr>
          <w:lang w:val="sr-Cyrl-RS"/>
        </w:rPr>
        <w:fldChar w:fldCharType="begin"/>
      </w:r>
      <w:r w:rsidRPr="007E447E">
        <w:rPr>
          <w:lang w:val="sr-Cyrl-RS"/>
        </w:rPr>
        <w:instrText xml:space="preserve"> REF _Ref476814370 \h </w:instrText>
      </w:r>
      <w:r w:rsidR="0077363A" w:rsidRPr="007E447E">
        <w:rPr>
          <w:lang w:val="sr-Cyrl-RS"/>
        </w:rPr>
        <w:instrText xml:space="preserve"> \* MERGEFORMAT </w:instrText>
      </w:r>
      <w:r w:rsidRPr="007E447E">
        <w:rPr>
          <w:lang w:val="sr-Cyrl-RS"/>
        </w:rPr>
      </w:r>
      <w:r w:rsidRPr="007E447E">
        <w:rPr>
          <w:lang w:val="sr-Cyrl-RS"/>
        </w:rPr>
        <w:fldChar w:fldCharType="separate"/>
      </w:r>
      <w:r w:rsidR="002D5918" w:rsidRPr="002D5918">
        <w:rPr>
          <w:lang w:val="sr-Cyrl-RS"/>
        </w:rPr>
        <w:t>таб. 131</w:t>
      </w:r>
      <w:r w:rsidRPr="007E447E">
        <w:rPr>
          <w:lang w:val="sr-Cyrl-RS"/>
        </w:rPr>
        <w:fldChar w:fldCharType="end"/>
      </w:r>
      <w:r w:rsidRPr="00CF77C1">
        <w:rPr>
          <w:lang w:val="sr-Cyrl-RS"/>
        </w:rPr>
        <w:t xml:space="preserve"> дата је ранг листа пројеката</w:t>
      </w:r>
      <w:r w:rsidR="00585E18">
        <w:rPr>
          <w:lang w:val="sr-Cyrl-RS"/>
        </w:rPr>
        <w:t xml:space="preserve"> разматраних у оквиру ПОС</w:t>
      </w:r>
      <w:r w:rsidRPr="00CF77C1">
        <w:rPr>
          <w:lang w:val="sr-Cyrl-RS"/>
        </w:rPr>
        <w:t xml:space="preserve"> у складу са оценама из </w:t>
      </w:r>
      <w:r w:rsidRPr="00CF77C1">
        <w:rPr>
          <w:lang w:val="sr-Cyrl-RS"/>
        </w:rPr>
        <w:fldChar w:fldCharType="begin"/>
      </w:r>
      <w:r w:rsidRPr="00CF77C1">
        <w:rPr>
          <w:lang w:val="sr-Cyrl-RS"/>
        </w:rPr>
        <w:instrText xml:space="preserve"> REF _Ref476119074 \h  \* MERGEFORMAT </w:instrText>
      </w:r>
      <w:r w:rsidRPr="00CF77C1">
        <w:rPr>
          <w:lang w:val="sr-Cyrl-RS"/>
        </w:rPr>
      </w:r>
      <w:r w:rsidRPr="00CF77C1">
        <w:rPr>
          <w:lang w:val="sr-Cyrl-RS"/>
        </w:rPr>
        <w:fldChar w:fldCharType="separate"/>
      </w:r>
      <w:r w:rsidR="002D5918" w:rsidRPr="002D5918">
        <w:rPr>
          <w:lang w:val="sr-Cyrl-RS"/>
        </w:rPr>
        <w:t>таб. 130</w:t>
      </w:r>
      <w:r w:rsidRPr="00CF77C1">
        <w:rPr>
          <w:lang w:val="sr-Cyrl-RS"/>
        </w:rPr>
        <w:fldChar w:fldCharType="end"/>
      </w:r>
      <w:r w:rsidRPr="00CF77C1">
        <w:rPr>
          <w:lang w:val="sr-Cyrl-RS"/>
        </w:rPr>
        <w:t xml:space="preserve">, при чему је за сваки пројекат дат </w:t>
      </w:r>
      <w:r w:rsidR="008151A2" w:rsidRPr="00CF77C1">
        <w:rPr>
          <w:lang w:val="sr-Cyrl-RS"/>
        </w:rPr>
        <w:t xml:space="preserve">следећи скуп информација: одговорни субјекат, кратак опис пројекта, </w:t>
      </w:r>
      <w:r w:rsidRPr="00CF77C1">
        <w:rPr>
          <w:lang w:val="sr-Cyrl-RS"/>
        </w:rPr>
        <w:t xml:space="preserve">кратак преглед </w:t>
      </w:r>
      <w:r w:rsidR="008151A2" w:rsidRPr="00CF77C1">
        <w:rPr>
          <w:lang w:val="sr-Cyrl-RS"/>
        </w:rPr>
        <w:t xml:space="preserve">стратешких приоритета </w:t>
      </w:r>
      <w:r w:rsidRPr="00CF77C1">
        <w:rPr>
          <w:lang w:val="sr-Cyrl-RS"/>
        </w:rPr>
        <w:t xml:space="preserve">Стратегије </w:t>
      </w:r>
      <w:r w:rsidR="00B9618D" w:rsidRPr="00CF77C1">
        <w:rPr>
          <w:lang w:val="sr-Cyrl-RS"/>
        </w:rPr>
        <w:t>енергетике</w:t>
      </w:r>
      <w:r w:rsidR="008151A2" w:rsidRPr="00CF77C1">
        <w:rPr>
          <w:lang w:val="sr-Cyrl-RS"/>
        </w:rPr>
        <w:t xml:space="preserve"> којима пројекат доприноси</w:t>
      </w:r>
      <w:r w:rsidRPr="00CF77C1">
        <w:rPr>
          <w:lang w:val="sr-Cyrl-RS"/>
        </w:rPr>
        <w:t xml:space="preserve">, </w:t>
      </w:r>
      <w:r w:rsidR="008151A2" w:rsidRPr="00CF77C1">
        <w:rPr>
          <w:lang w:val="sr-Cyrl-RS"/>
        </w:rPr>
        <w:t>припремљеност планске и техничке документације за реализацију, информација о томе да ли су обезбеђени извори</w:t>
      </w:r>
      <w:r w:rsidR="00AD45D9" w:rsidRPr="00CF77C1">
        <w:rPr>
          <w:lang w:val="sr-Cyrl-RS"/>
        </w:rPr>
        <w:t xml:space="preserve"> за</w:t>
      </w:r>
      <w:r w:rsidR="008151A2" w:rsidRPr="00CF77C1">
        <w:rPr>
          <w:lang w:val="sr-Cyrl-RS"/>
        </w:rPr>
        <w:t xml:space="preserve"> фи</w:t>
      </w:r>
      <w:r w:rsidR="00AD45D9" w:rsidRPr="00CF77C1">
        <w:rPr>
          <w:lang w:val="sr-Cyrl-RS"/>
        </w:rPr>
        <w:t>нансирање</w:t>
      </w:r>
      <w:r w:rsidR="008151A2" w:rsidRPr="00CF77C1">
        <w:rPr>
          <w:lang w:val="sr-Cyrl-RS"/>
        </w:rPr>
        <w:t xml:space="preserve"> пројекта, преглед основних ризика по реализацију</w:t>
      </w:r>
      <w:r w:rsidRPr="00CF77C1">
        <w:rPr>
          <w:lang w:val="sr-Cyrl-RS"/>
        </w:rPr>
        <w:t xml:space="preserve"> пројекта</w:t>
      </w:r>
      <w:r w:rsidR="00776D71" w:rsidRPr="00CF77C1">
        <w:rPr>
          <w:lang w:val="sr-Cyrl-RS"/>
        </w:rPr>
        <w:t>, вредност пројекта и период реа</w:t>
      </w:r>
      <w:r w:rsidR="006C729D">
        <w:rPr>
          <w:lang w:val="sr-Cyrl-RS"/>
        </w:rPr>
        <w:t>лизације током реализације ПОС</w:t>
      </w:r>
      <w:r w:rsidRPr="00CF77C1">
        <w:rPr>
          <w:lang w:val="sr-Cyrl-RS"/>
        </w:rPr>
        <w:t>.</w:t>
      </w:r>
      <w:r w:rsidR="00624C44" w:rsidRPr="00CF77C1">
        <w:rPr>
          <w:lang w:val="sr-Cyrl-RS"/>
        </w:rPr>
        <w:t xml:space="preserve"> Приказана листа је подложна променама саг</w:t>
      </w:r>
      <w:r w:rsidR="006C729D">
        <w:rPr>
          <w:lang w:val="sr-Cyrl-RS"/>
        </w:rPr>
        <w:t>ласно евентуалним изменама ПОС</w:t>
      </w:r>
      <w:r w:rsidR="00624C44" w:rsidRPr="00CF77C1">
        <w:rPr>
          <w:lang w:val="sr-Cyrl-RS"/>
        </w:rPr>
        <w:t xml:space="preserve"> о чијој реализацији постоји обавеза двогодишњег извештавања ко</w:t>
      </w:r>
      <w:r w:rsidR="006C729D">
        <w:rPr>
          <w:lang w:val="sr-Cyrl-RS"/>
        </w:rPr>
        <w:t>ја може произвести и измену ПОС</w:t>
      </w:r>
      <w:r w:rsidR="0049024D" w:rsidRPr="00CF77C1">
        <w:rPr>
          <w:lang w:val="sr-Cyrl-RS"/>
        </w:rPr>
        <w:t xml:space="preserve"> сагласно Закону о енергетици.</w:t>
      </w:r>
    </w:p>
    <w:p w14:paraId="4B603DE0" w14:textId="77777777" w:rsidR="002500F1" w:rsidRPr="00CF77C1" w:rsidRDefault="002500F1" w:rsidP="00BA424A">
      <w:pPr>
        <w:rPr>
          <w:lang w:val="sr-Cyrl-RS"/>
        </w:rPr>
        <w:sectPr w:rsidR="002500F1" w:rsidRPr="00CF77C1" w:rsidSect="00017454">
          <w:headerReference w:type="default" r:id="rId147"/>
          <w:footerReference w:type="default" r:id="rId148"/>
          <w:pgSz w:w="11907" w:h="16839" w:code="9"/>
          <w:pgMar w:top="1134" w:right="1134" w:bottom="1134" w:left="1418" w:header="720" w:footer="720" w:gutter="0"/>
          <w:cols w:space="720"/>
          <w:docGrid w:linePitch="360"/>
        </w:sectPr>
      </w:pPr>
    </w:p>
    <w:p w14:paraId="77EACD87" w14:textId="593E2E0C" w:rsidR="00AF2E80" w:rsidRPr="00CF77C1" w:rsidRDefault="00AF2E80" w:rsidP="00D22907">
      <w:pPr>
        <w:pStyle w:val="Caption"/>
        <w:ind w:firstLine="720"/>
        <w:rPr>
          <w:b w:val="0"/>
          <w:lang w:val="sr-Cyrl-RS"/>
        </w:rPr>
      </w:pPr>
      <w:bookmarkStart w:id="197" w:name="_Ref478730171"/>
      <w:bookmarkStart w:id="198" w:name="_Ref479957984"/>
      <w:r w:rsidRPr="00CF77C1">
        <w:rPr>
          <w:b w:val="0"/>
          <w:lang w:val="sr-Cyrl-RS"/>
        </w:rPr>
        <w:t xml:space="preserve">таб. </w:t>
      </w:r>
      <w:r w:rsidRPr="00CF77C1">
        <w:rPr>
          <w:b w:val="0"/>
          <w:lang w:val="sr-Cyrl-RS"/>
        </w:rPr>
        <w:fldChar w:fldCharType="begin"/>
      </w:r>
      <w:r w:rsidRPr="00CF77C1">
        <w:rPr>
          <w:b w:val="0"/>
          <w:lang w:val="sr-Cyrl-RS"/>
        </w:rPr>
        <w:instrText xml:space="preserve"> SEQ таб. \* ARABIC </w:instrText>
      </w:r>
      <w:r w:rsidRPr="00CF77C1">
        <w:rPr>
          <w:b w:val="0"/>
          <w:lang w:val="sr-Cyrl-RS"/>
        </w:rPr>
        <w:fldChar w:fldCharType="separate"/>
      </w:r>
      <w:r w:rsidR="002D5918">
        <w:rPr>
          <w:b w:val="0"/>
          <w:noProof/>
          <w:lang w:val="sr-Cyrl-RS"/>
        </w:rPr>
        <w:t>129</w:t>
      </w:r>
      <w:r w:rsidRPr="00CF77C1">
        <w:rPr>
          <w:b w:val="0"/>
          <w:lang w:val="sr-Cyrl-RS"/>
        </w:rPr>
        <w:fldChar w:fldCharType="end"/>
      </w:r>
      <w:bookmarkEnd w:id="197"/>
      <w:r w:rsidRPr="00CF77C1">
        <w:rPr>
          <w:b w:val="0"/>
          <w:lang w:val="sr-Cyrl-RS"/>
        </w:rPr>
        <w:t>: Допуњена Јединствена листа инфраструктурних пројеката у области енергетике</w:t>
      </w:r>
      <w:r w:rsidR="006C729D">
        <w:rPr>
          <w:b w:val="0"/>
          <w:lang w:val="sr-Cyrl-RS"/>
        </w:rPr>
        <w:t xml:space="preserve"> која укључује пројекте из ПОС</w:t>
      </w:r>
      <w:r w:rsidRPr="00CF77C1">
        <w:rPr>
          <w:b w:val="0"/>
          <w:lang w:val="sr-Cyrl-RS"/>
        </w:rPr>
        <w:t xml:space="preserve"> (искључујући пројекте из области рударства и пројекте обновљивих извора енергије које реализују приватни инвеститори)</w:t>
      </w:r>
      <w:bookmarkEnd w:id="198"/>
    </w:p>
    <w:tbl>
      <w:tblPr>
        <w:tblStyle w:val="TableGrid"/>
        <w:tblW w:w="0" w:type="auto"/>
        <w:tblLook w:val="04A0" w:firstRow="1" w:lastRow="0" w:firstColumn="1" w:lastColumn="0" w:noHBand="0" w:noVBand="1"/>
      </w:tblPr>
      <w:tblGrid>
        <w:gridCol w:w="1384"/>
        <w:gridCol w:w="13403"/>
      </w:tblGrid>
      <w:tr w:rsidR="00C52F39" w:rsidRPr="00CF77C1" w14:paraId="20B7C05D" w14:textId="77777777" w:rsidTr="00C52F39">
        <w:tc>
          <w:tcPr>
            <w:tcW w:w="1384" w:type="dxa"/>
            <w:tcBorders>
              <w:top w:val="single" w:sz="18" w:space="0" w:color="auto"/>
              <w:left w:val="single" w:sz="18" w:space="0" w:color="auto"/>
              <w:bottom w:val="single" w:sz="18" w:space="0" w:color="auto"/>
              <w:right w:val="single" w:sz="18" w:space="0" w:color="auto"/>
            </w:tcBorders>
          </w:tcPr>
          <w:p w14:paraId="0C4606DF" w14:textId="77777777" w:rsidR="00C52F39" w:rsidRPr="00CF77C1" w:rsidRDefault="00C52F39" w:rsidP="00C52F39">
            <w:pPr>
              <w:rPr>
                <w:lang w:val="sr-Cyrl-RS"/>
              </w:rPr>
            </w:pPr>
          </w:p>
        </w:tc>
        <w:tc>
          <w:tcPr>
            <w:tcW w:w="13403" w:type="dxa"/>
            <w:tcBorders>
              <w:top w:val="nil"/>
              <w:left w:val="single" w:sz="18" w:space="0" w:color="auto"/>
              <w:bottom w:val="nil"/>
              <w:right w:val="nil"/>
            </w:tcBorders>
          </w:tcPr>
          <w:p w14:paraId="75823EFF" w14:textId="30E5C28C" w:rsidR="00C52F39" w:rsidRPr="00CF77C1" w:rsidRDefault="00C52F39" w:rsidP="00C52F39">
            <w:pPr>
              <w:rPr>
                <w:sz w:val="20"/>
                <w:lang w:val="sr-Cyrl-RS"/>
              </w:rPr>
            </w:pPr>
            <w:r w:rsidRPr="00CF77C1">
              <w:rPr>
                <w:sz w:val="20"/>
                <w:lang w:val="sr-Cyrl-RS"/>
              </w:rPr>
              <w:t xml:space="preserve"> - пројект</w:t>
            </w:r>
            <w:r w:rsidR="00585E18">
              <w:rPr>
                <w:sz w:val="20"/>
                <w:lang w:val="sr-Cyrl-RS"/>
              </w:rPr>
              <w:t>и у оквиру ПОС</w:t>
            </w:r>
            <w:r w:rsidRPr="00CF77C1">
              <w:rPr>
                <w:sz w:val="20"/>
                <w:lang w:val="sr-Cyrl-RS"/>
              </w:rPr>
              <w:t xml:space="preserve"> који нису на Јединственој листи инфраструктурних пројеката у области енергетике</w:t>
            </w:r>
          </w:p>
        </w:tc>
      </w:tr>
      <w:tr w:rsidR="00C52F39" w:rsidRPr="00CF77C1" w14:paraId="08E61553" w14:textId="77777777" w:rsidTr="00C52F39">
        <w:trPr>
          <w:trHeight w:val="121"/>
        </w:trPr>
        <w:tc>
          <w:tcPr>
            <w:tcW w:w="1384" w:type="dxa"/>
            <w:tcBorders>
              <w:top w:val="single" w:sz="18" w:space="0" w:color="auto"/>
              <w:left w:val="nil"/>
              <w:bottom w:val="dashed" w:sz="18" w:space="0" w:color="auto"/>
              <w:right w:val="nil"/>
            </w:tcBorders>
          </w:tcPr>
          <w:p w14:paraId="4DB472C4" w14:textId="77777777" w:rsidR="00C52F39" w:rsidRPr="00CF77C1" w:rsidRDefault="00C52F39" w:rsidP="00C52F39">
            <w:pPr>
              <w:rPr>
                <w:sz w:val="2"/>
                <w:szCs w:val="2"/>
                <w:lang w:val="sr-Cyrl-RS"/>
              </w:rPr>
            </w:pPr>
          </w:p>
        </w:tc>
        <w:tc>
          <w:tcPr>
            <w:tcW w:w="13403" w:type="dxa"/>
            <w:tcBorders>
              <w:top w:val="nil"/>
              <w:left w:val="nil"/>
              <w:bottom w:val="nil"/>
              <w:right w:val="nil"/>
            </w:tcBorders>
          </w:tcPr>
          <w:p w14:paraId="1EA3B1BB" w14:textId="77777777" w:rsidR="00C52F39" w:rsidRPr="00CF77C1" w:rsidRDefault="00C52F39" w:rsidP="00C52F39">
            <w:pPr>
              <w:rPr>
                <w:sz w:val="2"/>
                <w:szCs w:val="2"/>
                <w:lang w:val="sr-Cyrl-RS"/>
              </w:rPr>
            </w:pPr>
          </w:p>
        </w:tc>
      </w:tr>
      <w:tr w:rsidR="00C52F39" w:rsidRPr="00CF77C1" w14:paraId="3610711D" w14:textId="77777777" w:rsidTr="00C52F39">
        <w:tc>
          <w:tcPr>
            <w:tcW w:w="1384" w:type="dxa"/>
            <w:tcBorders>
              <w:top w:val="dashed" w:sz="18" w:space="0" w:color="auto"/>
              <w:left w:val="dashed" w:sz="18" w:space="0" w:color="auto"/>
              <w:bottom w:val="dashed" w:sz="18" w:space="0" w:color="auto"/>
              <w:right w:val="dashed" w:sz="18" w:space="0" w:color="auto"/>
            </w:tcBorders>
          </w:tcPr>
          <w:p w14:paraId="445B6FD9" w14:textId="77777777" w:rsidR="00C52F39" w:rsidRPr="00CF77C1" w:rsidRDefault="00C52F39" w:rsidP="00C52F39">
            <w:pPr>
              <w:rPr>
                <w:lang w:val="sr-Cyrl-RS"/>
              </w:rPr>
            </w:pPr>
          </w:p>
        </w:tc>
        <w:tc>
          <w:tcPr>
            <w:tcW w:w="13403" w:type="dxa"/>
            <w:tcBorders>
              <w:top w:val="nil"/>
              <w:left w:val="dashed" w:sz="18" w:space="0" w:color="auto"/>
              <w:bottom w:val="nil"/>
              <w:right w:val="nil"/>
            </w:tcBorders>
          </w:tcPr>
          <w:p w14:paraId="02DEBD4A" w14:textId="779DABF1" w:rsidR="00C52F39" w:rsidRPr="00CF77C1" w:rsidRDefault="00C52F39" w:rsidP="00C52F39">
            <w:pPr>
              <w:rPr>
                <w:sz w:val="20"/>
                <w:lang w:val="sr-Cyrl-RS"/>
              </w:rPr>
            </w:pPr>
            <w:r w:rsidRPr="00CF77C1">
              <w:rPr>
                <w:sz w:val="20"/>
                <w:lang w:val="sr-Cyrl-RS"/>
              </w:rPr>
              <w:t>- пр</w:t>
            </w:r>
            <w:r w:rsidR="00585E18">
              <w:rPr>
                <w:sz w:val="20"/>
                <w:lang w:val="sr-Cyrl-RS"/>
              </w:rPr>
              <w:t>ојекти који су обухваћени ПОС</w:t>
            </w:r>
            <w:r w:rsidRPr="00CF77C1">
              <w:rPr>
                <w:sz w:val="20"/>
                <w:lang w:val="sr-Cyrl-RS"/>
              </w:rPr>
              <w:t>, а већ се налазе на Јединственој листи инфраструктурних пројеката у области енергетике</w:t>
            </w:r>
          </w:p>
        </w:tc>
      </w:tr>
      <w:tr w:rsidR="00C52F39" w:rsidRPr="00CF77C1" w14:paraId="52E102BE" w14:textId="77777777" w:rsidTr="00C52F39">
        <w:tc>
          <w:tcPr>
            <w:tcW w:w="1384" w:type="dxa"/>
            <w:tcBorders>
              <w:top w:val="dashed" w:sz="18" w:space="0" w:color="auto"/>
              <w:left w:val="nil"/>
              <w:bottom w:val="single" w:sz="4" w:space="0" w:color="auto"/>
              <w:right w:val="nil"/>
            </w:tcBorders>
          </w:tcPr>
          <w:p w14:paraId="7C8ABC00" w14:textId="77777777" w:rsidR="00C52F39" w:rsidRPr="00CF77C1" w:rsidRDefault="00C52F39" w:rsidP="00C52F39">
            <w:pPr>
              <w:rPr>
                <w:sz w:val="2"/>
                <w:szCs w:val="2"/>
                <w:lang w:val="sr-Cyrl-RS"/>
              </w:rPr>
            </w:pPr>
          </w:p>
        </w:tc>
        <w:tc>
          <w:tcPr>
            <w:tcW w:w="13403" w:type="dxa"/>
            <w:tcBorders>
              <w:top w:val="nil"/>
              <w:left w:val="nil"/>
              <w:bottom w:val="nil"/>
              <w:right w:val="nil"/>
            </w:tcBorders>
          </w:tcPr>
          <w:p w14:paraId="715B33D9" w14:textId="77777777" w:rsidR="00C52F39" w:rsidRPr="00CF77C1" w:rsidRDefault="00C52F39" w:rsidP="00C52F39">
            <w:pPr>
              <w:rPr>
                <w:sz w:val="2"/>
                <w:szCs w:val="2"/>
                <w:lang w:val="sr-Cyrl-RS"/>
              </w:rPr>
            </w:pPr>
          </w:p>
        </w:tc>
      </w:tr>
      <w:tr w:rsidR="00C52F39" w:rsidRPr="00CF77C1" w14:paraId="3C5EA83C" w14:textId="77777777" w:rsidTr="00C52F39">
        <w:tc>
          <w:tcPr>
            <w:tcW w:w="1384" w:type="dxa"/>
            <w:tcBorders>
              <w:bottom w:val="single" w:sz="4" w:space="0" w:color="auto"/>
            </w:tcBorders>
            <w:shd w:val="pct10" w:color="auto" w:fill="auto"/>
          </w:tcPr>
          <w:p w14:paraId="43F46E9C" w14:textId="77777777" w:rsidR="00C52F39" w:rsidRPr="00CF77C1" w:rsidRDefault="00C52F39" w:rsidP="00C52F39">
            <w:pPr>
              <w:rPr>
                <w:lang w:val="sr-Cyrl-RS"/>
              </w:rPr>
            </w:pPr>
          </w:p>
        </w:tc>
        <w:tc>
          <w:tcPr>
            <w:tcW w:w="13403" w:type="dxa"/>
            <w:tcBorders>
              <w:top w:val="nil"/>
              <w:bottom w:val="nil"/>
              <w:right w:val="nil"/>
            </w:tcBorders>
          </w:tcPr>
          <w:p w14:paraId="1344402D" w14:textId="7E58924E" w:rsidR="00C52F39" w:rsidRPr="00CF77C1" w:rsidRDefault="00C52F39" w:rsidP="00C52F39">
            <w:pPr>
              <w:rPr>
                <w:sz w:val="20"/>
                <w:lang w:val="sr-Cyrl-RS"/>
              </w:rPr>
            </w:pPr>
            <w:r w:rsidRPr="00CF77C1">
              <w:rPr>
                <w:sz w:val="20"/>
                <w:lang w:val="sr-Cyrl-RS"/>
              </w:rPr>
              <w:t>- пројекти за које је обезбеђено финансирање или обезбеђивање финансирања у току, односно, извесно је да ће финансирање бити обезбеђено</w:t>
            </w:r>
          </w:p>
        </w:tc>
      </w:tr>
    </w:tbl>
    <w:p w14:paraId="363A1DBC" w14:textId="77777777" w:rsidR="00C52F39" w:rsidRPr="00CF77C1" w:rsidRDefault="00C52F39" w:rsidP="00C52F39">
      <w:pPr>
        <w:rPr>
          <w:sz w:val="2"/>
          <w:szCs w:val="2"/>
          <w:lang w:val="sr-Cyrl-RS"/>
        </w:rPr>
      </w:pPr>
    </w:p>
    <w:tbl>
      <w:tblPr>
        <w:tblStyle w:val="TableGrid"/>
        <w:tblW w:w="0" w:type="auto"/>
        <w:tblLook w:val="04A0" w:firstRow="1" w:lastRow="0" w:firstColumn="1" w:lastColumn="0" w:noHBand="0" w:noVBand="1"/>
      </w:tblPr>
      <w:tblGrid>
        <w:gridCol w:w="1086"/>
        <w:gridCol w:w="6677"/>
        <w:gridCol w:w="1963"/>
        <w:gridCol w:w="1429"/>
        <w:gridCol w:w="1711"/>
        <w:gridCol w:w="1921"/>
      </w:tblGrid>
      <w:tr w:rsidR="00DE7534" w:rsidRPr="00CF77C1" w14:paraId="351E4807" w14:textId="77777777" w:rsidTr="008151A2">
        <w:trPr>
          <w:cantSplit/>
          <w:tblHeader/>
        </w:trPr>
        <w:tc>
          <w:tcPr>
            <w:tcW w:w="1086" w:type="dxa"/>
            <w:tcBorders>
              <w:bottom w:val="single" w:sz="18" w:space="0" w:color="auto"/>
            </w:tcBorders>
            <w:vAlign w:val="center"/>
          </w:tcPr>
          <w:p w14:paraId="472489A2" w14:textId="0CC0F6FF" w:rsidR="00AF2E80" w:rsidRPr="00CF77C1" w:rsidRDefault="00AF2E80" w:rsidP="00AF2E80">
            <w:pPr>
              <w:jc w:val="center"/>
              <w:rPr>
                <w:lang w:val="sr-Cyrl-RS"/>
              </w:rPr>
            </w:pPr>
            <w:r w:rsidRPr="00CF77C1">
              <w:rPr>
                <w:lang w:val="sr-Cyrl-RS"/>
              </w:rPr>
              <w:t>Ранг пројекта</w:t>
            </w:r>
          </w:p>
        </w:tc>
        <w:tc>
          <w:tcPr>
            <w:tcW w:w="6677" w:type="dxa"/>
            <w:tcBorders>
              <w:bottom w:val="single" w:sz="18" w:space="0" w:color="auto"/>
            </w:tcBorders>
            <w:vAlign w:val="center"/>
          </w:tcPr>
          <w:p w14:paraId="5FC0E337" w14:textId="61D039CD" w:rsidR="00AF2E80" w:rsidRPr="00CF77C1" w:rsidRDefault="00AF2E80" w:rsidP="00AF2E80">
            <w:pPr>
              <w:jc w:val="center"/>
              <w:rPr>
                <w:lang w:val="sr-Cyrl-RS"/>
              </w:rPr>
            </w:pPr>
            <w:r w:rsidRPr="00CF77C1">
              <w:rPr>
                <w:lang w:val="sr-Cyrl-RS"/>
              </w:rPr>
              <w:t>Назив пројекта</w:t>
            </w:r>
          </w:p>
        </w:tc>
        <w:tc>
          <w:tcPr>
            <w:tcW w:w="1963" w:type="dxa"/>
            <w:tcBorders>
              <w:bottom w:val="single" w:sz="18" w:space="0" w:color="auto"/>
            </w:tcBorders>
            <w:vAlign w:val="center"/>
          </w:tcPr>
          <w:p w14:paraId="05D9AD3F" w14:textId="0C464AE9" w:rsidR="00AF2E80" w:rsidRPr="00CF77C1" w:rsidRDefault="00AF2E80" w:rsidP="00AF2E80">
            <w:pPr>
              <w:jc w:val="center"/>
              <w:rPr>
                <w:lang w:val="sr-Cyrl-RS"/>
              </w:rPr>
            </w:pPr>
            <w:r w:rsidRPr="00CF77C1">
              <w:rPr>
                <w:lang w:val="sr-Cyrl-RS"/>
              </w:rPr>
              <w:t>Вредност пројекта</w:t>
            </w:r>
          </w:p>
        </w:tc>
        <w:tc>
          <w:tcPr>
            <w:tcW w:w="1429" w:type="dxa"/>
            <w:tcBorders>
              <w:bottom w:val="single" w:sz="18" w:space="0" w:color="auto"/>
            </w:tcBorders>
            <w:vAlign w:val="center"/>
          </w:tcPr>
          <w:p w14:paraId="03FCC358" w14:textId="7B985279" w:rsidR="00AF2E80" w:rsidRPr="00CF77C1" w:rsidRDefault="00AF2E80" w:rsidP="00AF2E80">
            <w:pPr>
              <w:jc w:val="center"/>
              <w:rPr>
                <w:lang w:val="sr-Cyrl-RS"/>
              </w:rPr>
            </w:pPr>
            <w:r w:rsidRPr="00CF77C1">
              <w:rPr>
                <w:lang w:val="sr-Cyrl-RS"/>
              </w:rPr>
              <w:t>Период реализације</w:t>
            </w:r>
          </w:p>
        </w:tc>
        <w:tc>
          <w:tcPr>
            <w:tcW w:w="1711" w:type="dxa"/>
            <w:tcBorders>
              <w:bottom w:val="single" w:sz="18" w:space="0" w:color="auto"/>
            </w:tcBorders>
            <w:vAlign w:val="center"/>
          </w:tcPr>
          <w:p w14:paraId="0AD7EB75" w14:textId="39BC32FC" w:rsidR="00AF2E80" w:rsidRPr="00CF77C1" w:rsidRDefault="00AF2E80" w:rsidP="00AF2E80">
            <w:pPr>
              <w:jc w:val="center"/>
              <w:rPr>
                <w:lang w:val="sr-Cyrl-RS"/>
              </w:rPr>
            </w:pPr>
            <w:r w:rsidRPr="00CF77C1">
              <w:rPr>
                <w:lang w:val="sr-Cyrl-RS"/>
              </w:rPr>
              <w:t>Максимални број поена на основу стратешке релевантности</w:t>
            </w:r>
          </w:p>
        </w:tc>
        <w:tc>
          <w:tcPr>
            <w:tcW w:w="1921" w:type="dxa"/>
            <w:tcBorders>
              <w:bottom w:val="single" w:sz="18" w:space="0" w:color="auto"/>
            </w:tcBorders>
            <w:vAlign w:val="center"/>
          </w:tcPr>
          <w:p w14:paraId="1870A95E" w14:textId="7D2F6AAC" w:rsidR="00AF2E80" w:rsidRPr="00CF77C1" w:rsidRDefault="00AF2E80" w:rsidP="00AF2E80">
            <w:pPr>
              <w:jc w:val="center"/>
              <w:rPr>
                <w:lang w:val="sr-Cyrl-RS"/>
              </w:rPr>
            </w:pPr>
            <w:r w:rsidRPr="00CF77C1">
              <w:rPr>
                <w:lang w:val="sr-Cyrl-RS"/>
              </w:rPr>
              <w:t>Група на основу Извештаја о недос</w:t>
            </w:r>
            <w:r w:rsidR="006C729D">
              <w:rPr>
                <w:lang w:val="sr-Cyrl-RS"/>
              </w:rPr>
              <w:t>татку (односно, процене из ПОС</w:t>
            </w:r>
            <w:r w:rsidRPr="00CF77C1">
              <w:rPr>
                <w:lang w:val="sr-Cyrl-RS"/>
              </w:rPr>
              <w:t xml:space="preserve"> за пројекте укључене у ПОС)</w:t>
            </w:r>
          </w:p>
        </w:tc>
      </w:tr>
      <w:tr w:rsidR="00DE7534" w:rsidRPr="00CF77C1" w14:paraId="2562C810" w14:textId="77777777" w:rsidTr="008151A2">
        <w:trPr>
          <w:cantSplit/>
        </w:trPr>
        <w:tc>
          <w:tcPr>
            <w:tcW w:w="1086" w:type="dxa"/>
            <w:tcBorders>
              <w:top w:val="single" w:sz="18" w:space="0" w:color="auto"/>
              <w:left w:val="single" w:sz="18" w:space="0" w:color="auto"/>
              <w:bottom w:val="single" w:sz="18" w:space="0" w:color="auto"/>
              <w:right w:val="single" w:sz="6" w:space="0" w:color="auto"/>
            </w:tcBorders>
            <w:shd w:val="pct10" w:color="auto" w:fill="auto"/>
            <w:vAlign w:val="center"/>
          </w:tcPr>
          <w:p w14:paraId="63E81F96" w14:textId="3B50AA15" w:rsidR="008E01E8" w:rsidRPr="00CF77C1" w:rsidRDefault="007D00C6" w:rsidP="00AF2E80">
            <w:pPr>
              <w:jc w:val="center"/>
              <w:rPr>
                <w:lang w:val="sr-Cyrl-RS"/>
              </w:rPr>
            </w:pPr>
            <w:r w:rsidRPr="00CF77C1">
              <w:rPr>
                <w:lang w:val="sr-Cyrl-RS"/>
              </w:rPr>
              <w:t>1</w:t>
            </w:r>
          </w:p>
        </w:tc>
        <w:tc>
          <w:tcPr>
            <w:tcW w:w="6677" w:type="dxa"/>
            <w:tcBorders>
              <w:top w:val="single" w:sz="18" w:space="0" w:color="auto"/>
              <w:left w:val="single" w:sz="6" w:space="0" w:color="auto"/>
              <w:bottom w:val="single" w:sz="18" w:space="0" w:color="auto"/>
              <w:right w:val="single" w:sz="6" w:space="0" w:color="auto"/>
            </w:tcBorders>
            <w:shd w:val="pct10" w:color="auto" w:fill="auto"/>
            <w:vAlign w:val="center"/>
          </w:tcPr>
          <w:p w14:paraId="5B10B8AC" w14:textId="5FC60311" w:rsidR="008E01E8" w:rsidRPr="00CF77C1" w:rsidRDefault="008E01E8" w:rsidP="00AF2E80">
            <w:pPr>
              <w:jc w:val="left"/>
              <w:rPr>
                <w:lang w:val="sr-Cyrl-RS"/>
              </w:rPr>
            </w:pPr>
            <w:r w:rsidRPr="00CF77C1">
              <w:rPr>
                <w:lang w:val="sr-Cyrl-RS"/>
              </w:rPr>
              <w:t>Пројекат „Унапређење мерне инфраструктуре”</w:t>
            </w:r>
            <w:r w:rsidR="00C33062" w:rsidRPr="00CF77C1">
              <w:rPr>
                <w:lang w:val="sr-Cyrl-RS"/>
              </w:rPr>
              <w:t xml:space="preserve"> - </w:t>
            </w:r>
            <w:r w:rsidRPr="00CF77C1">
              <w:rPr>
                <w:lang w:val="sr-Cyrl-RS"/>
              </w:rPr>
              <w:fldChar w:fldCharType="begin"/>
            </w:r>
            <w:r w:rsidRPr="00CF77C1">
              <w:rPr>
                <w:lang w:val="sr-Cyrl-RS"/>
              </w:rPr>
              <w:instrText xml:space="preserve"> REF _Ref476806001 \r \h  \* MERGEFORMAT </w:instrText>
            </w:r>
            <w:r w:rsidRPr="00CF77C1">
              <w:rPr>
                <w:lang w:val="sr-Cyrl-RS"/>
              </w:rPr>
            </w:r>
            <w:r w:rsidRPr="00CF77C1">
              <w:rPr>
                <w:lang w:val="sr-Cyrl-RS"/>
              </w:rPr>
              <w:fldChar w:fldCharType="separate"/>
            </w:r>
            <w:r w:rsidR="002D5918">
              <w:rPr>
                <w:lang w:val="sr-Cyrl-RS"/>
              </w:rPr>
              <w:t>П.5</w:t>
            </w:r>
            <w:r w:rsidRPr="00CF77C1">
              <w:rPr>
                <w:lang w:val="sr-Cyrl-RS"/>
              </w:rPr>
              <w:fldChar w:fldCharType="end"/>
            </w:r>
          </w:p>
        </w:tc>
        <w:tc>
          <w:tcPr>
            <w:tcW w:w="1963" w:type="dxa"/>
            <w:tcBorders>
              <w:top w:val="single" w:sz="18" w:space="0" w:color="auto"/>
              <w:left w:val="single" w:sz="6" w:space="0" w:color="auto"/>
              <w:bottom w:val="single" w:sz="18" w:space="0" w:color="auto"/>
              <w:right w:val="single" w:sz="6" w:space="0" w:color="auto"/>
            </w:tcBorders>
            <w:shd w:val="pct10" w:color="auto" w:fill="auto"/>
            <w:vAlign w:val="center"/>
          </w:tcPr>
          <w:p w14:paraId="2B899001" w14:textId="14E9031F" w:rsidR="008E01E8" w:rsidRPr="00CF77C1" w:rsidRDefault="008E01E8" w:rsidP="00AF2E80">
            <w:pPr>
              <w:jc w:val="center"/>
              <w:rPr>
                <w:lang w:val="sr-Cyrl-RS"/>
              </w:rPr>
            </w:pPr>
            <w:r w:rsidRPr="00CF77C1">
              <w:rPr>
                <w:lang w:val="sr-Cyrl-RS"/>
              </w:rPr>
              <w:t>80 милиона €</w:t>
            </w:r>
          </w:p>
        </w:tc>
        <w:tc>
          <w:tcPr>
            <w:tcW w:w="1429" w:type="dxa"/>
            <w:tcBorders>
              <w:top w:val="single" w:sz="18" w:space="0" w:color="auto"/>
              <w:left w:val="single" w:sz="6" w:space="0" w:color="auto"/>
              <w:bottom w:val="single" w:sz="18" w:space="0" w:color="auto"/>
              <w:right w:val="single" w:sz="6" w:space="0" w:color="auto"/>
            </w:tcBorders>
            <w:shd w:val="pct10" w:color="auto" w:fill="auto"/>
            <w:vAlign w:val="center"/>
          </w:tcPr>
          <w:p w14:paraId="576630F5" w14:textId="40F502B1" w:rsidR="008E01E8" w:rsidRPr="00CF77C1" w:rsidRDefault="002D370E" w:rsidP="00AF2E80">
            <w:pPr>
              <w:jc w:val="center"/>
              <w:rPr>
                <w:lang w:val="sr-Cyrl-RS"/>
              </w:rPr>
            </w:pPr>
            <w:r w:rsidRPr="00CF77C1">
              <w:rPr>
                <w:lang w:val="sr-Cyrl-RS"/>
              </w:rPr>
              <w:t>2017-2022.</w:t>
            </w:r>
          </w:p>
        </w:tc>
        <w:tc>
          <w:tcPr>
            <w:tcW w:w="1711" w:type="dxa"/>
            <w:tcBorders>
              <w:top w:val="single" w:sz="18" w:space="0" w:color="auto"/>
              <w:left w:val="single" w:sz="6" w:space="0" w:color="auto"/>
              <w:bottom w:val="single" w:sz="18" w:space="0" w:color="auto"/>
              <w:right w:val="single" w:sz="6" w:space="0" w:color="auto"/>
            </w:tcBorders>
            <w:shd w:val="pct10" w:color="auto" w:fill="auto"/>
            <w:vAlign w:val="center"/>
          </w:tcPr>
          <w:p w14:paraId="0671027F" w14:textId="4A2989E3" w:rsidR="008E01E8" w:rsidRPr="00CF77C1" w:rsidRDefault="008E01E8" w:rsidP="00AF2E80">
            <w:pPr>
              <w:jc w:val="center"/>
              <w:rPr>
                <w:lang w:val="sr-Cyrl-RS"/>
              </w:rPr>
            </w:pPr>
            <w:r w:rsidRPr="00CF77C1">
              <w:rPr>
                <w:lang w:val="sr-Cyrl-RS"/>
              </w:rPr>
              <w:t>119</w:t>
            </w:r>
          </w:p>
        </w:tc>
        <w:tc>
          <w:tcPr>
            <w:tcW w:w="1921" w:type="dxa"/>
            <w:tcBorders>
              <w:top w:val="single" w:sz="18" w:space="0" w:color="auto"/>
              <w:left w:val="single" w:sz="6" w:space="0" w:color="auto"/>
              <w:bottom w:val="single" w:sz="18" w:space="0" w:color="auto"/>
              <w:right w:val="single" w:sz="18" w:space="0" w:color="auto"/>
            </w:tcBorders>
            <w:shd w:val="pct10" w:color="auto" w:fill="auto"/>
            <w:vAlign w:val="center"/>
          </w:tcPr>
          <w:p w14:paraId="38796D4C" w14:textId="6D86BC61" w:rsidR="008E01E8" w:rsidRPr="00CF77C1" w:rsidRDefault="001A544F" w:rsidP="00AF2E80">
            <w:pPr>
              <w:jc w:val="center"/>
              <w:rPr>
                <w:lang w:val="sr-Cyrl-RS"/>
              </w:rPr>
            </w:pPr>
            <w:r w:rsidRPr="00CF77C1">
              <w:rPr>
                <w:lang w:val="sr-Cyrl-RS"/>
              </w:rPr>
              <w:t>А, Б</w:t>
            </w:r>
          </w:p>
        </w:tc>
      </w:tr>
      <w:tr w:rsidR="00DE7534" w:rsidRPr="00CF77C1" w14:paraId="3CC55C62" w14:textId="77777777" w:rsidTr="008151A2">
        <w:trPr>
          <w:cantSplit/>
        </w:trPr>
        <w:tc>
          <w:tcPr>
            <w:tcW w:w="1086" w:type="dxa"/>
            <w:tcBorders>
              <w:top w:val="single" w:sz="18" w:space="0" w:color="auto"/>
              <w:left w:val="single" w:sz="18" w:space="0" w:color="auto"/>
              <w:bottom w:val="single" w:sz="18" w:space="0" w:color="auto"/>
              <w:right w:val="single" w:sz="6" w:space="0" w:color="auto"/>
            </w:tcBorders>
            <w:vAlign w:val="center"/>
          </w:tcPr>
          <w:p w14:paraId="7FD02EC6" w14:textId="2099BABA" w:rsidR="002D370E" w:rsidRPr="00CF77C1" w:rsidRDefault="007D00C6" w:rsidP="00AF2E80">
            <w:pPr>
              <w:jc w:val="center"/>
              <w:rPr>
                <w:lang w:val="sr-Cyrl-RS"/>
              </w:rPr>
            </w:pPr>
            <w:r w:rsidRPr="00CF77C1">
              <w:rPr>
                <w:lang w:val="sr-Cyrl-RS"/>
              </w:rPr>
              <w:t>2</w:t>
            </w:r>
          </w:p>
        </w:tc>
        <w:tc>
          <w:tcPr>
            <w:tcW w:w="6677" w:type="dxa"/>
            <w:tcBorders>
              <w:top w:val="single" w:sz="18" w:space="0" w:color="auto"/>
              <w:left w:val="single" w:sz="6" w:space="0" w:color="auto"/>
              <w:bottom w:val="single" w:sz="18" w:space="0" w:color="auto"/>
              <w:right w:val="single" w:sz="6" w:space="0" w:color="auto"/>
            </w:tcBorders>
            <w:vAlign w:val="center"/>
          </w:tcPr>
          <w:p w14:paraId="709F6846" w14:textId="1F096EAC" w:rsidR="002D370E" w:rsidRPr="00CF77C1" w:rsidRDefault="002D370E" w:rsidP="008630D0">
            <w:pPr>
              <w:jc w:val="left"/>
              <w:rPr>
                <w:lang w:val="sr-Cyrl-RS"/>
              </w:rPr>
            </w:pPr>
            <w:r w:rsidRPr="00CF77C1">
              <w:rPr>
                <w:lang w:val="sr-Cyrl-RS"/>
              </w:rPr>
              <w:t xml:space="preserve">Пројекат „Изградња Првог објекта система продуктовода” </w:t>
            </w:r>
            <w:r w:rsidR="008630D0">
              <w:rPr>
                <w:lang w:val="sr-Cyrl-RS"/>
              </w:rPr>
              <w:t>– П.19</w:t>
            </w:r>
          </w:p>
        </w:tc>
        <w:tc>
          <w:tcPr>
            <w:tcW w:w="1963" w:type="dxa"/>
            <w:tcBorders>
              <w:top w:val="single" w:sz="18" w:space="0" w:color="auto"/>
              <w:left w:val="single" w:sz="6" w:space="0" w:color="auto"/>
              <w:bottom w:val="single" w:sz="18" w:space="0" w:color="auto"/>
              <w:right w:val="single" w:sz="6" w:space="0" w:color="auto"/>
            </w:tcBorders>
            <w:vAlign w:val="center"/>
          </w:tcPr>
          <w:p w14:paraId="2E70397F" w14:textId="6F186B6A" w:rsidR="002D370E" w:rsidRPr="00CF77C1" w:rsidRDefault="002D370E" w:rsidP="00AF2E80">
            <w:pPr>
              <w:jc w:val="center"/>
              <w:rPr>
                <w:lang w:val="sr-Cyrl-RS"/>
              </w:rPr>
            </w:pPr>
            <w:r w:rsidRPr="00CF77C1">
              <w:rPr>
                <w:lang w:val="sr-Cyrl-RS"/>
              </w:rPr>
              <w:t>30 милиона €</w:t>
            </w:r>
          </w:p>
        </w:tc>
        <w:tc>
          <w:tcPr>
            <w:tcW w:w="1429" w:type="dxa"/>
            <w:tcBorders>
              <w:top w:val="single" w:sz="18" w:space="0" w:color="auto"/>
              <w:left w:val="single" w:sz="6" w:space="0" w:color="auto"/>
              <w:bottom w:val="single" w:sz="18" w:space="0" w:color="auto"/>
              <w:right w:val="single" w:sz="6" w:space="0" w:color="auto"/>
            </w:tcBorders>
            <w:vAlign w:val="center"/>
          </w:tcPr>
          <w:p w14:paraId="225A7E8D" w14:textId="16DDC71C" w:rsidR="002D370E" w:rsidRPr="00CF77C1" w:rsidRDefault="002D370E" w:rsidP="00AF2E80">
            <w:pPr>
              <w:jc w:val="center"/>
              <w:rPr>
                <w:lang w:val="sr-Cyrl-RS"/>
              </w:rPr>
            </w:pPr>
            <w:r w:rsidRPr="00CF77C1">
              <w:rPr>
                <w:lang w:val="sr-Cyrl-RS"/>
              </w:rPr>
              <w:t>2017-2022.</w:t>
            </w:r>
          </w:p>
        </w:tc>
        <w:tc>
          <w:tcPr>
            <w:tcW w:w="1711" w:type="dxa"/>
            <w:tcBorders>
              <w:top w:val="single" w:sz="18" w:space="0" w:color="auto"/>
              <w:left w:val="single" w:sz="6" w:space="0" w:color="auto"/>
              <w:bottom w:val="single" w:sz="18" w:space="0" w:color="auto"/>
              <w:right w:val="single" w:sz="6" w:space="0" w:color="auto"/>
            </w:tcBorders>
            <w:vAlign w:val="center"/>
          </w:tcPr>
          <w:p w14:paraId="04B5B0A8" w14:textId="552C2B8D" w:rsidR="002D370E" w:rsidRPr="00CF77C1" w:rsidRDefault="002D370E" w:rsidP="00AF2E80">
            <w:pPr>
              <w:jc w:val="center"/>
              <w:rPr>
                <w:lang w:val="sr-Cyrl-RS"/>
              </w:rPr>
            </w:pPr>
            <w:r w:rsidRPr="00CF77C1">
              <w:rPr>
                <w:lang w:val="sr-Cyrl-RS"/>
              </w:rPr>
              <w:t>119</w:t>
            </w:r>
          </w:p>
        </w:tc>
        <w:tc>
          <w:tcPr>
            <w:tcW w:w="1921" w:type="dxa"/>
            <w:tcBorders>
              <w:top w:val="single" w:sz="18" w:space="0" w:color="auto"/>
              <w:left w:val="single" w:sz="6" w:space="0" w:color="auto"/>
              <w:bottom w:val="single" w:sz="18" w:space="0" w:color="auto"/>
              <w:right w:val="single" w:sz="18" w:space="0" w:color="auto"/>
            </w:tcBorders>
            <w:vAlign w:val="center"/>
          </w:tcPr>
          <w:p w14:paraId="4946D0CE" w14:textId="434CC15A" w:rsidR="002D370E" w:rsidRPr="00CF77C1" w:rsidRDefault="001A544F" w:rsidP="00AF2E80">
            <w:pPr>
              <w:jc w:val="center"/>
              <w:rPr>
                <w:lang w:val="sr-Cyrl-RS"/>
              </w:rPr>
            </w:pPr>
            <w:r w:rsidRPr="00CF77C1">
              <w:rPr>
                <w:lang w:val="sr-Cyrl-RS"/>
              </w:rPr>
              <w:t>Б</w:t>
            </w:r>
          </w:p>
        </w:tc>
      </w:tr>
      <w:tr w:rsidR="00DE7534" w:rsidRPr="00CF77C1" w14:paraId="3E6A6E0B" w14:textId="77777777" w:rsidTr="00C52F39">
        <w:trPr>
          <w:cantSplit/>
        </w:trPr>
        <w:tc>
          <w:tcPr>
            <w:tcW w:w="1086" w:type="dxa"/>
            <w:tcBorders>
              <w:top w:val="single" w:sz="18" w:space="0" w:color="auto"/>
              <w:left w:val="single" w:sz="18" w:space="0" w:color="auto"/>
              <w:bottom w:val="single" w:sz="18" w:space="0" w:color="auto"/>
              <w:right w:val="single" w:sz="6" w:space="0" w:color="auto"/>
            </w:tcBorders>
            <w:shd w:val="pct10" w:color="auto" w:fill="auto"/>
            <w:vAlign w:val="center"/>
          </w:tcPr>
          <w:p w14:paraId="7C469A0B" w14:textId="449D35E8" w:rsidR="009B2A73" w:rsidRPr="00CF77C1" w:rsidRDefault="007D00C6" w:rsidP="00AF2E80">
            <w:pPr>
              <w:jc w:val="center"/>
              <w:rPr>
                <w:lang w:val="sr-Cyrl-RS"/>
              </w:rPr>
            </w:pPr>
            <w:r w:rsidRPr="00CF77C1">
              <w:rPr>
                <w:lang w:val="sr-Cyrl-RS"/>
              </w:rPr>
              <w:t>3</w:t>
            </w:r>
          </w:p>
        </w:tc>
        <w:tc>
          <w:tcPr>
            <w:tcW w:w="6677" w:type="dxa"/>
            <w:tcBorders>
              <w:top w:val="single" w:sz="18" w:space="0" w:color="auto"/>
              <w:left w:val="single" w:sz="6" w:space="0" w:color="auto"/>
              <w:bottom w:val="single" w:sz="18" w:space="0" w:color="auto"/>
              <w:right w:val="single" w:sz="6" w:space="0" w:color="auto"/>
            </w:tcBorders>
            <w:shd w:val="pct10" w:color="auto" w:fill="auto"/>
            <w:vAlign w:val="center"/>
          </w:tcPr>
          <w:p w14:paraId="3B908637" w14:textId="5A5E9E45" w:rsidR="009B2A73" w:rsidRPr="00CF77C1" w:rsidRDefault="009B2A73" w:rsidP="00AF2E80">
            <w:pPr>
              <w:jc w:val="left"/>
              <w:rPr>
                <w:lang w:val="sr-Cyrl-RS"/>
              </w:rPr>
            </w:pPr>
            <w:r w:rsidRPr="00CF77C1">
              <w:rPr>
                <w:lang w:val="sr-Cyrl-RS"/>
              </w:rPr>
              <w:t xml:space="preserve">Пројекат изградње новог блока у ТЕ Костолац Б3 </w:t>
            </w:r>
            <w:r w:rsidR="00C33062" w:rsidRPr="00CF77C1">
              <w:rPr>
                <w:lang w:val="sr-Cyrl-RS"/>
              </w:rPr>
              <w:t xml:space="preserve">- </w:t>
            </w:r>
            <w:r w:rsidRPr="00CF77C1">
              <w:rPr>
                <w:lang w:val="sr-Cyrl-RS"/>
              </w:rPr>
              <w:fldChar w:fldCharType="begin"/>
            </w:r>
            <w:r w:rsidRPr="00CF77C1">
              <w:rPr>
                <w:lang w:val="sr-Cyrl-RS"/>
              </w:rPr>
              <w:instrText xml:space="preserve"> REF _Ref476805948 \r \h  \* MERGEFORMAT </w:instrText>
            </w:r>
            <w:r w:rsidRPr="00CF77C1">
              <w:rPr>
                <w:lang w:val="sr-Cyrl-RS"/>
              </w:rPr>
            </w:r>
            <w:r w:rsidRPr="00CF77C1">
              <w:rPr>
                <w:lang w:val="sr-Cyrl-RS"/>
              </w:rPr>
              <w:fldChar w:fldCharType="separate"/>
            </w:r>
            <w:r w:rsidR="002D5918">
              <w:rPr>
                <w:lang w:val="sr-Cyrl-RS"/>
              </w:rPr>
              <w:t>П.1</w:t>
            </w:r>
            <w:r w:rsidRPr="00CF77C1">
              <w:rPr>
                <w:lang w:val="sr-Cyrl-RS"/>
              </w:rPr>
              <w:fldChar w:fldCharType="end"/>
            </w:r>
          </w:p>
        </w:tc>
        <w:tc>
          <w:tcPr>
            <w:tcW w:w="1963" w:type="dxa"/>
            <w:tcBorders>
              <w:top w:val="single" w:sz="18" w:space="0" w:color="auto"/>
              <w:left w:val="single" w:sz="6" w:space="0" w:color="auto"/>
              <w:bottom w:val="single" w:sz="18" w:space="0" w:color="auto"/>
              <w:right w:val="single" w:sz="6" w:space="0" w:color="auto"/>
            </w:tcBorders>
            <w:shd w:val="pct10" w:color="auto" w:fill="auto"/>
            <w:vAlign w:val="center"/>
          </w:tcPr>
          <w:p w14:paraId="3279CD50" w14:textId="7CDBFE73" w:rsidR="009B2A73" w:rsidRPr="00CF77C1" w:rsidRDefault="009B2A73" w:rsidP="00AF2E80">
            <w:pPr>
              <w:jc w:val="center"/>
              <w:rPr>
                <w:lang w:val="sr-Cyrl-RS"/>
              </w:rPr>
            </w:pPr>
            <w:r w:rsidRPr="00CF77C1">
              <w:rPr>
                <w:lang w:val="sr-Cyrl-RS"/>
              </w:rPr>
              <w:t>715,6 милиона $</w:t>
            </w:r>
          </w:p>
        </w:tc>
        <w:tc>
          <w:tcPr>
            <w:tcW w:w="1429" w:type="dxa"/>
            <w:tcBorders>
              <w:top w:val="single" w:sz="18" w:space="0" w:color="auto"/>
              <w:left w:val="single" w:sz="6" w:space="0" w:color="auto"/>
              <w:bottom w:val="single" w:sz="18" w:space="0" w:color="auto"/>
              <w:right w:val="single" w:sz="6" w:space="0" w:color="auto"/>
            </w:tcBorders>
            <w:shd w:val="pct10" w:color="auto" w:fill="auto"/>
            <w:vAlign w:val="center"/>
          </w:tcPr>
          <w:p w14:paraId="05C64E08" w14:textId="1EBD75B2" w:rsidR="009B2A73" w:rsidRPr="00CF77C1" w:rsidRDefault="009B2A73" w:rsidP="00AF2E80">
            <w:pPr>
              <w:jc w:val="center"/>
              <w:rPr>
                <w:lang w:val="sr-Cyrl-RS"/>
              </w:rPr>
            </w:pPr>
            <w:r w:rsidRPr="00CF77C1">
              <w:rPr>
                <w:lang w:val="sr-Cyrl-RS"/>
              </w:rPr>
              <w:t>2017-2020.</w:t>
            </w:r>
          </w:p>
        </w:tc>
        <w:tc>
          <w:tcPr>
            <w:tcW w:w="1711" w:type="dxa"/>
            <w:tcBorders>
              <w:top w:val="single" w:sz="18" w:space="0" w:color="auto"/>
              <w:left w:val="single" w:sz="6" w:space="0" w:color="auto"/>
              <w:bottom w:val="single" w:sz="18" w:space="0" w:color="auto"/>
              <w:right w:val="single" w:sz="6" w:space="0" w:color="auto"/>
            </w:tcBorders>
            <w:shd w:val="pct10" w:color="auto" w:fill="auto"/>
            <w:vAlign w:val="center"/>
          </w:tcPr>
          <w:p w14:paraId="23AC45D3" w14:textId="6558E123" w:rsidR="009B2A73" w:rsidRPr="00CF77C1" w:rsidRDefault="009B2A73" w:rsidP="00AF2E80">
            <w:pPr>
              <w:jc w:val="center"/>
              <w:rPr>
                <w:lang w:val="sr-Cyrl-RS"/>
              </w:rPr>
            </w:pPr>
            <w:r w:rsidRPr="00CF77C1">
              <w:rPr>
                <w:lang w:val="sr-Cyrl-RS"/>
              </w:rPr>
              <w:t>110</w:t>
            </w:r>
          </w:p>
        </w:tc>
        <w:tc>
          <w:tcPr>
            <w:tcW w:w="1921" w:type="dxa"/>
            <w:tcBorders>
              <w:top w:val="single" w:sz="18" w:space="0" w:color="auto"/>
              <w:left w:val="single" w:sz="6" w:space="0" w:color="auto"/>
              <w:bottom w:val="single" w:sz="18" w:space="0" w:color="auto"/>
              <w:right w:val="single" w:sz="18" w:space="0" w:color="auto"/>
            </w:tcBorders>
            <w:shd w:val="pct10" w:color="auto" w:fill="auto"/>
            <w:vAlign w:val="center"/>
          </w:tcPr>
          <w:p w14:paraId="22FF7CFB" w14:textId="26871132" w:rsidR="009B2A73" w:rsidRPr="00CF77C1" w:rsidRDefault="001A544F" w:rsidP="00AF2E80">
            <w:pPr>
              <w:jc w:val="center"/>
              <w:rPr>
                <w:lang w:val="sr-Cyrl-RS"/>
              </w:rPr>
            </w:pPr>
            <w:r w:rsidRPr="00CF77C1">
              <w:rPr>
                <w:lang w:val="sr-Cyrl-RS"/>
              </w:rPr>
              <w:t>А</w:t>
            </w:r>
          </w:p>
        </w:tc>
      </w:tr>
      <w:tr w:rsidR="00952666" w:rsidRPr="00CF77C1" w14:paraId="7CAF4CB4" w14:textId="77777777" w:rsidTr="00C52F39">
        <w:trPr>
          <w:cantSplit/>
        </w:trPr>
        <w:tc>
          <w:tcPr>
            <w:tcW w:w="1086" w:type="dxa"/>
            <w:tcBorders>
              <w:top w:val="single" w:sz="18" w:space="0" w:color="auto"/>
              <w:left w:val="single" w:sz="18" w:space="0" w:color="auto"/>
              <w:bottom w:val="single" w:sz="18" w:space="0" w:color="auto"/>
              <w:right w:val="single" w:sz="6" w:space="0" w:color="auto"/>
            </w:tcBorders>
            <w:vAlign w:val="center"/>
          </w:tcPr>
          <w:p w14:paraId="766932AD" w14:textId="1E9AB59B" w:rsidR="00952666" w:rsidRPr="00CF77C1" w:rsidRDefault="00C52F39" w:rsidP="00AF2E80">
            <w:pPr>
              <w:jc w:val="center"/>
              <w:rPr>
                <w:lang w:val="sr-Cyrl-RS"/>
              </w:rPr>
            </w:pPr>
            <w:r w:rsidRPr="00CF77C1">
              <w:rPr>
                <w:lang w:val="sr-Cyrl-RS"/>
              </w:rPr>
              <w:t>4</w:t>
            </w:r>
          </w:p>
        </w:tc>
        <w:tc>
          <w:tcPr>
            <w:tcW w:w="6677" w:type="dxa"/>
            <w:tcBorders>
              <w:top w:val="single" w:sz="18" w:space="0" w:color="auto"/>
              <w:left w:val="single" w:sz="6" w:space="0" w:color="auto"/>
              <w:bottom w:val="single" w:sz="18" w:space="0" w:color="auto"/>
              <w:right w:val="single" w:sz="6" w:space="0" w:color="auto"/>
            </w:tcBorders>
            <w:vAlign w:val="center"/>
          </w:tcPr>
          <w:p w14:paraId="3CCA1135" w14:textId="13B7BEF3" w:rsidR="00952666" w:rsidRPr="00CF77C1" w:rsidRDefault="00952666" w:rsidP="00AF2E80">
            <w:pPr>
              <w:jc w:val="left"/>
              <w:rPr>
                <w:lang w:val="sr-Cyrl-RS"/>
              </w:rPr>
            </w:pPr>
            <w:r w:rsidRPr="00CF77C1">
              <w:rPr>
                <w:lang w:val="sr-Cyrl-RS"/>
              </w:rPr>
              <w:t>Снабдевање Бео</w:t>
            </w:r>
            <w:r w:rsidR="00C33062" w:rsidRPr="00CF77C1">
              <w:rPr>
                <w:lang w:val="sr-Cyrl-RS"/>
              </w:rPr>
              <w:t>града топлотном енергијом из ТЕ </w:t>
            </w:r>
            <w:r w:rsidRPr="00CF77C1">
              <w:rPr>
                <w:lang w:val="sr-Cyrl-RS"/>
              </w:rPr>
              <w:t xml:space="preserve">„Никола Тесла А” топлодалеководом капацитета од 600 MW топлотне енергије </w:t>
            </w:r>
            <w:r w:rsidR="00C33062" w:rsidRPr="00CF77C1">
              <w:rPr>
                <w:lang w:val="sr-Cyrl-RS"/>
              </w:rPr>
              <w:t xml:space="preserve">- </w:t>
            </w:r>
            <w:r w:rsidRPr="00CF77C1">
              <w:rPr>
                <w:lang w:val="sr-Cyrl-RS"/>
              </w:rPr>
              <w:fldChar w:fldCharType="begin"/>
            </w:r>
            <w:r w:rsidRPr="00CF77C1">
              <w:rPr>
                <w:lang w:val="sr-Cyrl-RS"/>
              </w:rPr>
              <w:instrText xml:space="preserve"> REF _Ref476806021 \r \h  \* MERGEFORMAT </w:instrText>
            </w:r>
            <w:r w:rsidRPr="00CF77C1">
              <w:rPr>
                <w:lang w:val="sr-Cyrl-RS"/>
              </w:rPr>
            </w:r>
            <w:r w:rsidRPr="00CF77C1">
              <w:rPr>
                <w:lang w:val="sr-Cyrl-RS"/>
              </w:rPr>
              <w:fldChar w:fldCharType="separate"/>
            </w:r>
            <w:r w:rsidR="002D5918">
              <w:rPr>
                <w:lang w:val="sr-Cyrl-RS"/>
              </w:rPr>
              <w:t>П.10</w:t>
            </w:r>
            <w:r w:rsidRPr="00CF77C1">
              <w:rPr>
                <w:lang w:val="sr-Cyrl-RS"/>
              </w:rPr>
              <w:fldChar w:fldCharType="end"/>
            </w:r>
          </w:p>
        </w:tc>
        <w:tc>
          <w:tcPr>
            <w:tcW w:w="1963" w:type="dxa"/>
            <w:tcBorders>
              <w:top w:val="single" w:sz="18" w:space="0" w:color="auto"/>
              <w:left w:val="single" w:sz="6" w:space="0" w:color="auto"/>
              <w:bottom w:val="single" w:sz="18" w:space="0" w:color="auto"/>
              <w:right w:val="single" w:sz="6" w:space="0" w:color="auto"/>
            </w:tcBorders>
            <w:vAlign w:val="center"/>
          </w:tcPr>
          <w:p w14:paraId="2F02E98F" w14:textId="236374DA" w:rsidR="00952666" w:rsidRPr="00CF77C1" w:rsidRDefault="00952666" w:rsidP="00AF2E80">
            <w:pPr>
              <w:jc w:val="center"/>
              <w:rPr>
                <w:lang w:val="sr-Cyrl-RS"/>
              </w:rPr>
            </w:pPr>
            <w:r w:rsidRPr="00CF77C1">
              <w:rPr>
                <w:lang w:val="sr-Cyrl-RS"/>
              </w:rPr>
              <w:t>165 милиона €</w:t>
            </w:r>
          </w:p>
        </w:tc>
        <w:tc>
          <w:tcPr>
            <w:tcW w:w="1429" w:type="dxa"/>
            <w:tcBorders>
              <w:top w:val="single" w:sz="18" w:space="0" w:color="auto"/>
              <w:left w:val="single" w:sz="6" w:space="0" w:color="auto"/>
              <w:bottom w:val="single" w:sz="18" w:space="0" w:color="auto"/>
              <w:right w:val="single" w:sz="6" w:space="0" w:color="auto"/>
            </w:tcBorders>
            <w:vAlign w:val="center"/>
          </w:tcPr>
          <w:p w14:paraId="1DC6DB7B" w14:textId="398695D1" w:rsidR="00952666" w:rsidRPr="00CF77C1" w:rsidRDefault="00952666" w:rsidP="00AF2E80">
            <w:pPr>
              <w:jc w:val="center"/>
              <w:rPr>
                <w:lang w:val="sr-Cyrl-RS"/>
              </w:rPr>
            </w:pPr>
            <w:r w:rsidRPr="00CF77C1">
              <w:rPr>
                <w:lang w:val="sr-Cyrl-RS"/>
              </w:rPr>
              <w:t>2017-2023.</w:t>
            </w:r>
          </w:p>
        </w:tc>
        <w:tc>
          <w:tcPr>
            <w:tcW w:w="1711" w:type="dxa"/>
            <w:tcBorders>
              <w:top w:val="single" w:sz="18" w:space="0" w:color="auto"/>
              <w:left w:val="single" w:sz="6" w:space="0" w:color="auto"/>
              <w:bottom w:val="single" w:sz="18" w:space="0" w:color="auto"/>
              <w:right w:val="single" w:sz="6" w:space="0" w:color="auto"/>
            </w:tcBorders>
            <w:vAlign w:val="center"/>
          </w:tcPr>
          <w:p w14:paraId="70DED0ED" w14:textId="7B2E411C" w:rsidR="00952666" w:rsidRPr="00CF77C1" w:rsidRDefault="00952666" w:rsidP="00AF2E80">
            <w:pPr>
              <w:jc w:val="center"/>
              <w:rPr>
                <w:lang w:val="sr-Cyrl-RS"/>
              </w:rPr>
            </w:pPr>
            <w:r w:rsidRPr="00CF77C1">
              <w:rPr>
                <w:lang w:val="sr-Cyrl-RS"/>
              </w:rPr>
              <w:t>110</w:t>
            </w:r>
          </w:p>
        </w:tc>
        <w:tc>
          <w:tcPr>
            <w:tcW w:w="1921" w:type="dxa"/>
            <w:tcBorders>
              <w:top w:val="single" w:sz="18" w:space="0" w:color="auto"/>
              <w:left w:val="single" w:sz="6" w:space="0" w:color="auto"/>
              <w:bottom w:val="single" w:sz="18" w:space="0" w:color="auto"/>
              <w:right w:val="single" w:sz="18" w:space="0" w:color="auto"/>
            </w:tcBorders>
            <w:vAlign w:val="center"/>
          </w:tcPr>
          <w:p w14:paraId="2F020CBC" w14:textId="552BD61D" w:rsidR="00952666" w:rsidRPr="00CF77C1" w:rsidRDefault="001A544F" w:rsidP="00DE7534">
            <w:pPr>
              <w:jc w:val="center"/>
              <w:rPr>
                <w:lang w:val="sr-Cyrl-RS"/>
              </w:rPr>
            </w:pPr>
            <w:r w:rsidRPr="00CF77C1">
              <w:rPr>
                <w:lang w:val="sr-Cyrl-RS"/>
              </w:rPr>
              <w:t>Б</w:t>
            </w:r>
          </w:p>
        </w:tc>
      </w:tr>
      <w:tr w:rsidR="00C33062" w:rsidRPr="00CF77C1" w14:paraId="70880C95" w14:textId="77777777" w:rsidTr="00C52F39">
        <w:trPr>
          <w:cantSplit/>
        </w:trPr>
        <w:tc>
          <w:tcPr>
            <w:tcW w:w="1086" w:type="dxa"/>
            <w:tcBorders>
              <w:top w:val="single" w:sz="18" w:space="0" w:color="auto"/>
              <w:left w:val="single" w:sz="18" w:space="0" w:color="auto"/>
              <w:bottom w:val="single" w:sz="18" w:space="0" w:color="auto"/>
              <w:right w:val="single" w:sz="6" w:space="0" w:color="auto"/>
            </w:tcBorders>
            <w:vAlign w:val="center"/>
          </w:tcPr>
          <w:p w14:paraId="5CFFC4ED" w14:textId="1DEFEAE3" w:rsidR="00C33062" w:rsidRPr="00CF77C1" w:rsidRDefault="00C52F39" w:rsidP="00AF2E80">
            <w:pPr>
              <w:jc w:val="center"/>
              <w:rPr>
                <w:lang w:val="sr-Cyrl-RS"/>
              </w:rPr>
            </w:pPr>
            <w:r w:rsidRPr="00CF77C1">
              <w:rPr>
                <w:lang w:val="sr-Cyrl-RS"/>
              </w:rPr>
              <w:t>5</w:t>
            </w:r>
          </w:p>
        </w:tc>
        <w:tc>
          <w:tcPr>
            <w:tcW w:w="6677" w:type="dxa"/>
            <w:tcBorders>
              <w:top w:val="single" w:sz="18" w:space="0" w:color="auto"/>
              <w:left w:val="single" w:sz="6" w:space="0" w:color="auto"/>
              <w:bottom w:val="single" w:sz="18" w:space="0" w:color="auto"/>
              <w:right w:val="single" w:sz="6" w:space="0" w:color="auto"/>
            </w:tcBorders>
            <w:vAlign w:val="center"/>
          </w:tcPr>
          <w:p w14:paraId="5B32A5A4" w14:textId="2B8BACC5" w:rsidR="00C33062" w:rsidRPr="00CF77C1" w:rsidRDefault="00C33062" w:rsidP="00C33062">
            <w:pPr>
              <w:jc w:val="left"/>
              <w:rPr>
                <w:lang w:val="sr-Cyrl-RS"/>
              </w:rPr>
            </w:pPr>
            <w:r w:rsidRPr="00CF77C1">
              <w:rPr>
                <w:lang w:val="sr-Cyrl-RS"/>
              </w:rPr>
              <w:t>Пројекат изградње нових ТС 110/X kV у циљу повећања сигурности напајања и повећања ефикасности дистрибуције електричне енергије</w:t>
            </w:r>
            <w:r w:rsidR="00653358" w:rsidRPr="00CF77C1">
              <w:rPr>
                <w:lang w:val="sr-Cyrl-RS"/>
              </w:rPr>
              <w:t xml:space="preserve"> - </w:t>
            </w:r>
            <w:r w:rsidR="00653358" w:rsidRPr="00CF77C1">
              <w:rPr>
                <w:lang w:val="sr-Cyrl-RS"/>
              </w:rPr>
              <w:fldChar w:fldCharType="begin"/>
            </w:r>
            <w:r w:rsidR="00653358" w:rsidRPr="00CF77C1">
              <w:rPr>
                <w:lang w:val="sr-Cyrl-RS"/>
              </w:rPr>
              <w:instrText xml:space="preserve"> REF _Ref476806012 \r \h </w:instrText>
            </w:r>
            <w:r w:rsidR="0077363A" w:rsidRPr="00CF77C1">
              <w:rPr>
                <w:lang w:val="sr-Cyrl-RS"/>
              </w:rPr>
              <w:instrText xml:space="preserve"> \* MERGEFORMAT </w:instrText>
            </w:r>
            <w:r w:rsidR="00653358" w:rsidRPr="00CF77C1">
              <w:rPr>
                <w:lang w:val="sr-Cyrl-RS"/>
              </w:rPr>
            </w:r>
            <w:r w:rsidR="00653358" w:rsidRPr="00CF77C1">
              <w:rPr>
                <w:lang w:val="sr-Cyrl-RS"/>
              </w:rPr>
              <w:fldChar w:fldCharType="separate"/>
            </w:r>
            <w:r w:rsidR="002D5918">
              <w:rPr>
                <w:lang w:val="sr-Cyrl-RS"/>
              </w:rPr>
              <w:t>П.8</w:t>
            </w:r>
            <w:r w:rsidR="00653358" w:rsidRPr="00CF77C1">
              <w:rPr>
                <w:lang w:val="sr-Cyrl-RS"/>
              </w:rPr>
              <w:fldChar w:fldCharType="end"/>
            </w:r>
          </w:p>
        </w:tc>
        <w:tc>
          <w:tcPr>
            <w:tcW w:w="1963" w:type="dxa"/>
            <w:tcBorders>
              <w:top w:val="single" w:sz="18" w:space="0" w:color="auto"/>
              <w:left w:val="single" w:sz="6" w:space="0" w:color="auto"/>
              <w:bottom w:val="single" w:sz="18" w:space="0" w:color="auto"/>
              <w:right w:val="single" w:sz="6" w:space="0" w:color="auto"/>
            </w:tcBorders>
            <w:vAlign w:val="center"/>
          </w:tcPr>
          <w:p w14:paraId="410973D9" w14:textId="385B022D" w:rsidR="00C33062" w:rsidRPr="00CF77C1" w:rsidRDefault="00C33062" w:rsidP="00AF2E80">
            <w:pPr>
              <w:jc w:val="center"/>
              <w:rPr>
                <w:lang w:val="sr-Cyrl-RS"/>
              </w:rPr>
            </w:pPr>
            <w:r w:rsidRPr="00CF77C1">
              <w:rPr>
                <w:lang w:val="sr-Cyrl-RS"/>
              </w:rPr>
              <w:t>115,1 милиона €</w:t>
            </w:r>
          </w:p>
        </w:tc>
        <w:tc>
          <w:tcPr>
            <w:tcW w:w="1429" w:type="dxa"/>
            <w:tcBorders>
              <w:top w:val="single" w:sz="18" w:space="0" w:color="auto"/>
              <w:left w:val="single" w:sz="6" w:space="0" w:color="auto"/>
              <w:bottom w:val="single" w:sz="18" w:space="0" w:color="auto"/>
              <w:right w:val="single" w:sz="6" w:space="0" w:color="auto"/>
            </w:tcBorders>
            <w:vAlign w:val="center"/>
          </w:tcPr>
          <w:p w14:paraId="22AE1B8F" w14:textId="166F5D6E" w:rsidR="00C33062" w:rsidRPr="00CF77C1" w:rsidRDefault="00C33062" w:rsidP="00AF2E80">
            <w:pPr>
              <w:jc w:val="center"/>
              <w:rPr>
                <w:lang w:val="sr-Cyrl-RS"/>
              </w:rPr>
            </w:pPr>
            <w:r w:rsidRPr="00CF77C1">
              <w:rPr>
                <w:lang w:val="sr-Cyrl-RS"/>
              </w:rPr>
              <w:t>2017-2023.</w:t>
            </w:r>
          </w:p>
        </w:tc>
        <w:tc>
          <w:tcPr>
            <w:tcW w:w="1711" w:type="dxa"/>
            <w:tcBorders>
              <w:top w:val="single" w:sz="18" w:space="0" w:color="auto"/>
              <w:left w:val="single" w:sz="6" w:space="0" w:color="auto"/>
              <w:bottom w:val="single" w:sz="18" w:space="0" w:color="auto"/>
              <w:right w:val="single" w:sz="6" w:space="0" w:color="auto"/>
            </w:tcBorders>
            <w:vAlign w:val="center"/>
          </w:tcPr>
          <w:p w14:paraId="0C63FA9E" w14:textId="495FF9B6" w:rsidR="00C33062" w:rsidRPr="00CF77C1" w:rsidRDefault="00C33062" w:rsidP="00AF2E80">
            <w:pPr>
              <w:jc w:val="center"/>
              <w:rPr>
                <w:lang w:val="sr-Cyrl-RS"/>
              </w:rPr>
            </w:pPr>
            <w:r w:rsidRPr="00CF77C1">
              <w:rPr>
                <w:lang w:val="sr-Cyrl-RS"/>
              </w:rPr>
              <w:t>105</w:t>
            </w:r>
          </w:p>
        </w:tc>
        <w:tc>
          <w:tcPr>
            <w:tcW w:w="1921" w:type="dxa"/>
            <w:tcBorders>
              <w:top w:val="single" w:sz="18" w:space="0" w:color="auto"/>
              <w:left w:val="single" w:sz="6" w:space="0" w:color="auto"/>
              <w:bottom w:val="single" w:sz="18" w:space="0" w:color="auto"/>
              <w:right w:val="single" w:sz="18" w:space="0" w:color="auto"/>
            </w:tcBorders>
            <w:vAlign w:val="center"/>
          </w:tcPr>
          <w:p w14:paraId="729245AE" w14:textId="04221227" w:rsidR="00C33062" w:rsidRPr="00CF77C1" w:rsidRDefault="0086358D" w:rsidP="00AF2E80">
            <w:pPr>
              <w:jc w:val="center"/>
              <w:rPr>
                <w:lang w:val="sr-Cyrl-RS"/>
              </w:rPr>
            </w:pPr>
            <w:r w:rsidRPr="00CF77C1">
              <w:rPr>
                <w:lang w:val="sr-Cyrl-RS"/>
              </w:rPr>
              <w:t>А, Б, В, Г</w:t>
            </w:r>
            <w:r w:rsidR="00C33062" w:rsidRPr="00CF77C1">
              <w:rPr>
                <w:lang w:val="sr-Cyrl-RS"/>
              </w:rPr>
              <w:t xml:space="preserve"> (зависно од потпројекта изградње ТС који је у питању)</w:t>
            </w:r>
          </w:p>
        </w:tc>
      </w:tr>
      <w:tr w:rsidR="00653358" w:rsidRPr="00CF77C1" w14:paraId="5B3156E9" w14:textId="77777777" w:rsidTr="004770AF">
        <w:trPr>
          <w:cantSplit/>
        </w:trPr>
        <w:tc>
          <w:tcPr>
            <w:tcW w:w="1086" w:type="dxa"/>
            <w:tcBorders>
              <w:top w:val="single" w:sz="18" w:space="0" w:color="auto"/>
              <w:left w:val="single" w:sz="18" w:space="0" w:color="auto"/>
              <w:bottom w:val="single" w:sz="18" w:space="0" w:color="auto"/>
              <w:right w:val="single" w:sz="6" w:space="0" w:color="auto"/>
            </w:tcBorders>
            <w:vAlign w:val="center"/>
          </w:tcPr>
          <w:p w14:paraId="757422BE" w14:textId="219F4249" w:rsidR="00653358" w:rsidRPr="00CF77C1" w:rsidRDefault="00C52F39" w:rsidP="00AF2E80">
            <w:pPr>
              <w:jc w:val="center"/>
              <w:rPr>
                <w:lang w:val="sr-Cyrl-RS"/>
              </w:rPr>
            </w:pPr>
            <w:r w:rsidRPr="00CF77C1">
              <w:rPr>
                <w:lang w:val="sr-Cyrl-RS"/>
              </w:rPr>
              <w:t>6</w:t>
            </w:r>
          </w:p>
        </w:tc>
        <w:tc>
          <w:tcPr>
            <w:tcW w:w="6677" w:type="dxa"/>
            <w:tcBorders>
              <w:top w:val="single" w:sz="18" w:space="0" w:color="auto"/>
              <w:left w:val="single" w:sz="6" w:space="0" w:color="auto"/>
              <w:bottom w:val="single" w:sz="18" w:space="0" w:color="auto"/>
              <w:right w:val="single" w:sz="6" w:space="0" w:color="auto"/>
            </w:tcBorders>
            <w:vAlign w:val="center"/>
          </w:tcPr>
          <w:p w14:paraId="0365CFDC" w14:textId="19F3DAF1" w:rsidR="00653358" w:rsidRPr="00CF77C1" w:rsidRDefault="00653358" w:rsidP="008630D0">
            <w:pPr>
              <w:jc w:val="left"/>
              <w:rPr>
                <w:lang w:val="sr-Cyrl-RS"/>
              </w:rPr>
            </w:pPr>
            <w:r w:rsidRPr="00CF77C1">
              <w:rPr>
                <w:lang w:val="sr-Cyrl-RS"/>
              </w:rPr>
              <w:t>Изградња магистралних, разво</w:t>
            </w:r>
            <w:r w:rsidR="008630D0">
              <w:rPr>
                <w:lang w:val="sr-Cyrl-RS"/>
              </w:rPr>
              <w:t>дних и дистрибутивних гасовода – П.25</w:t>
            </w:r>
          </w:p>
        </w:tc>
        <w:tc>
          <w:tcPr>
            <w:tcW w:w="1963" w:type="dxa"/>
            <w:tcBorders>
              <w:top w:val="single" w:sz="18" w:space="0" w:color="auto"/>
              <w:left w:val="single" w:sz="6" w:space="0" w:color="auto"/>
              <w:bottom w:val="single" w:sz="18" w:space="0" w:color="auto"/>
              <w:right w:val="single" w:sz="6" w:space="0" w:color="auto"/>
            </w:tcBorders>
            <w:vAlign w:val="center"/>
          </w:tcPr>
          <w:p w14:paraId="73E3CF8F" w14:textId="13F535CD" w:rsidR="00653358" w:rsidRPr="00CF77C1" w:rsidRDefault="00653358" w:rsidP="00AF2E80">
            <w:pPr>
              <w:jc w:val="center"/>
              <w:rPr>
                <w:lang w:val="sr-Cyrl-RS"/>
              </w:rPr>
            </w:pPr>
            <w:r w:rsidRPr="00CF77C1">
              <w:rPr>
                <w:lang w:val="sr-Cyrl-RS"/>
              </w:rPr>
              <w:t>378 милиона €</w:t>
            </w:r>
          </w:p>
        </w:tc>
        <w:tc>
          <w:tcPr>
            <w:tcW w:w="1429" w:type="dxa"/>
            <w:tcBorders>
              <w:top w:val="single" w:sz="18" w:space="0" w:color="auto"/>
              <w:left w:val="single" w:sz="6" w:space="0" w:color="auto"/>
              <w:bottom w:val="single" w:sz="18" w:space="0" w:color="auto"/>
              <w:right w:val="single" w:sz="6" w:space="0" w:color="auto"/>
            </w:tcBorders>
            <w:vAlign w:val="center"/>
          </w:tcPr>
          <w:p w14:paraId="059E9A56" w14:textId="411DB93D" w:rsidR="00653358" w:rsidRPr="00CF77C1" w:rsidRDefault="00653358" w:rsidP="00AF2E80">
            <w:pPr>
              <w:jc w:val="center"/>
              <w:rPr>
                <w:lang w:val="sr-Cyrl-RS"/>
              </w:rPr>
            </w:pPr>
            <w:r w:rsidRPr="00CF77C1">
              <w:rPr>
                <w:lang w:val="sr-Cyrl-RS"/>
              </w:rPr>
              <w:t>2017-2023.</w:t>
            </w:r>
          </w:p>
        </w:tc>
        <w:tc>
          <w:tcPr>
            <w:tcW w:w="1711" w:type="dxa"/>
            <w:tcBorders>
              <w:top w:val="single" w:sz="18" w:space="0" w:color="auto"/>
              <w:left w:val="single" w:sz="6" w:space="0" w:color="auto"/>
              <w:bottom w:val="single" w:sz="18" w:space="0" w:color="auto"/>
              <w:right w:val="single" w:sz="6" w:space="0" w:color="auto"/>
            </w:tcBorders>
            <w:vAlign w:val="center"/>
          </w:tcPr>
          <w:p w14:paraId="3093929C" w14:textId="580BD599" w:rsidR="00653358" w:rsidRPr="00CF77C1" w:rsidRDefault="00653358" w:rsidP="00653358">
            <w:pPr>
              <w:jc w:val="center"/>
              <w:rPr>
                <w:lang w:val="sr-Cyrl-RS"/>
              </w:rPr>
            </w:pPr>
            <w:r w:rsidRPr="00CF77C1">
              <w:rPr>
                <w:lang w:val="sr-Cyrl-RS"/>
              </w:rPr>
              <w:t>100</w:t>
            </w:r>
          </w:p>
        </w:tc>
        <w:tc>
          <w:tcPr>
            <w:tcW w:w="1921" w:type="dxa"/>
            <w:tcBorders>
              <w:top w:val="single" w:sz="18" w:space="0" w:color="auto"/>
              <w:left w:val="single" w:sz="6" w:space="0" w:color="auto"/>
              <w:bottom w:val="single" w:sz="18" w:space="0" w:color="auto"/>
              <w:right w:val="single" w:sz="18" w:space="0" w:color="auto"/>
            </w:tcBorders>
            <w:vAlign w:val="center"/>
          </w:tcPr>
          <w:p w14:paraId="286C3B72" w14:textId="3AAFB3BF" w:rsidR="00653358" w:rsidRPr="00CF77C1" w:rsidRDefault="0086358D" w:rsidP="00653358">
            <w:pPr>
              <w:jc w:val="center"/>
              <w:rPr>
                <w:lang w:val="sr-Cyrl-RS"/>
              </w:rPr>
            </w:pPr>
            <w:r w:rsidRPr="00CF77C1">
              <w:rPr>
                <w:lang w:val="sr-Cyrl-RS"/>
              </w:rPr>
              <w:t xml:space="preserve">А, Б, В, Г </w:t>
            </w:r>
            <w:r w:rsidR="00653358" w:rsidRPr="00CF77C1">
              <w:rPr>
                <w:lang w:val="sr-Cyrl-RS"/>
              </w:rPr>
              <w:t>(зависно од потпројекта изградње гасовода који је у питању)</w:t>
            </w:r>
          </w:p>
        </w:tc>
      </w:tr>
      <w:tr w:rsidR="004770AF" w:rsidRPr="00CF77C1" w14:paraId="0F9ADA2E" w14:textId="77777777" w:rsidTr="004770AF">
        <w:trPr>
          <w:cantSplit/>
        </w:trPr>
        <w:tc>
          <w:tcPr>
            <w:tcW w:w="1086" w:type="dxa"/>
            <w:tcBorders>
              <w:top w:val="single" w:sz="18" w:space="0" w:color="auto"/>
              <w:left w:val="single" w:sz="18" w:space="0" w:color="auto"/>
              <w:bottom w:val="single" w:sz="18" w:space="0" w:color="auto"/>
              <w:right w:val="single" w:sz="6" w:space="0" w:color="auto"/>
            </w:tcBorders>
            <w:shd w:val="clear" w:color="auto" w:fill="auto"/>
            <w:vAlign w:val="center"/>
          </w:tcPr>
          <w:p w14:paraId="030A7FA8" w14:textId="49E14BEE" w:rsidR="004770AF" w:rsidRPr="00CF77C1" w:rsidRDefault="004770AF" w:rsidP="00C52F39">
            <w:pPr>
              <w:jc w:val="center"/>
              <w:rPr>
                <w:lang w:val="sr-Cyrl-RS"/>
              </w:rPr>
            </w:pPr>
            <w:r w:rsidRPr="00CF77C1">
              <w:rPr>
                <w:lang w:val="sr-Cyrl-RS"/>
              </w:rPr>
              <w:t>7</w:t>
            </w:r>
          </w:p>
        </w:tc>
        <w:tc>
          <w:tcPr>
            <w:tcW w:w="6677" w:type="dxa"/>
            <w:tcBorders>
              <w:top w:val="single" w:sz="18" w:space="0" w:color="auto"/>
              <w:left w:val="single" w:sz="6" w:space="0" w:color="auto"/>
              <w:bottom w:val="single" w:sz="18" w:space="0" w:color="auto"/>
              <w:right w:val="single" w:sz="6" w:space="0" w:color="auto"/>
            </w:tcBorders>
            <w:shd w:val="clear" w:color="auto" w:fill="auto"/>
            <w:vAlign w:val="center"/>
          </w:tcPr>
          <w:p w14:paraId="44CFFB91" w14:textId="40B23AC5" w:rsidR="004770AF" w:rsidRPr="00CF77C1" w:rsidRDefault="004770AF" w:rsidP="008630D0">
            <w:pPr>
              <w:jc w:val="left"/>
              <w:rPr>
                <w:lang w:val="sr-Cyrl-RS"/>
              </w:rPr>
            </w:pPr>
            <w:r w:rsidRPr="00CF77C1">
              <w:rPr>
                <w:lang w:val="sr-Cyrl-RS"/>
              </w:rPr>
              <w:t xml:space="preserve">Промоција обновљивих извора енергије - развој тржишта биомасе у Србији, Компонента II (део Пројекта преласка </w:t>
            </w:r>
            <w:r w:rsidR="008630D0">
              <w:rPr>
                <w:lang w:val="sr-Cyrl-RS"/>
              </w:rPr>
              <w:t>котларница на биомасу – П.16</w:t>
            </w:r>
            <w:r w:rsidRPr="00CF77C1">
              <w:rPr>
                <w:lang w:val="sr-Cyrl-RS"/>
              </w:rPr>
              <w:t>)</w:t>
            </w:r>
          </w:p>
        </w:tc>
        <w:tc>
          <w:tcPr>
            <w:tcW w:w="1963" w:type="dxa"/>
            <w:tcBorders>
              <w:top w:val="single" w:sz="18" w:space="0" w:color="auto"/>
              <w:left w:val="single" w:sz="6" w:space="0" w:color="auto"/>
              <w:bottom w:val="single" w:sz="18" w:space="0" w:color="auto"/>
              <w:right w:val="single" w:sz="6" w:space="0" w:color="auto"/>
            </w:tcBorders>
            <w:shd w:val="clear" w:color="auto" w:fill="auto"/>
            <w:vAlign w:val="center"/>
          </w:tcPr>
          <w:p w14:paraId="79F2B19B" w14:textId="41948CBC" w:rsidR="004770AF" w:rsidRPr="00CF77C1" w:rsidRDefault="004770AF" w:rsidP="00C52F39">
            <w:pPr>
              <w:jc w:val="center"/>
              <w:rPr>
                <w:lang w:val="sr-Cyrl-RS"/>
              </w:rPr>
            </w:pPr>
            <w:r w:rsidRPr="00CF77C1">
              <w:rPr>
                <w:lang w:val="sr-Cyrl-RS"/>
              </w:rPr>
              <w:t>80 милиона €</w:t>
            </w:r>
          </w:p>
        </w:tc>
        <w:tc>
          <w:tcPr>
            <w:tcW w:w="1429" w:type="dxa"/>
            <w:tcBorders>
              <w:top w:val="single" w:sz="18" w:space="0" w:color="auto"/>
              <w:left w:val="single" w:sz="6" w:space="0" w:color="auto"/>
              <w:bottom w:val="single" w:sz="18" w:space="0" w:color="auto"/>
              <w:right w:val="single" w:sz="6" w:space="0" w:color="auto"/>
            </w:tcBorders>
            <w:shd w:val="clear" w:color="auto" w:fill="auto"/>
            <w:vAlign w:val="center"/>
          </w:tcPr>
          <w:p w14:paraId="6E948689" w14:textId="4CE7798A" w:rsidR="004770AF" w:rsidRPr="00CF77C1" w:rsidRDefault="004770AF" w:rsidP="00C52F39">
            <w:pPr>
              <w:jc w:val="center"/>
              <w:rPr>
                <w:lang w:val="sr-Cyrl-RS"/>
              </w:rPr>
            </w:pPr>
            <w:r w:rsidRPr="00CF77C1">
              <w:rPr>
                <w:lang w:val="sr-Cyrl-RS"/>
              </w:rPr>
              <w:t>2017-2021.</w:t>
            </w:r>
          </w:p>
        </w:tc>
        <w:tc>
          <w:tcPr>
            <w:tcW w:w="1711" w:type="dxa"/>
            <w:tcBorders>
              <w:top w:val="single" w:sz="18" w:space="0" w:color="auto"/>
              <w:left w:val="single" w:sz="6" w:space="0" w:color="auto"/>
              <w:bottom w:val="single" w:sz="18" w:space="0" w:color="auto"/>
              <w:right w:val="single" w:sz="6" w:space="0" w:color="auto"/>
            </w:tcBorders>
            <w:shd w:val="clear" w:color="auto" w:fill="auto"/>
            <w:vAlign w:val="center"/>
          </w:tcPr>
          <w:p w14:paraId="52FA2018" w14:textId="2B121EF3" w:rsidR="004770AF" w:rsidRPr="00CF77C1" w:rsidRDefault="004770AF" w:rsidP="00C52F39">
            <w:pPr>
              <w:jc w:val="center"/>
              <w:rPr>
                <w:lang w:val="sr-Cyrl-RS"/>
              </w:rPr>
            </w:pPr>
            <w:r w:rsidRPr="00CF77C1">
              <w:rPr>
                <w:lang w:val="sr-Cyrl-RS"/>
              </w:rPr>
              <w:t>95</w:t>
            </w:r>
          </w:p>
        </w:tc>
        <w:tc>
          <w:tcPr>
            <w:tcW w:w="1921" w:type="dxa"/>
            <w:tcBorders>
              <w:top w:val="single" w:sz="18" w:space="0" w:color="auto"/>
              <w:left w:val="single" w:sz="6" w:space="0" w:color="auto"/>
              <w:bottom w:val="single" w:sz="18" w:space="0" w:color="auto"/>
              <w:right w:val="single" w:sz="18" w:space="0" w:color="auto"/>
            </w:tcBorders>
            <w:shd w:val="clear" w:color="auto" w:fill="auto"/>
            <w:vAlign w:val="center"/>
          </w:tcPr>
          <w:p w14:paraId="60AE08F7" w14:textId="5A8103D0" w:rsidR="004770AF" w:rsidRPr="00CF77C1" w:rsidRDefault="004770AF" w:rsidP="004770AF">
            <w:pPr>
              <w:jc w:val="center"/>
              <w:rPr>
                <w:lang w:val="sr-Cyrl-RS"/>
              </w:rPr>
            </w:pPr>
            <w:r w:rsidRPr="00CF77C1">
              <w:rPr>
                <w:lang w:val="sr-Cyrl-RS"/>
              </w:rPr>
              <w:t>А, Б, В, Г (зависно од потпројекта преласка котларнице на биомасу који је у питању)</w:t>
            </w:r>
          </w:p>
        </w:tc>
      </w:tr>
      <w:tr w:rsidR="004770AF" w:rsidRPr="00CF77C1" w14:paraId="3746607C" w14:textId="77777777" w:rsidTr="004770AF">
        <w:trPr>
          <w:cantSplit/>
        </w:trPr>
        <w:tc>
          <w:tcPr>
            <w:tcW w:w="1086" w:type="dxa"/>
            <w:tcBorders>
              <w:top w:val="single" w:sz="18" w:space="0" w:color="auto"/>
              <w:left w:val="dashed" w:sz="18" w:space="0" w:color="auto"/>
              <w:bottom w:val="dashed" w:sz="18" w:space="0" w:color="auto"/>
              <w:right w:val="single" w:sz="6" w:space="0" w:color="auto"/>
            </w:tcBorders>
            <w:shd w:val="pct10" w:color="auto" w:fill="auto"/>
            <w:vAlign w:val="center"/>
          </w:tcPr>
          <w:p w14:paraId="34F69256" w14:textId="5A2D3A75" w:rsidR="004770AF" w:rsidRPr="00CF77C1" w:rsidRDefault="004770AF" w:rsidP="00C52F39">
            <w:pPr>
              <w:jc w:val="center"/>
              <w:rPr>
                <w:lang w:val="sr-Cyrl-RS"/>
              </w:rPr>
            </w:pPr>
            <w:r w:rsidRPr="00CF77C1">
              <w:rPr>
                <w:lang w:val="sr-Cyrl-RS"/>
              </w:rPr>
              <w:t>8</w:t>
            </w:r>
          </w:p>
        </w:tc>
        <w:tc>
          <w:tcPr>
            <w:tcW w:w="6677" w:type="dxa"/>
            <w:tcBorders>
              <w:top w:val="single" w:sz="18" w:space="0" w:color="auto"/>
              <w:left w:val="single" w:sz="6" w:space="0" w:color="auto"/>
              <w:bottom w:val="dashed" w:sz="18" w:space="0" w:color="auto"/>
              <w:right w:val="single" w:sz="6" w:space="0" w:color="auto"/>
            </w:tcBorders>
            <w:shd w:val="pct10" w:color="auto" w:fill="auto"/>
            <w:vAlign w:val="center"/>
          </w:tcPr>
          <w:p w14:paraId="42851B82" w14:textId="11F80C59" w:rsidR="004770AF" w:rsidRPr="00CF77C1" w:rsidRDefault="004770AF" w:rsidP="00683F3A">
            <w:pPr>
              <w:jc w:val="left"/>
              <w:rPr>
                <w:lang w:val="sr-Cyrl-RS"/>
              </w:rPr>
            </w:pPr>
            <w:r w:rsidRPr="00CF77C1">
              <w:rPr>
                <w:lang w:val="sr-Cyrl-RS"/>
              </w:rPr>
              <w:t xml:space="preserve">Трансбалкански коридор - фаза 1 - нови дупли 400 kV </w:t>
            </w:r>
            <w:r w:rsidR="00683F3A">
              <w:rPr>
                <w:lang w:val="sr-Cyrl-RS"/>
              </w:rPr>
              <w:t xml:space="preserve">ДВ </w:t>
            </w:r>
            <w:r w:rsidRPr="00CF77C1">
              <w:rPr>
                <w:lang w:val="sr-Cyrl-RS"/>
              </w:rPr>
              <w:t xml:space="preserve">Панчево (Србија) - Resita (Румунија), нови дупли 400 kV </w:t>
            </w:r>
            <w:r w:rsidR="00683F3A">
              <w:rPr>
                <w:lang w:val="sr-Cyrl-RS"/>
              </w:rPr>
              <w:t>ДВ</w:t>
            </w:r>
            <w:r w:rsidR="00683F3A" w:rsidRPr="00CF77C1">
              <w:rPr>
                <w:lang w:val="sr-Cyrl-RS"/>
              </w:rPr>
              <w:t xml:space="preserve"> </w:t>
            </w:r>
            <w:r w:rsidR="00683F3A">
              <w:rPr>
                <w:lang w:val="sr-Cyrl-RS"/>
              </w:rPr>
              <w:t xml:space="preserve"> </w:t>
            </w:r>
            <w:r w:rsidRPr="00CF77C1">
              <w:rPr>
                <w:lang w:val="sr-Cyrl-RS"/>
              </w:rPr>
              <w:t xml:space="preserve">Обреновац (Србија) - Бајина Башта (Србија) и регионална 400 kV интерконекција РС-БА-МЕ (Пројекат „Трансбалкански коридор” - фаза 1 - </w:t>
            </w:r>
            <w:r w:rsidRPr="00CF77C1">
              <w:rPr>
                <w:lang w:val="sr-Cyrl-RS"/>
              </w:rPr>
              <w:fldChar w:fldCharType="begin"/>
            </w:r>
            <w:r w:rsidRPr="00CF77C1">
              <w:rPr>
                <w:lang w:val="sr-Cyrl-RS"/>
              </w:rPr>
              <w:instrText xml:space="preserve"> REF _Ref476805981 \r \h  \* MERGEFORMAT </w:instrText>
            </w:r>
            <w:r w:rsidRPr="00CF77C1">
              <w:rPr>
                <w:lang w:val="sr-Cyrl-RS"/>
              </w:rPr>
            </w:r>
            <w:r w:rsidRPr="00CF77C1">
              <w:rPr>
                <w:lang w:val="sr-Cyrl-RS"/>
              </w:rPr>
              <w:fldChar w:fldCharType="separate"/>
            </w:r>
            <w:r w:rsidR="002D5918">
              <w:rPr>
                <w:lang w:val="sr-Cyrl-RS"/>
              </w:rPr>
              <w:t>П.2</w:t>
            </w:r>
            <w:r w:rsidRPr="00CF77C1">
              <w:rPr>
                <w:lang w:val="sr-Cyrl-RS"/>
              </w:rPr>
              <w:fldChar w:fldCharType="end"/>
            </w:r>
            <w:r w:rsidRPr="00CF77C1">
              <w:rPr>
                <w:lang w:val="sr-Cyrl-RS"/>
              </w:rPr>
              <w:t xml:space="preserve"> - секције 1, </w:t>
            </w:r>
            <w:r w:rsidR="00272C75" w:rsidRPr="00CF77C1">
              <w:rPr>
                <w:lang w:val="sr-Cyrl-RS"/>
              </w:rPr>
              <w:t>3</w:t>
            </w:r>
            <w:r w:rsidRPr="00CF77C1">
              <w:rPr>
                <w:lang w:val="sr-Cyrl-RS"/>
              </w:rPr>
              <w:t xml:space="preserve"> и 4)</w:t>
            </w:r>
          </w:p>
        </w:tc>
        <w:tc>
          <w:tcPr>
            <w:tcW w:w="1963" w:type="dxa"/>
            <w:tcBorders>
              <w:top w:val="single" w:sz="18" w:space="0" w:color="auto"/>
              <w:left w:val="single" w:sz="6" w:space="0" w:color="auto"/>
              <w:bottom w:val="dashed" w:sz="18" w:space="0" w:color="auto"/>
              <w:right w:val="single" w:sz="6" w:space="0" w:color="auto"/>
            </w:tcBorders>
            <w:shd w:val="pct10" w:color="auto" w:fill="auto"/>
            <w:vAlign w:val="center"/>
          </w:tcPr>
          <w:p w14:paraId="077D2112" w14:textId="51B8B1A7" w:rsidR="004770AF" w:rsidRPr="00CF77C1" w:rsidRDefault="003D4855" w:rsidP="00C52F39">
            <w:pPr>
              <w:jc w:val="center"/>
              <w:rPr>
                <w:lang w:val="sr-Cyrl-RS"/>
              </w:rPr>
            </w:pPr>
            <w:r w:rsidRPr="00CF77C1">
              <w:rPr>
                <w:lang w:val="sr-Cyrl-RS"/>
              </w:rPr>
              <w:t>126,6</w:t>
            </w:r>
            <w:r w:rsidR="004770AF" w:rsidRPr="00CF77C1">
              <w:rPr>
                <w:lang w:val="sr-Cyrl-RS"/>
              </w:rPr>
              <w:t xml:space="preserve"> милиона €</w:t>
            </w:r>
          </w:p>
        </w:tc>
        <w:tc>
          <w:tcPr>
            <w:tcW w:w="1429" w:type="dxa"/>
            <w:tcBorders>
              <w:top w:val="single" w:sz="18" w:space="0" w:color="auto"/>
              <w:left w:val="single" w:sz="6" w:space="0" w:color="auto"/>
              <w:bottom w:val="dashed" w:sz="18" w:space="0" w:color="auto"/>
              <w:right w:val="single" w:sz="6" w:space="0" w:color="auto"/>
            </w:tcBorders>
            <w:shd w:val="pct10" w:color="auto" w:fill="auto"/>
            <w:vAlign w:val="center"/>
          </w:tcPr>
          <w:p w14:paraId="666A7705" w14:textId="77777777" w:rsidR="004770AF" w:rsidRPr="00CF77C1" w:rsidRDefault="004770AF" w:rsidP="00C52F39">
            <w:pPr>
              <w:jc w:val="center"/>
              <w:rPr>
                <w:lang w:val="sr-Cyrl-RS"/>
              </w:rPr>
            </w:pPr>
            <w:r w:rsidRPr="00CF77C1">
              <w:rPr>
                <w:lang w:val="sr-Cyrl-RS"/>
              </w:rPr>
              <w:t>2017-2023.</w:t>
            </w:r>
          </w:p>
        </w:tc>
        <w:tc>
          <w:tcPr>
            <w:tcW w:w="1711" w:type="dxa"/>
            <w:tcBorders>
              <w:top w:val="single" w:sz="18" w:space="0" w:color="auto"/>
              <w:left w:val="single" w:sz="6" w:space="0" w:color="auto"/>
              <w:bottom w:val="dashed" w:sz="18" w:space="0" w:color="auto"/>
              <w:right w:val="single" w:sz="6" w:space="0" w:color="auto"/>
            </w:tcBorders>
            <w:shd w:val="pct10" w:color="auto" w:fill="auto"/>
            <w:vAlign w:val="center"/>
          </w:tcPr>
          <w:p w14:paraId="41E2AFD2" w14:textId="2A02D3A0" w:rsidR="004770AF" w:rsidRPr="00CF77C1" w:rsidRDefault="004770AF" w:rsidP="00C52F39">
            <w:pPr>
              <w:jc w:val="center"/>
              <w:rPr>
                <w:lang w:val="sr-Cyrl-RS"/>
              </w:rPr>
            </w:pPr>
            <w:r w:rsidRPr="00CF77C1">
              <w:rPr>
                <w:lang w:val="sr-Cyrl-RS"/>
              </w:rPr>
              <w:t>90</w:t>
            </w:r>
          </w:p>
        </w:tc>
        <w:tc>
          <w:tcPr>
            <w:tcW w:w="1921" w:type="dxa"/>
            <w:tcBorders>
              <w:top w:val="single" w:sz="18" w:space="0" w:color="auto"/>
              <w:left w:val="single" w:sz="6" w:space="0" w:color="auto"/>
              <w:bottom w:val="dashed" w:sz="18" w:space="0" w:color="auto"/>
              <w:right w:val="dashed" w:sz="18" w:space="0" w:color="auto"/>
            </w:tcBorders>
            <w:shd w:val="pct10" w:color="auto" w:fill="auto"/>
            <w:vAlign w:val="center"/>
          </w:tcPr>
          <w:p w14:paraId="307FF0D1" w14:textId="6C84772D" w:rsidR="004770AF" w:rsidRPr="00CF77C1" w:rsidRDefault="004770AF" w:rsidP="00C52F39">
            <w:pPr>
              <w:jc w:val="center"/>
              <w:rPr>
                <w:lang w:val="sr-Cyrl-RS"/>
              </w:rPr>
            </w:pPr>
            <w:r w:rsidRPr="00CF77C1">
              <w:rPr>
                <w:lang w:val="sr-Cyrl-RS"/>
              </w:rPr>
              <w:t>2б</w:t>
            </w:r>
          </w:p>
        </w:tc>
      </w:tr>
      <w:tr w:rsidR="004770AF" w:rsidRPr="00CF77C1" w14:paraId="5D9CCDA3" w14:textId="77777777" w:rsidTr="000D6EF0">
        <w:trPr>
          <w:cantSplit/>
        </w:trPr>
        <w:tc>
          <w:tcPr>
            <w:tcW w:w="1086" w:type="dxa"/>
            <w:tcBorders>
              <w:top w:val="dashed" w:sz="18" w:space="0" w:color="auto"/>
              <w:left w:val="dashed" w:sz="18" w:space="0" w:color="auto"/>
              <w:bottom w:val="dashed" w:sz="18" w:space="0" w:color="auto"/>
              <w:right w:val="single" w:sz="6" w:space="0" w:color="auto"/>
            </w:tcBorders>
            <w:shd w:val="pct10" w:color="auto" w:fill="auto"/>
            <w:vAlign w:val="center"/>
          </w:tcPr>
          <w:p w14:paraId="53B348B0" w14:textId="7325F60C" w:rsidR="004770AF" w:rsidRPr="00CF77C1" w:rsidRDefault="004770AF" w:rsidP="00C52F39">
            <w:pPr>
              <w:jc w:val="center"/>
              <w:rPr>
                <w:lang w:val="sr-Cyrl-RS"/>
              </w:rPr>
            </w:pPr>
            <w:r w:rsidRPr="00CF77C1">
              <w:rPr>
                <w:lang w:val="sr-Cyrl-RS"/>
              </w:rPr>
              <w:t>9</w:t>
            </w:r>
          </w:p>
        </w:tc>
        <w:tc>
          <w:tcPr>
            <w:tcW w:w="6677" w:type="dxa"/>
            <w:tcBorders>
              <w:top w:val="dashed" w:sz="18" w:space="0" w:color="auto"/>
              <w:left w:val="single" w:sz="6" w:space="0" w:color="auto"/>
              <w:bottom w:val="dashed" w:sz="18" w:space="0" w:color="auto"/>
              <w:right w:val="single" w:sz="6" w:space="0" w:color="auto"/>
            </w:tcBorders>
            <w:shd w:val="pct10" w:color="auto" w:fill="auto"/>
            <w:vAlign w:val="center"/>
          </w:tcPr>
          <w:p w14:paraId="1FF86620" w14:textId="6FFF5777" w:rsidR="004770AF" w:rsidRPr="00CF77C1" w:rsidRDefault="004770AF" w:rsidP="008630D0">
            <w:pPr>
              <w:jc w:val="left"/>
              <w:rPr>
                <w:lang w:val="sr-Cyrl-RS"/>
              </w:rPr>
            </w:pPr>
            <w:r w:rsidRPr="00CF77C1">
              <w:rPr>
                <w:lang w:val="sr-Cyrl-RS"/>
              </w:rPr>
              <w:t xml:space="preserve"> Складишни капацитет за обавезне резерве нафте и производа о нафте (део пројекта „Формирање обавезних резерви”</w:t>
            </w:r>
            <w:r w:rsidR="008630D0">
              <w:rPr>
                <w:lang w:val="sr-Cyrl-RS"/>
              </w:rPr>
              <w:t xml:space="preserve"> – П.20</w:t>
            </w:r>
            <w:r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shd w:val="pct10" w:color="auto" w:fill="auto"/>
            <w:vAlign w:val="center"/>
          </w:tcPr>
          <w:p w14:paraId="17729977" w14:textId="73D166C4" w:rsidR="004770AF" w:rsidRPr="00CF77C1" w:rsidRDefault="004770AF" w:rsidP="00C52F39">
            <w:pPr>
              <w:jc w:val="center"/>
              <w:rPr>
                <w:lang w:val="sr-Cyrl-RS"/>
              </w:rPr>
            </w:pPr>
            <w:r w:rsidRPr="00CF77C1">
              <w:rPr>
                <w:lang w:val="sr-Cyrl-RS"/>
              </w:rPr>
              <w:t>12 милиона €</w:t>
            </w:r>
          </w:p>
        </w:tc>
        <w:tc>
          <w:tcPr>
            <w:tcW w:w="1429" w:type="dxa"/>
            <w:tcBorders>
              <w:top w:val="dashed" w:sz="18" w:space="0" w:color="auto"/>
              <w:left w:val="single" w:sz="6" w:space="0" w:color="auto"/>
              <w:bottom w:val="dashed" w:sz="18" w:space="0" w:color="auto"/>
              <w:right w:val="single" w:sz="6" w:space="0" w:color="auto"/>
            </w:tcBorders>
            <w:shd w:val="pct10" w:color="auto" w:fill="auto"/>
            <w:vAlign w:val="center"/>
          </w:tcPr>
          <w:p w14:paraId="22763AC8" w14:textId="77777777" w:rsidR="004770AF" w:rsidRPr="00CF77C1" w:rsidRDefault="004770AF" w:rsidP="00C52F39">
            <w:pPr>
              <w:jc w:val="center"/>
              <w:rPr>
                <w:lang w:val="sr-Cyrl-RS"/>
              </w:rPr>
            </w:pPr>
            <w:r w:rsidRPr="00CF77C1">
              <w:rPr>
                <w:lang w:val="sr-Cyrl-RS"/>
              </w:rPr>
              <w:t>2017-2022.</w:t>
            </w:r>
          </w:p>
        </w:tc>
        <w:tc>
          <w:tcPr>
            <w:tcW w:w="1711" w:type="dxa"/>
            <w:tcBorders>
              <w:top w:val="dashed" w:sz="18" w:space="0" w:color="auto"/>
              <w:left w:val="single" w:sz="6" w:space="0" w:color="auto"/>
              <w:bottom w:val="dashed" w:sz="18" w:space="0" w:color="auto"/>
              <w:right w:val="single" w:sz="6" w:space="0" w:color="auto"/>
            </w:tcBorders>
            <w:shd w:val="pct10" w:color="auto" w:fill="auto"/>
            <w:vAlign w:val="center"/>
          </w:tcPr>
          <w:p w14:paraId="6E43FE90" w14:textId="6F1D74D0" w:rsidR="004770AF" w:rsidRPr="00CF77C1" w:rsidRDefault="004770AF" w:rsidP="00C52F39">
            <w:pPr>
              <w:jc w:val="center"/>
              <w:rPr>
                <w:lang w:val="sr-Cyrl-RS"/>
              </w:rPr>
            </w:pPr>
            <w:r w:rsidRPr="00CF77C1">
              <w:rPr>
                <w:lang w:val="sr-Cyrl-RS"/>
              </w:rPr>
              <w:t>90</w:t>
            </w:r>
          </w:p>
        </w:tc>
        <w:tc>
          <w:tcPr>
            <w:tcW w:w="1921" w:type="dxa"/>
            <w:tcBorders>
              <w:top w:val="dashed" w:sz="18" w:space="0" w:color="auto"/>
              <w:left w:val="single" w:sz="6" w:space="0" w:color="auto"/>
              <w:bottom w:val="dashed" w:sz="18" w:space="0" w:color="auto"/>
              <w:right w:val="dashed" w:sz="18" w:space="0" w:color="auto"/>
            </w:tcBorders>
            <w:shd w:val="pct10" w:color="auto" w:fill="auto"/>
            <w:vAlign w:val="center"/>
          </w:tcPr>
          <w:p w14:paraId="4189C6CF" w14:textId="6238A438" w:rsidR="004770AF" w:rsidRPr="00CF77C1" w:rsidRDefault="004770AF" w:rsidP="00C52F39">
            <w:pPr>
              <w:jc w:val="center"/>
              <w:rPr>
                <w:lang w:val="sr-Cyrl-RS"/>
              </w:rPr>
            </w:pPr>
            <w:r w:rsidRPr="00CF77C1">
              <w:rPr>
                <w:lang w:val="sr-Cyrl-RS"/>
              </w:rPr>
              <w:t>1б</w:t>
            </w:r>
          </w:p>
        </w:tc>
      </w:tr>
      <w:tr w:rsidR="004770AF" w:rsidRPr="00CF77C1" w14:paraId="03535776" w14:textId="77777777" w:rsidTr="000D6EF0">
        <w:trPr>
          <w:cantSplit/>
        </w:trPr>
        <w:tc>
          <w:tcPr>
            <w:tcW w:w="1086" w:type="dxa"/>
            <w:tcBorders>
              <w:top w:val="dashed" w:sz="18" w:space="0" w:color="auto"/>
              <w:bottom w:val="single" w:sz="4" w:space="0" w:color="auto"/>
            </w:tcBorders>
            <w:vAlign w:val="center"/>
          </w:tcPr>
          <w:p w14:paraId="20FE8901" w14:textId="18178C04" w:rsidR="004770AF" w:rsidRPr="00CF77C1" w:rsidRDefault="004770AF" w:rsidP="007D00C6">
            <w:pPr>
              <w:jc w:val="center"/>
              <w:rPr>
                <w:lang w:val="sr-Cyrl-RS"/>
              </w:rPr>
            </w:pPr>
            <w:r w:rsidRPr="00CF77C1">
              <w:rPr>
                <w:lang w:val="sr-Cyrl-RS"/>
              </w:rPr>
              <w:t>10</w:t>
            </w:r>
          </w:p>
        </w:tc>
        <w:tc>
          <w:tcPr>
            <w:tcW w:w="6677" w:type="dxa"/>
            <w:tcBorders>
              <w:top w:val="dashed" w:sz="18" w:space="0" w:color="auto"/>
              <w:bottom w:val="single" w:sz="4" w:space="0" w:color="auto"/>
            </w:tcBorders>
            <w:vAlign w:val="center"/>
          </w:tcPr>
          <w:p w14:paraId="5FDAA01C" w14:textId="5C547040" w:rsidR="004770AF" w:rsidRPr="00CF77C1" w:rsidRDefault="004770AF" w:rsidP="00AF2E80">
            <w:pPr>
              <w:jc w:val="left"/>
              <w:rPr>
                <w:lang w:val="sr-Cyrl-RS"/>
              </w:rPr>
            </w:pPr>
            <w:r w:rsidRPr="00CF77C1">
              <w:rPr>
                <w:lang w:val="sr-Cyrl-RS"/>
              </w:rPr>
              <w:t xml:space="preserve">Термална рехабилитација јавних зграда - унапређење енергетске ефикасности у јавним зградама у </w:t>
            </w:r>
            <w:r w:rsidR="00014FC8" w:rsidRPr="00CF77C1">
              <w:rPr>
                <w:lang w:val="sr-Cyrl-RS"/>
              </w:rPr>
              <w:t xml:space="preserve">граду </w:t>
            </w:r>
            <w:r w:rsidRPr="00CF77C1">
              <w:rPr>
                <w:lang w:val="sr-Cyrl-RS"/>
              </w:rPr>
              <w:t>Београду</w:t>
            </w:r>
          </w:p>
        </w:tc>
        <w:tc>
          <w:tcPr>
            <w:tcW w:w="1963" w:type="dxa"/>
            <w:tcBorders>
              <w:top w:val="dashed" w:sz="18" w:space="0" w:color="auto"/>
              <w:bottom w:val="single" w:sz="4" w:space="0" w:color="auto"/>
            </w:tcBorders>
            <w:vAlign w:val="center"/>
          </w:tcPr>
          <w:p w14:paraId="613D4D94" w14:textId="24A92212" w:rsidR="004770AF" w:rsidRPr="00CF77C1" w:rsidRDefault="004770AF" w:rsidP="00AF2E80">
            <w:pPr>
              <w:jc w:val="center"/>
              <w:rPr>
                <w:lang w:val="sr-Cyrl-RS"/>
              </w:rPr>
            </w:pPr>
            <w:r w:rsidRPr="00CF77C1">
              <w:rPr>
                <w:lang w:val="sr-Cyrl-RS"/>
              </w:rPr>
              <w:t>7,685 милиона €</w:t>
            </w:r>
          </w:p>
        </w:tc>
        <w:tc>
          <w:tcPr>
            <w:tcW w:w="1429" w:type="dxa"/>
            <w:tcBorders>
              <w:top w:val="dashed" w:sz="18" w:space="0" w:color="auto"/>
              <w:bottom w:val="single" w:sz="4" w:space="0" w:color="auto"/>
            </w:tcBorders>
            <w:vAlign w:val="center"/>
          </w:tcPr>
          <w:p w14:paraId="07D606D4" w14:textId="078CE433" w:rsidR="004770AF" w:rsidRPr="00CF77C1" w:rsidRDefault="004770AF" w:rsidP="00AF2E80">
            <w:pPr>
              <w:jc w:val="center"/>
              <w:rPr>
                <w:lang w:val="sr-Cyrl-RS"/>
              </w:rPr>
            </w:pPr>
            <w:r w:rsidRPr="00CF77C1">
              <w:rPr>
                <w:lang w:val="sr-Cyrl-RS"/>
              </w:rPr>
              <w:t>није дефинисан</w:t>
            </w:r>
          </w:p>
        </w:tc>
        <w:tc>
          <w:tcPr>
            <w:tcW w:w="1711" w:type="dxa"/>
            <w:tcBorders>
              <w:top w:val="dashed" w:sz="18" w:space="0" w:color="auto"/>
              <w:bottom w:val="single" w:sz="4" w:space="0" w:color="auto"/>
            </w:tcBorders>
            <w:vAlign w:val="center"/>
          </w:tcPr>
          <w:p w14:paraId="38D0A13F" w14:textId="431B30B0" w:rsidR="004770AF" w:rsidRPr="00CF77C1" w:rsidRDefault="004770AF" w:rsidP="00AF2E80">
            <w:pPr>
              <w:jc w:val="center"/>
              <w:rPr>
                <w:lang w:val="sr-Cyrl-RS"/>
              </w:rPr>
            </w:pPr>
            <w:r w:rsidRPr="00CF77C1">
              <w:rPr>
                <w:lang w:val="sr-Cyrl-RS"/>
              </w:rPr>
              <w:t>90</w:t>
            </w:r>
          </w:p>
        </w:tc>
        <w:tc>
          <w:tcPr>
            <w:tcW w:w="1921" w:type="dxa"/>
            <w:tcBorders>
              <w:top w:val="dashed" w:sz="18" w:space="0" w:color="auto"/>
              <w:bottom w:val="single" w:sz="4" w:space="0" w:color="auto"/>
            </w:tcBorders>
            <w:vAlign w:val="center"/>
          </w:tcPr>
          <w:p w14:paraId="36C6CA80" w14:textId="26242342" w:rsidR="004770AF" w:rsidRPr="00CF77C1" w:rsidRDefault="004770AF" w:rsidP="00AF2E80">
            <w:pPr>
              <w:jc w:val="center"/>
              <w:rPr>
                <w:lang w:val="sr-Cyrl-RS"/>
              </w:rPr>
            </w:pPr>
            <w:r w:rsidRPr="00CF77C1">
              <w:rPr>
                <w:lang w:val="sr-Cyrl-RS"/>
              </w:rPr>
              <w:t>2а</w:t>
            </w:r>
          </w:p>
        </w:tc>
      </w:tr>
      <w:tr w:rsidR="004770AF" w:rsidRPr="00CF77C1" w14:paraId="4A88CC19" w14:textId="77777777" w:rsidTr="000D6EF0">
        <w:trPr>
          <w:cantSplit/>
        </w:trPr>
        <w:tc>
          <w:tcPr>
            <w:tcW w:w="1086" w:type="dxa"/>
            <w:tcBorders>
              <w:top w:val="single" w:sz="4" w:space="0" w:color="auto"/>
              <w:left w:val="dashed" w:sz="18" w:space="0" w:color="auto"/>
              <w:bottom w:val="dashed" w:sz="18" w:space="0" w:color="auto"/>
              <w:right w:val="single" w:sz="6" w:space="0" w:color="auto"/>
            </w:tcBorders>
            <w:shd w:val="pct10" w:color="auto" w:fill="auto"/>
            <w:vAlign w:val="center"/>
          </w:tcPr>
          <w:p w14:paraId="608BD4AB" w14:textId="2956E1F0" w:rsidR="004770AF" w:rsidRPr="00CF77C1" w:rsidRDefault="004770AF" w:rsidP="00C52F39">
            <w:pPr>
              <w:jc w:val="center"/>
              <w:rPr>
                <w:lang w:val="sr-Cyrl-RS"/>
              </w:rPr>
            </w:pPr>
            <w:r w:rsidRPr="00CF77C1">
              <w:rPr>
                <w:lang w:val="sr-Cyrl-RS"/>
              </w:rPr>
              <w:t>11</w:t>
            </w:r>
          </w:p>
        </w:tc>
        <w:tc>
          <w:tcPr>
            <w:tcW w:w="6677" w:type="dxa"/>
            <w:tcBorders>
              <w:top w:val="single" w:sz="4" w:space="0" w:color="auto"/>
              <w:left w:val="single" w:sz="6" w:space="0" w:color="auto"/>
              <w:bottom w:val="dashed" w:sz="18" w:space="0" w:color="auto"/>
              <w:right w:val="single" w:sz="6" w:space="0" w:color="auto"/>
            </w:tcBorders>
            <w:shd w:val="pct10" w:color="auto" w:fill="auto"/>
            <w:vAlign w:val="center"/>
          </w:tcPr>
          <w:p w14:paraId="63D3B383" w14:textId="6128C274" w:rsidR="004770AF" w:rsidRPr="00CF77C1" w:rsidRDefault="004770AF" w:rsidP="001E677D">
            <w:pPr>
              <w:jc w:val="left"/>
              <w:rPr>
                <w:lang w:val="sr-Cyrl-RS"/>
              </w:rPr>
            </w:pPr>
            <w:r w:rsidRPr="00CF77C1">
              <w:rPr>
                <w:lang w:val="sr-Cyrl-RS"/>
              </w:rPr>
              <w:t xml:space="preserve">Трансбалкански коридор - интерни далековод - нови 400 kV </w:t>
            </w:r>
            <w:r w:rsidR="001E677D">
              <w:rPr>
                <w:lang w:val="sr-Cyrl-RS"/>
              </w:rPr>
              <w:t xml:space="preserve">ДВ </w:t>
            </w:r>
            <w:r w:rsidRPr="00CF77C1">
              <w:rPr>
                <w:lang w:val="sr-Cyrl-RS"/>
              </w:rPr>
              <w:t xml:space="preserve">између </w:t>
            </w:r>
            <w:r w:rsidR="00683F3A">
              <w:rPr>
                <w:lang w:val="sr-Cyrl-RS"/>
              </w:rPr>
              <w:t>Т</w:t>
            </w:r>
            <w:r w:rsidR="005327B7">
              <w:rPr>
                <w:lang w:val="sr-Cyrl-RS"/>
              </w:rPr>
              <w:t>С</w:t>
            </w:r>
            <w:r w:rsidRPr="00CF77C1">
              <w:rPr>
                <w:lang w:val="sr-Cyrl-RS"/>
              </w:rPr>
              <w:t xml:space="preserve"> Крагујевац (Србија) - </w:t>
            </w:r>
            <w:r w:rsidR="00683F3A">
              <w:rPr>
                <w:lang w:val="sr-Cyrl-RS"/>
              </w:rPr>
              <w:t>Т</w:t>
            </w:r>
            <w:r w:rsidR="005327B7">
              <w:rPr>
                <w:lang w:val="sr-Cyrl-RS"/>
              </w:rPr>
              <w:t>С</w:t>
            </w:r>
            <w:r w:rsidRPr="00CF77C1">
              <w:rPr>
                <w:lang w:val="sr-Cyrl-RS"/>
              </w:rPr>
              <w:t xml:space="preserve"> Краљево (Србија) са надоградњом </w:t>
            </w:r>
            <w:r w:rsidR="00683F3A">
              <w:rPr>
                <w:lang w:val="sr-Cyrl-RS"/>
              </w:rPr>
              <w:t>Т</w:t>
            </w:r>
            <w:r w:rsidR="005327B7">
              <w:rPr>
                <w:lang w:val="sr-Cyrl-RS"/>
              </w:rPr>
              <w:t>С</w:t>
            </w:r>
            <w:r w:rsidRPr="00CF77C1">
              <w:rPr>
                <w:lang w:val="sr-Cyrl-RS"/>
              </w:rPr>
              <w:t xml:space="preserve"> Краљево (Србија) до 400 kV нивоа напона (Пројекат „Трансбалкански коридор” - фаза 1 - </w:t>
            </w:r>
            <w:r w:rsidRPr="00CF77C1">
              <w:rPr>
                <w:lang w:val="sr-Cyrl-RS"/>
              </w:rPr>
              <w:fldChar w:fldCharType="begin"/>
            </w:r>
            <w:r w:rsidRPr="00CF77C1">
              <w:rPr>
                <w:lang w:val="sr-Cyrl-RS"/>
              </w:rPr>
              <w:instrText xml:space="preserve"> REF _Ref476805981 \r \h  \* MERGEFORMAT </w:instrText>
            </w:r>
            <w:r w:rsidRPr="00CF77C1">
              <w:rPr>
                <w:lang w:val="sr-Cyrl-RS"/>
              </w:rPr>
            </w:r>
            <w:r w:rsidRPr="00CF77C1">
              <w:rPr>
                <w:lang w:val="sr-Cyrl-RS"/>
              </w:rPr>
              <w:fldChar w:fldCharType="separate"/>
            </w:r>
            <w:r w:rsidR="002D5918">
              <w:rPr>
                <w:lang w:val="sr-Cyrl-RS"/>
              </w:rPr>
              <w:t>П.2</w:t>
            </w:r>
            <w:r w:rsidRPr="00CF77C1">
              <w:rPr>
                <w:lang w:val="sr-Cyrl-RS"/>
              </w:rPr>
              <w:fldChar w:fldCharType="end"/>
            </w:r>
            <w:r w:rsidRPr="00CF77C1">
              <w:rPr>
                <w:lang w:val="sr-Cyrl-RS"/>
              </w:rPr>
              <w:t xml:space="preserve"> - секција </w:t>
            </w:r>
            <w:r w:rsidR="00272C75" w:rsidRPr="00CF77C1">
              <w:rPr>
                <w:lang w:val="sr-Cyrl-RS"/>
              </w:rPr>
              <w:t>2</w:t>
            </w:r>
            <w:r w:rsidRPr="00CF77C1">
              <w:rPr>
                <w:lang w:val="sr-Cyrl-RS"/>
              </w:rPr>
              <w:t>)</w:t>
            </w:r>
          </w:p>
        </w:tc>
        <w:tc>
          <w:tcPr>
            <w:tcW w:w="1963" w:type="dxa"/>
            <w:tcBorders>
              <w:top w:val="single" w:sz="4" w:space="0" w:color="auto"/>
              <w:left w:val="single" w:sz="6" w:space="0" w:color="auto"/>
              <w:bottom w:val="dashed" w:sz="18" w:space="0" w:color="auto"/>
              <w:right w:val="single" w:sz="6" w:space="0" w:color="auto"/>
            </w:tcBorders>
            <w:shd w:val="pct10" w:color="auto" w:fill="auto"/>
            <w:vAlign w:val="center"/>
          </w:tcPr>
          <w:p w14:paraId="4B9A8B45" w14:textId="297C954A" w:rsidR="004770AF" w:rsidRPr="00CF77C1" w:rsidRDefault="003D4855" w:rsidP="00C52F39">
            <w:pPr>
              <w:jc w:val="center"/>
              <w:rPr>
                <w:lang w:val="sr-Cyrl-RS"/>
              </w:rPr>
            </w:pPr>
            <w:r w:rsidRPr="00CF77C1">
              <w:rPr>
                <w:lang w:val="sr-Cyrl-RS"/>
              </w:rPr>
              <w:t>29,6</w:t>
            </w:r>
            <w:r w:rsidR="004770AF" w:rsidRPr="00CF77C1">
              <w:rPr>
                <w:lang w:val="sr-Cyrl-RS"/>
              </w:rPr>
              <w:t xml:space="preserve"> милиона €</w:t>
            </w:r>
          </w:p>
        </w:tc>
        <w:tc>
          <w:tcPr>
            <w:tcW w:w="1429" w:type="dxa"/>
            <w:tcBorders>
              <w:top w:val="single" w:sz="4" w:space="0" w:color="auto"/>
              <w:left w:val="single" w:sz="6" w:space="0" w:color="auto"/>
              <w:bottom w:val="dashed" w:sz="18" w:space="0" w:color="auto"/>
              <w:right w:val="single" w:sz="6" w:space="0" w:color="auto"/>
            </w:tcBorders>
            <w:shd w:val="pct10" w:color="auto" w:fill="auto"/>
            <w:vAlign w:val="center"/>
          </w:tcPr>
          <w:p w14:paraId="02DDB860" w14:textId="77777777" w:rsidR="004770AF" w:rsidRPr="00CF77C1" w:rsidRDefault="004770AF" w:rsidP="00C52F39">
            <w:pPr>
              <w:jc w:val="center"/>
              <w:rPr>
                <w:lang w:val="sr-Cyrl-RS"/>
              </w:rPr>
            </w:pPr>
            <w:r w:rsidRPr="00CF77C1">
              <w:rPr>
                <w:lang w:val="sr-Cyrl-RS"/>
              </w:rPr>
              <w:t>2017-2023.</w:t>
            </w:r>
          </w:p>
        </w:tc>
        <w:tc>
          <w:tcPr>
            <w:tcW w:w="1711" w:type="dxa"/>
            <w:tcBorders>
              <w:top w:val="single" w:sz="4" w:space="0" w:color="auto"/>
              <w:left w:val="single" w:sz="6" w:space="0" w:color="auto"/>
              <w:bottom w:val="dashed" w:sz="18" w:space="0" w:color="auto"/>
              <w:right w:val="single" w:sz="6" w:space="0" w:color="auto"/>
            </w:tcBorders>
            <w:shd w:val="pct10" w:color="auto" w:fill="auto"/>
            <w:vAlign w:val="center"/>
          </w:tcPr>
          <w:p w14:paraId="33EEAFAE" w14:textId="54FA88E2" w:rsidR="004770AF" w:rsidRPr="00CF77C1" w:rsidRDefault="004770AF" w:rsidP="00C52F39">
            <w:pPr>
              <w:jc w:val="center"/>
              <w:rPr>
                <w:lang w:val="sr-Cyrl-RS"/>
              </w:rPr>
            </w:pPr>
            <w:r w:rsidRPr="00CF77C1">
              <w:rPr>
                <w:lang w:val="sr-Cyrl-RS"/>
              </w:rPr>
              <w:t>86</w:t>
            </w:r>
          </w:p>
        </w:tc>
        <w:tc>
          <w:tcPr>
            <w:tcW w:w="1921" w:type="dxa"/>
            <w:tcBorders>
              <w:top w:val="single" w:sz="4" w:space="0" w:color="auto"/>
              <w:left w:val="single" w:sz="6" w:space="0" w:color="auto"/>
              <w:bottom w:val="dashed" w:sz="18" w:space="0" w:color="auto"/>
              <w:right w:val="dashed" w:sz="18" w:space="0" w:color="auto"/>
            </w:tcBorders>
            <w:shd w:val="pct10" w:color="auto" w:fill="auto"/>
            <w:vAlign w:val="center"/>
          </w:tcPr>
          <w:p w14:paraId="66D6690C" w14:textId="4B321C92" w:rsidR="004770AF" w:rsidRPr="00CF77C1" w:rsidRDefault="004770AF" w:rsidP="00C52F39">
            <w:pPr>
              <w:jc w:val="center"/>
              <w:rPr>
                <w:lang w:val="sr-Cyrl-RS"/>
              </w:rPr>
            </w:pPr>
            <w:r w:rsidRPr="00CF77C1">
              <w:rPr>
                <w:lang w:val="sr-Cyrl-RS"/>
              </w:rPr>
              <w:t>1б</w:t>
            </w:r>
          </w:p>
        </w:tc>
      </w:tr>
      <w:tr w:rsidR="004770AF" w:rsidRPr="00CF77C1" w14:paraId="1BE93777" w14:textId="77777777" w:rsidTr="00C52F39">
        <w:trPr>
          <w:cantSplit/>
        </w:trPr>
        <w:tc>
          <w:tcPr>
            <w:tcW w:w="1086" w:type="dxa"/>
            <w:tcBorders>
              <w:top w:val="dashed" w:sz="18" w:space="0" w:color="auto"/>
              <w:left w:val="dashed" w:sz="18" w:space="0" w:color="auto"/>
              <w:bottom w:val="dashed" w:sz="18" w:space="0" w:color="auto"/>
              <w:right w:val="single" w:sz="6" w:space="0" w:color="auto"/>
            </w:tcBorders>
            <w:shd w:val="pct10" w:color="auto" w:fill="auto"/>
            <w:vAlign w:val="center"/>
          </w:tcPr>
          <w:p w14:paraId="0152D518" w14:textId="2E524BB2" w:rsidR="004770AF" w:rsidRPr="00CF77C1" w:rsidRDefault="004770AF" w:rsidP="00C52F39">
            <w:pPr>
              <w:jc w:val="center"/>
              <w:rPr>
                <w:lang w:val="sr-Cyrl-RS"/>
              </w:rPr>
            </w:pPr>
            <w:r w:rsidRPr="00CF77C1">
              <w:rPr>
                <w:lang w:val="sr-Cyrl-RS"/>
              </w:rPr>
              <w:t>12</w:t>
            </w:r>
          </w:p>
        </w:tc>
        <w:tc>
          <w:tcPr>
            <w:tcW w:w="6677" w:type="dxa"/>
            <w:tcBorders>
              <w:top w:val="dashed" w:sz="18" w:space="0" w:color="auto"/>
              <w:left w:val="single" w:sz="6" w:space="0" w:color="auto"/>
              <w:bottom w:val="dashed" w:sz="18" w:space="0" w:color="auto"/>
              <w:right w:val="single" w:sz="6" w:space="0" w:color="auto"/>
            </w:tcBorders>
            <w:shd w:val="pct10" w:color="auto" w:fill="auto"/>
            <w:vAlign w:val="center"/>
          </w:tcPr>
          <w:p w14:paraId="61C59F68" w14:textId="5A05358E" w:rsidR="004770AF" w:rsidRPr="00CF77C1" w:rsidRDefault="004770AF" w:rsidP="00DD1F0C">
            <w:pPr>
              <w:jc w:val="left"/>
              <w:rPr>
                <w:lang w:val="sr-Cyrl-RS"/>
              </w:rPr>
            </w:pPr>
            <w:r w:rsidRPr="00CF77C1">
              <w:rPr>
                <w:lang w:val="sr-Cyrl-RS"/>
              </w:rPr>
              <w:t>Гасовод интерконектор Србија - Бугарска - Секција на територији Србије (Пројекат гасне интерконекције Србија - Бугарска, магистрални гасовод МГ-10 Ниш - Димит</w:t>
            </w:r>
            <w:r w:rsidR="00DD1F0C">
              <w:rPr>
                <w:lang w:val="sr-Cyrl-RS"/>
              </w:rPr>
              <w:t>ровград (граница са Бугарском) – П.21</w:t>
            </w:r>
            <w:r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shd w:val="pct10" w:color="auto" w:fill="auto"/>
            <w:vAlign w:val="center"/>
          </w:tcPr>
          <w:p w14:paraId="758140A1" w14:textId="77777777" w:rsidR="004770AF" w:rsidRPr="00CF77C1" w:rsidRDefault="004770AF" w:rsidP="00C52F39">
            <w:pPr>
              <w:jc w:val="center"/>
              <w:rPr>
                <w:lang w:val="sr-Cyrl-RS"/>
              </w:rPr>
            </w:pPr>
            <w:r w:rsidRPr="00CF77C1">
              <w:rPr>
                <w:lang w:val="sr-Cyrl-RS"/>
              </w:rPr>
              <w:t>85,5 милиона €</w:t>
            </w:r>
          </w:p>
        </w:tc>
        <w:tc>
          <w:tcPr>
            <w:tcW w:w="1429" w:type="dxa"/>
            <w:tcBorders>
              <w:top w:val="dashed" w:sz="18" w:space="0" w:color="auto"/>
              <w:left w:val="single" w:sz="6" w:space="0" w:color="auto"/>
              <w:bottom w:val="dashed" w:sz="18" w:space="0" w:color="auto"/>
              <w:right w:val="single" w:sz="6" w:space="0" w:color="auto"/>
            </w:tcBorders>
            <w:shd w:val="pct10" w:color="auto" w:fill="auto"/>
            <w:vAlign w:val="center"/>
          </w:tcPr>
          <w:p w14:paraId="7A9962B6" w14:textId="67B541C6" w:rsidR="004770AF" w:rsidRPr="00CF77C1" w:rsidRDefault="004770AF" w:rsidP="005656B1">
            <w:pPr>
              <w:jc w:val="center"/>
              <w:rPr>
                <w:lang w:val="sr-Cyrl-RS"/>
              </w:rPr>
            </w:pPr>
            <w:r w:rsidRPr="00CF77C1">
              <w:rPr>
                <w:lang w:val="sr-Cyrl-RS"/>
              </w:rPr>
              <w:t>2017-20</w:t>
            </w:r>
            <w:r w:rsidR="005656B1" w:rsidRPr="00CF77C1">
              <w:t>21</w:t>
            </w:r>
            <w:r w:rsidRPr="00CF77C1">
              <w:rPr>
                <w:lang w:val="sr-Cyrl-RS"/>
              </w:rPr>
              <w:t>.</w:t>
            </w:r>
          </w:p>
        </w:tc>
        <w:tc>
          <w:tcPr>
            <w:tcW w:w="1711" w:type="dxa"/>
            <w:tcBorders>
              <w:top w:val="dashed" w:sz="18" w:space="0" w:color="auto"/>
              <w:left w:val="single" w:sz="6" w:space="0" w:color="auto"/>
              <w:bottom w:val="dashed" w:sz="18" w:space="0" w:color="auto"/>
              <w:right w:val="single" w:sz="6" w:space="0" w:color="auto"/>
            </w:tcBorders>
            <w:shd w:val="pct10" w:color="auto" w:fill="auto"/>
            <w:vAlign w:val="center"/>
          </w:tcPr>
          <w:p w14:paraId="0F260FB7" w14:textId="72AF3A93" w:rsidR="004770AF" w:rsidRPr="00CF77C1" w:rsidRDefault="004770AF" w:rsidP="00C52F39">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shd w:val="pct10" w:color="auto" w:fill="auto"/>
            <w:vAlign w:val="center"/>
          </w:tcPr>
          <w:p w14:paraId="4235902F" w14:textId="0E3EB197" w:rsidR="004770AF" w:rsidRPr="00CF77C1" w:rsidRDefault="004770AF" w:rsidP="00C52F39">
            <w:pPr>
              <w:jc w:val="center"/>
              <w:rPr>
                <w:lang w:val="sr-Cyrl-RS"/>
              </w:rPr>
            </w:pPr>
            <w:r w:rsidRPr="00CF77C1">
              <w:rPr>
                <w:lang w:val="sr-Cyrl-RS"/>
              </w:rPr>
              <w:t>2б</w:t>
            </w:r>
          </w:p>
        </w:tc>
      </w:tr>
      <w:tr w:rsidR="004770AF" w:rsidRPr="00CF77C1" w14:paraId="2F77CD20" w14:textId="77777777" w:rsidTr="00C52F3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7B1AFAE7" w14:textId="6BC612BF" w:rsidR="004770AF" w:rsidRPr="00CF77C1" w:rsidRDefault="004770AF" w:rsidP="00C52F39">
            <w:pPr>
              <w:jc w:val="center"/>
              <w:rPr>
                <w:lang w:val="sr-Cyrl-RS"/>
              </w:rPr>
            </w:pPr>
            <w:r w:rsidRPr="00CF77C1">
              <w:rPr>
                <w:lang w:val="sr-Cyrl-RS"/>
              </w:rPr>
              <w:t>13</w:t>
            </w:r>
          </w:p>
        </w:tc>
        <w:tc>
          <w:tcPr>
            <w:tcW w:w="6677" w:type="dxa"/>
            <w:tcBorders>
              <w:top w:val="dashed" w:sz="18" w:space="0" w:color="auto"/>
              <w:left w:val="single" w:sz="6" w:space="0" w:color="auto"/>
              <w:bottom w:val="dashed" w:sz="18" w:space="0" w:color="auto"/>
              <w:right w:val="single" w:sz="6" w:space="0" w:color="auto"/>
            </w:tcBorders>
            <w:vAlign w:val="center"/>
          </w:tcPr>
          <w:p w14:paraId="55186016" w14:textId="14761580" w:rsidR="004770AF" w:rsidRPr="00CF77C1" w:rsidRDefault="004770AF" w:rsidP="00DD1F0C">
            <w:pPr>
              <w:jc w:val="left"/>
              <w:rPr>
                <w:lang w:val="sr-Cyrl-RS"/>
              </w:rPr>
            </w:pPr>
            <w:r w:rsidRPr="00CF77C1">
              <w:rPr>
                <w:lang w:val="sr-Cyrl-RS"/>
              </w:rPr>
              <w:t xml:space="preserve">Гасовод интерконектор Србија - Хрватска - Секција на територији Србије (Пројекaт гасне интерконекције Србија - Хрватска, магистрални гасовод МГ- 08 Госпођинци (Футог) - Сотин (граница са Хрватском) </w:t>
            </w:r>
            <w:r w:rsidR="00DD1F0C">
              <w:rPr>
                <w:lang w:val="sr-Cyrl-RS"/>
              </w:rPr>
              <w:t>- П.22</w:t>
            </w:r>
            <w:r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232B02B0" w14:textId="77777777" w:rsidR="004770AF" w:rsidRPr="00CF77C1" w:rsidRDefault="004770AF" w:rsidP="00C52F39">
            <w:pPr>
              <w:jc w:val="center"/>
              <w:rPr>
                <w:lang w:val="sr-Cyrl-RS"/>
              </w:rPr>
            </w:pPr>
            <w:r w:rsidRPr="00CF77C1">
              <w:rPr>
                <w:lang w:val="sr-Cyrl-RS"/>
              </w:rPr>
              <w:t>32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4412D37C" w14:textId="77777777" w:rsidR="004770AF" w:rsidRPr="00CF77C1" w:rsidRDefault="004770AF" w:rsidP="00C52F39">
            <w:pPr>
              <w:jc w:val="center"/>
              <w:rPr>
                <w:lang w:val="sr-Cyrl-RS"/>
              </w:rPr>
            </w:pPr>
            <w:r w:rsidRPr="00CF77C1">
              <w:rPr>
                <w:lang w:val="sr-Cyrl-RS"/>
              </w:rPr>
              <w:t>2021-2023.</w:t>
            </w:r>
          </w:p>
        </w:tc>
        <w:tc>
          <w:tcPr>
            <w:tcW w:w="1711" w:type="dxa"/>
            <w:tcBorders>
              <w:top w:val="dashed" w:sz="18" w:space="0" w:color="auto"/>
              <w:left w:val="single" w:sz="6" w:space="0" w:color="auto"/>
              <w:bottom w:val="dashed" w:sz="18" w:space="0" w:color="auto"/>
              <w:right w:val="single" w:sz="6" w:space="0" w:color="auto"/>
            </w:tcBorders>
            <w:vAlign w:val="center"/>
          </w:tcPr>
          <w:p w14:paraId="629C983E" w14:textId="0F462F65" w:rsidR="004770AF" w:rsidRPr="00CF77C1" w:rsidRDefault="004770AF" w:rsidP="00C52F39">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2C896F19" w14:textId="4F8F04C6" w:rsidR="004770AF" w:rsidRPr="00CF77C1" w:rsidRDefault="004770AF" w:rsidP="00C52F39">
            <w:pPr>
              <w:jc w:val="center"/>
              <w:rPr>
                <w:lang w:val="sr-Cyrl-RS"/>
              </w:rPr>
            </w:pPr>
            <w:r w:rsidRPr="00CF77C1">
              <w:rPr>
                <w:lang w:val="sr-Cyrl-RS"/>
              </w:rPr>
              <w:t>2б</w:t>
            </w:r>
          </w:p>
        </w:tc>
      </w:tr>
      <w:tr w:rsidR="004770AF" w:rsidRPr="00CF77C1" w14:paraId="737214AD" w14:textId="77777777" w:rsidTr="00C52F3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22052390" w14:textId="6EBE76C5" w:rsidR="004770AF" w:rsidRPr="00CF77C1" w:rsidRDefault="004770AF" w:rsidP="00C52F39">
            <w:pPr>
              <w:jc w:val="center"/>
              <w:rPr>
                <w:lang w:val="sr-Cyrl-RS"/>
              </w:rPr>
            </w:pPr>
            <w:r w:rsidRPr="00CF77C1">
              <w:rPr>
                <w:lang w:val="sr-Cyrl-RS"/>
              </w:rPr>
              <w:t>14</w:t>
            </w:r>
          </w:p>
        </w:tc>
        <w:tc>
          <w:tcPr>
            <w:tcW w:w="6677" w:type="dxa"/>
            <w:tcBorders>
              <w:top w:val="dashed" w:sz="18" w:space="0" w:color="auto"/>
              <w:left w:val="single" w:sz="6" w:space="0" w:color="auto"/>
              <w:bottom w:val="dashed" w:sz="18" w:space="0" w:color="auto"/>
              <w:right w:val="single" w:sz="6" w:space="0" w:color="auto"/>
            </w:tcBorders>
            <w:vAlign w:val="center"/>
          </w:tcPr>
          <w:p w14:paraId="3A32041C" w14:textId="3BD48599" w:rsidR="004770AF" w:rsidRPr="00CF77C1" w:rsidRDefault="004770AF" w:rsidP="00DD1F0C">
            <w:pPr>
              <w:jc w:val="left"/>
              <w:rPr>
                <w:lang w:val="sr-Cyrl-RS"/>
              </w:rPr>
            </w:pPr>
            <w:r w:rsidRPr="00CF77C1">
              <w:rPr>
                <w:lang w:val="sr-Cyrl-RS"/>
              </w:rPr>
              <w:t xml:space="preserve">Гасовод интерконектор Србија - Румунија - Секција на територији Србије (Пројекaт гасне интерконекције Србија - Румунија, гасовод Мокрин - Арад (граница са Румунијом) </w:t>
            </w:r>
            <w:r w:rsidR="00DD1F0C">
              <w:rPr>
                <w:lang w:val="sr-Cyrl-RS"/>
              </w:rPr>
              <w:t>- П.23</w:t>
            </w:r>
            <w:r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2BD473E0" w14:textId="77777777" w:rsidR="004770AF" w:rsidRPr="00CF77C1" w:rsidRDefault="004770AF" w:rsidP="00C52F39">
            <w:pPr>
              <w:jc w:val="center"/>
              <w:rPr>
                <w:lang w:val="sr-Cyrl-RS"/>
              </w:rPr>
            </w:pPr>
            <w:r w:rsidRPr="00CF77C1">
              <w:rPr>
                <w:lang w:val="sr-Cyrl-RS"/>
              </w:rPr>
              <w:t>2,5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106E19B7" w14:textId="77777777" w:rsidR="004770AF" w:rsidRPr="00CF77C1" w:rsidRDefault="004770AF" w:rsidP="00C52F39">
            <w:pPr>
              <w:jc w:val="center"/>
              <w:rPr>
                <w:lang w:val="sr-Cyrl-RS"/>
              </w:rPr>
            </w:pPr>
            <w:r w:rsidRPr="00CF77C1">
              <w:rPr>
                <w:lang w:val="sr-Cyrl-RS"/>
              </w:rPr>
              <w:t>2022-2023.</w:t>
            </w:r>
          </w:p>
        </w:tc>
        <w:tc>
          <w:tcPr>
            <w:tcW w:w="1711" w:type="dxa"/>
            <w:tcBorders>
              <w:top w:val="dashed" w:sz="18" w:space="0" w:color="auto"/>
              <w:left w:val="single" w:sz="6" w:space="0" w:color="auto"/>
              <w:bottom w:val="dashed" w:sz="18" w:space="0" w:color="auto"/>
              <w:right w:val="single" w:sz="6" w:space="0" w:color="auto"/>
            </w:tcBorders>
            <w:vAlign w:val="center"/>
          </w:tcPr>
          <w:p w14:paraId="458452D0" w14:textId="7471976C" w:rsidR="004770AF" w:rsidRPr="00CF77C1" w:rsidRDefault="004770AF" w:rsidP="00C52F39">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0069BC86" w14:textId="39CFB9B8" w:rsidR="004770AF" w:rsidRPr="00CF77C1" w:rsidRDefault="004770AF" w:rsidP="00C52F39">
            <w:pPr>
              <w:jc w:val="center"/>
              <w:rPr>
                <w:lang w:val="sr-Cyrl-RS"/>
              </w:rPr>
            </w:pPr>
            <w:r w:rsidRPr="00CF77C1">
              <w:rPr>
                <w:lang w:val="sr-Cyrl-RS"/>
              </w:rPr>
              <w:t>2б</w:t>
            </w:r>
          </w:p>
        </w:tc>
      </w:tr>
      <w:tr w:rsidR="004770AF" w:rsidRPr="00CF77C1" w14:paraId="5E9EFD80"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00400D09" w14:textId="61B608E6" w:rsidR="004770AF" w:rsidRPr="00CF77C1" w:rsidRDefault="004770AF" w:rsidP="00AF2E80">
            <w:pPr>
              <w:jc w:val="center"/>
              <w:rPr>
                <w:lang w:val="sr-Cyrl-RS"/>
              </w:rPr>
            </w:pPr>
            <w:r w:rsidRPr="00CF77C1">
              <w:rPr>
                <w:lang w:val="sr-Cyrl-RS"/>
              </w:rPr>
              <w:t>15</w:t>
            </w:r>
          </w:p>
        </w:tc>
        <w:tc>
          <w:tcPr>
            <w:tcW w:w="6677" w:type="dxa"/>
            <w:tcBorders>
              <w:top w:val="dashed" w:sz="18" w:space="0" w:color="auto"/>
              <w:left w:val="single" w:sz="6" w:space="0" w:color="auto"/>
              <w:bottom w:val="dashed" w:sz="18" w:space="0" w:color="auto"/>
              <w:right w:val="single" w:sz="6" w:space="0" w:color="auto"/>
            </w:tcBorders>
            <w:vAlign w:val="center"/>
          </w:tcPr>
          <w:p w14:paraId="3440C2C0" w14:textId="1168BC12" w:rsidR="004770AF" w:rsidRPr="00CF77C1" w:rsidRDefault="004770AF" w:rsidP="00DD1F0C">
            <w:pPr>
              <w:jc w:val="left"/>
              <w:rPr>
                <w:lang w:val="sr-Cyrl-RS"/>
              </w:rPr>
            </w:pPr>
            <w:r w:rsidRPr="00CF77C1">
              <w:rPr>
                <w:lang w:val="sr-Cyrl-RS"/>
              </w:rPr>
              <w:t xml:space="preserve">Пројекат обновљивих извора енергије - Ветропарк и Соларни парк у Костолцу (део пројекта изградње нових ветроелектрана на подручју Републике Србије за које су издати статуси привремених повлашћених произвођача укупне снаге до 500 MW </w:t>
            </w:r>
            <w:r w:rsidR="00DD1F0C">
              <w:rPr>
                <w:lang w:val="sr-Cyrl-RS"/>
              </w:rPr>
              <w:t>- П.15</w:t>
            </w:r>
            <w:r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337C073C" w14:textId="3F12E8E3" w:rsidR="004770AF" w:rsidRPr="00CF77C1" w:rsidRDefault="004770AF" w:rsidP="00AF2E80">
            <w:pPr>
              <w:jc w:val="center"/>
              <w:rPr>
                <w:lang w:val="sr-Cyrl-RS"/>
              </w:rPr>
            </w:pPr>
            <w:r w:rsidRPr="00CF77C1">
              <w:rPr>
                <w:lang w:val="sr-Cyrl-RS"/>
              </w:rPr>
              <w:t>105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382E5599" w14:textId="7AAA5D22" w:rsidR="004770AF" w:rsidRPr="00CF77C1" w:rsidRDefault="004770AF" w:rsidP="00AF2E80">
            <w:pPr>
              <w:jc w:val="center"/>
              <w:rPr>
                <w:lang w:val="sr-Cyrl-RS"/>
              </w:rPr>
            </w:pPr>
            <w:r w:rsidRPr="00CF77C1">
              <w:rPr>
                <w:lang w:val="sr-Cyrl-RS"/>
              </w:rPr>
              <w:t>2017-2020.</w:t>
            </w:r>
          </w:p>
        </w:tc>
        <w:tc>
          <w:tcPr>
            <w:tcW w:w="1711" w:type="dxa"/>
            <w:tcBorders>
              <w:top w:val="dashed" w:sz="18" w:space="0" w:color="auto"/>
              <w:left w:val="single" w:sz="6" w:space="0" w:color="auto"/>
              <w:bottom w:val="dashed" w:sz="18" w:space="0" w:color="auto"/>
              <w:right w:val="single" w:sz="6" w:space="0" w:color="auto"/>
            </w:tcBorders>
            <w:vAlign w:val="center"/>
          </w:tcPr>
          <w:p w14:paraId="6496AF63" w14:textId="537D2D1F"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03D35CE2" w14:textId="2B192078" w:rsidR="004770AF" w:rsidRPr="00CF77C1" w:rsidRDefault="004770AF" w:rsidP="00AF2E80">
            <w:pPr>
              <w:jc w:val="center"/>
              <w:rPr>
                <w:lang w:val="sr-Cyrl-RS"/>
              </w:rPr>
            </w:pPr>
            <w:r w:rsidRPr="00CF77C1">
              <w:rPr>
                <w:lang w:val="sr-Cyrl-RS"/>
              </w:rPr>
              <w:t>2б</w:t>
            </w:r>
          </w:p>
        </w:tc>
      </w:tr>
      <w:tr w:rsidR="004770AF" w:rsidRPr="00CF77C1" w14:paraId="4E9AADD7" w14:textId="77777777" w:rsidTr="00C52F39">
        <w:trPr>
          <w:cantSplit/>
        </w:trPr>
        <w:tc>
          <w:tcPr>
            <w:tcW w:w="1086" w:type="dxa"/>
            <w:vAlign w:val="center"/>
          </w:tcPr>
          <w:p w14:paraId="21266223" w14:textId="174BB0AA" w:rsidR="004770AF" w:rsidRPr="00CF77C1" w:rsidRDefault="004770AF" w:rsidP="00C52F39">
            <w:pPr>
              <w:jc w:val="center"/>
              <w:rPr>
                <w:lang w:val="sr-Cyrl-RS"/>
              </w:rPr>
            </w:pPr>
            <w:r w:rsidRPr="00CF77C1">
              <w:rPr>
                <w:lang w:val="sr-Cyrl-RS"/>
              </w:rPr>
              <w:t>16</w:t>
            </w:r>
          </w:p>
        </w:tc>
        <w:tc>
          <w:tcPr>
            <w:tcW w:w="6677" w:type="dxa"/>
            <w:vAlign w:val="center"/>
          </w:tcPr>
          <w:p w14:paraId="588F9E06" w14:textId="670D1CC9" w:rsidR="004770AF" w:rsidRPr="00CF77C1" w:rsidRDefault="004770AF" w:rsidP="00C52F39">
            <w:pPr>
              <w:jc w:val="left"/>
              <w:rPr>
                <w:lang w:val="sr-Cyrl-RS"/>
              </w:rPr>
            </w:pPr>
            <w:r w:rsidRPr="00CF77C1">
              <w:rPr>
                <w:lang w:val="sr-Cyrl-RS"/>
              </w:rPr>
              <w:t>Имплементација мера енергетске ефикасности у Београду (LEEN)</w:t>
            </w:r>
          </w:p>
        </w:tc>
        <w:tc>
          <w:tcPr>
            <w:tcW w:w="1963" w:type="dxa"/>
            <w:vAlign w:val="center"/>
          </w:tcPr>
          <w:p w14:paraId="18AE26B2" w14:textId="77777777" w:rsidR="004770AF" w:rsidRPr="00CF77C1" w:rsidRDefault="004770AF" w:rsidP="00C52F39">
            <w:pPr>
              <w:jc w:val="center"/>
              <w:rPr>
                <w:lang w:val="sr-Cyrl-RS"/>
              </w:rPr>
            </w:pPr>
            <w:r w:rsidRPr="00CF77C1">
              <w:rPr>
                <w:lang w:val="sr-Cyrl-RS"/>
              </w:rPr>
              <w:t>11 милиона €</w:t>
            </w:r>
          </w:p>
        </w:tc>
        <w:tc>
          <w:tcPr>
            <w:tcW w:w="1429" w:type="dxa"/>
            <w:vAlign w:val="center"/>
          </w:tcPr>
          <w:p w14:paraId="6C0F3E52" w14:textId="77777777" w:rsidR="004770AF" w:rsidRPr="00CF77C1" w:rsidRDefault="004770AF" w:rsidP="00C52F39">
            <w:pPr>
              <w:jc w:val="center"/>
              <w:rPr>
                <w:lang w:val="sr-Cyrl-RS"/>
              </w:rPr>
            </w:pPr>
            <w:r w:rsidRPr="00CF77C1">
              <w:rPr>
                <w:lang w:val="sr-Cyrl-RS"/>
              </w:rPr>
              <w:t>није дефинисан</w:t>
            </w:r>
          </w:p>
        </w:tc>
        <w:tc>
          <w:tcPr>
            <w:tcW w:w="1711" w:type="dxa"/>
            <w:vAlign w:val="center"/>
          </w:tcPr>
          <w:p w14:paraId="1FD6D0D1" w14:textId="77777777" w:rsidR="004770AF" w:rsidRPr="00CF77C1" w:rsidRDefault="004770AF" w:rsidP="00C52F39">
            <w:pPr>
              <w:jc w:val="center"/>
              <w:rPr>
                <w:lang w:val="sr-Cyrl-RS"/>
              </w:rPr>
            </w:pPr>
            <w:r w:rsidRPr="00CF77C1">
              <w:rPr>
                <w:lang w:val="sr-Cyrl-RS"/>
              </w:rPr>
              <w:t>86</w:t>
            </w:r>
          </w:p>
        </w:tc>
        <w:tc>
          <w:tcPr>
            <w:tcW w:w="1921" w:type="dxa"/>
            <w:vAlign w:val="center"/>
          </w:tcPr>
          <w:p w14:paraId="0F15B3AD" w14:textId="5AE92009" w:rsidR="004770AF" w:rsidRPr="00CF77C1" w:rsidRDefault="004770AF" w:rsidP="00C52F39">
            <w:pPr>
              <w:jc w:val="center"/>
              <w:rPr>
                <w:lang w:val="sr-Cyrl-RS"/>
              </w:rPr>
            </w:pPr>
            <w:r w:rsidRPr="00CF77C1">
              <w:rPr>
                <w:lang w:val="sr-Cyrl-RS"/>
              </w:rPr>
              <w:t>2а</w:t>
            </w:r>
          </w:p>
        </w:tc>
      </w:tr>
      <w:tr w:rsidR="004770AF" w:rsidRPr="00CF77C1" w14:paraId="0CB87CF0" w14:textId="77777777" w:rsidTr="00432272">
        <w:trPr>
          <w:cantSplit/>
        </w:trPr>
        <w:tc>
          <w:tcPr>
            <w:tcW w:w="1086" w:type="dxa"/>
            <w:tcBorders>
              <w:bottom w:val="dashed" w:sz="18" w:space="0" w:color="auto"/>
            </w:tcBorders>
            <w:vAlign w:val="center"/>
          </w:tcPr>
          <w:p w14:paraId="25B69D4B" w14:textId="20B4194E" w:rsidR="004770AF" w:rsidRPr="00CF77C1" w:rsidRDefault="004770AF" w:rsidP="00844FA9">
            <w:pPr>
              <w:jc w:val="center"/>
              <w:rPr>
                <w:lang w:val="sr-Cyrl-RS"/>
              </w:rPr>
            </w:pPr>
            <w:r w:rsidRPr="00CF77C1">
              <w:rPr>
                <w:lang w:val="sr-Cyrl-RS"/>
              </w:rPr>
              <w:t>17</w:t>
            </w:r>
          </w:p>
        </w:tc>
        <w:tc>
          <w:tcPr>
            <w:tcW w:w="6677" w:type="dxa"/>
            <w:tcBorders>
              <w:bottom w:val="dashed" w:sz="18" w:space="0" w:color="auto"/>
            </w:tcBorders>
            <w:vAlign w:val="center"/>
          </w:tcPr>
          <w:p w14:paraId="69BD1705" w14:textId="2F17E59A" w:rsidR="004770AF" w:rsidRPr="00CF77C1" w:rsidRDefault="004770AF" w:rsidP="00432272">
            <w:pPr>
              <w:jc w:val="left"/>
              <w:rPr>
                <w:lang w:val="sr-Cyrl-RS"/>
              </w:rPr>
            </w:pPr>
            <w:r w:rsidRPr="00CF77C1">
              <w:rPr>
                <w:lang w:val="sr-Cyrl-RS"/>
              </w:rPr>
              <w:t>Пројекат искоришћења геотермалне енергије - Богатић</w:t>
            </w:r>
          </w:p>
        </w:tc>
        <w:tc>
          <w:tcPr>
            <w:tcW w:w="1963" w:type="dxa"/>
            <w:tcBorders>
              <w:bottom w:val="dashed" w:sz="18" w:space="0" w:color="auto"/>
            </w:tcBorders>
            <w:vAlign w:val="center"/>
          </w:tcPr>
          <w:p w14:paraId="1628F8D1" w14:textId="77777777" w:rsidR="004770AF" w:rsidRPr="00CF77C1" w:rsidRDefault="004770AF" w:rsidP="00844FA9">
            <w:pPr>
              <w:jc w:val="center"/>
              <w:rPr>
                <w:lang w:val="sr-Cyrl-RS"/>
              </w:rPr>
            </w:pPr>
            <w:r w:rsidRPr="00CF77C1">
              <w:rPr>
                <w:lang w:val="sr-Cyrl-RS"/>
              </w:rPr>
              <w:t>2,7 милиона €</w:t>
            </w:r>
          </w:p>
        </w:tc>
        <w:tc>
          <w:tcPr>
            <w:tcW w:w="1429" w:type="dxa"/>
            <w:tcBorders>
              <w:bottom w:val="dashed" w:sz="18" w:space="0" w:color="auto"/>
            </w:tcBorders>
            <w:vAlign w:val="center"/>
          </w:tcPr>
          <w:p w14:paraId="3CDE2B90" w14:textId="77777777" w:rsidR="004770AF" w:rsidRPr="00CF77C1" w:rsidRDefault="004770AF" w:rsidP="00844FA9">
            <w:pPr>
              <w:jc w:val="center"/>
              <w:rPr>
                <w:lang w:val="sr-Cyrl-RS"/>
              </w:rPr>
            </w:pPr>
            <w:r w:rsidRPr="00CF77C1">
              <w:rPr>
                <w:lang w:val="sr-Cyrl-RS"/>
              </w:rPr>
              <w:t>није дефинисан</w:t>
            </w:r>
          </w:p>
        </w:tc>
        <w:tc>
          <w:tcPr>
            <w:tcW w:w="1711" w:type="dxa"/>
            <w:tcBorders>
              <w:bottom w:val="dashed" w:sz="18" w:space="0" w:color="auto"/>
            </w:tcBorders>
            <w:vAlign w:val="center"/>
          </w:tcPr>
          <w:p w14:paraId="323A11A6" w14:textId="77777777" w:rsidR="004770AF" w:rsidRPr="00CF77C1" w:rsidRDefault="004770AF" w:rsidP="00844FA9">
            <w:pPr>
              <w:jc w:val="center"/>
              <w:rPr>
                <w:lang w:val="sr-Cyrl-RS"/>
              </w:rPr>
            </w:pPr>
            <w:r w:rsidRPr="00CF77C1">
              <w:rPr>
                <w:lang w:val="sr-Cyrl-RS"/>
              </w:rPr>
              <w:t>86</w:t>
            </w:r>
          </w:p>
        </w:tc>
        <w:tc>
          <w:tcPr>
            <w:tcW w:w="1921" w:type="dxa"/>
            <w:tcBorders>
              <w:bottom w:val="dashed" w:sz="18" w:space="0" w:color="auto"/>
            </w:tcBorders>
            <w:vAlign w:val="center"/>
          </w:tcPr>
          <w:p w14:paraId="78C3DB14" w14:textId="77777777" w:rsidR="004770AF" w:rsidRPr="00CF77C1" w:rsidRDefault="004770AF" w:rsidP="00844FA9">
            <w:pPr>
              <w:jc w:val="center"/>
              <w:rPr>
                <w:lang w:val="sr-Cyrl-RS"/>
              </w:rPr>
            </w:pPr>
            <w:r w:rsidRPr="00CF77C1">
              <w:rPr>
                <w:lang w:val="sr-Cyrl-RS"/>
              </w:rPr>
              <w:t>2б</w:t>
            </w:r>
          </w:p>
        </w:tc>
      </w:tr>
      <w:tr w:rsidR="004770AF" w:rsidRPr="00CF77C1" w14:paraId="17420A3C"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65BDF5F4" w14:textId="5D292EA3" w:rsidR="004770AF" w:rsidRPr="00CF77C1" w:rsidRDefault="004770AF" w:rsidP="00AF2E80">
            <w:pPr>
              <w:jc w:val="center"/>
              <w:rPr>
                <w:lang w:val="sr-Cyrl-RS"/>
              </w:rPr>
            </w:pPr>
            <w:r w:rsidRPr="00CF77C1">
              <w:rPr>
                <w:lang w:val="sr-Cyrl-RS"/>
              </w:rPr>
              <w:t>18</w:t>
            </w:r>
          </w:p>
        </w:tc>
        <w:tc>
          <w:tcPr>
            <w:tcW w:w="6677" w:type="dxa"/>
            <w:tcBorders>
              <w:top w:val="dashed" w:sz="18" w:space="0" w:color="auto"/>
              <w:left w:val="single" w:sz="6" w:space="0" w:color="auto"/>
              <w:bottom w:val="dashed" w:sz="18" w:space="0" w:color="auto"/>
              <w:right w:val="single" w:sz="6" w:space="0" w:color="auto"/>
            </w:tcBorders>
            <w:vAlign w:val="center"/>
          </w:tcPr>
          <w:p w14:paraId="4391816F" w14:textId="31508C79" w:rsidR="004770AF" w:rsidRPr="00CF77C1" w:rsidRDefault="004770AF" w:rsidP="00B2758B">
            <w:pPr>
              <w:jc w:val="left"/>
              <w:rPr>
                <w:lang w:val="sr-Cyrl-RS"/>
              </w:rPr>
            </w:pPr>
            <w:r w:rsidRPr="00CF77C1">
              <w:rPr>
                <w:lang w:val="sr-Cyrl-RS"/>
              </w:rPr>
              <w:t>Смањење емисија SO</w:t>
            </w:r>
            <w:r w:rsidRPr="00CF77C1">
              <w:rPr>
                <w:vertAlign w:val="subscript"/>
                <w:lang w:val="sr-Cyrl-RS"/>
              </w:rPr>
              <w:t>2</w:t>
            </w:r>
            <w:r w:rsidRPr="00CF77C1">
              <w:rPr>
                <w:lang w:val="sr-Cyrl-RS"/>
              </w:rPr>
              <w:t xml:space="preserve"> и NO</w:t>
            </w:r>
            <w:r w:rsidRPr="00CF77C1">
              <w:rPr>
                <w:vertAlign w:val="subscript"/>
                <w:lang w:val="sr-Cyrl-RS"/>
              </w:rPr>
              <w:t>x</w:t>
            </w:r>
            <w:r w:rsidRPr="00CF77C1">
              <w:rPr>
                <w:lang w:val="sr-Cyrl-RS"/>
              </w:rPr>
              <w:t xml:space="preserve"> у ТЕ Никола Тесла A1</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401F5977" w14:textId="6601BBE2" w:rsidR="004770AF" w:rsidRPr="00CF77C1" w:rsidRDefault="004770AF" w:rsidP="00AF2E80">
            <w:pPr>
              <w:jc w:val="center"/>
              <w:rPr>
                <w:lang w:val="sr-Cyrl-RS"/>
              </w:rPr>
            </w:pPr>
            <w:r w:rsidRPr="00CF77C1">
              <w:rPr>
                <w:lang w:val="sr-Cyrl-RS"/>
              </w:rPr>
              <w:t>36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0583DA83" w14:textId="6B91B254" w:rsidR="004770AF" w:rsidRPr="00CF77C1" w:rsidRDefault="004770AF" w:rsidP="00AF2E80">
            <w:pPr>
              <w:jc w:val="center"/>
              <w:rPr>
                <w:lang w:val="sr-Cyrl-RS"/>
              </w:rPr>
            </w:pPr>
            <w:r w:rsidRPr="00CF77C1">
              <w:rPr>
                <w:lang w:val="sr-Cyrl-RS"/>
              </w:rPr>
              <w:t>није дефинисан</w:t>
            </w:r>
          </w:p>
        </w:tc>
        <w:tc>
          <w:tcPr>
            <w:tcW w:w="1711" w:type="dxa"/>
            <w:tcBorders>
              <w:top w:val="dashed" w:sz="18" w:space="0" w:color="auto"/>
              <w:left w:val="single" w:sz="6" w:space="0" w:color="auto"/>
              <w:bottom w:val="dashed" w:sz="18" w:space="0" w:color="auto"/>
              <w:right w:val="single" w:sz="6" w:space="0" w:color="auto"/>
            </w:tcBorders>
            <w:vAlign w:val="center"/>
          </w:tcPr>
          <w:p w14:paraId="0DB7F16A" w14:textId="4F732991"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64B53869" w14:textId="43D566BA" w:rsidR="004770AF" w:rsidRPr="00CF77C1" w:rsidRDefault="004770AF" w:rsidP="00AF2E80">
            <w:pPr>
              <w:jc w:val="center"/>
              <w:rPr>
                <w:lang w:val="sr-Cyrl-RS"/>
              </w:rPr>
            </w:pPr>
            <w:r w:rsidRPr="00CF77C1">
              <w:rPr>
                <w:lang w:val="sr-Cyrl-RS"/>
              </w:rPr>
              <w:t>2а</w:t>
            </w:r>
          </w:p>
        </w:tc>
      </w:tr>
      <w:tr w:rsidR="004770AF" w:rsidRPr="00CF77C1" w14:paraId="381B0016"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5B8F5D76" w14:textId="615D1201" w:rsidR="004770AF" w:rsidRPr="00CF77C1" w:rsidRDefault="004770AF" w:rsidP="00AF2E80">
            <w:pPr>
              <w:jc w:val="center"/>
              <w:rPr>
                <w:lang w:val="sr-Cyrl-RS"/>
              </w:rPr>
            </w:pPr>
            <w:r w:rsidRPr="00CF77C1">
              <w:rPr>
                <w:lang w:val="sr-Cyrl-RS"/>
              </w:rPr>
              <w:t>19</w:t>
            </w:r>
          </w:p>
        </w:tc>
        <w:tc>
          <w:tcPr>
            <w:tcW w:w="6677" w:type="dxa"/>
            <w:tcBorders>
              <w:top w:val="dashed" w:sz="18" w:space="0" w:color="auto"/>
              <w:left w:val="single" w:sz="6" w:space="0" w:color="auto"/>
              <w:bottom w:val="dashed" w:sz="18" w:space="0" w:color="auto"/>
              <w:right w:val="single" w:sz="6" w:space="0" w:color="auto"/>
            </w:tcBorders>
            <w:vAlign w:val="center"/>
          </w:tcPr>
          <w:p w14:paraId="26016484" w14:textId="2EC1E764" w:rsidR="004770AF" w:rsidRPr="00CF77C1" w:rsidRDefault="004770AF" w:rsidP="00432272">
            <w:pPr>
              <w:jc w:val="left"/>
              <w:rPr>
                <w:lang w:val="sr-Cyrl-RS"/>
              </w:rPr>
            </w:pPr>
            <w:r w:rsidRPr="00CF77C1">
              <w:rPr>
                <w:lang w:val="sr-Cyrl-RS"/>
              </w:rPr>
              <w:t>Смањење емисија SO</w:t>
            </w:r>
            <w:r w:rsidRPr="00CF77C1">
              <w:rPr>
                <w:vertAlign w:val="subscript"/>
                <w:lang w:val="sr-Cyrl-RS"/>
              </w:rPr>
              <w:t>2</w:t>
            </w:r>
            <w:r w:rsidRPr="00CF77C1">
              <w:rPr>
                <w:lang w:val="sr-Cyrl-RS"/>
              </w:rPr>
              <w:t xml:space="preserve"> и NO</w:t>
            </w:r>
            <w:r w:rsidRPr="00CF77C1">
              <w:rPr>
                <w:vertAlign w:val="subscript"/>
                <w:lang w:val="sr-Cyrl-RS"/>
              </w:rPr>
              <w:t>x</w:t>
            </w:r>
            <w:r w:rsidRPr="00CF77C1">
              <w:rPr>
                <w:lang w:val="sr-Cyrl-RS"/>
              </w:rPr>
              <w:t xml:space="preserve"> у ТЕ Никола Тесла A2</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1E79DDF8" w14:textId="6A887089" w:rsidR="004770AF" w:rsidRPr="00CF77C1" w:rsidRDefault="004770AF" w:rsidP="00AF2E80">
            <w:pPr>
              <w:jc w:val="center"/>
              <w:rPr>
                <w:lang w:val="sr-Cyrl-RS"/>
              </w:rPr>
            </w:pPr>
            <w:r w:rsidRPr="00CF77C1">
              <w:rPr>
                <w:lang w:val="sr-Cyrl-RS"/>
              </w:rPr>
              <w:t>36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15DE7D99" w14:textId="0F5237E6" w:rsidR="004770AF" w:rsidRPr="00CF77C1" w:rsidRDefault="004770AF" w:rsidP="00AF2E80">
            <w:pPr>
              <w:jc w:val="center"/>
              <w:rPr>
                <w:lang w:val="sr-Cyrl-RS"/>
              </w:rPr>
            </w:pPr>
            <w:r w:rsidRPr="00CF77C1">
              <w:rPr>
                <w:lang w:val="sr-Cyrl-RS"/>
              </w:rPr>
              <w:t>није дефинисан</w:t>
            </w:r>
          </w:p>
        </w:tc>
        <w:tc>
          <w:tcPr>
            <w:tcW w:w="1711" w:type="dxa"/>
            <w:tcBorders>
              <w:top w:val="dashed" w:sz="18" w:space="0" w:color="auto"/>
              <w:left w:val="single" w:sz="6" w:space="0" w:color="auto"/>
              <w:bottom w:val="dashed" w:sz="18" w:space="0" w:color="auto"/>
              <w:right w:val="single" w:sz="6" w:space="0" w:color="auto"/>
            </w:tcBorders>
            <w:vAlign w:val="center"/>
          </w:tcPr>
          <w:p w14:paraId="4445278B" w14:textId="60373D42"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2C0ADF08" w14:textId="36B16279" w:rsidR="004770AF" w:rsidRPr="00CF77C1" w:rsidRDefault="004770AF" w:rsidP="00AF2E80">
            <w:pPr>
              <w:jc w:val="center"/>
              <w:rPr>
                <w:lang w:val="sr-Cyrl-RS"/>
              </w:rPr>
            </w:pPr>
            <w:r w:rsidRPr="00CF77C1">
              <w:rPr>
                <w:lang w:val="sr-Cyrl-RS"/>
              </w:rPr>
              <w:t>2а</w:t>
            </w:r>
          </w:p>
        </w:tc>
      </w:tr>
      <w:tr w:rsidR="004770AF" w:rsidRPr="00CF77C1" w14:paraId="098CE19F"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7EDF1F16" w14:textId="72E2E1CB" w:rsidR="004770AF" w:rsidRPr="00CF77C1" w:rsidRDefault="004770AF" w:rsidP="00AF2E80">
            <w:pPr>
              <w:jc w:val="center"/>
              <w:rPr>
                <w:lang w:val="sr-Cyrl-RS"/>
              </w:rPr>
            </w:pPr>
            <w:r w:rsidRPr="00CF77C1">
              <w:rPr>
                <w:lang w:val="sr-Cyrl-RS"/>
              </w:rPr>
              <w:t>20</w:t>
            </w:r>
          </w:p>
        </w:tc>
        <w:tc>
          <w:tcPr>
            <w:tcW w:w="6677" w:type="dxa"/>
            <w:tcBorders>
              <w:top w:val="dashed" w:sz="18" w:space="0" w:color="auto"/>
              <w:left w:val="single" w:sz="6" w:space="0" w:color="auto"/>
              <w:bottom w:val="dashed" w:sz="18" w:space="0" w:color="auto"/>
              <w:right w:val="single" w:sz="6" w:space="0" w:color="auto"/>
            </w:tcBorders>
            <w:vAlign w:val="center"/>
          </w:tcPr>
          <w:p w14:paraId="50B879B0" w14:textId="4B1F72EA" w:rsidR="004770AF" w:rsidRPr="00CF77C1" w:rsidRDefault="004770AF" w:rsidP="00432272">
            <w:pPr>
              <w:jc w:val="left"/>
              <w:rPr>
                <w:lang w:val="sr-Cyrl-RS"/>
              </w:rPr>
            </w:pPr>
            <w:r w:rsidRPr="00CF77C1">
              <w:rPr>
                <w:lang w:val="sr-Cyrl-RS"/>
              </w:rPr>
              <w:t>Смањење емисија SO</w:t>
            </w:r>
            <w:r w:rsidRPr="00CF77C1">
              <w:rPr>
                <w:vertAlign w:val="subscript"/>
                <w:lang w:val="sr-Cyrl-RS"/>
              </w:rPr>
              <w:t>2</w:t>
            </w:r>
            <w:r w:rsidRPr="00CF77C1">
              <w:rPr>
                <w:lang w:val="sr-Cyrl-RS"/>
              </w:rPr>
              <w:t xml:space="preserve"> у ТЕ Костолац A, јединица А2</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502147F4" w14:textId="263DC6B9" w:rsidR="004770AF" w:rsidRPr="00CF77C1" w:rsidRDefault="004770AF" w:rsidP="00AF2E80">
            <w:pPr>
              <w:jc w:val="center"/>
              <w:rPr>
                <w:lang w:val="sr-Cyrl-RS"/>
              </w:rPr>
            </w:pPr>
            <w:r w:rsidRPr="00CF77C1">
              <w:rPr>
                <w:lang w:val="sr-Cyrl-RS"/>
              </w:rPr>
              <w:t>49*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75916892" w14:textId="696C5F9E" w:rsidR="004770AF" w:rsidRPr="00CF77C1" w:rsidRDefault="004770AF" w:rsidP="00AF2E80">
            <w:pPr>
              <w:jc w:val="center"/>
              <w:rPr>
                <w:lang w:val="sr-Cyrl-RS"/>
              </w:rPr>
            </w:pPr>
            <w:r w:rsidRPr="00CF77C1">
              <w:rPr>
                <w:lang w:val="sr-Cyrl-RS"/>
              </w:rPr>
              <w:t>2022-2023.</w:t>
            </w:r>
          </w:p>
        </w:tc>
        <w:tc>
          <w:tcPr>
            <w:tcW w:w="1711" w:type="dxa"/>
            <w:tcBorders>
              <w:top w:val="dashed" w:sz="18" w:space="0" w:color="auto"/>
              <w:left w:val="single" w:sz="6" w:space="0" w:color="auto"/>
              <w:bottom w:val="dashed" w:sz="18" w:space="0" w:color="auto"/>
              <w:right w:val="single" w:sz="6" w:space="0" w:color="auto"/>
            </w:tcBorders>
            <w:vAlign w:val="center"/>
          </w:tcPr>
          <w:p w14:paraId="27D22E83" w14:textId="7D9D0F67"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454F2D62" w14:textId="0D64EEE9" w:rsidR="004770AF" w:rsidRPr="00CF77C1" w:rsidRDefault="004770AF" w:rsidP="00AF2E80">
            <w:pPr>
              <w:jc w:val="center"/>
              <w:rPr>
                <w:lang w:val="sr-Cyrl-RS"/>
              </w:rPr>
            </w:pPr>
            <w:r w:rsidRPr="00CF77C1">
              <w:rPr>
                <w:lang w:val="sr-Cyrl-RS"/>
              </w:rPr>
              <w:t>2а</w:t>
            </w:r>
          </w:p>
        </w:tc>
      </w:tr>
      <w:tr w:rsidR="004770AF" w:rsidRPr="00CF77C1" w14:paraId="7961B3A7"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7CB83C24" w14:textId="7D38B98B" w:rsidR="004770AF" w:rsidRPr="00CF77C1" w:rsidRDefault="004770AF" w:rsidP="00AF2E80">
            <w:pPr>
              <w:jc w:val="center"/>
              <w:rPr>
                <w:lang w:val="sr-Cyrl-RS"/>
              </w:rPr>
            </w:pPr>
            <w:r w:rsidRPr="00CF77C1">
              <w:rPr>
                <w:lang w:val="sr-Cyrl-RS"/>
              </w:rPr>
              <w:t>21</w:t>
            </w:r>
          </w:p>
        </w:tc>
        <w:tc>
          <w:tcPr>
            <w:tcW w:w="6677" w:type="dxa"/>
            <w:tcBorders>
              <w:top w:val="dashed" w:sz="18" w:space="0" w:color="auto"/>
              <w:left w:val="single" w:sz="6" w:space="0" w:color="auto"/>
              <w:bottom w:val="dashed" w:sz="18" w:space="0" w:color="auto"/>
              <w:right w:val="single" w:sz="6" w:space="0" w:color="auto"/>
            </w:tcBorders>
            <w:vAlign w:val="center"/>
          </w:tcPr>
          <w:p w14:paraId="42E837CD" w14:textId="5BCC7C3E" w:rsidR="004770AF" w:rsidRPr="00CF77C1" w:rsidRDefault="004770AF" w:rsidP="00432272">
            <w:pPr>
              <w:jc w:val="left"/>
              <w:rPr>
                <w:lang w:val="sr-Cyrl-RS"/>
              </w:rPr>
            </w:pPr>
            <w:r w:rsidRPr="00CF77C1">
              <w:rPr>
                <w:lang w:val="sr-Cyrl-RS"/>
              </w:rPr>
              <w:t>Смањење емисија NO</w:t>
            </w:r>
            <w:r w:rsidRPr="00CF77C1">
              <w:rPr>
                <w:vertAlign w:val="subscript"/>
                <w:lang w:val="sr-Cyrl-RS"/>
              </w:rPr>
              <w:t>x</w:t>
            </w:r>
            <w:r w:rsidRPr="00CF77C1">
              <w:rPr>
                <w:lang w:val="sr-Cyrl-RS"/>
              </w:rPr>
              <w:t xml:space="preserve"> у ТЕ Костолац A, јединица </w:t>
            </w:r>
            <w:r w:rsidR="00B2758B" w:rsidRPr="00CF77C1">
              <w:rPr>
                <w:lang w:val="sr-Cyrl-RS"/>
              </w:rPr>
              <w:t>(део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61B17D93" w14:textId="1C594722" w:rsidR="004770AF" w:rsidRPr="00CF77C1" w:rsidRDefault="004770AF" w:rsidP="00AF2E80">
            <w:pPr>
              <w:jc w:val="center"/>
              <w:rPr>
                <w:lang w:val="sr-Cyrl-RS"/>
              </w:rPr>
            </w:pPr>
            <w:r w:rsidRPr="00CF77C1">
              <w:rPr>
                <w:lang w:val="sr-Cyrl-RS"/>
              </w:rPr>
              <w:t>15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6312389A" w14:textId="3268ABDA" w:rsidR="004770AF" w:rsidRPr="00CF77C1" w:rsidRDefault="004770AF" w:rsidP="00AF2E80">
            <w:pPr>
              <w:jc w:val="center"/>
              <w:rPr>
                <w:lang w:val="sr-Cyrl-RS"/>
              </w:rPr>
            </w:pPr>
            <w:r w:rsidRPr="00CF77C1">
              <w:rPr>
                <w:lang w:val="sr-Cyrl-RS"/>
              </w:rPr>
              <w:t>2022.</w:t>
            </w:r>
          </w:p>
        </w:tc>
        <w:tc>
          <w:tcPr>
            <w:tcW w:w="1711" w:type="dxa"/>
            <w:tcBorders>
              <w:top w:val="dashed" w:sz="18" w:space="0" w:color="auto"/>
              <w:left w:val="single" w:sz="6" w:space="0" w:color="auto"/>
              <w:bottom w:val="dashed" w:sz="18" w:space="0" w:color="auto"/>
              <w:right w:val="single" w:sz="6" w:space="0" w:color="auto"/>
            </w:tcBorders>
            <w:vAlign w:val="center"/>
          </w:tcPr>
          <w:p w14:paraId="712B62E4" w14:textId="74959439"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287DB3A6" w14:textId="29643A3B" w:rsidR="004770AF" w:rsidRPr="00CF77C1" w:rsidRDefault="004770AF" w:rsidP="00AF2E80">
            <w:pPr>
              <w:jc w:val="center"/>
              <w:rPr>
                <w:lang w:val="sr-Cyrl-RS"/>
              </w:rPr>
            </w:pPr>
            <w:r w:rsidRPr="00CF77C1">
              <w:rPr>
                <w:lang w:val="sr-Cyrl-RS"/>
              </w:rPr>
              <w:t>2а</w:t>
            </w:r>
          </w:p>
        </w:tc>
      </w:tr>
      <w:tr w:rsidR="004770AF" w:rsidRPr="00CF77C1" w14:paraId="3CEED90F"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34361165" w14:textId="349D8EA3" w:rsidR="004770AF" w:rsidRPr="00CF77C1" w:rsidRDefault="004770AF" w:rsidP="00AF2E80">
            <w:pPr>
              <w:jc w:val="center"/>
              <w:rPr>
                <w:lang w:val="sr-Cyrl-RS"/>
              </w:rPr>
            </w:pPr>
            <w:r w:rsidRPr="00CF77C1">
              <w:rPr>
                <w:lang w:val="sr-Cyrl-RS"/>
              </w:rPr>
              <w:t>22</w:t>
            </w:r>
          </w:p>
        </w:tc>
        <w:tc>
          <w:tcPr>
            <w:tcW w:w="6677" w:type="dxa"/>
            <w:tcBorders>
              <w:top w:val="dashed" w:sz="18" w:space="0" w:color="auto"/>
              <w:left w:val="single" w:sz="6" w:space="0" w:color="auto"/>
              <w:bottom w:val="dashed" w:sz="18" w:space="0" w:color="auto"/>
              <w:right w:val="single" w:sz="6" w:space="0" w:color="auto"/>
            </w:tcBorders>
            <w:vAlign w:val="center"/>
          </w:tcPr>
          <w:p w14:paraId="19460F9C" w14:textId="49BCBB49" w:rsidR="004770AF" w:rsidRPr="00CF77C1" w:rsidRDefault="004770AF" w:rsidP="00432272">
            <w:pPr>
              <w:jc w:val="left"/>
              <w:rPr>
                <w:lang w:val="sr-Cyrl-RS"/>
              </w:rPr>
            </w:pPr>
            <w:r w:rsidRPr="00CF77C1">
              <w:rPr>
                <w:lang w:val="sr-Cyrl-RS"/>
              </w:rPr>
              <w:t>Смањење емисија NO</w:t>
            </w:r>
            <w:r w:rsidRPr="00CF77C1">
              <w:rPr>
                <w:vertAlign w:val="subscript"/>
                <w:lang w:val="sr-Cyrl-RS"/>
              </w:rPr>
              <w:t>x</w:t>
            </w:r>
            <w:r w:rsidRPr="00CF77C1">
              <w:rPr>
                <w:lang w:val="sr-Cyrl-RS"/>
              </w:rPr>
              <w:t xml:space="preserve"> у ТЕ Никола Тесла A6</w:t>
            </w:r>
            <w:r w:rsidR="00B2758B" w:rsidRPr="00CF77C1">
              <w:rPr>
                <w:lang w:val="sr-Cyrl-RS"/>
              </w:rPr>
              <w:t xml:space="preserve"> (део „Пројекта заштите животне средине у области производње електричне енергије из електрана</w:t>
            </w:r>
            <w:r w:rsidR="001741AC" w:rsidRPr="00CF77C1">
              <w:rPr>
                <w:lang w:val="sr-Cyrl-RS"/>
              </w:rPr>
              <w:t xml:space="preserve">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2FD184D3" w14:textId="7A847202" w:rsidR="004770AF" w:rsidRPr="00CF77C1" w:rsidRDefault="004770AF" w:rsidP="00AF2E80">
            <w:pPr>
              <w:jc w:val="center"/>
              <w:rPr>
                <w:lang w:val="sr-Cyrl-RS"/>
              </w:rPr>
            </w:pPr>
            <w:r w:rsidRPr="00CF77C1">
              <w:rPr>
                <w:lang w:val="sr-Cyrl-RS"/>
              </w:rPr>
              <w:t>10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5387451C" w14:textId="58D3C014" w:rsidR="004770AF" w:rsidRPr="00CF77C1" w:rsidRDefault="004770AF" w:rsidP="00AF2E80">
            <w:pPr>
              <w:jc w:val="center"/>
              <w:rPr>
                <w:lang w:val="sr-Cyrl-RS"/>
              </w:rPr>
            </w:pPr>
            <w:r w:rsidRPr="00CF77C1">
              <w:rPr>
                <w:lang w:val="sr-Cyrl-RS"/>
              </w:rPr>
              <w:t>2020-2021.</w:t>
            </w:r>
          </w:p>
        </w:tc>
        <w:tc>
          <w:tcPr>
            <w:tcW w:w="1711" w:type="dxa"/>
            <w:tcBorders>
              <w:top w:val="dashed" w:sz="18" w:space="0" w:color="auto"/>
              <w:left w:val="single" w:sz="6" w:space="0" w:color="auto"/>
              <w:bottom w:val="dashed" w:sz="18" w:space="0" w:color="auto"/>
              <w:right w:val="single" w:sz="6" w:space="0" w:color="auto"/>
            </w:tcBorders>
            <w:vAlign w:val="center"/>
          </w:tcPr>
          <w:p w14:paraId="13E1727D" w14:textId="4E7C985B"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4AF1E519" w14:textId="1CEDB3C7" w:rsidR="004770AF" w:rsidRPr="00CF77C1" w:rsidRDefault="004770AF" w:rsidP="00AF2E80">
            <w:pPr>
              <w:jc w:val="center"/>
              <w:rPr>
                <w:lang w:val="sr-Cyrl-RS"/>
              </w:rPr>
            </w:pPr>
            <w:r w:rsidRPr="00CF77C1">
              <w:rPr>
                <w:lang w:val="sr-Cyrl-RS"/>
              </w:rPr>
              <w:t>2а</w:t>
            </w:r>
          </w:p>
        </w:tc>
      </w:tr>
      <w:tr w:rsidR="004770AF" w:rsidRPr="00CF77C1" w14:paraId="39301F7F"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3209DA49" w14:textId="0FCE8061" w:rsidR="004770AF" w:rsidRPr="00CF77C1" w:rsidRDefault="004770AF" w:rsidP="00AF2E80">
            <w:pPr>
              <w:jc w:val="center"/>
              <w:rPr>
                <w:lang w:val="sr-Cyrl-RS"/>
              </w:rPr>
            </w:pPr>
            <w:r w:rsidRPr="00CF77C1">
              <w:rPr>
                <w:lang w:val="sr-Cyrl-RS"/>
              </w:rPr>
              <w:t>23</w:t>
            </w:r>
          </w:p>
        </w:tc>
        <w:tc>
          <w:tcPr>
            <w:tcW w:w="6677" w:type="dxa"/>
            <w:tcBorders>
              <w:top w:val="dashed" w:sz="18" w:space="0" w:color="auto"/>
              <w:left w:val="single" w:sz="6" w:space="0" w:color="auto"/>
              <w:bottom w:val="dashed" w:sz="18" w:space="0" w:color="auto"/>
              <w:right w:val="single" w:sz="6" w:space="0" w:color="auto"/>
            </w:tcBorders>
            <w:vAlign w:val="center"/>
          </w:tcPr>
          <w:p w14:paraId="3F07E116" w14:textId="3BD90602" w:rsidR="004770AF" w:rsidRPr="00CF77C1" w:rsidRDefault="004770AF" w:rsidP="00432272">
            <w:pPr>
              <w:jc w:val="left"/>
              <w:rPr>
                <w:lang w:val="sr-Cyrl-RS"/>
              </w:rPr>
            </w:pPr>
            <w:r w:rsidRPr="00CF77C1">
              <w:rPr>
                <w:lang w:val="sr-Cyrl-RS"/>
              </w:rPr>
              <w:t>Смањење емисија NO</w:t>
            </w:r>
            <w:r w:rsidRPr="00CF77C1">
              <w:rPr>
                <w:vertAlign w:val="subscript"/>
                <w:lang w:val="sr-Cyrl-RS"/>
              </w:rPr>
              <w:t>x</w:t>
            </w:r>
            <w:r w:rsidRPr="00CF77C1">
              <w:rPr>
                <w:lang w:val="sr-Cyrl-RS"/>
              </w:rPr>
              <w:t xml:space="preserve"> у ТЕ Никола Тесла Б1</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2C52D62B" w14:textId="4ADAEBEF" w:rsidR="004770AF" w:rsidRPr="00CF77C1" w:rsidRDefault="004770AF" w:rsidP="00AF2E80">
            <w:pPr>
              <w:jc w:val="center"/>
              <w:rPr>
                <w:lang w:val="sr-Cyrl-RS"/>
              </w:rPr>
            </w:pPr>
            <w:r w:rsidRPr="00CF77C1">
              <w:rPr>
                <w:lang w:val="sr-Cyrl-RS"/>
              </w:rPr>
              <w:t>14,5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6799DD56" w14:textId="4C3EC10D" w:rsidR="004770AF" w:rsidRPr="00CF77C1" w:rsidRDefault="004770AF" w:rsidP="00AF2E80">
            <w:pPr>
              <w:jc w:val="center"/>
              <w:rPr>
                <w:lang w:val="sr-Cyrl-RS"/>
              </w:rPr>
            </w:pPr>
            <w:r w:rsidRPr="00CF77C1">
              <w:rPr>
                <w:lang w:val="sr-Cyrl-RS"/>
              </w:rPr>
              <w:t>2019-2020.</w:t>
            </w:r>
          </w:p>
        </w:tc>
        <w:tc>
          <w:tcPr>
            <w:tcW w:w="1711" w:type="dxa"/>
            <w:tcBorders>
              <w:top w:val="dashed" w:sz="18" w:space="0" w:color="auto"/>
              <w:left w:val="single" w:sz="6" w:space="0" w:color="auto"/>
              <w:bottom w:val="dashed" w:sz="18" w:space="0" w:color="auto"/>
              <w:right w:val="single" w:sz="6" w:space="0" w:color="auto"/>
            </w:tcBorders>
            <w:vAlign w:val="center"/>
          </w:tcPr>
          <w:p w14:paraId="00EF0CE9" w14:textId="1E80E9F0"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6DCEFF96" w14:textId="529B6A56" w:rsidR="004770AF" w:rsidRPr="00CF77C1" w:rsidRDefault="004770AF" w:rsidP="00AF2E80">
            <w:pPr>
              <w:jc w:val="center"/>
              <w:rPr>
                <w:lang w:val="sr-Cyrl-RS"/>
              </w:rPr>
            </w:pPr>
            <w:r w:rsidRPr="00CF77C1">
              <w:rPr>
                <w:lang w:val="sr-Cyrl-RS"/>
              </w:rPr>
              <w:t>2а</w:t>
            </w:r>
          </w:p>
        </w:tc>
      </w:tr>
      <w:tr w:rsidR="004770AF" w:rsidRPr="00CF77C1" w14:paraId="6E308F05"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06350FB3" w14:textId="5CDF66EB" w:rsidR="004770AF" w:rsidRPr="00CF77C1" w:rsidRDefault="004770AF" w:rsidP="00AF2E80">
            <w:pPr>
              <w:jc w:val="center"/>
              <w:rPr>
                <w:lang w:val="sr-Cyrl-RS"/>
              </w:rPr>
            </w:pPr>
            <w:r w:rsidRPr="00CF77C1">
              <w:rPr>
                <w:lang w:val="sr-Cyrl-RS"/>
              </w:rPr>
              <w:t>24</w:t>
            </w:r>
          </w:p>
        </w:tc>
        <w:tc>
          <w:tcPr>
            <w:tcW w:w="6677" w:type="dxa"/>
            <w:tcBorders>
              <w:top w:val="dashed" w:sz="18" w:space="0" w:color="auto"/>
              <w:left w:val="single" w:sz="6" w:space="0" w:color="auto"/>
              <w:bottom w:val="dashed" w:sz="18" w:space="0" w:color="auto"/>
              <w:right w:val="single" w:sz="6" w:space="0" w:color="auto"/>
            </w:tcBorders>
            <w:vAlign w:val="center"/>
          </w:tcPr>
          <w:p w14:paraId="3CA80139" w14:textId="11222A37" w:rsidR="004770AF" w:rsidRPr="00CF77C1" w:rsidRDefault="004770AF" w:rsidP="00432272">
            <w:pPr>
              <w:jc w:val="left"/>
              <w:rPr>
                <w:lang w:val="sr-Cyrl-RS"/>
              </w:rPr>
            </w:pPr>
            <w:r w:rsidRPr="00CF77C1">
              <w:rPr>
                <w:lang w:val="sr-Cyrl-RS"/>
              </w:rPr>
              <w:t>Смањење емисија NO</w:t>
            </w:r>
            <w:r w:rsidRPr="00CF77C1">
              <w:rPr>
                <w:vertAlign w:val="subscript"/>
                <w:lang w:val="sr-Cyrl-RS"/>
              </w:rPr>
              <w:t>x</w:t>
            </w:r>
            <w:r w:rsidRPr="00CF77C1">
              <w:rPr>
                <w:lang w:val="sr-Cyrl-RS"/>
              </w:rPr>
              <w:t xml:space="preserve"> у ТЕ Никола Тесла Б2</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1443AE38" w14:textId="1699AA01" w:rsidR="004770AF" w:rsidRPr="00CF77C1" w:rsidRDefault="004770AF" w:rsidP="00AF2E80">
            <w:pPr>
              <w:jc w:val="center"/>
              <w:rPr>
                <w:lang w:val="sr-Cyrl-RS"/>
              </w:rPr>
            </w:pPr>
            <w:r w:rsidRPr="00CF77C1">
              <w:rPr>
                <w:lang w:val="sr-Cyrl-RS"/>
              </w:rPr>
              <w:t>14,5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1A6BEE6A" w14:textId="00B0221C" w:rsidR="004770AF" w:rsidRPr="00CF77C1" w:rsidRDefault="004770AF" w:rsidP="00AF2E80">
            <w:pPr>
              <w:jc w:val="center"/>
              <w:rPr>
                <w:lang w:val="sr-Cyrl-RS"/>
              </w:rPr>
            </w:pPr>
            <w:r w:rsidRPr="00CF77C1">
              <w:rPr>
                <w:lang w:val="sr-Cyrl-RS"/>
              </w:rPr>
              <w:t>2022-2023.</w:t>
            </w:r>
          </w:p>
        </w:tc>
        <w:tc>
          <w:tcPr>
            <w:tcW w:w="1711" w:type="dxa"/>
            <w:tcBorders>
              <w:top w:val="dashed" w:sz="18" w:space="0" w:color="auto"/>
              <w:left w:val="single" w:sz="6" w:space="0" w:color="auto"/>
              <w:bottom w:val="dashed" w:sz="18" w:space="0" w:color="auto"/>
              <w:right w:val="single" w:sz="6" w:space="0" w:color="auto"/>
            </w:tcBorders>
            <w:vAlign w:val="center"/>
          </w:tcPr>
          <w:p w14:paraId="037F4AE7" w14:textId="00193DDB"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45692801" w14:textId="63669814" w:rsidR="004770AF" w:rsidRPr="00CF77C1" w:rsidRDefault="004770AF" w:rsidP="00AF2E80">
            <w:pPr>
              <w:jc w:val="center"/>
              <w:rPr>
                <w:lang w:val="sr-Cyrl-RS"/>
              </w:rPr>
            </w:pPr>
            <w:r w:rsidRPr="00CF77C1">
              <w:rPr>
                <w:lang w:val="sr-Cyrl-RS"/>
              </w:rPr>
              <w:t>2а</w:t>
            </w:r>
          </w:p>
        </w:tc>
      </w:tr>
      <w:tr w:rsidR="004770AF" w:rsidRPr="00CF77C1" w14:paraId="573FBABF"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57EB98CB" w14:textId="1383C6A2" w:rsidR="004770AF" w:rsidRPr="00CF77C1" w:rsidRDefault="004770AF" w:rsidP="00AF2E80">
            <w:pPr>
              <w:jc w:val="center"/>
              <w:rPr>
                <w:lang w:val="sr-Cyrl-RS"/>
              </w:rPr>
            </w:pPr>
            <w:r w:rsidRPr="00CF77C1">
              <w:rPr>
                <w:lang w:val="sr-Cyrl-RS"/>
              </w:rPr>
              <w:t>25</w:t>
            </w:r>
          </w:p>
        </w:tc>
        <w:tc>
          <w:tcPr>
            <w:tcW w:w="6677" w:type="dxa"/>
            <w:tcBorders>
              <w:top w:val="dashed" w:sz="18" w:space="0" w:color="auto"/>
              <w:left w:val="single" w:sz="6" w:space="0" w:color="auto"/>
              <w:bottom w:val="dashed" w:sz="18" w:space="0" w:color="auto"/>
              <w:right w:val="single" w:sz="6" w:space="0" w:color="auto"/>
            </w:tcBorders>
            <w:vAlign w:val="center"/>
          </w:tcPr>
          <w:p w14:paraId="045185D5" w14:textId="130C81E2" w:rsidR="004770AF" w:rsidRPr="00CF77C1" w:rsidRDefault="004770AF" w:rsidP="00432272">
            <w:pPr>
              <w:jc w:val="left"/>
              <w:rPr>
                <w:lang w:val="sr-Cyrl-RS"/>
              </w:rPr>
            </w:pPr>
            <w:r w:rsidRPr="00CF77C1">
              <w:rPr>
                <w:lang w:val="sr-Cyrl-RS"/>
              </w:rPr>
              <w:t>Смањење емисија NO</w:t>
            </w:r>
            <w:r w:rsidRPr="00CF77C1">
              <w:rPr>
                <w:vertAlign w:val="subscript"/>
                <w:lang w:val="sr-Cyrl-RS"/>
              </w:rPr>
              <w:t>x</w:t>
            </w:r>
            <w:r w:rsidRPr="00CF77C1">
              <w:rPr>
                <w:lang w:val="sr-Cyrl-RS"/>
              </w:rPr>
              <w:t xml:space="preserve"> у ТЕ Костолац Б, јединица Б2</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4687E6F0" w14:textId="35AEBCA5" w:rsidR="004770AF" w:rsidRPr="00CF77C1" w:rsidRDefault="004770AF" w:rsidP="00AF2E80">
            <w:pPr>
              <w:jc w:val="center"/>
              <w:rPr>
                <w:lang w:val="sr-Cyrl-RS"/>
              </w:rPr>
            </w:pPr>
            <w:r w:rsidRPr="00CF77C1">
              <w:rPr>
                <w:lang w:val="sr-Cyrl-RS"/>
              </w:rPr>
              <w:t>17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320135E7" w14:textId="3250D0AD" w:rsidR="004770AF" w:rsidRPr="00CF77C1" w:rsidRDefault="004770AF" w:rsidP="00AF2E80">
            <w:pPr>
              <w:jc w:val="center"/>
              <w:rPr>
                <w:lang w:val="sr-Cyrl-RS"/>
              </w:rPr>
            </w:pPr>
            <w:r w:rsidRPr="00CF77C1">
              <w:rPr>
                <w:lang w:val="sr-Cyrl-RS"/>
              </w:rPr>
              <w:t>2018-2019.</w:t>
            </w:r>
          </w:p>
        </w:tc>
        <w:tc>
          <w:tcPr>
            <w:tcW w:w="1711" w:type="dxa"/>
            <w:tcBorders>
              <w:top w:val="dashed" w:sz="18" w:space="0" w:color="auto"/>
              <w:left w:val="single" w:sz="6" w:space="0" w:color="auto"/>
              <w:bottom w:val="dashed" w:sz="18" w:space="0" w:color="auto"/>
              <w:right w:val="single" w:sz="6" w:space="0" w:color="auto"/>
            </w:tcBorders>
            <w:vAlign w:val="center"/>
          </w:tcPr>
          <w:p w14:paraId="66B3659E" w14:textId="61624860"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0B4E55D6" w14:textId="127F73D1" w:rsidR="004770AF" w:rsidRPr="00CF77C1" w:rsidRDefault="004770AF" w:rsidP="00AF2E80">
            <w:pPr>
              <w:jc w:val="center"/>
              <w:rPr>
                <w:lang w:val="sr-Cyrl-RS"/>
              </w:rPr>
            </w:pPr>
            <w:r w:rsidRPr="00CF77C1">
              <w:rPr>
                <w:lang w:val="sr-Cyrl-RS"/>
              </w:rPr>
              <w:t>2а</w:t>
            </w:r>
          </w:p>
        </w:tc>
      </w:tr>
      <w:tr w:rsidR="004770AF" w:rsidRPr="00CF77C1" w14:paraId="1F684DE9"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42EC2095" w14:textId="4B820D98" w:rsidR="004770AF" w:rsidRPr="00CF77C1" w:rsidRDefault="004770AF" w:rsidP="00AF2E80">
            <w:pPr>
              <w:jc w:val="center"/>
              <w:rPr>
                <w:lang w:val="sr-Cyrl-RS"/>
              </w:rPr>
            </w:pPr>
            <w:r w:rsidRPr="00CF77C1">
              <w:rPr>
                <w:lang w:val="sr-Cyrl-RS"/>
              </w:rPr>
              <w:t>26</w:t>
            </w:r>
          </w:p>
        </w:tc>
        <w:tc>
          <w:tcPr>
            <w:tcW w:w="6677" w:type="dxa"/>
            <w:tcBorders>
              <w:top w:val="dashed" w:sz="18" w:space="0" w:color="auto"/>
              <w:left w:val="single" w:sz="6" w:space="0" w:color="auto"/>
              <w:bottom w:val="dashed" w:sz="18" w:space="0" w:color="auto"/>
              <w:right w:val="single" w:sz="6" w:space="0" w:color="auto"/>
            </w:tcBorders>
            <w:vAlign w:val="center"/>
          </w:tcPr>
          <w:p w14:paraId="77AABCE2" w14:textId="539675F4" w:rsidR="004770AF" w:rsidRPr="00CF77C1" w:rsidRDefault="004770AF" w:rsidP="00432272">
            <w:pPr>
              <w:jc w:val="left"/>
              <w:rPr>
                <w:lang w:val="sr-Cyrl-RS"/>
              </w:rPr>
            </w:pPr>
            <w:r w:rsidRPr="00CF77C1">
              <w:rPr>
                <w:lang w:val="sr-Cyrl-RS"/>
              </w:rPr>
              <w:t>Смањење емисија SO</w:t>
            </w:r>
            <w:r w:rsidRPr="00CF77C1">
              <w:rPr>
                <w:vertAlign w:val="subscript"/>
                <w:lang w:val="sr-Cyrl-RS"/>
              </w:rPr>
              <w:t>2</w:t>
            </w:r>
            <w:r w:rsidRPr="00CF77C1">
              <w:rPr>
                <w:lang w:val="sr-Cyrl-RS"/>
              </w:rPr>
              <w:t xml:space="preserve"> и NO</w:t>
            </w:r>
            <w:r w:rsidRPr="00CF77C1">
              <w:rPr>
                <w:vertAlign w:val="subscript"/>
                <w:lang w:val="sr-Cyrl-RS"/>
              </w:rPr>
              <w:t>x</w:t>
            </w:r>
            <w:r w:rsidRPr="00CF77C1">
              <w:rPr>
                <w:lang w:val="sr-Cyrl-RS"/>
              </w:rPr>
              <w:t xml:space="preserve"> у ТЕ Костолац A, јединица А1</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6C1D1240" w14:textId="6D2C8475" w:rsidR="004770AF" w:rsidRPr="00CF77C1" w:rsidRDefault="004770AF" w:rsidP="00AF2E80">
            <w:pPr>
              <w:jc w:val="center"/>
              <w:rPr>
                <w:lang w:val="sr-Cyrl-RS"/>
              </w:rPr>
            </w:pPr>
            <w:r w:rsidRPr="00CF77C1">
              <w:rPr>
                <w:lang w:val="sr-Cyrl-RS"/>
              </w:rPr>
              <w:t>27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359C44E3" w14:textId="5FE280FA" w:rsidR="004770AF" w:rsidRPr="00CF77C1" w:rsidRDefault="004770AF" w:rsidP="00AF2E80">
            <w:pPr>
              <w:jc w:val="center"/>
              <w:rPr>
                <w:lang w:val="sr-Cyrl-RS"/>
              </w:rPr>
            </w:pPr>
            <w:r w:rsidRPr="00CF77C1">
              <w:rPr>
                <w:lang w:val="sr-Cyrl-RS"/>
              </w:rPr>
              <w:t>није дефинисан</w:t>
            </w:r>
          </w:p>
        </w:tc>
        <w:tc>
          <w:tcPr>
            <w:tcW w:w="1711" w:type="dxa"/>
            <w:tcBorders>
              <w:top w:val="dashed" w:sz="18" w:space="0" w:color="auto"/>
              <w:left w:val="single" w:sz="6" w:space="0" w:color="auto"/>
              <w:bottom w:val="dashed" w:sz="18" w:space="0" w:color="auto"/>
              <w:right w:val="single" w:sz="6" w:space="0" w:color="auto"/>
            </w:tcBorders>
            <w:vAlign w:val="center"/>
          </w:tcPr>
          <w:p w14:paraId="32520D86" w14:textId="0F7AD60F" w:rsidR="004770AF" w:rsidRPr="00CF77C1" w:rsidRDefault="004770AF" w:rsidP="00AF2E80">
            <w:pPr>
              <w:jc w:val="center"/>
              <w:rPr>
                <w:lang w:val="sr-Cyrl-RS"/>
              </w:rPr>
            </w:pPr>
            <w:r w:rsidRPr="00CF77C1">
              <w:rPr>
                <w:lang w:val="sr-Cyrl-RS"/>
              </w:rPr>
              <w:t>86</w:t>
            </w:r>
          </w:p>
        </w:tc>
        <w:tc>
          <w:tcPr>
            <w:tcW w:w="1921" w:type="dxa"/>
            <w:tcBorders>
              <w:top w:val="dashed" w:sz="18" w:space="0" w:color="auto"/>
              <w:left w:val="single" w:sz="6" w:space="0" w:color="auto"/>
              <w:bottom w:val="dashed" w:sz="18" w:space="0" w:color="auto"/>
              <w:right w:val="dashed" w:sz="18" w:space="0" w:color="auto"/>
            </w:tcBorders>
            <w:vAlign w:val="center"/>
          </w:tcPr>
          <w:p w14:paraId="10DD934B" w14:textId="0F43ECFE" w:rsidR="004770AF" w:rsidRPr="00CF77C1" w:rsidRDefault="004770AF" w:rsidP="00AF2E80">
            <w:pPr>
              <w:jc w:val="center"/>
              <w:rPr>
                <w:lang w:val="sr-Cyrl-RS"/>
              </w:rPr>
            </w:pPr>
            <w:r w:rsidRPr="00CF77C1">
              <w:rPr>
                <w:lang w:val="sr-Cyrl-RS"/>
              </w:rPr>
              <w:t>2а</w:t>
            </w:r>
          </w:p>
        </w:tc>
      </w:tr>
      <w:tr w:rsidR="004770AF" w:rsidRPr="00CF77C1" w14:paraId="07C89515" w14:textId="77777777" w:rsidTr="00852C89">
        <w:trPr>
          <w:cantSplit/>
        </w:trPr>
        <w:tc>
          <w:tcPr>
            <w:tcW w:w="1086" w:type="dxa"/>
            <w:tcBorders>
              <w:top w:val="dashed" w:sz="18" w:space="0" w:color="auto"/>
            </w:tcBorders>
            <w:vAlign w:val="center"/>
          </w:tcPr>
          <w:p w14:paraId="7F8196D1" w14:textId="3EAA797F" w:rsidR="004770AF" w:rsidRPr="00CF77C1" w:rsidRDefault="004770AF" w:rsidP="00AF2E80">
            <w:pPr>
              <w:jc w:val="center"/>
              <w:rPr>
                <w:lang w:val="sr-Cyrl-RS"/>
              </w:rPr>
            </w:pPr>
            <w:r w:rsidRPr="00CF77C1">
              <w:rPr>
                <w:lang w:val="sr-Cyrl-RS"/>
              </w:rPr>
              <w:t>27</w:t>
            </w:r>
          </w:p>
        </w:tc>
        <w:tc>
          <w:tcPr>
            <w:tcW w:w="6677" w:type="dxa"/>
            <w:tcBorders>
              <w:top w:val="dashed" w:sz="18" w:space="0" w:color="auto"/>
            </w:tcBorders>
            <w:vAlign w:val="center"/>
          </w:tcPr>
          <w:p w14:paraId="72924761" w14:textId="77777777" w:rsidR="004770AF" w:rsidRPr="00CF77C1" w:rsidRDefault="004770AF" w:rsidP="00432272">
            <w:pPr>
              <w:jc w:val="left"/>
              <w:rPr>
                <w:lang w:val="sr-Cyrl-RS"/>
              </w:rPr>
            </w:pPr>
            <w:r w:rsidRPr="00CF77C1">
              <w:rPr>
                <w:lang w:val="sr-Cyrl-RS"/>
              </w:rPr>
              <w:t>Изградња постројења за третман отпадних вода у:</w:t>
            </w:r>
          </w:p>
          <w:p w14:paraId="7875C776" w14:textId="77777777" w:rsidR="004770AF" w:rsidRPr="00CF77C1" w:rsidRDefault="004770AF" w:rsidP="00432272">
            <w:pPr>
              <w:jc w:val="left"/>
              <w:rPr>
                <w:lang w:val="sr-Cyrl-RS"/>
              </w:rPr>
            </w:pPr>
            <w:r w:rsidRPr="00CF77C1">
              <w:rPr>
                <w:lang w:val="sr-Cyrl-RS"/>
              </w:rPr>
              <w:t>- ТЕ Костолац А,</w:t>
            </w:r>
          </w:p>
          <w:p w14:paraId="07ED4194" w14:textId="22CC7F52" w:rsidR="004770AF" w:rsidRPr="00CF77C1" w:rsidRDefault="004770AF" w:rsidP="00432272">
            <w:pPr>
              <w:jc w:val="left"/>
              <w:rPr>
                <w:lang w:val="sr-Cyrl-RS"/>
              </w:rPr>
            </w:pPr>
            <w:r w:rsidRPr="00CF77C1">
              <w:rPr>
                <w:lang w:val="sr-Cyrl-RS"/>
              </w:rPr>
              <w:t>- ХЕ Ђердап (</w:t>
            </w:r>
            <w:r w:rsidR="00AD686E">
              <w:rPr>
                <w:lang w:val="sr-Cyrl-RS"/>
              </w:rPr>
              <w:t>осам</w:t>
            </w:r>
            <w:r w:rsidRPr="00CF77C1">
              <w:rPr>
                <w:lang w:val="sr-Cyrl-RS"/>
              </w:rPr>
              <w:t xml:space="preserve"> локација)</w:t>
            </w:r>
          </w:p>
          <w:p w14:paraId="21EC85BF" w14:textId="4FC325BA" w:rsidR="00B2758B" w:rsidRPr="00CF77C1" w:rsidRDefault="004770AF" w:rsidP="00432272">
            <w:pPr>
              <w:jc w:val="left"/>
              <w:rPr>
                <w:lang w:val="sr-Cyrl-RS"/>
              </w:rPr>
            </w:pPr>
            <w:r w:rsidRPr="00CF77C1">
              <w:rPr>
                <w:lang w:val="sr-Cyrl-RS"/>
              </w:rPr>
              <w:t>- ХЕ Дринско-Лимске (</w:t>
            </w:r>
            <w:r w:rsidR="00AD686E">
              <w:rPr>
                <w:lang w:val="sr-Cyrl-RS"/>
              </w:rPr>
              <w:t xml:space="preserve">осам </w:t>
            </w:r>
            <w:r w:rsidRPr="00CF77C1">
              <w:rPr>
                <w:lang w:val="sr-Cyrl-RS"/>
              </w:rPr>
              <w:t>локација)</w:t>
            </w:r>
          </w:p>
          <w:p w14:paraId="2983D274" w14:textId="54B8C3AE" w:rsidR="00B2758B" w:rsidRPr="00CF77C1" w:rsidRDefault="00B2758B" w:rsidP="00432272">
            <w:pPr>
              <w:jc w:val="left"/>
              <w:rPr>
                <w:lang w:val="sr-Cyrl-RS"/>
              </w:rPr>
            </w:pPr>
            <w:r w:rsidRPr="00CF77C1">
              <w:rPr>
                <w:lang w:val="sr-Cyrl-RS"/>
              </w:rPr>
              <w:t>(део „Пројекта заштите животне средине у области производње електр</w:t>
            </w:r>
            <w:r w:rsidR="001741AC" w:rsidRPr="00CF77C1">
              <w:rPr>
                <w:lang w:val="sr-Cyrl-RS"/>
              </w:rPr>
              <w:t>ичне енергије из електрана ЕПС</w:t>
            </w:r>
            <w:r w:rsidRPr="00CF77C1">
              <w:rPr>
                <w:lang w:val="sr-Cyrl-RS"/>
              </w:rPr>
              <w:t xml:space="preserve">” - </w:t>
            </w:r>
            <w:r w:rsidRPr="00CF77C1">
              <w:rPr>
                <w:lang w:val="sr-Cyrl-RS"/>
              </w:rPr>
              <w:fldChar w:fldCharType="begin"/>
            </w:r>
            <w:r w:rsidRPr="00CF77C1">
              <w:rPr>
                <w:lang w:val="sr-Cyrl-RS"/>
              </w:rPr>
              <w:instrText xml:space="preserve"> REF _Ref479965552 \r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Pr>
                <w:lang w:val="sr-Cyrl-RS"/>
              </w:rPr>
              <w:t>П.9</w:t>
            </w:r>
            <w:r w:rsidRPr="00CF77C1">
              <w:rPr>
                <w:lang w:val="sr-Cyrl-RS"/>
              </w:rPr>
              <w:fldChar w:fldCharType="end"/>
            </w:r>
            <w:r w:rsidRPr="00CF77C1">
              <w:rPr>
                <w:lang w:val="sr-Cyrl-RS"/>
              </w:rPr>
              <w:t>)</w:t>
            </w:r>
          </w:p>
        </w:tc>
        <w:tc>
          <w:tcPr>
            <w:tcW w:w="1963" w:type="dxa"/>
            <w:tcBorders>
              <w:top w:val="dashed" w:sz="18" w:space="0" w:color="auto"/>
            </w:tcBorders>
            <w:vAlign w:val="center"/>
          </w:tcPr>
          <w:p w14:paraId="412D6FA7" w14:textId="6DE7E80A" w:rsidR="004770AF" w:rsidRPr="00CF77C1" w:rsidRDefault="004770AF" w:rsidP="00AF2E80">
            <w:pPr>
              <w:jc w:val="center"/>
              <w:rPr>
                <w:lang w:val="sr-Cyrl-RS"/>
              </w:rPr>
            </w:pPr>
            <w:r w:rsidRPr="00CF77C1">
              <w:rPr>
                <w:lang w:val="sr-Cyrl-RS"/>
              </w:rPr>
              <w:t>18 милиона €</w:t>
            </w:r>
          </w:p>
        </w:tc>
        <w:tc>
          <w:tcPr>
            <w:tcW w:w="1429" w:type="dxa"/>
            <w:tcBorders>
              <w:top w:val="dashed" w:sz="18" w:space="0" w:color="auto"/>
            </w:tcBorders>
            <w:vAlign w:val="center"/>
          </w:tcPr>
          <w:p w14:paraId="20FB9764" w14:textId="74BDAECE" w:rsidR="004770AF" w:rsidRPr="00CF77C1" w:rsidRDefault="004770AF" w:rsidP="00AF2E80">
            <w:pPr>
              <w:jc w:val="center"/>
              <w:rPr>
                <w:lang w:val="sr-Cyrl-RS"/>
              </w:rPr>
            </w:pPr>
            <w:r w:rsidRPr="00CF77C1">
              <w:rPr>
                <w:lang w:val="sr-Cyrl-RS"/>
              </w:rPr>
              <w:t>није дефинисан</w:t>
            </w:r>
          </w:p>
        </w:tc>
        <w:tc>
          <w:tcPr>
            <w:tcW w:w="1711" w:type="dxa"/>
            <w:tcBorders>
              <w:top w:val="dashed" w:sz="18" w:space="0" w:color="auto"/>
            </w:tcBorders>
            <w:vAlign w:val="center"/>
          </w:tcPr>
          <w:p w14:paraId="07212666" w14:textId="2BE819AF" w:rsidR="004770AF" w:rsidRPr="00CF77C1" w:rsidRDefault="004770AF" w:rsidP="00AF2E80">
            <w:pPr>
              <w:jc w:val="center"/>
              <w:rPr>
                <w:lang w:val="sr-Cyrl-RS"/>
              </w:rPr>
            </w:pPr>
            <w:r w:rsidRPr="00CF77C1">
              <w:rPr>
                <w:lang w:val="sr-Cyrl-RS"/>
              </w:rPr>
              <w:t>86</w:t>
            </w:r>
          </w:p>
        </w:tc>
        <w:tc>
          <w:tcPr>
            <w:tcW w:w="1921" w:type="dxa"/>
            <w:tcBorders>
              <w:top w:val="dashed" w:sz="18" w:space="0" w:color="auto"/>
            </w:tcBorders>
            <w:vAlign w:val="center"/>
          </w:tcPr>
          <w:p w14:paraId="1DCACA88" w14:textId="752B2A2F" w:rsidR="004770AF" w:rsidRPr="00CF77C1" w:rsidRDefault="004770AF" w:rsidP="00AF2E80">
            <w:pPr>
              <w:jc w:val="center"/>
              <w:rPr>
                <w:lang w:val="sr-Cyrl-RS"/>
              </w:rPr>
            </w:pPr>
            <w:r w:rsidRPr="00CF77C1">
              <w:rPr>
                <w:lang w:val="sr-Cyrl-RS"/>
              </w:rPr>
              <w:t>2а</w:t>
            </w:r>
          </w:p>
        </w:tc>
      </w:tr>
      <w:tr w:rsidR="004770AF" w:rsidRPr="00CF77C1" w14:paraId="730C074E" w14:textId="77777777" w:rsidTr="00432272">
        <w:trPr>
          <w:cantSplit/>
        </w:trPr>
        <w:tc>
          <w:tcPr>
            <w:tcW w:w="1086" w:type="dxa"/>
            <w:tcBorders>
              <w:bottom w:val="single" w:sz="4" w:space="0" w:color="auto"/>
            </w:tcBorders>
            <w:vAlign w:val="center"/>
          </w:tcPr>
          <w:p w14:paraId="1CE5EAEB" w14:textId="04E582D2" w:rsidR="004770AF" w:rsidRPr="00CF77C1" w:rsidRDefault="004770AF" w:rsidP="00844FA9">
            <w:pPr>
              <w:jc w:val="center"/>
              <w:rPr>
                <w:lang w:val="sr-Cyrl-RS"/>
              </w:rPr>
            </w:pPr>
            <w:r w:rsidRPr="00CF77C1">
              <w:rPr>
                <w:lang w:val="sr-Cyrl-RS"/>
              </w:rPr>
              <w:t>28</w:t>
            </w:r>
          </w:p>
        </w:tc>
        <w:tc>
          <w:tcPr>
            <w:tcW w:w="6677" w:type="dxa"/>
            <w:tcBorders>
              <w:bottom w:val="single" w:sz="4" w:space="0" w:color="auto"/>
            </w:tcBorders>
            <w:vAlign w:val="center"/>
          </w:tcPr>
          <w:p w14:paraId="3B71EE1F" w14:textId="4992EED8" w:rsidR="004770AF" w:rsidRPr="00CF77C1" w:rsidRDefault="004770AF" w:rsidP="00432272">
            <w:pPr>
              <w:jc w:val="left"/>
              <w:rPr>
                <w:lang w:val="sr-Cyrl-RS"/>
              </w:rPr>
            </w:pPr>
            <w:r w:rsidRPr="00CF77C1">
              <w:rPr>
                <w:lang w:val="sr-Cyrl-RS"/>
              </w:rPr>
              <w:t>Термална рехабилитација јавних зграда - побољшање енергетске ефикасности јавних зграда у Крагујевцу</w:t>
            </w:r>
          </w:p>
        </w:tc>
        <w:tc>
          <w:tcPr>
            <w:tcW w:w="1963" w:type="dxa"/>
            <w:tcBorders>
              <w:bottom w:val="single" w:sz="4" w:space="0" w:color="auto"/>
            </w:tcBorders>
            <w:vAlign w:val="center"/>
          </w:tcPr>
          <w:p w14:paraId="1CC8F04F" w14:textId="77777777" w:rsidR="004770AF" w:rsidRPr="00CF77C1" w:rsidRDefault="004770AF" w:rsidP="00844FA9">
            <w:pPr>
              <w:jc w:val="center"/>
              <w:rPr>
                <w:lang w:val="sr-Cyrl-RS"/>
              </w:rPr>
            </w:pPr>
            <w:r w:rsidRPr="00CF77C1">
              <w:rPr>
                <w:lang w:val="sr-Cyrl-RS"/>
              </w:rPr>
              <w:t>4,89 милиона €</w:t>
            </w:r>
          </w:p>
        </w:tc>
        <w:tc>
          <w:tcPr>
            <w:tcW w:w="1429" w:type="dxa"/>
            <w:tcBorders>
              <w:bottom w:val="single" w:sz="4" w:space="0" w:color="auto"/>
            </w:tcBorders>
            <w:vAlign w:val="center"/>
          </w:tcPr>
          <w:p w14:paraId="63B7C064" w14:textId="77777777" w:rsidR="004770AF" w:rsidRPr="00CF77C1" w:rsidRDefault="004770AF" w:rsidP="00844FA9">
            <w:pPr>
              <w:jc w:val="center"/>
              <w:rPr>
                <w:lang w:val="sr-Cyrl-RS"/>
              </w:rPr>
            </w:pPr>
            <w:r w:rsidRPr="00CF77C1">
              <w:rPr>
                <w:lang w:val="sr-Cyrl-RS"/>
              </w:rPr>
              <w:t>није дефинисан</w:t>
            </w:r>
          </w:p>
        </w:tc>
        <w:tc>
          <w:tcPr>
            <w:tcW w:w="1711" w:type="dxa"/>
            <w:tcBorders>
              <w:bottom w:val="single" w:sz="4" w:space="0" w:color="auto"/>
            </w:tcBorders>
            <w:vAlign w:val="center"/>
          </w:tcPr>
          <w:p w14:paraId="1B5CB74A" w14:textId="77777777" w:rsidR="004770AF" w:rsidRPr="00CF77C1" w:rsidRDefault="004770AF" w:rsidP="00844FA9">
            <w:pPr>
              <w:jc w:val="center"/>
              <w:rPr>
                <w:lang w:val="sr-Cyrl-RS"/>
              </w:rPr>
            </w:pPr>
            <w:r w:rsidRPr="00CF77C1">
              <w:rPr>
                <w:lang w:val="sr-Cyrl-RS"/>
              </w:rPr>
              <w:t>86</w:t>
            </w:r>
          </w:p>
        </w:tc>
        <w:tc>
          <w:tcPr>
            <w:tcW w:w="1921" w:type="dxa"/>
            <w:tcBorders>
              <w:bottom w:val="single" w:sz="4" w:space="0" w:color="auto"/>
            </w:tcBorders>
            <w:vAlign w:val="center"/>
          </w:tcPr>
          <w:p w14:paraId="4EF04821" w14:textId="0380E080" w:rsidR="004770AF" w:rsidRPr="00CF77C1" w:rsidRDefault="004770AF" w:rsidP="00844FA9">
            <w:pPr>
              <w:jc w:val="center"/>
              <w:rPr>
                <w:lang w:val="sr-Cyrl-RS"/>
              </w:rPr>
            </w:pPr>
            <w:r w:rsidRPr="00CF77C1">
              <w:rPr>
                <w:lang w:val="sr-Cyrl-RS"/>
              </w:rPr>
              <w:t>2а</w:t>
            </w:r>
          </w:p>
        </w:tc>
      </w:tr>
      <w:tr w:rsidR="004770AF" w:rsidRPr="00CF77C1" w14:paraId="18E59CEC" w14:textId="77777777" w:rsidTr="00432272">
        <w:trPr>
          <w:cantSplit/>
        </w:trPr>
        <w:tc>
          <w:tcPr>
            <w:tcW w:w="1086" w:type="dxa"/>
            <w:tcBorders>
              <w:bottom w:val="single" w:sz="18" w:space="0" w:color="auto"/>
            </w:tcBorders>
            <w:vAlign w:val="center"/>
          </w:tcPr>
          <w:p w14:paraId="36F0961E" w14:textId="4CF92214" w:rsidR="004770AF" w:rsidRPr="00CF77C1" w:rsidRDefault="004770AF" w:rsidP="00AF2E80">
            <w:pPr>
              <w:jc w:val="center"/>
              <w:rPr>
                <w:lang w:val="sr-Cyrl-RS"/>
              </w:rPr>
            </w:pPr>
            <w:r w:rsidRPr="00CF77C1">
              <w:rPr>
                <w:lang w:val="sr-Cyrl-RS"/>
              </w:rPr>
              <w:t>29</w:t>
            </w:r>
          </w:p>
        </w:tc>
        <w:tc>
          <w:tcPr>
            <w:tcW w:w="6677" w:type="dxa"/>
            <w:tcBorders>
              <w:bottom w:val="single" w:sz="18" w:space="0" w:color="auto"/>
            </w:tcBorders>
            <w:vAlign w:val="center"/>
          </w:tcPr>
          <w:p w14:paraId="46BBCB93" w14:textId="4A78A979" w:rsidR="004770AF" w:rsidRPr="00CF77C1" w:rsidRDefault="004770AF" w:rsidP="00432272">
            <w:pPr>
              <w:jc w:val="left"/>
              <w:rPr>
                <w:lang w:val="sr-Cyrl-RS"/>
              </w:rPr>
            </w:pPr>
            <w:r w:rsidRPr="00CF77C1">
              <w:rPr>
                <w:lang w:val="sr-Cyrl-RS"/>
              </w:rPr>
              <w:t>Постројење за производњу комбиноване топлотне и електричне енергије које користи комунални отпад као гориво у Шапцу</w:t>
            </w:r>
          </w:p>
        </w:tc>
        <w:tc>
          <w:tcPr>
            <w:tcW w:w="1963" w:type="dxa"/>
            <w:tcBorders>
              <w:bottom w:val="single" w:sz="18" w:space="0" w:color="auto"/>
            </w:tcBorders>
            <w:vAlign w:val="center"/>
          </w:tcPr>
          <w:p w14:paraId="2D7D959A" w14:textId="4077A104" w:rsidR="004770AF" w:rsidRPr="00CF77C1" w:rsidRDefault="004770AF" w:rsidP="00AF2E80">
            <w:pPr>
              <w:jc w:val="center"/>
              <w:rPr>
                <w:lang w:val="sr-Cyrl-RS"/>
              </w:rPr>
            </w:pPr>
            <w:r w:rsidRPr="00CF77C1">
              <w:rPr>
                <w:lang w:val="sr-Cyrl-RS"/>
              </w:rPr>
              <w:t>30 милиона €</w:t>
            </w:r>
          </w:p>
        </w:tc>
        <w:tc>
          <w:tcPr>
            <w:tcW w:w="1429" w:type="dxa"/>
            <w:tcBorders>
              <w:bottom w:val="single" w:sz="18" w:space="0" w:color="auto"/>
            </w:tcBorders>
            <w:vAlign w:val="center"/>
          </w:tcPr>
          <w:p w14:paraId="45E10E8F" w14:textId="4869001A" w:rsidR="004770AF" w:rsidRPr="00CF77C1" w:rsidRDefault="004770AF" w:rsidP="00AF2E80">
            <w:pPr>
              <w:jc w:val="center"/>
              <w:rPr>
                <w:lang w:val="sr-Cyrl-RS"/>
              </w:rPr>
            </w:pPr>
            <w:r w:rsidRPr="00CF77C1">
              <w:rPr>
                <w:lang w:val="sr-Cyrl-RS"/>
              </w:rPr>
              <w:t>није дефинисан</w:t>
            </w:r>
          </w:p>
        </w:tc>
        <w:tc>
          <w:tcPr>
            <w:tcW w:w="1711" w:type="dxa"/>
            <w:tcBorders>
              <w:bottom w:val="single" w:sz="18" w:space="0" w:color="auto"/>
            </w:tcBorders>
            <w:vAlign w:val="center"/>
          </w:tcPr>
          <w:p w14:paraId="65F86714" w14:textId="7F35C3A0" w:rsidR="004770AF" w:rsidRPr="00CF77C1" w:rsidRDefault="004770AF" w:rsidP="00AF2E80">
            <w:pPr>
              <w:jc w:val="center"/>
              <w:rPr>
                <w:lang w:val="sr-Cyrl-RS"/>
              </w:rPr>
            </w:pPr>
            <w:r w:rsidRPr="00CF77C1">
              <w:rPr>
                <w:lang w:val="sr-Cyrl-RS"/>
              </w:rPr>
              <w:t>86</w:t>
            </w:r>
          </w:p>
        </w:tc>
        <w:tc>
          <w:tcPr>
            <w:tcW w:w="1921" w:type="dxa"/>
            <w:tcBorders>
              <w:bottom w:val="single" w:sz="18" w:space="0" w:color="auto"/>
            </w:tcBorders>
            <w:vAlign w:val="center"/>
          </w:tcPr>
          <w:p w14:paraId="05975006" w14:textId="4195D0FB" w:rsidR="004770AF" w:rsidRPr="00CF77C1" w:rsidRDefault="004770AF" w:rsidP="00AF2E80">
            <w:pPr>
              <w:jc w:val="center"/>
              <w:rPr>
                <w:lang w:val="sr-Cyrl-RS"/>
              </w:rPr>
            </w:pPr>
            <w:r w:rsidRPr="00CF77C1">
              <w:rPr>
                <w:lang w:val="sr-Cyrl-RS"/>
              </w:rPr>
              <w:t>2б</w:t>
            </w:r>
          </w:p>
        </w:tc>
      </w:tr>
      <w:tr w:rsidR="004770AF" w:rsidRPr="00CF77C1" w14:paraId="5BB27AAA" w14:textId="77777777" w:rsidTr="00432272">
        <w:trPr>
          <w:cantSplit/>
        </w:trPr>
        <w:tc>
          <w:tcPr>
            <w:tcW w:w="1086" w:type="dxa"/>
            <w:tcBorders>
              <w:top w:val="single" w:sz="18" w:space="0" w:color="auto"/>
              <w:left w:val="single" w:sz="18" w:space="0" w:color="auto"/>
              <w:bottom w:val="dashed" w:sz="18" w:space="0" w:color="auto"/>
              <w:right w:val="single" w:sz="6" w:space="0" w:color="auto"/>
            </w:tcBorders>
            <w:shd w:val="pct10" w:color="auto" w:fill="auto"/>
            <w:vAlign w:val="center"/>
          </w:tcPr>
          <w:p w14:paraId="07035F01" w14:textId="043D35D0" w:rsidR="004770AF" w:rsidRPr="00CF77C1" w:rsidRDefault="004770AF" w:rsidP="00AF2E80">
            <w:pPr>
              <w:jc w:val="center"/>
              <w:rPr>
                <w:lang w:val="sr-Cyrl-RS"/>
              </w:rPr>
            </w:pPr>
            <w:r w:rsidRPr="00CF77C1">
              <w:rPr>
                <w:lang w:val="sr-Cyrl-RS"/>
              </w:rPr>
              <w:t>30</w:t>
            </w:r>
          </w:p>
        </w:tc>
        <w:tc>
          <w:tcPr>
            <w:tcW w:w="6677" w:type="dxa"/>
            <w:tcBorders>
              <w:top w:val="single" w:sz="18" w:space="0" w:color="auto"/>
              <w:left w:val="single" w:sz="6" w:space="0" w:color="auto"/>
              <w:bottom w:val="dashed" w:sz="18" w:space="0" w:color="auto"/>
              <w:right w:val="single" w:sz="6" w:space="0" w:color="auto"/>
            </w:tcBorders>
            <w:shd w:val="pct10" w:color="auto" w:fill="auto"/>
            <w:vAlign w:val="center"/>
          </w:tcPr>
          <w:p w14:paraId="27605ABE" w14:textId="227A9FBB" w:rsidR="004770AF" w:rsidRPr="00CF77C1" w:rsidRDefault="004770AF" w:rsidP="00DD1F0C">
            <w:pPr>
              <w:jc w:val="left"/>
              <w:rPr>
                <w:lang w:val="sr-Cyrl-RS"/>
              </w:rPr>
            </w:pPr>
            <w:r w:rsidRPr="00CF77C1">
              <w:rPr>
                <w:lang w:val="sr-Cyrl-RS"/>
              </w:rPr>
              <w:t xml:space="preserve">Стрaтeшки прojeкaт „Дубoка прeрaда” </w:t>
            </w:r>
            <w:r w:rsidR="00DD1F0C">
              <w:rPr>
                <w:lang w:val="sr-Cyrl-RS"/>
              </w:rPr>
              <w:t>–</w:t>
            </w:r>
            <w:r w:rsidRPr="00CF77C1">
              <w:rPr>
                <w:lang w:val="sr-Cyrl-RS"/>
              </w:rPr>
              <w:t xml:space="preserve"> </w:t>
            </w:r>
            <w:r w:rsidR="00DD1F0C">
              <w:rPr>
                <w:lang w:val="sr-Cyrl-RS"/>
              </w:rPr>
              <w:t>П.18</w:t>
            </w:r>
          </w:p>
        </w:tc>
        <w:tc>
          <w:tcPr>
            <w:tcW w:w="1963" w:type="dxa"/>
            <w:tcBorders>
              <w:top w:val="single" w:sz="18" w:space="0" w:color="auto"/>
              <w:left w:val="single" w:sz="6" w:space="0" w:color="auto"/>
              <w:bottom w:val="dashed" w:sz="18" w:space="0" w:color="auto"/>
              <w:right w:val="single" w:sz="6" w:space="0" w:color="auto"/>
            </w:tcBorders>
            <w:shd w:val="pct10" w:color="auto" w:fill="auto"/>
            <w:vAlign w:val="center"/>
          </w:tcPr>
          <w:p w14:paraId="3685F966" w14:textId="03068E11" w:rsidR="004770AF" w:rsidRPr="00CF77C1" w:rsidRDefault="004770AF" w:rsidP="00AF2E80">
            <w:pPr>
              <w:jc w:val="center"/>
              <w:rPr>
                <w:lang w:val="sr-Cyrl-RS"/>
              </w:rPr>
            </w:pPr>
            <w:r w:rsidRPr="00CF77C1">
              <w:rPr>
                <w:lang w:val="sr-Cyrl-RS"/>
              </w:rPr>
              <w:t>330 милиона $</w:t>
            </w:r>
          </w:p>
        </w:tc>
        <w:tc>
          <w:tcPr>
            <w:tcW w:w="1429" w:type="dxa"/>
            <w:tcBorders>
              <w:top w:val="single" w:sz="18" w:space="0" w:color="auto"/>
              <w:left w:val="single" w:sz="6" w:space="0" w:color="auto"/>
              <w:bottom w:val="dashed" w:sz="18" w:space="0" w:color="auto"/>
              <w:right w:val="single" w:sz="6" w:space="0" w:color="auto"/>
            </w:tcBorders>
            <w:shd w:val="pct10" w:color="auto" w:fill="auto"/>
            <w:vAlign w:val="center"/>
          </w:tcPr>
          <w:p w14:paraId="4CBD97BE" w14:textId="2D84D3DB" w:rsidR="004770AF" w:rsidRPr="00CF77C1" w:rsidRDefault="004770AF" w:rsidP="00AF2E80">
            <w:pPr>
              <w:jc w:val="center"/>
              <w:rPr>
                <w:lang w:val="sr-Cyrl-RS"/>
              </w:rPr>
            </w:pPr>
            <w:r w:rsidRPr="00CF77C1">
              <w:rPr>
                <w:lang w:val="sr-Cyrl-RS"/>
              </w:rPr>
              <w:t>2017-2019.</w:t>
            </w:r>
          </w:p>
        </w:tc>
        <w:tc>
          <w:tcPr>
            <w:tcW w:w="1711" w:type="dxa"/>
            <w:tcBorders>
              <w:top w:val="single" w:sz="18" w:space="0" w:color="auto"/>
              <w:left w:val="single" w:sz="6" w:space="0" w:color="auto"/>
              <w:bottom w:val="dashed" w:sz="18" w:space="0" w:color="auto"/>
              <w:right w:val="single" w:sz="6" w:space="0" w:color="auto"/>
            </w:tcBorders>
            <w:shd w:val="pct10" w:color="auto" w:fill="auto"/>
            <w:vAlign w:val="center"/>
          </w:tcPr>
          <w:p w14:paraId="20733E20" w14:textId="5BC03C72" w:rsidR="004770AF" w:rsidRPr="00CF77C1" w:rsidRDefault="004770AF" w:rsidP="00AF2E80">
            <w:pPr>
              <w:jc w:val="center"/>
              <w:rPr>
                <w:lang w:val="sr-Cyrl-RS"/>
              </w:rPr>
            </w:pPr>
            <w:r w:rsidRPr="00CF77C1">
              <w:rPr>
                <w:lang w:val="sr-Cyrl-RS"/>
              </w:rPr>
              <w:t>86</w:t>
            </w:r>
          </w:p>
        </w:tc>
        <w:tc>
          <w:tcPr>
            <w:tcW w:w="1921" w:type="dxa"/>
            <w:tcBorders>
              <w:top w:val="single" w:sz="18" w:space="0" w:color="auto"/>
              <w:left w:val="single" w:sz="6" w:space="0" w:color="auto"/>
              <w:bottom w:val="dashed" w:sz="18" w:space="0" w:color="auto"/>
              <w:right w:val="single" w:sz="18" w:space="0" w:color="auto"/>
            </w:tcBorders>
            <w:shd w:val="pct10" w:color="auto" w:fill="auto"/>
            <w:vAlign w:val="center"/>
          </w:tcPr>
          <w:p w14:paraId="00230CE6" w14:textId="7A71F325" w:rsidR="004770AF" w:rsidRPr="00CF77C1" w:rsidRDefault="004770AF" w:rsidP="00AF2E80">
            <w:pPr>
              <w:jc w:val="center"/>
              <w:rPr>
                <w:lang w:val="sr-Cyrl-RS"/>
              </w:rPr>
            </w:pPr>
            <w:r w:rsidRPr="00CF77C1">
              <w:rPr>
                <w:lang w:val="sr-Cyrl-RS"/>
              </w:rPr>
              <w:t>Б</w:t>
            </w:r>
          </w:p>
        </w:tc>
      </w:tr>
      <w:tr w:rsidR="004770AF" w:rsidRPr="00CF77C1" w14:paraId="6C12C28F" w14:textId="77777777" w:rsidTr="00852C89">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350BF9A8" w14:textId="0E7B57F6" w:rsidR="004770AF" w:rsidRPr="00CF77C1" w:rsidRDefault="004770AF" w:rsidP="00AF2E80">
            <w:pPr>
              <w:jc w:val="center"/>
              <w:rPr>
                <w:lang w:val="sr-Cyrl-RS"/>
              </w:rPr>
            </w:pPr>
            <w:r w:rsidRPr="00CF77C1">
              <w:rPr>
                <w:lang w:val="sr-Cyrl-RS"/>
              </w:rPr>
              <w:t>31</w:t>
            </w:r>
          </w:p>
        </w:tc>
        <w:tc>
          <w:tcPr>
            <w:tcW w:w="6677" w:type="dxa"/>
            <w:tcBorders>
              <w:top w:val="dashed" w:sz="18" w:space="0" w:color="auto"/>
              <w:left w:val="single" w:sz="6" w:space="0" w:color="auto"/>
              <w:bottom w:val="dashed" w:sz="18" w:space="0" w:color="auto"/>
              <w:right w:val="single" w:sz="6" w:space="0" w:color="auto"/>
            </w:tcBorders>
            <w:vAlign w:val="center"/>
          </w:tcPr>
          <w:p w14:paraId="27757042" w14:textId="2968F865" w:rsidR="004770AF" w:rsidRPr="00CF77C1" w:rsidRDefault="004770AF" w:rsidP="00432272">
            <w:pPr>
              <w:jc w:val="left"/>
              <w:rPr>
                <w:lang w:val="sr-Cyrl-RS"/>
              </w:rPr>
            </w:pPr>
            <w:r w:rsidRPr="00CF77C1">
              <w:rPr>
                <w:lang w:val="sr-Cyrl-RS"/>
              </w:rPr>
              <w:t>Смањење емисија SO</w:t>
            </w:r>
            <w:r w:rsidRPr="00CF77C1">
              <w:rPr>
                <w:vertAlign w:val="subscript"/>
                <w:lang w:val="sr-Cyrl-RS"/>
              </w:rPr>
              <w:t>2</w:t>
            </w:r>
            <w:r w:rsidRPr="00CF77C1">
              <w:rPr>
                <w:lang w:val="sr-Cyrl-RS"/>
              </w:rPr>
              <w:t xml:space="preserve"> у ТЕ Никола Тесла Б1 и Б2 (одсумпоравање димних гасова)</w:t>
            </w:r>
            <w:r w:rsidR="00B2758B"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B2758B" w:rsidRPr="00CF77C1">
              <w:rPr>
                <w:lang w:val="sr-Cyrl-RS"/>
              </w:rPr>
              <w:t xml:space="preserve">” - </w:t>
            </w:r>
            <w:r w:rsidR="00B2758B" w:rsidRPr="00CF77C1">
              <w:rPr>
                <w:lang w:val="sr-Cyrl-RS"/>
              </w:rPr>
              <w:fldChar w:fldCharType="begin"/>
            </w:r>
            <w:r w:rsidR="00B2758B" w:rsidRPr="00CF77C1">
              <w:rPr>
                <w:lang w:val="sr-Cyrl-RS"/>
              </w:rPr>
              <w:instrText xml:space="preserve"> REF _Ref479965552 \r \h </w:instrText>
            </w:r>
            <w:r w:rsidR="0077363A" w:rsidRPr="00CF77C1">
              <w:rPr>
                <w:lang w:val="sr-Cyrl-RS"/>
              </w:rPr>
              <w:instrText xml:space="preserve"> \* MERGEFORMAT </w:instrText>
            </w:r>
            <w:r w:rsidR="00B2758B" w:rsidRPr="00CF77C1">
              <w:rPr>
                <w:lang w:val="sr-Cyrl-RS"/>
              </w:rPr>
            </w:r>
            <w:r w:rsidR="00B2758B" w:rsidRPr="00CF77C1">
              <w:rPr>
                <w:lang w:val="sr-Cyrl-RS"/>
              </w:rPr>
              <w:fldChar w:fldCharType="separate"/>
            </w:r>
            <w:r w:rsidR="002D5918">
              <w:rPr>
                <w:lang w:val="sr-Cyrl-RS"/>
              </w:rPr>
              <w:t>П.9</w:t>
            </w:r>
            <w:r w:rsidR="00B2758B" w:rsidRPr="00CF77C1">
              <w:rPr>
                <w:lang w:val="sr-Cyrl-RS"/>
              </w:rPr>
              <w:fldChar w:fldCharType="end"/>
            </w:r>
            <w:r w:rsidR="00B2758B"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vAlign w:val="center"/>
          </w:tcPr>
          <w:p w14:paraId="5F605FBA" w14:textId="0C254B43" w:rsidR="004770AF" w:rsidRPr="00CF77C1" w:rsidRDefault="004770AF" w:rsidP="00AF2E80">
            <w:pPr>
              <w:jc w:val="center"/>
              <w:rPr>
                <w:lang w:val="sr-Cyrl-RS"/>
              </w:rPr>
            </w:pPr>
            <w:r w:rsidRPr="00CF77C1">
              <w:rPr>
                <w:lang w:val="sr-Cyrl-RS"/>
              </w:rPr>
              <w:t>146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5FC27547" w14:textId="0DC511F3" w:rsidR="004770AF" w:rsidRPr="00CF77C1" w:rsidRDefault="004770AF" w:rsidP="00AF2E80">
            <w:pPr>
              <w:jc w:val="center"/>
              <w:rPr>
                <w:lang w:val="sr-Cyrl-RS"/>
              </w:rPr>
            </w:pPr>
            <w:r w:rsidRPr="00CF77C1">
              <w:rPr>
                <w:lang w:val="sr-Cyrl-RS"/>
              </w:rPr>
              <w:t>2021-2022.</w:t>
            </w:r>
          </w:p>
        </w:tc>
        <w:tc>
          <w:tcPr>
            <w:tcW w:w="1711" w:type="dxa"/>
            <w:tcBorders>
              <w:top w:val="dashed" w:sz="18" w:space="0" w:color="auto"/>
              <w:left w:val="single" w:sz="6" w:space="0" w:color="auto"/>
              <w:bottom w:val="dashed" w:sz="18" w:space="0" w:color="auto"/>
              <w:right w:val="single" w:sz="6" w:space="0" w:color="auto"/>
            </w:tcBorders>
            <w:vAlign w:val="center"/>
          </w:tcPr>
          <w:p w14:paraId="0F4554EA" w14:textId="5C4E4B20" w:rsidR="004770AF" w:rsidRPr="00CF77C1" w:rsidRDefault="004770AF" w:rsidP="00AF2E80">
            <w:pPr>
              <w:jc w:val="center"/>
              <w:rPr>
                <w:lang w:val="sr-Cyrl-RS"/>
              </w:rPr>
            </w:pPr>
            <w:r w:rsidRPr="00CF77C1">
              <w:rPr>
                <w:lang w:val="sr-Cyrl-RS"/>
              </w:rPr>
              <w:t>81</w:t>
            </w:r>
          </w:p>
        </w:tc>
        <w:tc>
          <w:tcPr>
            <w:tcW w:w="1921" w:type="dxa"/>
            <w:tcBorders>
              <w:top w:val="dashed" w:sz="18" w:space="0" w:color="auto"/>
              <w:left w:val="single" w:sz="6" w:space="0" w:color="auto"/>
              <w:bottom w:val="dashed" w:sz="18" w:space="0" w:color="auto"/>
              <w:right w:val="dashed" w:sz="18" w:space="0" w:color="auto"/>
            </w:tcBorders>
            <w:vAlign w:val="center"/>
          </w:tcPr>
          <w:p w14:paraId="71D74F86" w14:textId="45113EC1" w:rsidR="004770AF" w:rsidRPr="00CF77C1" w:rsidRDefault="004770AF" w:rsidP="00AF2E80">
            <w:pPr>
              <w:jc w:val="center"/>
              <w:rPr>
                <w:lang w:val="sr-Cyrl-RS"/>
              </w:rPr>
            </w:pPr>
            <w:r w:rsidRPr="00CF77C1">
              <w:rPr>
                <w:lang w:val="sr-Cyrl-RS"/>
              </w:rPr>
              <w:t>2а</w:t>
            </w:r>
          </w:p>
        </w:tc>
      </w:tr>
      <w:tr w:rsidR="004770AF" w:rsidRPr="00CF77C1" w14:paraId="1F0FA32E" w14:textId="77777777" w:rsidTr="002D2AF6">
        <w:trPr>
          <w:cantSplit/>
        </w:trPr>
        <w:tc>
          <w:tcPr>
            <w:tcW w:w="1086" w:type="dxa"/>
            <w:tcBorders>
              <w:top w:val="dashed" w:sz="18" w:space="0" w:color="auto"/>
              <w:bottom w:val="dashed" w:sz="18" w:space="0" w:color="auto"/>
            </w:tcBorders>
            <w:vAlign w:val="center"/>
          </w:tcPr>
          <w:p w14:paraId="4EFA5D9C" w14:textId="2E3F138A" w:rsidR="004770AF" w:rsidRPr="00CF77C1" w:rsidRDefault="004770AF" w:rsidP="00AF2E80">
            <w:pPr>
              <w:jc w:val="center"/>
              <w:rPr>
                <w:lang w:val="sr-Cyrl-RS"/>
              </w:rPr>
            </w:pPr>
            <w:r w:rsidRPr="00CF77C1">
              <w:rPr>
                <w:lang w:val="sr-Cyrl-RS"/>
              </w:rPr>
              <w:t>32</w:t>
            </w:r>
          </w:p>
        </w:tc>
        <w:tc>
          <w:tcPr>
            <w:tcW w:w="6677" w:type="dxa"/>
            <w:tcBorders>
              <w:top w:val="dashed" w:sz="18" w:space="0" w:color="auto"/>
              <w:bottom w:val="dashed" w:sz="18" w:space="0" w:color="auto"/>
            </w:tcBorders>
            <w:vAlign w:val="center"/>
          </w:tcPr>
          <w:p w14:paraId="75E60B9A" w14:textId="51C1A13B" w:rsidR="004770AF" w:rsidRPr="00CF77C1" w:rsidRDefault="004770AF" w:rsidP="00AF2E80">
            <w:pPr>
              <w:jc w:val="left"/>
              <w:rPr>
                <w:lang w:val="sr-Cyrl-RS"/>
              </w:rPr>
            </w:pPr>
            <w:r w:rsidRPr="00CF77C1">
              <w:rPr>
                <w:lang w:val="sr-Cyrl-RS"/>
              </w:rPr>
              <w:t>Подземно складиште гаса Итебеј</w:t>
            </w:r>
          </w:p>
        </w:tc>
        <w:tc>
          <w:tcPr>
            <w:tcW w:w="1963" w:type="dxa"/>
            <w:tcBorders>
              <w:top w:val="dashed" w:sz="18" w:space="0" w:color="auto"/>
              <w:bottom w:val="dashed" w:sz="18" w:space="0" w:color="auto"/>
            </w:tcBorders>
            <w:vAlign w:val="center"/>
          </w:tcPr>
          <w:p w14:paraId="1557FC4C" w14:textId="0C532C8E" w:rsidR="004770AF" w:rsidRPr="00CF77C1" w:rsidRDefault="004770AF" w:rsidP="00AF2E80">
            <w:pPr>
              <w:jc w:val="center"/>
              <w:rPr>
                <w:lang w:val="sr-Cyrl-RS"/>
              </w:rPr>
            </w:pPr>
            <w:r w:rsidRPr="00CF77C1">
              <w:rPr>
                <w:lang w:val="sr-Cyrl-RS"/>
              </w:rPr>
              <w:t>85 милиона €</w:t>
            </w:r>
          </w:p>
        </w:tc>
        <w:tc>
          <w:tcPr>
            <w:tcW w:w="1429" w:type="dxa"/>
            <w:tcBorders>
              <w:top w:val="dashed" w:sz="18" w:space="0" w:color="auto"/>
              <w:bottom w:val="dashed" w:sz="18" w:space="0" w:color="auto"/>
            </w:tcBorders>
            <w:vAlign w:val="center"/>
          </w:tcPr>
          <w:p w14:paraId="6B76B1EB" w14:textId="6DE0E813" w:rsidR="004770AF" w:rsidRPr="00CF77C1" w:rsidRDefault="004770AF" w:rsidP="00AF2E80">
            <w:pPr>
              <w:jc w:val="center"/>
              <w:rPr>
                <w:lang w:val="sr-Cyrl-RS"/>
              </w:rPr>
            </w:pPr>
            <w:r w:rsidRPr="00CF77C1">
              <w:rPr>
                <w:lang w:val="sr-Cyrl-RS"/>
              </w:rPr>
              <w:t>није дефинисан</w:t>
            </w:r>
          </w:p>
        </w:tc>
        <w:tc>
          <w:tcPr>
            <w:tcW w:w="1711" w:type="dxa"/>
            <w:tcBorders>
              <w:top w:val="dashed" w:sz="18" w:space="0" w:color="auto"/>
              <w:bottom w:val="dashed" w:sz="18" w:space="0" w:color="auto"/>
            </w:tcBorders>
            <w:vAlign w:val="center"/>
          </w:tcPr>
          <w:p w14:paraId="43947B0F" w14:textId="68340C59" w:rsidR="004770AF" w:rsidRPr="00CF77C1" w:rsidRDefault="004770AF" w:rsidP="00AF2E80">
            <w:pPr>
              <w:jc w:val="center"/>
              <w:rPr>
                <w:lang w:val="sr-Cyrl-RS"/>
              </w:rPr>
            </w:pPr>
            <w:r w:rsidRPr="00CF77C1">
              <w:rPr>
                <w:lang w:val="sr-Cyrl-RS"/>
              </w:rPr>
              <w:t>81</w:t>
            </w:r>
          </w:p>
        </w:tc>
        <w:tc>
          <w:tcPr>
            <w:tcW w:w="1921" w:type="dxa"/>
            <w:tcBorders>
              <w:top w:val="dashed" w:sz="18" w:space="0" w:color="auto"/>
              <w:bottom w:val="dashed" w:sz="18" w:space="0" w:color="auto"/>
            </w:tcBorders>
            <w:vAlign w:val="center"/>
          </w:tcPr>
          <w:p w14:paraId="3241BD80" w14:textId="2FCA9E4E" w:rsidR="004770AF" w:rsidRPr="00CF77C1" w:rsidRDefault="004770AF" w:rsidP="00AF2E80">
            <w:pPr>
              <w:jc w:val="center"/>
              <w:rPr>
                <w:lang w:val="sr-Cyrl-RS"/>
              </w:rPr>
            </w:pPr>
            <w:r w:rsidRPr="00CF77C1">
              <w:rPr>
                <w:lang w:val="sr-Cyrl-RS"/>
              </w:rPr>
              <w:t>2б</w:t>
            </w:r>
          </w:p>
        </w:tc>
      </w:tr>
      <w:tr w:rsidR="004770AF" w:rsidRPr="00CF77C1" w14:paraId="6635621F" w14:textId="77777777" w:rsidTr="002D2AF6">
        <w:trPr>
          <w:cantSplit/>
        </w:trPr>
        <w:tc>
          <w:tcPr>
            <w:tcW w:w="1086" w:type="dxa"/>
            <w:tcBorders>
              <w:top w:val="dashed" w:sz="18" w:space="0" w:color="auto"/>
              <w:left w:val="dashed" w:sz="18" w:space="0" w:color="auto"/>
              <w:bottom w:val="dashed" w:sz="18" w:space="0" w:color="auto"/>
              <w:right w:val="single" w:sz="6" w:space="0" w:color="auto"/>
            </w:tcBorders>
            <w:vAlign w:val="center"/>
          </w:tcPr>
          <w:p w14:paraId="0A6DD058" w14:textId="7BE62FEC" w:rsidR="004770AF" w:rsidRPr="00CF77C1" w:rsidRDefault="004770AF" w:rsidP="00AF2E80">
            <w:pPr>
              <w:jc w:val="center"/>
              <w:rPr>
                <w:lang w:val="sr-Cyrl-RS"/>
              </w:rPr>
            </w:pPr>
            <w:r w:rsidRPr="00CF77C1">
              <w:rPr>
                <w:lang w:val="sr-Cyrl-RS"/>
              </w:rPr>
              <w:t>33</w:t>
            </w:r>
          </w:p>
        </w:tc>
        <w:tc>
          <w:tcPr>
            <w:tcW w:w="6677" w:type="dxa"/>
            <w:tcBorders>
              <w:top w:val="dashed" w:sz="18" w:space="0" w:color="auto"/>
              <w:left w:val="single" w:sz="6" w:space="0" w:color="auto"/>
              <w:bottom w:val="dashed" w:sz="18" w:space="0" w:color="auto"/>
              <w:right w:val="single" w:sz="6" w:space="0" w:color="auto"/>
            </w:tcBorders>
            <w:vAlign w:val="center"/>
          </w:tcPr>
          <w:p w14:paraId="31DE6D60" w14:textId="0F8804AF" w:rsidR="004770AF" w:rsidRPr="00CF77C1" w:rsidRDefault="004770AF" w:rsidP="00683F3A">
            <w:pPr>
              <w:jc w:val="left"/>
              <w:rPr>
                <w:lang w:val="sr-Cyrl-RS"/>
              </w:rPr>
            </w:pPr>
            <w:r w:rsidRPr="00CF77C1">
              <w:rPr>
                <w:lang w:val="sr-Cyrl-RS"/>
              </w:rPr>
              <w:t xml:space="preserve">Трансбалкански коридор - интерни далековод - 400 kV </w:t>
            </w:r>
            <w:r w:rsidR="00683F3A">
              <w:rPr>
                <w:lang w:val="sr-Cyrl-RS"/>
              </w:rPr>
              <w:t>ДВ Т</w:t>
            </w:r>
            <w:r w:rsidR="005C25CE">
              <w:rPr>
                <w:lang w:val="sr-Cyrl-RS"/>
              </w:rPr>
              <w:t>С</w:t>
            </w:r>
            <w:r w:rsidRPr="00CF77C1">
              <w:rPr>
                <w:lang w:val="sr-Cyrl-RS"/>
              </w:rPr>
              <w:t xml:space="preserve"> Бајина Башта (Србија) - </w:t>
            </w:r>
            <w:r w:rsidR="00683F3A">
              <w:rPr>
                <w:lang w:val="sr-Cyrl-RS"/>
              </w:rPr>
              <w:t>Т</w:t>
            </w:r>
            <w:r w:rsidR="00510ED3">
              <w:rPr>
                <w:lang w:val="sr-Cyrl-RS"/>
              </w:rPr>
              <w:t>С</w:t>
            </w:r>
            <w:r w:rsidRPr="00CF77C1">
              <w:rPr>
                <w:lang w:val="sr-Cyrl-RS"/>
              </w:rPr>
              <w:t xml:space="preserve"> Краљево (Србија) - Фаза II (Пројекат „Трансбалкански коридор” - фаза 2 - </w:t>
            </w:r>
            <w:r w:rsidRPr="00CF77C1">
              <w:rPr>
                <w:lang w:val="sr-Cyrl-RS"/>
              </w:rPr>
              <w:fldChar w:fldCharType="begin"/>
            </w:r>
            <w:r w:rsidRPr="00CF77C1">
              <w:rPr>
                <w:lang w:val="sr-Cyrl-RS"/>
              </w:rPr>
              <w:instrText xml:space="preserve"> REF _Ref476805981 \r \h  \* MERGEFORMAT </w:instrText>
            </w:r>
            <w:r w:rsidRPr="00CF77C1">
              <w:rPr>
                <w:lang w:val="sr-Cyrl-RS"/>
              </w:rPr>
            </w:r>
            <w:r w:rsidRPr="00CF77C1">
              <w:rPr>
                <w:lang w:val="sr-Cyrl-RS"/>
              </w:rPr>
              <w:fldChar w:fldCharType="separate"/>
            </w:r>
            <w:r w:rsidR="002D5918">
              <w:rPr>
                <w:lang w:val="sr-Cyrl-RS"/>
              </w:rPr>
              <w:t>П.2</w:t>
            </w:r>
            <w:r w:rsidRPr="00CF77C1">
              <w:rPr>
                <w:lang w:val="sr-Cyrl-RS"/>
              </w:rPr>
              <w:fldChar w:fldCharType="end"/>
            </w:r>
            <w:r w:rsidRPr="00CF77C1">
              <w:rPr>
                <w:lang w:val="sr-Cyrl-RS"/>
              </w:rPr>
              <w:t xml:space="preserve"> - секција 1)</w:t>
            </w:r>
          </w:p>
        </w:tc>
        <w:tc>
          <w:tcPr>
            <w:tcW w:w="1963" w:type="dxa"/>
            <w:tcBorders>
              <w:top w:val="dashed" w:sz="18" w:space="0" w:color="auto"/>
              <w:left w:val="single" w:sz="6" w:space="0" w:color="auto"/>
              <w:bottom w:val="dashed" w:sz="18" w:space="0" w:color="auto"/>
              <w:right w:val="single" w:sz="6" w:space="0" w:color="auto"/>
            </w:tcBorders>
            <w:vAlign w:val="center"/>
          </w:tcPr>
          <w:p w14:paraId="3D16D890" w14:textId="4B1CD309" w:rsidR="004770AF" w:rsidRPr="00CF77C1" w:rsidRDefault="004770AF" w:rsidP="00AF2E80">
            <w:pPr>
              <w:jc w:val="center"/>
              <w:rPr>
                <w:lang w:val="sr-Cyrl-RS"/>
              </w:rPr>
            </w:pPr>
            <w:r w:rsidRPr="00CF77C1">
              <w:rPr>
                <w:lang w:val="sr-Cyrl-RS"/>
              </w:rPr>
              <w:t>36,7 милиона €</w:t>
            </w:r>
          </w:p>
        </w:tc>
        <w:tc>
          <w:tcPr>
            <w:tcW w:w="1429" w:type="dxa"/>
            <w:tcBorders>
              <w:top w:val="dashed" w:sz="18" w:space="0" w:color="auto"/>
              <w:left w:val="single" w:sz="6" w:space="0" w:color="auto"/>
              <w:bottom w:val="dashed" w:sz="18" w:space="0" w:color="auto"/>
              <w:right w:val="single" w:sz="6" w:space="0" w:color="auto"/>
            </w:tcBorders>
            <w:vAlign w:val="center"/>
          </w:tcPr>
          <w:p w14:paraId="307EDA3D" w14:textId="51488902" w:rsidR="004770AF" w:rsidRPr="00CF77C1" w:rsidRDefault="004770AF" w:rsidP="00AF2E80">
            <w:pPr>
              <w:jc w:val="center"/>
              <w:rPr>
                <w:lang w:val="sr-Cyrl-RS"/>
              </w:rPr>
            </w:pPr>
            <w:r w:rsidRPr="00CF77C1">
              <w:rPr>
                <w:lang w:val="sr-Cyrl-RS"/>
              </w:rPr>
              <w:t>није дефинисан</w:t>
            </w:r>
          </w:p>
        </w:tc>
        <w:tc>
          <w:tcPr>
            <w:tcW w:w="1711" w:type="dxa"/>
            <w:tcBorders>
              <w:top w:val="dashed" w:sz="18" w:space="0" w:color="auto"/>
              <w:left w:val="single" w:sz="6" w:space="0" w:color="auto"/>
              <w:bottom w:val="dashed" w:sz="18" w:space="0" w:color="auto"/>
              <w:right w:val="single" w:sz="6" w:space="0" w:color="auto"/>
            </w:tcBorders>
            <w:vAlign w:val="center"/>
          </w:tcPr>
          <w:p w14:paraId="0D872C68" w14:textId="66BCFF58" w:rsidR="004770AF" w:rsidRPr="00CF77C1" w:rsidRDefault="004770AF" w:rsidP="00AF2E80">
            <w:pPr>
              <w:jc w:val="center"/>
              <w:rPr>
                <w:lang w:val="sr-Cyrl-RS"/>
              </w:rPr>
            </w:pPr>
            <w:r w:rsidRPr="00CF77C1">
              <w:rPr>
                <w:lang w:val="sr-Cyrl-RS"/>
              </w:rPr>
              <w:t>81</w:t>
            </w:r>
          </w:p>
        </w:tc>
        <w:tc>
          <w:tcPr>
            <w:tcW w:w="1921" w:type="dxa"/>
            <w:tcBorders>
              <w:top w:val="dashed" w:sz="18" w:space="0" w:color="auto"/>
              <w:left w:val="single" w:sz="6" w:space="0" w:color="auto"/>
              <w:bottom w:val="dashed" w:sz="18" w:space="0" w:color="auto"/>
              <w:right w:val="dashed" w:sz="18" w:space="0" w:color="auto"/>
            </w:tcBorders>
            <w:vAlign w:val="center"/>
          </w:tcPr>
          <w:p w14:paraId="15BF47E2" w14:textId="7B9CC934" w:rsidR="004770AF" w:rsidRPr="00CF77C1" w:rsidRDefault="004770AF" w:rsidP="00AF2E80">
            <w:pPr>
              <w:jc w:val="center"/>
              <w:rPr>
                <w:lang w:val="sr-Cyrl-RS"/>
              </w:rPr>
            </w:pPr>
            <w:r w:rsidRPr="00CF77C1">
              <w:rPr>
                <w:lang w:val="sr-Cyrl-RS"/>
              </w:rPr>
              <w:t>2б</w:t>
            </w:r>
          </w:p>
        </w:tc>
      </w:tr>
      <w:tr w:rsidR="004770AF" w:rsidRPr="00CF77C1" w14:paraId="2A7EA8B5" w14:textId="77777777" w:rsidTr="002D2AF6">
        <w:trPr>
          <w:cantSplit/>
        </w:trPr>
        <w:tc>
          <w:tcPr>
            <w:tcW w:w="1086" w:type="dxa"/>
            <w:tcBorders>
              <w:top w:val="dashed" w:sz="18" w:space="0" w:color="auto"/>
            </w:tcBorders>
            <w:vAlign w:val="center"/>
          </w:tcPr>
          <w:p w14:paraId="7A2AA001" w14:textId="7194493A" w:rsidR="004770AF" w:rsidRPr="00CF77C1" w:rsidRDefault="004770AF" w:rsidP="00844FA9">
            <w:pPr>
              <w:jc w:val="center"/>
              <w:rPr>
                <w:lang w:val="sr-Cyrl-RS"/>
              </w:rPr>
            </w:pPr>
            <w:r w:rsidRPr="00CF77C1">
              <w:rPr>
                <w:lang w:val="sr-Cyrl-RS"/>
              </w:rPr>
              <w:t>34</w:t>
            </w:r>
          </w:p>
        </w:tc>
        <w:tc>
          <w:tcPr>
            <w:tcW w:w="6677" w:type="dxa"/>
            <w:tcBorders>
              <w:top w:val="dashed" w:sz="18" w:space="0" w:color="auto"/>
            </w:tcBorders>
            <w:vAlign w:val="center"/>
          </w:tcPr>
          <w:p w14:paraId="504939AD" w14:textId="77777777" w:rsidR="004770AF" w:rsidRPr="00CF77C1" w:rsidRDefault="004770AF" w:rsidP="00844FA9">
            <w:pPr>
              <w:jc w:val="left"/>
              <w:rPr>
                <w:lang w:val="sr-Cyrl-RS"/>
              </w:rPr>
            </w:pPr>
            <w:r w:rsidRPr="00CF77C1">
              <w:rPr>
                <w:lang w:val="sr-Cyrl-RS"/>
              </w:rPr>
              <w:t>Термална рехабилитација јавних зграда и вртића у Зрењанину</w:t>
            </w:r>
          </w:p>
        </w:tc>
        <w:tc>
          <w:tcPr>
            <w:tcW w:w="1963" w:type="dxa"/>
            <w:tcBorders>
              <w:top w:val="dashed" w:sz="18" w:space="0" w:color="auto"/>
            </w:tcBorders>
            <w:vAlign w:val="center"/>
          </w:tcPr>
          <w:p w14:paraId="243690AB" w14:textId="77777777" w:rsidR="004770AF" w:rsidRPr="00CF77C1" w:rsidRDefault="004770AF" w:rsidP="00844FA9">
            <w:pPr>
              <w:jc w:val="center"/>
              <w:rPr>
                <w:lang w:val="sr-Cyrl-RS"/>
              </w:rPr>
            </w:pPr>
            <w:r w:rsidRPr="00CF77C1">
              <w:rPr>
                <w:lang w:val="sr-Cyrl-RS"/>
              </w:rPr>
              <w:t>7,2 милиона €</w:t>
            </w:r>
          </w:p>
        </w:tc>
        <w:tc>
          <w:tcPr>
            <w:tcW w:w="1429" w:type="dxa"/>
            <w:tcBorders>
              <w:top w:val="dashed" w:sz="18" w:space="0" w:color="auto"/>
            </w:tcBorders>
            <w:vAlign w:val="center"/>
          </w:tcPr>
          <w:p w14:paraId="5C58BC66" w14:textId="77777777" w:rsidR="004770AF" w:rsidRPr="00CF77C1" w:rsidRDefault="004770AF" w:rsidP="00844FA9">
            <w:pPr>
              <w:jc w:val="center"/>
              <w:rPr>
                <w:lang w:val="sr-Cyrl-RS"/>
              </w:rPr>
            </w:pPr>
            <w:r w:rsidRPr="00CF77C1">
              <w:rPr>
                <w:lang w:val="sr-Cyrl-RS"/>
              </w:rPr>
              <w:t>није дефинисан</w:t>
            </w:r>
          </w:p>
        </w:tc>
        <w:tc>
          <w:tcPr>
            <w:tcW w:w="1711" w:type="dxa"/>
            <w:tcBorders>
              <w:top w:val="dashed" w:sz="18" w:space="0" w:color="auto"/>
            </w:tcBorders>
            <w:vAlign w:val="center"/>
          </w:tcPr>
          <w:p w14:paraId="53406B72" w14:textId="77777777" w:rsidR="004770AF" w:rsidRPr="00CF77C1" w:rsidRDefault="004770AF" w:rsidP="00844FA9">
            <w:pPr>
              <w:jc w:val="center"/>
              <w:rPr>
                <w:lang w:val="sr-Cyrl-RS"/>
              </w:rPr>
            </w:pPr>
            <w:r w:rsidRPr="00CF77C1">
              <w:rPr>
                <w:lang w:val="sr-Cyrl-RS"/>
              </w:rPr>
              <w:t>81</w:t>
            </w:r>
          </w:p>
        </w:tc>
        <w:tc>
          <w:tcPr>
            <w:tcW w:w="1921" w:type="dxa"/>
            <w:tcBorders>
              <w:top w:val="dashed" w:sz="18" w:space="0" w:color="auto"/>
            </w:tcBorders>
            <w:vAlign w:val="center"/>
          </w:tcPr>
          <w:p w14:paraId="6966DECF" w14:textId="228B5EF5" w:rsidR="004770AF" w:rsidRPr="00CF77C1" w:rsidRDefault="004770AF" w:rsidP="00844FA9">
            <w:pPr>
              <w:jc w:val="center"/>
              <w:rPr>
                <w:lang w:val="sr-Cyrl-RS"/>
              </w:rPr>
            </w:pPr>
            <w:r w:rsidRPr="00CF77C1">
              <w:rPr>
                <w:lang w:val="sr-Cyrl-RS"/>
              </w:rPr>
              <w:t>2а</w:t>
            </w:r>
          </w:p>
        </w:tc>
      </w:tr>
      <w:tr w:rsidR="004770AF" w:rsidRPr="00CF77C1" w14:paraId="1184B4A0" w14:textId="77777777" w:rsidTr="002D2AF6">
        <w:trPr>
          <w:cantSplit/>
          <w:trHeight w:val="772"/>
        </w:trPr>
        <w:tc>
          <w:tcPr>
            <w:tcW w:w="1086" w:type="dxa"/>
            <w:tcBorders>
              <w:bottom w:val="single" w:sz="4" w:space="0" w:color="auto"/>
            </w:tcBorders>
            <w:vAlign w:val="center"/>
          </w:tcPr>
          <w:p w14:paraId="581AE4BF" w14:textId="46DEE0A1" w:rsidR="004770AF" w:rsidRPr="00CF77C1" w:rsidRDefault="004770AF" w:rsidP="00844FA9">
            <w:pPr>
              <w:jc w:val="center"/>
              <w:rPr>
                <w:lang w:val="sr-Cyrl-RS"/>
              </w:rPr>
            </w:pPr>
            <w:r w:rsidRPr="00CF77C1">
              <w:rPr>
                <w:lang w:val="sr-Cyrl-RS"/>
              </w:rPr>
              <w:t>35</w:t>
            </w:r>
          </w:p>
        </w:tc>
        <w:tc>
          <w:tcPr>
            <w:tcW w:w="6677" w:type="dxa"/>
            <w:tcBorders>
              <w:bottom w:val="single" w:sz="4" w:space="0" w:color="auto"/>
            </w:tcBorders>
            <w:vAlign w:val="center"/>
          </w:tcPr>
          <w:p w14:paraId="1AC647AF" w14:textId="77777777" w:rsidR="004770AF" w:rsidRPr="00CF77C1" w:rsidRDefault="004770AF" w:rsidP="00844FA9">
            <w:pPr>
              <w:jc w:val="left"/>
              <w:rPr>
                <w:lang w:val="sr-Cyrl-RS"/>
              </w:rPr>
            </w:pPr>
            <w:r w:rsidRPr="00CF77C1">
              <w:rPr>
                <w:lang w:val="sr-Cyrl-RS"/>
              </w:rPr>
              <w:t>Термална рехабилитација јавних зграда у Суботици</w:t>
            </w:r>
          </w:p>
        </w:tc>
        <w:tc>
          <w:tcPr>
            <w:tcW w:w="1963" w:type="dxa"/>
            <w:tcBorders>
              <w:bottom w:val="single" w:sz="4" w:space="0" w:color="auto"/>
            </w:tcBorders>
            <w:vAlign w:val="center"/>
          </w:tcPr>
          <w:p w14:paraId="43B8C550" w14:textId="77777777" w:rsidR="004770AF" w:rsidRPr="00CF77C1" w:rsidRDefault="004770AF" w:rsidP="00844FA9">
            <w:pPr>
              <w:jc w:val="center"/>
              <w:rPr>
                <w:lang w:val="sr-Cyrl-RS"/>
              </w:rPr>
            </w:pPr>
            <w:r w:rsidRPr="00CF77C1">
              <w:rPr>
                <w:lang w:val="sr-Cyrl-RS"/>
              </w:rPr>
              <w:t>3,1 милиона €</w:t>
            </w:r>
          </w:p>
        </w:tc>
        <w:tc>
          <w:tcPr>
            <w:tcW w:w="1429" w:type="dxa"/>
            <w:tcBorders>
              <w:bottom w:val="single" w:sz="4" w:space="0" w:color="auto"/>
            </w:tcBorders>
            <w:vAlign w:val="center"/>
          </w:tcPr>
          <w:p w14:paraId="22766582" w14:textId="77777777" w:rsidR="004770AF" w:rsidRPr="00CF77C1" w:rsidRDefault="004770AF" w:rsidP="00844FA9">
            <w:pPr>
              <w:jc w:val="center"/>
              <w:rPr>
                <w:lang w:val="sr-Cyrl-RS"/>
              </w:rPr>
            </w:pPr>
            <w:r w:rsidRPr="00CF77C1">
              <w:rPr>
                <w:lang w:val="sr-Cyrl-RS"/>
              </w:rPr>
              <w:t>није дефинисан</w:t>
            </w:r>
          </w:p>
        </w:tc>
        <w:tc>
          <w:tcPr>
            <w:tcW w:w="1711" w:type="dxa"/>
            <w:tcBorders>
              <w:bottom w:val="single" w:sz="4" w:space="0" w:color="auto"/>
            </w:tcBorders>
            <w:vAlign w:val="center"/>
          </w:tcPr>
          <w:p w14:paraId="3320DEBB" w14:textId="77777777" w:rsidR="004770AF" w:rsidRPr="00CF77C1" w:rsidRDefault="004770AF" w:rsidP="00844FA9">
            <w:pPr>
              <w:jc w:val="center"/>
              <w:rPr>
                <w:lang w:val="sr-Cyrl-RS"/>
              </w:rPr>
            </w:pPr>
            <w:r w:rsidRPr="00CF77C1">
              <w:rPr>
                <w:lang w:val="sr-Cyrl-RS"/>
              </w:rPr>
              <w:t>81</w:t>
            </w:r>
          </w:p>
        </w:tc>
        <w:tc>
          <w:tcPr>
            <w:tcW w:w="1921" w:type="dxa"/>
            <w:tcBorders>
              <w:bottom w:val="single" w:sz="4" w:space="0" w:color="auto"/>
            </w:tcBorders>
            <w:vAlign w:val="center"/>
          </w:tcPr>
          <w:p w14:paraId="0F0D6FBF" w14:textId="7C6FD900" w:rsidR="004770AF" w:rsidRPr="00CF77C1" w:rsidRDefault="004770AF" w:rsidP="00844FA9">
            <w:pPr>
              <w:jc w:val="center"/>
              <w:rPr>
                <w:lang w:val="sr-Cyrl-RS"/>
              </w:rPr>
            </w:pPr>
            <w:r w:rsidRPr="00CF77C1">
              <w:rPr>
                <w:lang w:val="sr-Cyrl-RS"/>
              </w:rPr>
              <w:t>2а</w:t>
            </w:r>
          </w:p>
        </w:tc>
      </w:tr>
      <w:tr w:rsidR="004770AF" w:rsidRPr="00CF77C1" w14:paraId="169C6C08" w14:textId="77777777" w:rsidTr="00DA6697">
        <w:trPr>
          <w:cantSplit/>
        </w:trPr>
        <w:tc>
          <w:tcPr>
            <w:tcW w:w="1086" w:type="dxa"/>
            <w:tcBorders>
              <w:top w:val="single" w:sz="4" w:space="0" w:color="auto"/>
              <w:bottom w:val="single" w:sz="18" w:space="0" w:color="auto"/>
            </w:tcBorders>
            <w:vAlign w:val="center"/>
          </w:tcPr>
          <w:p w14:paraId="78A0273F" w14:textId="4635AC59" w:rsidR="004770AF" w:rsidRPr="00CF77C1" w:rsidRDefault="004770AF" w:rsidP="00AF2E80">
            <w:pPr>
              <w:jc w:val="center"/>
              <w:rPr>
                <w:lang w:val="sr-Cyrl-RS"/>
              </w:rPr>
            </w:pPr>
            <w:r w:rsidRPr="00CF77C1">
              <w:rPr>
                <w:lang w:val="sr-Cyrl-RS"/>
              </w:rPr>
              <w:t>36</w:t>
            </w:r>
          </w:p>
        </w:tc>
        <w:tc>
          <w:tcPr>
            <w:tcW w:w="6677" w:type="dxa"/>
            <w:tcBorders>
              <w:top w:val="single" w:sz="4" w:space="0" w:color="auto"/>
              <w:bottom w:val="single" w:sz="18" w:space="0" w:color="auto"/>
            </w:tcBorders>
            <w:vAlign w:val="center"/>
          </w:tcPr>
          <w:p w14:paraId="330E96FF" w14:textId="48FD2868" w:rsidR="004770AF" w:rsidRPr="00CF77C1" w:rsidRDefault="004770AF" w:rsidP="00781EDC">
            <w:pPr>
              <w:jc w:val="left"/>
              <w:rPr>
                <w:lang w:val="sr-Cyrl-RS"/>
              </w:rPr>
            </w:pPr>
            <w:r w:rsidRPr="00CF77C1">
              <w:rPr>
                <w:lang w:val="sr-Cyrl-RS"/>
              </w:rPr>
              <w:t>Гасовод интерконектор Србија - БЈР Македонија - Секција на територији Србије</w:t>
            </w:r>
          </w:p>
        </w:tc>
        <w:tc>
          <w:tcPr>
            <w:tcW w:w="1963" w:type="dxa"/>
            <w:tcBorders>
              <w:top w:val="single" w:sz="4" w:space="0" w:color="auto"/>
              <w:bottom w:val="single" w:sz="18" w:space="0" w:color="auto"/>
            </w:tcBorders>
            <w:vAlign w:val="center"/>
          </w:tcPr>
          <w:p w14:paraId="51C378E5" w14:textId="14BD30F7" w:rsidR="004770AF" w:rsidRPr="00CF77C1" w:rsidRDefault="004770AF" w:rsidP="00AF2E80">
            <w:pPr>
              <w:jc w:val="center"/>
              <w:rPr>
                <w:lang w:val="sr-Cyrl-RS"/>
              </w:rPr>
            </w:pPr>
            <w:r w:rsidRPr="00CF77C1">
              <w:rPr>
                <w:lang w:val="sr-Cyrl-RS"/>
              </w:rPr>
              <w:t>8,5 милиона €</w:t>
            </w:r>
          </w:p>
        </w:tc>
        <w:tc>
          <w:tcPr>
            <w:tcW w:w="1429" w:type="dxa"/>
            <w:tcBorders>
              <w:top w:val="single" w:sz="4" w:space="0" w:color="auto"/>
              <w:bottom w:val="single" w:sz="18" w:space="0" w:color="auto"/>
            </w:tcBorders>
            <w:vAlign w:val="center"/>
          </w:tcPr>
          <w:p w14:paraId="5301D53D" w14:textId="390C2988" w:rsidR="004770AF" w:rsidRPr="00CF77C1" w:rsidRDefault="004770AF" w:rsidP="00AF2E80">
            <w:pPr>
              <w:jc w:val="center"/>
              <w:rPr>
                <w:lang w:val="sr-Cyrl-RS"/>
              </w:rPr>
            </w:pPr>
            <w:r w:rsidRPr="00CF77C1">
              <w:rPr>
                <w:lang w:val="sr-Cyrl-RS"/>
              </w:rPr>
              <w:t>није дефинисан</w:t>
            </w:r>
          </w:p>
        </w:tc>
        <w:tc>
          <w:tcPr>
            <w:tcW w:w="1711" w:type="dxa"/>
            <w:tcBorders>
              <w:top w:val="single" w:sz="4" w:space="0" w:color="auto"/>
              <w:bottom w:val="single" w:sz="18" w:space="0" w:color="auto"/>
            </w:tcBorders>
            <w:vAlign w:val="center"/>
          </w:tcPr>
          <w:p w14:paraId="085E5C28" w14:textId="22A209EB" w:rsidR="004770AF" w:rsidRPr="00CF77C1" w:rsidRDefault="004770AF" w:rsidP="00AF2E80">
            <w:pPr>
              <w:jc w:val="center"/>
              <w:rPr>
                <w:lang w:val="sr-Cyrl-RS"/>
              </w:rPr>
            </w:pPr>
            <w:r w:rsidRPr="00CF77C1">
              <w:rPr>
                <w:lang w:val="sr-Cyrl-RS"/>
              </w:rPr>
              <w:t>81</w:t>
            </w:r>
          </w:p>
        </w:tc>
        <w:tc>
          <w:tcPr>
            <w:tcW w:w="1921" w:type="dxa"/>
            <w:tcBorders>
              <w:top w:val="single" w:sz="4" w:space="0" w:color="auto"/>
              <w:bottom w:val="single" w:sz="18" w:space="0" w:color="auto"/>
            </w:tcBorders>
            <w:vAlign w:val="center"/>
          </w:tcPr>
          <w:p w14:paraId="27021997" w14:textId="3A36C0D2" w:rsidR="004770AF" w:rsidRPr="00CF77C1" w:rsidRDefault="004770AF" w:rsidP="00AF2E80">
            <w:pPr>
              <w:jc w:val="center"/>
              <w:rPr>
                <w:lang w:val="sr-Cyrl-RS"/>
              </w:rPr>
            </w:pPr>
            <w:r w:rsidRPr="00CF77C1">
              <w:rPr>
                <w:lang w:val="sr-Cyrl-RS"/>
              </w:rPr>
              <w:t>2а</w:t>
            </w:r>
          </w:p>
        </w:tc>
      </w:tr>
      <w:tr w:rsidR="004770AF" w:rsidRPr="00CF77C1" w14:paraId="47752F3C" w14:textId="77777777" w:rsidTr="00DA6697">
        <w:trPr>
          <w:cantSplit/>
        </w:trPr>
        <w:tc>
          <w:tcPr>
            <w:tcW w:w="1086" w:type="dxa"/>
            <w:tcBorders>
              <w:top w:val="single" w:sz="18" w:space="0" w:color="auto"/>
              <w:left w:val="single" w:sz="18" w:space="0" w:color="auto"/>
              <w:bottom w:val="single" w:sz="18" w:space="0" w:color="auto"/>
              <w:right w:val="single" w:sz="6" w:space="0" w:color="auto"/>
            </w:tcBorders>
            <w:vAlign w:val="center"/>
          </w:tcPr>
          <w:p w14:paraId="479CD6AB" w14:textId="6DB104CE" w:rsidR="004770AF" w:rsidRPr="00CF77C1" w:rsidRDefault="004770AF" w:rsidP="00844FA9">
            <w:pPr>
              <w:jc w:val="center"/>
              <w:rPr>
                <w:lang w:val="sr-Cyrl-RS"/>
              </w:rPr>
            </w:pPr>
            <w:r w:rsidRPr="00CF77C1">
              <w:rPr>
                <w:lang w:val="sr-Cyrl-RS"/>
              </w:rPr>
              <w:t>37</w:t>
            </w:r>
          </w:p>
        </w:tc>
        <w:tc>
          <w:tcPr>
            <w:tcW w:w="6677" w:type="dxa"/>
            <w:tcBorders>
              <w:top w:val="single" w:sz="18" w:space="0" w:color="auto"/>
              <w:left w:val="single" w:sz="6" w:space="0" w:color="auto"/>
              <w:bottom w:val="single" w:sz="18" w:space="0" w:color="auto"/>
              <w:right w:val="single" w:sz="6" w:space="0" w:color="auto"/>
            </w:tcBorders>
            <w:vAlign w:val="center"/>
          </w:tcPr>
          <w:p w14:paraId="66E4278C" w14:textId="0A38335C" w:rsidR="004770AF" w:rsidRPr="00CF77C1" w:rsidRDefault="004770AF" w:rsidP="00DD1F0C">
            <w:pPr>
              <w:jc w:val="left"/>
              <w:rPr>
                <w:lang w:val="sr-Cyrl-RS"/>
              </w:rPr>
            </w:pPr>
            <w:r w:rsidRPr="00CF77C1">
              <w:rPr>
                <w:lang w:val="sr-Cyrl-RS"/>
              </w:rPr>
              <w:t xml:space="preserve">Пројекaт проширења капацитета подземног складишта гаса Банатски Двор </w:t>
            </w:r>
            <w:r w:rsidR="004763B9">
              <w:rPr>
                <w:lang w:val="sr-Cyrl-RS"/>
              </w:rPr>
              <w:t>-</w:t>
            </w:r>
            <w:r w:rsidRPr="00CF77C1">
              <w:rPr>
                <w:lang w:val="sr-Cyrl-RS"/>
              </w:rPr>
              <w:t xml:space="preserve"> </w:t>
            </w:r>
            <w:r w:rsidR="00DD1F0C">
              <w:rPr>
                <w:lang w:val="sr-Cyrl-RS"/>
              </w:rPr>
              <w:t>П.24</w:t>
            </w:r>
          </w:p>
        </w:tc>
        <w:tc>
          <w:tcPr>
            <w:tcW w:w="1963" w:type="dxa"/>
            <w:tcBorders>
              <w:top w:val="single" w:sz="18" w:space="0" w:color="auto"/>
              <w:left w:val="single" w:sz="6" w:space="0" w:color="auto"/>
              <w:bottom w:val="single" w:sz="18" w:space="0" w:color="auto"/>
              <w:right w:val="single" w:sz="6" w:space="0" w:color="auto"/>
            </w:tcBorders>
            <w:vAlign w:val="center"/>
          </w:tcPr>
          <w:p w14:paraId="59CE265C" w14:textId="77777777" w:rsidR="004770AF" w:rsidRPr="00CF77C1" w:rsidRDefault="004770AF" w:rsidP="00844FA9">
            <w:pPr>
              <w:jc w:val="center"/>
              <w:rPr>
                <w:lang w:val="sr-Cyrl-RS"/>
              </w:rPr>
            </w:pPr>
            <w:r w:rsidRPr="00CF77C1">
              <w:rPr>
                <w:lang w:val="sr-Cyrl-RS"/>
              </w:rPr>
              <w:t>65 милиона €</w:t>
            </w:r>
          </w:p>
        </w:tc>
        <w:tc>
          <w:tcPr>
            <w:tcW w:w="1429" w:type="dxa"/>
            <w:tcBorders>
              <w:top w:val="single" w:sz="18" w:space="0" w:color="auto"/>
              <w:left w:val="single" w:sz="6" w:space="0" w:color="auto"/>
              <w:bottom w:val="single" w:sz="18" w:space="0" w:color="auto"/>
              <w:right w:val="single" w:sz="6" w:space="0" w:color="auto"/>
            </w:tcBorders>
            <w:vAlign w:val="center"/>
          </w:tcPr>
          <w:p w14:paraId="54A284F7" w14:textId="77777777" w:rsidR="004770AF" w:rsidRPr="00CF77C1" w:rsidRDefault="004770AF" w:rsidP="00844FA9">
            <w:pPr>
              <w:jc w:val="center"/>
              <w:rPr>
                <w:lang w:val="sr-Cyrl-RS"/>
              </w:rPr>
            </w:pPr>
            <w:r w:rsidRPr="00CF77C1">
              <w:rPr>
                <w:lang w:val="sr-Cyrl-RS"/>
              </w:rPr>
              <w:t>2020-2023.</w:t>
            </w:r>
          </w:p>
        </w:tc>
        <w:tc>
          <w:tcPr>
            <w:tcW w:w="1711" w:type="dxa"/>
            <w:tcBorders>
              <w:top w:val="single" w:sz="18" w:space="0" w:color="auto"/>
              <w:left w:val="single" w:sz="6" w:space="0" w:color="auto"/>
              <w:bottom w:val="single" w:sz="18" w:space="0" w:color="auto"/>
              <w:right w:val="single" w:sz="6" w:space="0" w:color="auto"/>
            </w:tcBorders>
            <w:vAlign w:val="center"/>
          </w:tcPr>
          <w:p w14:paraId="79D3E6FF" w14:textId="77777777" w:rsidR="004770AF" w:rsidRPr="00CF77C1" w:rsidRDefault="004770AF" w:rsidP="00844FA9">
            <w:pPr>
              <w:jc w:val="center"/>
              <w:rPr>
                <w:lang w:val="sr-Cyrl-RS"/>
              </w:rPr>
            </w:pPr>
            <w:r w:rsidRPr="00CF77C1">
              <w:rPr>
                <w:lang w:val="sr-Cyrl-RS"/>
              </w:rPr>
              <w:t>81</w:t>
            </w:r>
          </w:p>
        </w:tc>
        <w:tc>
          <w:tcPr>
            <w:tcW w:w="1921" w:type="dxa"/>
            <w:tcBorders>
              <w:top w:val="single" w:sz="18" w:space="0" w:color="auto"/>
              <w:left w:val="single" w:sz="6" w:space="0" w:color="auto"/>
              <w:bottom w:val="single" w:sz="18" w:space="0" w:color="auto"/>
              <w:right w:val="single" w:sz="18" w:space="0" w:color="auto"/>
            </w:tcBorders>
            <w:vAlign w:val="center"/>
          </w:tcPr>
          <w:p w14:paraId="5151BAB9" w14:textId="77777777" w:rsidR="004770AF" w:rsidRPr="00CF77C1" w:rsidRDefault="004770AF" w:rsidP="00844FA9">
            <w:pPr>
              <w:jc w:val="center"/>
              <w:rPr>
                <w:lang w:val="sr-Cyrl-RS"/>
              </w:rPr>
            </w:pPr>
            <w:r w:rsidRPr="00CF77C1">
              <w:rPr>
                <w:lang w:val="sr-Cyrl-RS"/>
              </w:rPr>
              <w:t>Г</w:t>
            </w:r>
          </w:p>
        </w:tc>
      </w:tr>
      <w:tr w:rsidR="004770AF" w:rsidRPr="00CF77C1" w14:paraId="263A2C2B" w14:textId="77777777" w:rsidTr="00B719FF">
        <w:trPr>
          <w:cantSplit/>
        </w:trPr>
        <w:tc>
          <w:tcPr>
            <w:tcW w:w="1086" w:type="dxa"/>
            <w:tcBorders>
              <w:top w:val="single" w:sz="18" w:space="0" w:color="auto"/>
              <w:bottom w:val="single" w:sz="4" w:space="0" w:color="auto"/>
            </w:tcBorders>
            <w:vAlign w:val="center"/>
          </w:tcPr>
          <w:p w14:paraId="7A43B019" w14:textId="47538C09" w:rsidR="004770AF" w:rsidRPr="00CF77C1" w:rsidRDefault="004770AF" w:rsidP="00844FA9">
            <w:pPr>
              <w:jc w:val="center"/>
              <w:rPr>
                <w:lang w:val="sr-Cyrl-RS"/>
              </w:rPr>
            </w:pPr>
            <w:r w:rsidRPr="00CF77C1">
              <w:rPr>
                <w:lang w:val="sr-Cyrl-RS"/>
              </w:rPr>
              <w:t>38</w:t>
            </w:r>
          </w:p>
        </w:tc>
        <w:tc>
          <w:tcPr>
            <w:tcW w:w="6677" w:type="dxa"/>
            <w:tcBorders>
              <w:top w:val="single" w:sz="18" w:space="0" w:color="auto"/>
              <w:bottom w:val="single" w:sz="4" w:space="0" w:color="auto"/>
            </w:tcBorders>
            <w:vAlign w:val="center"/>
          </w:tcPr>
          <w:p w14:paraId="11C7AE9D" w14:textId="0FFA08AB" w:rsidR="004770AF" w:rsidRPr="00CF77C1" w:rsidRDefault="004770AF" w:rsidP="00844FA9">
            <w:pPr>
              <w:jc w:val="left"/>
              <w:rPr>
                <w:lang w:val="sr-Cyrl-RS"/>
              </w:rPr>
            </w:pPr>
            <w:r w:rsidRPr="00CF77C1">
              <w:rPr>
                <w:lang w:val="sr-Cyrl-RS"/>
              </w:rPr>
              <w:t>Гасовод интерконектор Србија - Црна Гора - Секција Ниш (Дољевац) - Приштина</w:t>
            </w:r>
          </w:p>
        </w:tc>
        <w:tc>
          <w:tcPr>
            <w:tcW w:w="1963" w:type="dxa"/>
            <w:tcBorders>
              <w:top w:val="single" w:sz="18" w:space="0" w:color="auto"/>
              <w:bottom w:val="single" w:sz="4" w:space="0" w:color="auto"/>
            </w:tcBorders>
            <w:vAlign w:val="center"/>
          </w:tcPr>
          <w:p w14:paraId="34827682" w14:textId="4EA4EF98" w:rsidR="004770AF" w:rsidRPr="00CF77C1" w:rsidRDefault="004770AF" w:rsidP="00844FA9">
            <w:pPr>
              <w:jc w:val="center"/>
              <w:rPr>
                <w:lang w:val="sr-Cyrl-RS"/>
              </w:rPr>
            </w:pPr>
            <w:r w:rsidRPr="00CF77C1">
              <w:rPr>
                <w:lang w:val="sr-Cyrl-RS"/>
              </w:rPr>
              <w:t>50 милиона €</w:t>
            </w:r>
          </w:p>
        </w:tc>
        <w:tc>
          <w:tcPr>
            <w:tcW w:w="1429" w:type="dxa"/>
            <w:tcBorders>
              <w:top w:val="single" w:sz="18" w:space="0" w:color="auto"/>
              <w:bottom w:val="single" w:sz="4" w:space="0" w:color="auto"/>
            </w:tcBorders>
            <w:vAlign w:val="center"/>
          </w:tcPr>
          <w:p w14:paraId="0C0918EB" w14:textId="1751C42F" w:rsidR="004770AF" w:rsidRPr="00CF77C1" w:rsidRDefault="004770AF" w:rsidP="00844FA9">
            <w:pPr>
              <w:jc w:val="center"/>
              <w:rPr>
                <w:lang w:val="sr-Cyrl-RS"/>
              </w:rPr>
            </w:pPr>
            <w:r w:rsidRPr="00CF77C1">
              <w:rPr>
                <w:lang w:val="sr-Cyrl-RS"/>
              </w:rPr>
              <w:t>није дефинисан</w:t>
            </w:r>
          </w:p>
        </w:tc>
        <w:tc>
          <w:tcPr>
            <w:tcW w:w="1711" w:type="dxa"/>
            <w:tcBorders>
              <w:top w:val="single" w:sz="18" w:space="0" w:color="auto"/>
              <w:bottom w:val="single" w:sz="4" w:space="0" w:color="auto"/>
            </w:tcBorders>
            <w:vAlign w:val="center"/>
          </w:tcPr>
          <w:p w14:paraId="540DB1FB" w14:textId="47ED4275" w:rsidR="004770AF" w:rsidRPr="00CF77C1" w:rsidRDefault="004770AF" w:rsidP="00844FA9">
            <w:pPr>
              <w:jc w:val="center"/>
              <w:rPr>
                <w:lang w:val="sr-Cyrl-RS"/>
              </w:rPr>
            </w:pPr>
            <w:r w:rsidRPr="00CF77C1">
              <w:rPr>
                <w:lang w:val="sr-Cyrl-RS"/>
              </w:rPr>
              <w:t>76</w:t>
            </w:r>
          </w:p>
        </w:tc>
        <w:tc>
          <w:tcPr>
            <w:tcW w:w="1921" w:type="dxa"/>
            <w:tcBorders>
              <w:top w:val="single" w:sz="18" w:space="0" w:color="auto"/>
              <w:bottom w:val="single" w:sz="4" w:space="0" w:color="auto"/>
            </w:tcBorders>
            <w:vAlign w:val="center"/>
          </w:tcPr>
          <w:p w14:paraId="2C71D662" w14:textId="5670A7A2" w:rsidR="004770AF" w:rsidRPr="00CF77C1" w:rsidRDefault="004770AF" w:rsidP="00844FA9">
            <w:pPr>
              <w:jc w:val="center"/>
              <w:rPr>
                <w:lang w:val="sr-Cyrl-RS"/>
              </w:rPr>
            </w:pPr>
            <w:r w:rsidRPr="00CF77C1">
              <w:rPr>
                <w:lang w:val="sr-Cyrl-RS"/>
              </w:rPr>
              <w:t>2б</w:t>
            </w:r>
          </w:p>
        </w:tc>
      </w:tr>
      <w:tr w:rsidR="004770AF" w:rsidRPr="00CF77C1" w14:paraId="61332B36" w14:textId="77777777" w:rsidTr="00B719FF">
        <w:trPr>
          <w:cantSplit/>
        </w:trPr>
        <w:tc>
          <w:tcPr>
            <w:tcW w:w="1086" w:type="dxa"/>
            <w:tcBorders>
              <w:top w:val="single" w:sz="4" w:space="0" w:color="auto"/>
              <w:bottom w:val="dashed" w:sz="18" w:space="0" w:color="auto"/>
            </w:tcBorders>
            <w:vAlign w:val="center"/>
          </w:tcPr>
          <w:p w14:paraId="26D06E57" w14:textId="309D75DE" w:rsidR="004770AF" w:rsidRPr="00CF77C1" w:rsidRDefault="004770AF" w:rsidP="00844FA9">
            <w:pPr>
              <w:jc w:val="center"/>
              <w:rPr>
                <w:lang w:val="sr-Cyrl-RS"/>
              </w:rPr>
            </w:pPr>
            <w:r w:rsidRPr="00CF77C1">
              <w:rPr>
                <w:lang w:val="sr-Cyrl-RS"/>
              </w:rPr>
              <w:t>39</w:t>
            </w:r>
          </w:p>
        </w:tc>
        <w:tc>
          <w:tcPr>
            <w:tcW w:w="6677" w:type="dxa"/>
            <w:tcBorders>
              <w:top w:val="single" w:sz="4" w:space="0" w:color="auto"/>
              <w:bottom w:val="dashed" w:sz="18" w:space="0" w:color="auto"/>
            </w:tcBorders>
            <w:vAlign w:val="center"/>
          </w:tcPr>
          <w:p w14:paraId="2525B9AD" w14:textId="21EAB448" w:rsidR="004770AF" w:rsidRPr="00CF77C1" w:rsidRDefault="004770AF" w:rsidP="00844FA9">
            <w:pPr>
              <w:jc w:val="left"/>
              <w:rPr>
                <w:lang w:val="sr-Cyrl-RS"/>
              </w:rPr>
            </w:pPr>
            <w:r w:rsidRPr="00CF77C1">
              <w:rPr>
                <w:lang w:val="sr-Cyrl-RS"/>
              </w:rPr>
              <w:t>Уклањање и замена азбеста из свих постројења за производњу енергије и угља и постројења за дистрибуцију енергије</w:t>
            </w:r>
          </w:p>
        </w:tc>
        <w:tc>
          <w:tcPr>
            <w:tcW w:w="1963" w:type="dxa"/>
            <w:tcBorders>
              <w:top w:val="single" w:sz="4" w:space="0" w:color="auto"/>
              <w:bottom w:val="dashed" w:sz="18" w:space="0" w:color="auto"/>
            </w:tcBorders>
            <w:vAlign w:val="center"/>
          </w:tcPr>
          <w:p w14:paraId="3350F2EC" w14:textId="6EC565FC" w:rsidR="004770AF" w:rsidRPr="00CF77C1" w:rsidRDefault="004770AF" w:rsidP="00844FA9">
            <w:pPr>
              <w:jc w:val="center"/>
              <w:rPr>
                <w:lang w:val="sr-Cyrl-RS"/>
              </w:rPr>
            </w:pPr>
            <w:r w:rsidRPr="00CF77C1">
              <w:rPr>
                <w:lang w:val="sr-Cyrl-RS"/>
              </w:rPr>
              <w:t>5 милиона €</w:t>
            </w:r>
          </w:p>
        </w:tc>
        <w:tc>
          <w:tcPr>
            <w:tcW w:w="1429" w:type="dxa"/>
            <w:tcBorders>
              <w:top w:val="single" w:sz="4" w:space="0" w:color="auto"/>
              <w:bottom w:val="dashed" w:sz="18" w:space="0" w:color="auto"/>
            </w:tcBorders>
            <w:vAlign w:val="center"/>
          </w:tcPr>
          <w:p w14:paraId="43840FBE" w14:textId="207AB070" w:rsidR="004770AF" w:rsidRPr="00CF77C1" w:rsidRDefault="004770AF" w:rsidP="00844FA9">
            <w:pPr>
              <w:jc w:val="center"/>
              <w:rPr>
                <w:lang w:val="sr-Cyrl-RS"/>
              </w:rPr>
            </w:pPr>
            <w:r w:rsidRPr="00CF77C1">
              <w:rPr>
                <w:lang w:val="sr-Cyrl-RS"/>
              </w:rPr>
              <w:t>није дефинисан</w:t>
            </w:r>
          </w:p>
        </w:tc>
        <w:tc>
          <w:tcPr>
            <w:tcW w:w="1711" w:type="dxa"/>
            <w:tcBorders>
              <w:top w:val="single" w:sz="4" w:space="0" w:color="auto"/>
              <w:bottom w:val="dashed" w:sz="18" w:space="0" w:color="auto"/>
            </w:tcBorders>
            <w:vAlign w:val="center"/>
          </w:tcPr>
          <w:p w14:paraId="3C5CB4DB" w14:textId="1DCF6B44" w:rsidR="004770AF" w:rsidRPr="00CF77C1" w:rsidRDefault="004770AF" w:rsidP="00844FA9">
            <w:pPr>
              <w:jc w:val="center"/>
              <w:rPr>
                <w:lang w:val="sr-Cyrl-RS"/>
              </w:rPr>
            </w:pPr>
            <w:r w:rsidRPr="00CF77C1">
              <w:rPr>
                <w:lang w:val="sr-Cyrl-RS"/>
              </w:rPr>
              <w:t>76</w:t>
            </w:r>
          </w:p>
        </w:tc>
        <w:tc>
          <w:tcPr>
            <w:tcW w:w="1921" w:type="dxa"/>
            <w:tcBorders>
              <w:top w:val="single" w:sz="4" w:space="0" w:color="auto"/>
              <w:bottom w:val="dashed" w:sz="18" w:space="0" w:color="auto"/>
            </w:tcBorders>
            <w:vAlign w:val="center"/>
          </w:tcPr>
          <w:p w14:paraId="4B92FE50" w14:textId="1392CD17" w:rsidR="004770AF" w:rsidRPr="00CF77C1" w:rsidRDefault="004770AF" w:rsidP="00844FA9">
            <w:pPr>
              <w:jc w:val="center"/>
              <w:rPr>
                <w:lang w:val="sr-Cyrl-RS"/>
              </w:rPr>
            </w:pPr>
            <w:r w:rsidRPr="00CF77C1">
              <w:rPr>
                <w:lang w:val="sr-Cyrl-RS"/>
              </w:rPr>
              <w:t>2а</w:t>
            </w:r>
          </w:p>
        </w:tc>
      </w:tr>
      <w:tr w:rsidR="004770AF" w:rsidRPr="00CF77C1" w14:paraId="2B47EC93" w14:textId="77777777" w:rsidTr="00844FA9">
        <w:trPr>
          <w:cantSplit/>
        </w:trPr>
        <w:tc>
          <w:tcPr>
            <w:tcW w:w="1086" w:type="dxa"/>
            <w:tcBorders>
              <w:top w:val="dashed" w:sz="18" w:space="0" w:color="auto"/>
              <w:left w:val="dashed" w:sz="18" w:space="0" w:color="auto"/>
              <w:bottom w:val="dashed" w:sz="18" w:space="0" w:color="auto"/>
              <w:right w:val="single" w:sz="6" w:space="0" w:color="auto"/>
            </w:tcBorders>
            <w:shd w:val="pct10" w:color="auto" w:fill="auto"/>
            <w:vAlign w:val="center"/>
          </w:tcPr>
          <w:p w14:paraId="69C60128" w14:textId="07062ABA" w:rsidR="004770AF" w:rsidRPr="00CF77C1" w:rsidRDefault="004770AF" w:rsidP="00844FA9">
            <w:pPr>
              <w:jc w:val="center"/>
              <w:rPr>
                <w:lang w:val="sr-Cyrl-RS"/>
              </w:rPr>
            </w:pPr>
            <w:r w:rsidRPr="00CF77C1">
              <w:rPr>
                <w:lang w:val="sr-Cyrl-RS"/>
              </w:rPr>
              <w:t>40</w:t>
            </w:r>
          </w:p>
        </w:tc>
        <w:tc>
          <w:tcPr>
            <w:tcW w:w="6677" w:type="dxa"/>
            <w:tcBorders>
              <w:top w:val="dashed" w:sz="18" w:space="0" w:color="auto"/>
              <w:left w:val="single" w:sz="6" w:space="0" w:color="auto"/>
              <w:bottom w:val="dashed" w:sz="18" w:space="0" w:color="auto"/>
              <w:right w:val="single" w:sz="6" w:space="0" w:color="auto"/>
            </w:tcBorders>
            <w:shd w:val="pct10" w:color="auto" w:fill="auto"/>
            <w:vAlign w:val="center"/>
          </w:tcPr>
          <w:p w14:paraId="39EC1004" w14:textId="35D3C97A" w:rsidR="004770AF" w:rsidRPr="00CF77C1" w:rsidRDefault="004770AF" w:rsidP="00925E2E">
            <w:pPr>
              <w:jc w:val="left"/>
              <w:rPr>
                <w:lang w:val="sr-Cyrl-RS"/>
              </w:rPr>
            </w:pPr>
            <w:r w:rsidRPr="00CF77C1">
              <w:rPr>
                <w:lang w:val="sr-Cyrl-RS"/>
              </w:rPr>
              <w:t xml:space="preserve">Промоција обновљивих извора енергије - развој тржишта биомасе у Србији, Компонента I (део Пројекта </w:t>
            </w:r>
            <w:r w:rsidR="00925E2E">
              <w:rPr>
                <w:lang w:val="sr-Cyrl-RS"/>
              </w:rPr>
              <w:t xml:space="preserve">преласка котларница на биомасу </w:t>
            </w:r>
            <w:r w:rsidR="004763B9">
              <w:rPr>
                <w:lang w:val="sr-Cyrl-RS"/>
              </w:rPr>
              <w:t>-</w:t>
            </w:r>
            <w:r w:rsidR="00925E2E">
              <w:rPr>
                <w:lang w:val="sr-Cyrl-RS"/>
              </w:rPr>
              <w:t xml:space="preserve"> П.</w:t>
            </w:r>
            <w:r w:rsidR="004763B9">
              <w:rPr>
                <w:lang w:val="sr-Cyrl-RS"/>
              </w:rPr>
              <w:t>16</w:t>
            </w:r>
            <w:r w:rsidRPr="00CF77C1">
              <w:rPr>
                <w:lang w:val="sr-Cyrl-RS"/>
              </w:rPr>
              <w:t>)</w:t>
            </w:r>
          </w:p>
        </w:tc>
        <w:tc>
          <w:tcPr>
            <w:tcW w:w="1963" w:type="dxa"/>
            <w:tcBorders>
              <w:top w:val="dashed" w:sz="18" w:space="0" w:color="auto"/>
              <w:left w:val="single" w:sz="6" w:space="0" w:color="auto"/>
              <w:bottom w:val="dashed" w:sz="18" w:space="0" w:color="auto"/>
              <w:right w:val="single" w:sz="6" w:space="0" w:color="auto"/>
            </w:tcBorders>
            <w:shd w:val="pct10" w:color="auto" w:fill="auto"/>
            <w:vAlign w:val="center"/>
          </w:tcPr>
          <w:p w14:paraId="302F4731" w14:textId="3FCA3DA4" w:rsidR="004770AF" w:rsidRPr="00CF77C1" w:rsidRDefault="004770AF" w:rsidP="00844FA9">
            <w:pPr>
              <w:jc w:val="center"/>
              <w:rPr>
                <w:lang w:val="sr-Cyrl-RS"/>
              </w:rPr>
            </w:pPr>
            <w:r w:rsidRPr="00CF77C1">
              <w:rPr>
                <w:lang w:val="sr-Cyrl-RS"/>
              </w:rPr>
              <w:t>20 милиона €</w:t>
            </w:r>
          </w:p>
        </w:tc>
        <w:tc>
          <w:tcPr>
            <w:tcW w:w="1429" w:type="dxa"/>
            <w:tcBorders>
              <w:top w:val="dashed" w:sz="18" w:space="0" w:color="auto"/>
              <w:left w:val="single" w:sz="6" w:space="0" w:color="auto"/>
              <w:bottom w:val="dashed" w:sz="18" w:space="0" w:color="auto"/>
              <w:right w:val="single" w:sz="6" w:space="0" w:color="auto"/>
            </w:tcBorders>
            <w:shd w:val="pct10" w:color="auto" w:fill="auto"/>
            <w:vAlign w:val="center"/>
          </w:tcPr>
          <w:p w14:paraId="20CADF32" w14:textId="77777777" w:rsidR="004770AF" w:rsidRPr="00CF77C1" w:rsidRDefault="004770AF" w:rsidP="00844FA9">
            <w:pPr>
              <w:jc w:val="center"/>
              <w:rPr>
                <w:lang w:val="sr-Cyrl-RS"/>
              </w:rPr>
            </w:pPr>
            <w:r w:rsidRPr="00CF77C1">
              <w:rPr>
                <w:lang w:val="sr-Cyrl-RS"/>
              </w:rPr>
              <w:t>2017-2021.</w:t>
            </w:r>
          </w:p>
        </w:tc>
        <w:tc>
          <w:tcPr>
            <w:tcW w:w="1711" w:type="dxa"/>
            <w:tcBorders>
              <w:top w:val="dashed" w:sz="18" w:space="0" w:color="auto"/>
              <w:left w:val="single" w:sz="6" w:space="0" w:color="auto"/>
              <w:bottom w:val="dashed" w:sz="18" w:space="0" w:color="auto"/>
              <w:right w:val="single" w:sz="6" w:space="0" w:color="auto"/>
            </w:tcBorders>
            <w:shd w:val="pct10" w:color="auto" w:fill="auto"/>
            <w:vAlign w:val="center"/>
          </w:tcPr>
          <w:p w14:paraId="59FD6E9C" w14:textId="6F4306B2" w:rsidR="004770AF" w:rsidRPr="00CF77C1" w:rsidRDefault="004770AF" w:rsidP="00844FA9">
            <w:pPr>
              <w:jc w:val="center"/>
              <w:rPr>
                <w:lang w:val="sr-Cyrl-RS"/>
              </w:rPr>
            </w:pPr>
            <w:r w:rsidRPr="00CF77C1">
              <w:rPr>
                <w:lang w:val="sr-Cyrl-RS"/>
              </w:rPr>
              <w:t>76</w:t>
            </w:r>
          </w:p>
        </w:tc>
        <w:tc>
          <w:tcPr>
            <w:tcW w:w="1921" w:type="dxa"/>
            <w:tcBorders>
              <w:top w:val="dashed" w:sz="18" w:space="0" w:color="auto"/>
              <w:left w:val="single" w:sz="6" w:space="0" w:color="auto"/>
              <w:bottom w:val="dashed" w:sz="18" w:space="0" w:color="auto"/>
              <w:right w:val="dashed" w:sz="18" w:space="0" w:color="auto"/>
            </w:tcBorders>
            <w:shd w:val="pct10" w:color="auto" w:fill="auto"/>
            <w:vAlign w:val="center"/>
          </w:tcPr>
          <w:p w14:paraId="6A892B1D" w14:textId="285EFFC0" w:rsidR="004770AF" w:rsidRPr="00CF77C1" w:rsidRDefault="004770AF" w:rsidP="00844FA9">
            <w:pPr>
              <w:jc w:val="center"/>
              <w:rPr>
                <w:lang w:val="sr-Cyrl-RS"/>
              </w:rPr>
            </w:pPr>
            <w:r w:rsidRPr="00CF77C1">
              <w:rPr>
                <w:lang w:val="sr-Cyrl-RS"/>
              </w:rPr>
              <w:t>2а/2б</w:t>
            </w:r>
          </w:p>
        </w:tc>
      </w:tr>
      <w:tr w:rsidR="004770AF" w:rsidRPr="00CF77C1" w14:paraId="02B2D6E5" w14:textId="77777777" w:rsidTr="0011648E">
        <w:trPr>
          <w:cantSplit/>
        </w:trPr>
        <w:tc>
          <w:tcPr>
            <w:tcW w:w="1086" w:type="dxa"/>
            <w:tcBorders>
              <w:top w:val="single" w:sz="18" w:space="0" w:color="auto"/>
              <w:left w:val="single" w:sz="18" w:space="0" w:color="auto"/>
              <w:bottom w:val="single" w:sz="18" w:space="0" w:color="auto"/>
              <w:right w:val="single" w:sz="6" w:space="0" w:color="auto"/>
            </w:tcBorders>
            <w:shd w:val="pct10" w:color="auto" w:fill="auto"/>
            <w:vAlign w:val="center"/>
          </w:tcPr>
          <w:p w14:paraId="2423ACC1" w14:textId="66237745" w:rsidR="004770AF" w:rsidRPr="00CF77C1" w:rsidRDefault="004770AF" w:rsidP="0011648E">
            <w:pPr>
              <w:jc w:val="center"/>
              <w:rPr>
                <w:lang w:val="sr-Cyrl-RS"/>
              </w:rPr>
            </w:pPr>
            <w:r w:rsidRPr="00CF77C1">
              <w:rPr>
                <w:lang w:val="sr-Cyrl-RS"/>
              </w:rPr>
              <w:t>41</w:t>
            </w:r>
          </w:p>
        </w:tc>
        <w:tc>
          <w:tcPr>
            <w:tcW w:w="6677" w:type="dxa"/>
            <w:tcBorders>
              <w:top w:val="single" w:sz="18" w:space="0" w:color="auto"/>
              <w:left w:val="single" w:sz="6" w:space="0" w:color="auto"/>
              <w:bottom w:val="single" w:sz="18" w:space="0" w:color="auto"/>
              <w:right w:val="single" w:sz="6" w:space="0" w:color="auto"/>
            </w:tcBorders>
            <w:shd w:val="pct10" w:color="auto" w:fill="auto"/>
            <w:vAlign w:val="center"/>
          </w:tcPr>
          <w:p w14:paraId="07A73F8F" w14:textId="35CC010A" w:rsidR="004770AF" w:rsidRPr="00CF77C1" w:rsidRDefault="004770AF" w:rsidP="0011648E">
            <w:pPr>
              <w:jc w:val="left"/>
              <w:rPr>
                <w:lang w:val="sr-Cyrl-RS"/>
              </w:rPr>
            </w:pPr>
            <w:r w:rsidRPr="00CF77C1">
              <w:rPr>
                <w:lang w:val="sr-Cyrl-RS"/>
              </w:rPr>
              <w:t xml:space="preserve">Пројекат реконструкције електроенергетских водова 110 kV у циљу повећања сигурности напајања и повећања ефикасности преноса електричне енергије на напонском нивоу 110 kV - </w:t>
            </w:r>
            <w:r w:rsidRPr="00CF77C1">
              <w:rPr>
                <w:lang w:val="sr-Cyrl-RS"/>
              </w:rPr>
              <w:fldChar w:fldCharType="begin"/>
            </w:r>
            <w:r w:rsidRPr="00CF77C1">
              <w:rPr>
                <w:lang w:val="sr-Cyrl-RS"/>
              </w:rPr>
              <w:instrText xml:space="preserve"> REF _Ref476805994 \r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Pr>
                <w:lang w:val="sr-Cyrl-RS"/>
              </w:rPr>
              <w:t>П.3</w:t>
            </w:r>
            <w:r w:rsidRPr="00CF77C1">
              <w:rPr>
                <w:lang w:val="sr-Cyrl-RS"/>
              </w:rPr>
              <w:fldChar w:fldCharType="end"/>
            </w:r>
          </w:p>
        </w:tc>
        <w:tc>
          <w:tcPr>
            <w:tcW w:w="1963" w:type="dxa"/>
            <w:tcBorders>
              <w:top w:val="single" w:sz="18" w:space="0" w:color="auto"/>
              <w:left w:val="single" w:sz="6" w:space="0" w:color="auto"/>
              <w:bottom w:val="single" w:sz="18" w:space="0" w:color="auto"/>
              <w:right w:val="single" w:sz="6" w:space="0" w:color="auto"/>
            </w:tcBorders>
            <w:shd w:val="pct10" w:color="auto" w:fill="auto"/>
            <w:vAlign w:val="center"/>
          </w:tcPr>
          <w:p w14:paraId="363E0374" w14:textId="77777777" w:rsidR="004770AF" w:rsidRPr="00CF77C1" w:rsidRDefault="004770AF" w:rsidP="0011648E">
            <w:pPr>
              <w:jc w:val="center"/>
              <w:rPr>
                <w:lang w:val="sr-Cyrl-RS"/>
              </w:rPr>
            </w:pPr>
            <w:r w:rsidRPr="00CF77C1">
              <w:rPr>
                <w:lang w:val="sr-Cyrl-RS"/>
              </w:rPr>
              <w:t>28 милиона €</w:t>
            </w:r>
          </w:p>
        </w:tc>
        <w:tc>
          <w:tcPr>
            <w:tcW w:w="1429" w:type="dxa"/>
            <w:tcBorders>
              <w:top w:val="single" w:sz="18" w:space="0" w:color="auto"/>
              <w:left w:val="single" w:sz="6" w:space="0" w:color="auto"/>
              <w:bottom w:val="single" w:sz="18" w:space="0" w:color="auto"/>
              <w:right w:val="single" w:sz="6" w:space="0" w:color="auto"/>
            </w:tcBorders>
            <w:shd w:val="pct10" w:color="auto" w:fill="auto"/>
            <w:vAlign w:val="center"/>
          </w:tcPr>
          <w:p w14:paraId="04173CF4" w14:textId="77777777" w:rsidR="004770AF" w:rsidRPr="00CF77C1" w:rsidRDefault="004770AF" w:rsidP="0011648E">
            <w:pPr>
              <w:jc w:val="center"/>
              <w:rPr>
                <w:lang w:val="sr-Cyrl-RS"/>
              </w:rPr>
            </w:pPr>
            <w:r w:rsidRPr="00CF77C1">
              <w:rPr>
                <w:lang w:val="sr-Cyrl-RS"/>
              </w:rPr>
              <w:t>2017-2023.</w:t>
            </w:r>
          </w:p>
        </w:tc>
        <w:tc>
          <w:tcPr>
            <w:tcW w:w="1711" w:type="dxa"/>
            <w:tcBorders>
              <w:top w:val="single" w:sz="18" w:space="0" w:color="auto"/>
              <w:left w:val="single" w:sz="6" w:space="0" w:color="auto"/>
              <w:bottom w:val="single" w:sz="18" w:space="0" w:color="auto"/>
              <w:right w:val="single" w:sz="6" w:space="0" w:color="auto"/>
            </w:tcBorders>
            <w:shd w:val="pct10" w:color="auto" w:fill="auto"/>
            <w:vAlign w:val="center"/>
          </w:tcPr>
          <w:p w14:paraId="0A8A1EE1" w14:textId="77777777" w:rsidR="004770AF" w:rsidRPr="00CF77C1" w:rsidRDefault="004770AF" w:rsidP="0011648E">
            <w:pPr>
              <w:jc w:val="center"/>
              <w:rPr>
                <w:lang w:val="sr-Cyrl-RS"/>
              </w:rPr>
            </w:pPr>
            <w:r w:rsidRPr="00CF77C1">
              <w:rPr>
                <w:lang w:val="sr-Cyrl-RS"/>
              </w:rPr>
              <w:t>76</w:t>
            </w:r>
          </w:p>
        </w:tc>
        <w:tc>
          <w:tcPr>
            <w:tcW w:w="1921" w:type="dxa"/>
            <w:tcBorders>
              <w:top w:val="single" w:sz="18" w:space="0" w:color="auto"/>
              <w:left w:val="single" w:sz="6" w:space="0" w:color="auto"/>
              <w:bottom w:val="single" w:sz="18" w:space="0" w:color="auto"/>
              <w:right w:val="single" w:sz="18" w:space="0" w:color="auto"/>
            </w:tcBorders>
            <w:shd w:val="pct10" w:color="auto" w:fill="auto"/>
            <w:vAlign w:val="center"/>
          </w:tcPr>
          <w:p w14:paraId="6FCF6717" w14:textId="77777777" w:rsidR="004770AF" w:rsidRPr="00CF77C1" w:rsidRDefault="004770AF" w:rsidP="0011648E">
            <w:pPr>
              <w:jc w:val="center"/>
              <w:rPr>
                <w:lang w:val="sr-Cyrl-RS"/>
              </w:rPr>
            </w:pPr>
            <w:r w:rsidRPr="00CF77C1">
              <w:rPr>
                <w:lang w:val="sr-Cyrl-RS"/>
              </w:rPr>
              <w:t>А, Б, В (зависно од потпројекта реконструкције водова)</w:t>
            </w:r>
          </w:p>
        </w:tc>
      </w:tr>
      <w:tr w:rsidR="004770AF" w:rsidRPr="00CF77C1" w14:paraId="259F5B0F" w14:textId="77777777" w:rsidTr="00C6242C">
        <w:trPr>
          <w:cantSplit/>
        </w:trPr>
        <w:tc>
          <w:tcPr>
            <w:tcW w:w="1086" w:type="dxa"/>
            <w:tcBorders>
              <w:bottom w:val="single" w:sz="4" w:space="0" w:color="auto"/>
            </w:tcBorders>
            <w:vAlign w:val="center"/>
          </w:tcPr>
          <w:p w14:paraId="3E3DFDBD" w14:textId="108E9101" w:rsidR="004770AF" w:rsidRPr="00CF77C1" w:rsidRDefault="004770AF" w:rsidP="00844FA9">
            <w:pPr>
              <w:jc w:val="center"/>
              <w:rPr>
                <w:lang w:val="sr-Cyrl-RS"/>
              </w:rPr>
            </w:pPr>
            <w:r w:rsidRPr="00CF77C1">
              <w:rPr>
                <w:lang w:val="sr-Cyrl-RS"/>
              </w:rPr>
              <w:t>42</w:t>
            </w:r>
          </w:p>
        </w:tc>
        <w:tc>
          <w:tcPr>
            <w:tcW w:w="6677" w:type="dxa"/>
            <w:tcBorders>
              <w:bottom w:val="single" w:sz="4" w:space="0" w:color="auto"/>
            </w:tcBorders>
            <w:vAlign w:val="center"/>
          </w:tcPr>
          <w:p w14:paraId="6B3C187E" w14:textId="454D4811" w:rsidR="004770AF" w:rsidRPr="00CF77C1" w:rsidRDefault="004770AF" w:rsidP="00B719FF">
            <w:pPr>
              <w:jc w:val="left"/>
              <w:rPr>
                <w:lang w:val="sr-Cyrl-RS"/>
              </w:rPr>
            </w:pPr>
            <w:r w:rsidRPr="00CF77C1">
              <w:rPr>
                <w:lang w:val="sr-Cyrl-RS"/>
              </w:rPr>
              <w:t>Изградња новог котла од 2x1,25MW који користи биомасу у постројењу за производњу комбиноване топлотне и електричне енергије у насељу Тивол у Руми</w:t>
            </w:r>
          </w:p>
        </w:tc>
        <w:tc>
          <w:tcPr>
            <w:tcW w:w="1963" w:type="dxa"/>
            <w:tcBorders>
              <w:bottom w:val="single" w:sz="4" w:space="0" w:color="auto"/>
            </w:tcBorders>
            <w:vAlign w:val="center"/>
          </w:tcPr>
          <w:p w14:paraId="7B849BFF" w14:textId="77777777" w:rsidR="004770AF" w:rsidRPr="00CF77C1" w:rsidRDefault="004770AF" w:rsidP="00844FA9">
            <w:pPr>
              <w:jc w:val="center"/>
              <w:rPr>
                <w:lang w:val="sr-Cyrl-RS"/>
              </w:rPr>
            </w:pPr>
            <w:r w:rsidRPr="00CF77C1">
              <w:rPr>
                <w:lang w:val="sr-Cyrl-RS"/>
              </w:rPr>
              <w:t>1,6 милиона €</w:t>
            </w:r>
          </w:p>
        </w:tc>
        <w:tc>
          <w:tcPr>
            <w:tcW w:w="1429" w:type="dxa"/>
            <w:tcBorders>
              <w:bottom w:val="single" w:sz="4" w:space="0" w:color="auto"/>
            </w:tcBorders>
            <w:vAlign w:val="center"/>
          </w:tcPr>
          <w:p w14:paraId="29617A27" w14:textId="77777777" w:rsidR="004770AF" w:rsidRPr="00CF77C1" w:rsidRDefault="004770AF" w:rsidP="00844FA9">
            <w:pPr>
              <w:jc w:val="center"/>
              <w:rPr>
                <w:lang w:val="sr-Cyrl-RS"/>
              </w:rPr>
            </w:pPr>
            <w:r w:rsidRPr="00CF77C1">
              <w:rPr>
                <w:lang w:val="sr-Cyrl-RS"/>
              </w:rPr>
              <w:t>није дефинисан</w:t>
            </w:r>
          </w:p>
        </w:tc>
        <w:tc>
          <w:tcPr>
            <w:tcW w:w="1711" w:type="dxa"/>
            <w:tcBorders>
              <w:bottom w:val="single" w:sz="4" w:space="0" w:color="auto"/>
            </w:tcBorders>
            <w:vAlign w:val="center"/>
          </w:tcPr>
          <w:p w14:paraId="1B97EF08" w14:textId="77777777" w:rsidR="004770AF" w:rsidRPr="00CF77C1" w:rsidRDefault="004770AF" w:rsidP="00844FA9">
            <w:pPr>
              <w:jc w:val="center"/>
              <w:rPr>
                <w:lang w:val="sr-Cyrl-RS"/>
              </w:rPr>
            </w:pPr>
            <w:r w:rsidRPr="00CF77C1">
              <w:rPr>
                <w:lang w:val="sr-Cyrl-RS"/>
              </w:rPr>
              <w:t>76</w:t>
            </w:r>
          </w:p>
        </w:tc>
        <w:tc>
          <w:tcPr>
            <w:tcW w:w="1921" w:type="dxa"/>
            <w:tcBorders>
              <w:bottom w:val="single" w:sz="4" w:space="0" w:color="auto"/>
            </w:tcBorders>
            <w:vAlign w:val="center"/>
          </w:tcPr>
          <w:p w14:paraId="2EB9B69C" w14:textId="6AD547A5" w:rsidR="004770AF" w:rsidRPr="00CF77C1" w:rsidRDefault="004770AF" w:rsidP="00844FA9">
            <w:pPr>
              <w:jc w:val="center"/>
              <w:rPr>
                <w:lang w:val="sr-Cyrl-RS"/>
              </w:rPr>
            </w:pPr>
            <w:r w:rsidRPr="00CF77C1">
              <w:rPr>
                <w:lang w:val="sr-Cyrl-RS"/>
              </w:rPr>
              <w:t>2б</w:t>
            </w:r>
          </w:p>
        </w:tc>
      </w:tr>
      <w:tr w:rsidR="004770AF" w:rsidRPr="00CF77C1" w14:paraId="7255DF33" w14:textId="77777777" w:rsidTr="00C6242C">
        <w:trPr>
          <w:cantSplit/>
        </w:trPr>
        <w:tc>
          <w:tcPr>
            <w:tcW w:w="1086" w:type="dxa"/>
            <w:tcBorders>
              <w:bottom w:val="single" w:sz="4" w:space="0" w:color="auto"/>
            </w:tcBorders>
            <w:vAlign w:val="center"/>
          </w:tcPr>
          <w:p w14:paraId="6C0636CB" w14:textId="47C2AF80" w:rsidR="004770AF" w:rsidRPr="00CF77C1" w:rsidRDefault="004770AF" w:rsidP="00844FA9">
            <w:pPr>
              <w:jc w:val="center"/>
              <w:rPr>
                <w:lang w:val="sr-Cyrl-RS"/>
              </w:rPr>
            </w:pPr>
            <w:r w:rsidRPr="00CF77C1">
              <w:rPr>
                <w:lang w:val="sr-Cyrl-RS"/>
              </w:rPr>
              <w:t>43</w:t>
            </w:r>
          </w:p>
        </w:tc>
        <w:tc>
          <w:tcPr>
            <w:tcW w:w="6677" w:type="dxa"/>
            <w:tcBorders>
              <w:bottom w:val="single" w:sz="4" w:space="0" w:color="auto"/>
            </w:tcBorders>
            <w:vAlign w:val="center"/>
          </w:tcPr>
          <w:p w14:paraId="4571060D" w14:textId="77777777" w:rsidR="004770AF" w:rsidRPr="00CF77C1" w:rsidRDefault="004770AF" w:rsidP="00844FA9">
            <w:pPr>
              <w:jc w:val="left"/>
              <w:rPr>
                <w:lang w:val="sr-Cyrl-RS"/>
              </w:rPr>
            </w:pPr>
            <w:r w:rsidRPr="00CF77C1">
              <w:rPr>
                <w:lang w:val="sr-Cyrl-RS"/>
              </w:rPr>
              <w:t>Термална рехабилитација јавних зграда у Смедереву (115 зграда)</w:t>
            </w:r>
          </w:p>
        </w:tc>
        <w:tc>
          <w:tcPr>
            <w:tcW w:w="1963" w:type="dxa"/>
            <w:tcBorders>
              <w:bottom w:val="single" w:sz="4" w:space="0" w:color="auto"/>
            </w:tcBorders>
            <w:vAlign w:val="center"/>
          </w:tcPr>
          <w:p w14:paraId="1C0207C0" w14:textId="77777777" w:rsidR="004770AF" w:rsidRPr="00CF77C1" w:rsidRDefault="004770AF" w:rsidP="00844FA9">
            <w:pPr>
              <w:jc w:val="center"/>
              <w:rPr>
                <w:lang w:val="sr-Cyrl-RS"/>
              </w:rPr>
            </w:pPr>
            <w:r w:rsidRPr="00CF77C1">
              <w:rPr>
                <w:lang w:val="sr-Cyrl-RS"/>
              </w:rPr>
              <w:t>46 милиона €</w:t>
            </w:r>
          </w:p>
        </w:tc>
        <w:tc>
          <w:tcPr>
            <w:tcW w:w="1429" w:type="dxa"/>
            <w:tcBorders>
              <w:bottom w:val="single" w:sz="4" w:space="0" w:color="auto"/>
            </w:tcBorders>
            <w:vAlign w:val="center"/>
          </w:tcPr>
          <w:p w14:paraId="14F0213A" w14:textId="77777777" w:rsidR="004770AF" w:rsidRPr="00CF77C1" w:rsidRDefault="004770AF" w:rsidP="00844FA9">
            <w:pPr>
              <w:jc w:val="center"/>
              <w:rPr>
                <w:lang w:val="sr-Cyrl-RS"/>
              </w:rPr>
            </w:pPr>
            <w:r w:rsidRPr="00CF77C1">
              <w:rPr>
                <w:lang w:val="sr-Cyrl-RS"/>
              </w:rPr>
              <w:t>није дефинисан</w:t>
            </w:r>
          </w:p>
        </w:tc>
        <w:tc>
          <w:tcPr>
            <w:tcW w:w="1711" w:type="dxa"/>
            <w:tcBorders>
              <w:bottom w:val="single" w:sz="4" w:space="0" w:color="auto"/>
            </w:tcBorders>
            <w:vAlign w:val="center"/>
          </w:tcPr>
          <w:p w14:paraId="5B3764B1" w14:textId="77777777" w:rsidR="004770AF" w:rsidRPr="00CF77C1" w:rsidRDefault="004770AF" w:rsidP="00844FA9">
            <w:pPr>
              <w:jc w:val="center"/>
              <w:rPr>
                <w:lang w:val="sr-Cyrl-RS"/>
              </w:rPr>
            </w:pPr>
            <w:r w:rsidRPr="00CF77C1">
              <w:rPr>
                <w:lang w:val="sr-Cyrl-RS"/>
              </w:rPr>
              <w:t>76</w:t>
            </w:r>
          </w:p>
        </w:tc>
        <w:tc>
          <w:tcPr>
            <w:tcW w:w="1921" w:type="dxa"/>
            <w:tcBorders>
              <w:bottom w:val="single" w:sz="4" w:space="0" w:color="auto"/>
            </w:tcBorders>
            <w:vAlign w:val="center"/>
          </w:tcPr>
          <w:p w14:paraId="771EC419" w14:textId="74338F7F" w:rsidR="004770AF" w:rsidRPr="00CF77C1" w:rsidRDefault="004770AF" w:rsidP="00844FA9">
            <w:pPr>
              <w:jc w:val="center"/>
              <w:rPr>
                <w:lang w:val="sr-Cyrl-RS"/>
              </w:rPr>
            </w:pPr>
            <w:r w:rsidRPr="00CF77C1">
              <w:rPr>
                <w:lang w:val="sr-Cyrl-RS"/>
              </w:rPr>
              <w:t>2а</w:t>
            </w:r>
          </w:p>
        </w:tc>
      </w:tr>
      <w:tr w:rsidR="004770AF" w:rsidRPr="00CF77C1" w14:paraId="3BF1E5DA" w14:textId="77777777" w:rsidTr="008151A2">
        <w:trPr>
          <w:cantSplit/>
        </w:trPr>
        <w:tc>
          <w:tcPr>
            <w:tcW w:w="1086" w:type="dxa"/>
            <w:vAlign w:val="center"/>
          </w:tcPr>
          <w:p w14:paraId="1A5B0254" w14:textId="5BA1E2C6" w:rsidR="004770AF" w:rsidRPr="00CF77C1" w:rsidRDefault="004770AF" w:rsidP="00AF2E80">
            <w:pPr>
              <w:jc w:val="center"/>
              <w:rPr>
                <w:lang w:val="sr-Cyrl-RS"/>
              </w:rPr>
            </w:pPr>
            <w:r w:rsidRPr="00CF77C1">
              <w:rPr>
                <w:lang w:val="sr-Cyrl-RS"/>
              </w:rPr>
              <w:t>44</w:t>
            </w:r>
          </w:p>
        </w:tc>
        <w:tc>
          <w:tcPr>
            <w:tcW w:w="6677" w:type="dxa"/>
            <w:vAlign w:val="center"/>
          </w:tcPr>
          <w:p w14:paraId="6F0D614B" w14:textId="77777777" w:rsidR="004770AF" w:rsidRPr="00CF77C1" w:rsidRDefault="004770AF" w:rsidP="00AF2E80">
            <w:pPr>
              <w:jc w:val="left"/>
              <w:rPr>
                <w:lang w:val="sr-Cyrl-RS"/>
              </w:rPr>
            </w:pPr>
            <w:r w:rsidRPr="00CF77C1">
              <w:rPr>
                <w:lang w:val="sr-Cyrl-RS"/>
              </w:rPr>
              <w:t>Изградња постројења за складиштење отпада и опасног отпада са пратећом инфраструктуром за:</w:t>
            </w:r>
          </w:p>
          <w:p w14:paraId="5D6DC405"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Никола Тесла А и Б</w:t>
            </w:r>
          </w:p>
          <w:p w14:paraId="150B7391"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Костолац А и Б</w:t>
            </w:r>
          </w:p>
          <w:p w14:paraId="5CF7865E"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Колубара А</w:t>
            </w:r>
          </w:p>
          <w:p w14:paraId="2DBB168B"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Морава</w:t>
            </w:r>
          </w:p>
          <w:p w14:paraId="65D681B9"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ХЕ Дринско-Лимске (8 локација)</w:t>
            </w:r>
          </w:p>
          <w:p w14:paraId="5BD424F1"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ХЕ Ђердап (8 локација)</w:t>
            </w:r>
          </w:p>
          <w:p w14:paraId="30751441" w14:textId="2A890537" w:rsidR="00B2758B" w:rsidRPr="00CF77C1" w:rsidRDefault="00CE75BE" w:rsidP="00B2758B">
            <w:pPr>
              <w:jc w:val="left"/>
              <w:rPr>
                <w:lang w:val="sr-Cyrl-RS"/>
              </w:rPr>
            </w:pPr>
            <w:r w:rsidRPr="00CF77C1">
              <w:rPr>
                <w:lang w:val="sr-Cyrl-RS"/>
              </w:rPr>
              <w:t>(део „Пројекта заштите животне средине у области производње електр</w:t>
            </w:r>
            <w:r w:rsidR="001741AC" w:rsidRPr="00CF77C1">
              <w:rPr>
                <w:lang w:val="sr-Cyrl-RS"/>
              </w:rPr>
              <w:t>ичне енергије из електрана ЕПС</w:t>
            </w:r>
            <w:r w:rsidRPr="00CF77C1">
              <w:rPr>
                <w:lang w:val="sr-Cyrl-RS"/>
              </w:rPr>
              <w:t xml:space="preserve">” - </w:t>
            </w:r>
            <w:r w:rsidRPr="00CF77C1">
              <w:rPr>
                <w:lang w:val="sr-Cyrl-RS"/>
              </w:rPr>
              <w:fldChar w:fldCharType="begin"/>
            </w:r>
            <w:r w:rsidRPr="00CF77C1">
              <w:rPr>
                <w:lang w:val="sr-Cyrl-RS"/>
              </w:rPr>
              <w:instrText xml:space="preserve"> REF _Ref479965552 \r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Pr>
                <w:lang w:val="sr-Cyrl-RS"/>
              </w:rPr>
              <w:t>П.9</w:t>
            </w:r>
            <w:r w:rsidRPr="00CF77C1">
              <w:rPr>
                <w:lang w:val="sr-Cyrl-RS"/>
              </w:rPr>
              <w:fldChar w:fldCharType="end"/>
            </w:r>
            <w:r w:rsidRPr="00CF77C1">
              <w:rPr>
                <w:lang w:val="sr-Cyrl-RS"/>
              </w:rPr>
              <w:t>)</w:t>
            </w:r>
          </w:p>
        </w:tc>
        <w:tc>
          <w:tcPr>
            <w:tcW w:w="1963" w:type="dxa"/>
            <w:vAlign w:val="center"/>
          </w:tcPr>
          <w:p w14:paraId="1696BCE2" w14:textId="7864F9FD" w:rsidR="004770AF" w:rsidRPr="00CF77C1" w:rsidRDefault="004770AF" w:rsidP="00AF2E80">
            <w:pPr>
              <w:jc w:val="center"/>
              <w:rPr>
                <w:lang w:val="sr-Cyrl-RS"/>
              </w:rPr>
            </w:pPr>
            <w:r w:rsidRPr="00CF77C1">
              <w:rPr>
                <w:lang w:val="sr-Cyrl-RS"/>
              </w:rPr>
              <w:t>27 милиона €</w:t>
            </w:r>
          </w:p>
        </w:tc>
        <w:tc>
          <w:tcPr>
            <w:tcW w:w="1429" w:type="dxa"/>
            <w:vAlign w:val="center"/>
          </w:tcPr>
          <w:p w14:paraId="2FD8F794" w14:textId="5C6559A3" w:rsidR="004770AF" w:rsidRPr="00CF77C1" w:rsidRDefault="004770AF" w:rsidP="00AF2E80">
            <w:pPr>
              <w:jc w:val="center"/>
              <w:rPr>
                <w:lang w:val="sr-Cyrl-RS"/>
              </w:rPr>
            </w:pPr>
            <w:r w:rsidRPr="00CF77C1">
              <w:rPr>
                <w:lang w:val="sr-Cyrl-RS"/>
              </w:rPr>
              <w:t>није дефинисан</w:t>
            </w:r>
          </w:p>
        </w:tc>
        <w:tc>
          <w:tcPr>
            <w:tcW w:w="1711" w:type="dxa"/>
            <w:vAlign w:val="center"/>
          </w:tcPr>
          <w:p w14:paraId="319EBB90" w14:textId="372C9DB4" w:rsidR="004770AF" w:rsidRPr="00CF77C1" w:rsidRDefault="004770AF" w:rsidP="00AF2E80">
            <w:pPr>
              <w:jc w:val="center"/>
              <w:rPr>
                <w:lang w:val="sr-Cyrl-RS"/>
              </w:rPr>
            </w:pPr>
            <w:r w:rsidRPr="00CF77C1">
              <w:rPr>
                <w:lang w:val="sr-Cyrl-RS"/>
              </w:rPr>
              <w:t>76</w:t>
            </w:r>
          </w:p>
        </w:tc>
        <w:tc>
          <w:tcPr>
            <w:tcW w:w="1921" w:type="dxa"/>
            <w:vAlign w:val="center"/>
          </w:tcPr>
          <w:p w14:paraId="318E5223" w14:textId="4F9E78C8" w:rsidR="004770AF" w:rsidRPr="00CF77C1" w:rsidRDefault="004770AF" w:rsidP="00C6242C">
            <w:pPr>
              <w:jc w:val="center"/>
              <w:rPr>
                <w:lang w:val="sr-Cyrl-RS"/>
              </w:rPr>
            </w:pPr>
            <w:r w:rsidRPr="00CF77C1">
              <w:rPr>
                <w:lang w:val="sr-Cyrl-RS"/>
              </w:rPr>
              <w:t>2б</w:t>
            </w:r>
          </w:p>
        </w:tc>
      </w:tr>
      <w:tr w:rsidR="004770AF" w:rsidRPr="00CF77C1" w14:paraId="650A360E" w14:textId="77777777" w:rsidTr="00C6242C">
        <w:trPr>
          <w:cantSplit/>
        </w:trPr>
        <w:tc>
          <w:tcPr>
            <w:tcW w:w="1086" w:type="dxa"/>
            <w:tcBorders>
              <w:bottom w:val="single" w:sz="4" w:space="0" w:color="auto"/>
            </w:tcBorders>
            <w:vAlign w:val="center"/>
          </w:tcPr>
          <w:p w14:paraId="1818079B" w14:textId="61AA680F" w:rsidR="004770AF" w:rsidRPr="00CF77C1" w:rsidRDefault="004770AF" w:rsidP="00781EDC">
            <w:pPr>
              <w:jc w:val="center"/>
              <w:rPr>
                <w:lang w:val="sr-Cyrl-RS"/>
              </w:rPr>
            </w:pPr>
            <w:r w:rsidRPr="00CF77C1">
              <w:rPr>
                <w:lang w:val="sr-Cyrl-RS"/>
              </w:rPr>
              <w:t>45</w:t>
            </w:r>
          </w:p>
        </w:tc>
        <w:tc>
          <w:tcPr>
            <w:tcW w:w="6677" w:type="dxa"/>
            <w:tcBorders>
              <w:bottom w:val="single" w:sz="4" w:space="0" w:color="auto"/>
            </w:tcBorders>
            <w:vAlign w:val="center"/>
          </w:tcPr>
          <w:p w14:paraId="6CE8758F" w14:textId="7564CCA9" w:rsidR="004770AF" w:rsidRPr="00CF77C1" w:rsidRDefault="004770AF" w:rsidP="00C6242C">
            <w:pPr>
              <w:jc w:val="left"/>
              <w:rPr>
                <w:lang w:val="sr-Cyrl-RS"/>
              </w:rPr>
            </w:pPr>
            <w:r w:rsidRPr="00CF77C1">
              <w:rPr>
                <w:lang w:val="sr-Cyrl-RS"/>
              </w:rPr>
              <w:t>Изградња постројења за складиштење отпада и опасног отпада са пратећом инфраструктуром за огранак ЕПС дистрибуција (20 локација)</w:t>
            </w:r>
          </w:p>
        </w:tc>
        <w:tc>
          <w:tcPr>
            <w:tcW w:w="1963" w:type="dxa"/>
            <w:tcBorders>
              <w:bottom w:val="single" w:sz="4" w:space="0" w:color="auto"/>
            </w:tcBorders>
            <w:vAlign w:val="center"/>
          </w:tcPr>
          <w:p w14:paraId="2CF2EE41" w14:textId="77777777" w:rsidR="004770AF" w:rsidRPr="00CF77C1" w:rsidRDefault="004770AF" w:rsidP="0011648E">
            <w:pPr>
              <w:jc w:val="center"/>
              <w:rPr>
                <w:lang w:val="sr-Cyrl-RS"/>
              </w:rPr>
            </w:pPr>
            <w:r w:rsidRPr="00CF77C1">
              <w:rPr>
                <w:lang w:val="sr-Cyrl-RS"/>
              </w:rPr>
              <w:t>50 милиона €</w:t>
            </w:r>
          </w:p>
        </w:tc>
        <w:tc>
          <w:tcPr>
            <w:tcW w:w="1429" w:type="dxa"/>
            <w:tcBorders>
              <w:bottom w:val="single" w:sz="4" w:space="0" w:color="auto"/>
            </w:tcBorders>
            <w:vAlign w:val="center"/>
          </w:tcPr>
          <w:p w14:paraId="7EAAFE77" w14:textId="77777777" w:rsidR="004770AF" w:rsidRPr="00CF77C1" w:rsidRDefault="004770AF" w:rsidP="0011648E">
            <w:pPr>
              <w:jc w:val="center"/>
              <w:rPr>
                <w:lang w:val="sr-Cyrl-RS"/>
              </w:rPr>
            </w:pPr>
            <w:r w:rsidRPr="00CF77C1">
              <w:rPr>
                <w:lang w:val="sr-Cyrl-RS"/>
              </w:rPr>
              <w:t>није дефинисан</w:t>
            </w:r>
          </w:p>
        </w:tc>
        <w:tc>
          <w:tcPr>
            <w:tcW w:w="1711" w:type="dxa"/>
            <w:tcBorders>
              <w:bottom w:val="single" w:sz="4" w:space="0" w:color="auto"/>
            </w:tcBorders>
            <w:vAlign w:val="center"/>
          </w:tcPr>
          <w:p w14:paraId="00F106AF" w14:textId="77777777" w:rsidR="004770AF" w:rsidRPr="00CF77C1" w:rsidRDefault="004770AF" w:rsidP="0011648E">
            <w:pPr>
              <w:jc w:val="center"/>
              <w:rPr>
                <w:lang w:val="sr-Cyrl-RS"/>
              </w:rPr>
            </w:pPr>
            <w:r w:rsidRPr="00CF77C1">
              <w:rPr>
                <w:lang w:val="sr-Cyrl-RS"/>
              </w:rPr>
              <w:t>76</w:t>
            </w:r>
          </w:p>
        </w:tc>
        <w:tc>
          <w:tcPr>
            <w:tcW w:w="1921" w:type="dxa"/>
            <w:tcBorders>
              <w:bottom w:val="single" w:sz="4" w:space="0" w:color="auto"/>
            </w:tcBorders>
            <w:vAlign w:val="center"/>
          </w:tcPr>
          <w:p w14:paraId="399A06F8" w14:textId="087160CE" w:rsidR="004770AF" w:rsidRPr="00CF77C1" w:rsidRDefault="004770AF" w:rsidP="0011648E">
            <w:pPr>
              <w:jc w:val="center"/>
              <w:rPr>
                <w:lang w:val="sr-Cyrl-RS"/>
              </w:rPr>
            </w:pPr>
            <w:r w:rsidRPr="00CF77C1">
              <w:rPr>
                <w:lang w:val="sr-Cyrl-RS"/>
              </w:rPr>
              <w:t>2б</w:t>
            </w:r>
          </w:p>
        </w:tc>
      </w:tr>
      <w:tr w:rsidR="004770AF" w:rsidRPr="00CF77C1" w14:paraId="08E90C3D" w14:textId="77777777" w:rsidTr="00C6242C">
        <w:trPr>
          <w:cantSplit/>
        </w:trPr>
        <w:tc>
          <w:tcPr>
            <w:tcW w:w="1086" w:type="dxa"/>
            <w:tcBorders>
              <w:bottom w:val="single" w:sz="18" w:space="0" w:color="auto"/>
            </w:tcBorders>
            <w:vAlign w:val="center"/>
          </w:tcPr>
          <w:p w14:paraId="457C03D5" w14:textId="44A990DD" w:rsidR="004770AF" w:rsidRPr="00CF77C1" w:rsidRDefault="004770AF" w:rsidP="00AF2E80">
            <w:pPr>
              <w:jc w:val="center"/>
              <w:rPr>
                <w:lang w:val="sr-Cyrl-RS"/>
              </w:rPr>
            </w:pPr>
            <w:r w:rsidRPr="00CF77C1">
              <w:rPr>
                <w:lang w:val="sr-Cyrl-RS"/>
              </w:rPr>
              <w:t>46</w:t>
            </w:r>
          </w:p>
        </w:tc>
        <w:tc>
          <w:tcPr>
            <w:tcW w:w="6677" w:type="dxa"/>
            <w:tcBorders>
              <w:bottom w:val="single" w:sz="18" w:space="0" w:color="auto"/>
            </w:tcBorders>
            <w:vAlign w:val="center"/>
          </w:tcPr>
          <w:p w14:paraId="41ABD566" w14:textId="58AC0983" w:rsidR="004770AF" w:rsidRPr="00CF77C1" w:rsidRDefault="004770AF" w:rsidP="000D6EF0">
            <w:pPr>
              <w:jc w:val="left"/>
              <w:rPr>
                <w:lang w:val="sr-Cyrl-RS"/>
              </w:rPr>
            </w:pPr>
            <w:r w:rsidRPr="00CF77C1">
              <w:rPr>
                <w:lang w:val="sr-Cyrl-RS"/>
              </w:rPr>
              <w:t>Постројење за производњу комбиноване топлотне и електричне енергије које користи биомасу у Шапцу</w:t>
            </w:r>
          </w:p>
        </w:tc>
        <w:tc>
          <w:tcPr>
            <w:tcW w:w="1963" w:type="dxa"/>
            <w:tcBorders>
              <w:bottom w:val="single" w:sz="18" w:space="0" w:color="auto"/>
            </w:tcBorders>
            <w:vAlign w:val="center"/>
          </w:tcPr>
          <w:p w14:paraId="78268DC8" w14:textId="14889A6D" w:rsidR="004770AF" w:rsidRPr="00CF77C1" w:rsidRDefault="004770AF" w:rsidP="00AF2E80">
            <w:pPr>
              <w:jc w:val="center"/>
              <w:rPr>
                <w:lang w:val="sr-Cyrl-RS"/>
              </w:rPr>
            </w:pPr>
            <w:r w:rsidRPr="00CF77C1">
              <w:rPr>
                <w:lang w:val="sr-Cyrl-RS"/>
              </w:rPr>
              <w:t>17 милиона €</w:t>
            </w:r>
          </w:p>
        </w:tc>
        <w:tc>
          <w:tcPr>
            <w:tcW w:w="1429" w:type="dxa"/>
            <w:tcBorders>
              <w:bottom w:val="single" w:sz="18" w:space="0" w:color="auto"/>
            </w:tcBorders>
            <w:vAlign w:val="center"/>
          </w:tcPr>
          <w:p w14:paraId="7A1A28CA" w14:textId="579902B7" w:rsidR="004770AF" w:rsidRPr="00CF77C1" w:rsidRDefault="004770AF" w:rsidP="00AF2E80">
            <w:pPr>
              <w:jc w:val="center"/>
              <w:rPr>
                <w:lang w:val="sr-Cyrl-RS"/>
              </w:rPr>
            </w:pPr>
            <w:r w:rsidRPr="00CF77C1">
              <w:rPr>
                <w:lang w:val="sr-Cyrl-RS"/>
              </w:rPr>
              <w:t>није дефинисан</w:t>
            </w:r>
          </w:p>
        </w:tc>
        <w:tc>
          <w:tcPr>
            <w:tcW w:w="1711" w:type="dxa"/>
            <w:tcBorders>
              <w:bottom w:val="single" w:sz="18" w:space="0" w:color="auto"/>
            </w:tcBorders>
            <w:vAlign w:val="center"/>
          </w:tcPr>
          <w:p w14:paraId="589BC63E" w14:textId="240A0C63" w:rsidR="004770AF" w:rsidRPr="00CF77C1" w:rsidRDefault="004770AF" w:rsidP="00AF2E80">
            <w:pPr>
              <w:jc w:val="center"/>
              <w:rPr>
                <w:lang w:val="sr-Cyrl-RS"/>
              </w:rPr>
            </w:pPr>
            <w:r w:rsidRPr="00CF77C1">
              <w:rPr>
                <w:lang w:val="sr-Cyrl-RS"/>
              </w:rPr>
              <w:t>76</w:t>
            </w:r>
          </w:p>
        </w:tc>
        <w:tc>
          <w:tcPr>
            <w:tcW w:w="1921" w:type="dxa"/>
            <w:tcBorders>
              <w:bottom w:val="single" w:sz="18" w:space="0" w:color="auto"/>
            </w:tcBorders>
            <w:vAlign w:val="center"/>
          </w:tcPr>
          <w:p w14:paraId="6B1111E9" w14:textId="55556CF5" w:rsidR="004770AF" w:rsidRPr="00CF77C1" w:rsidRDefault="004770AF" w:rsidP="00AF2E80">
            <w:pPr>
              <w:jc w:val="center"/>
              <w:rPr>
                <w:lang w:val="sr-Cyrl-RS"/>
              </w:rPr>
            </w:pPr>
            <w:r w:rsidRPr="00CF77C1">
              <w:rPr>
                <w:lang w:val="sr-Cyrl-RS"/>
              </w:rPr>
              <w:t>2б</w:t>
            </w:r>
          </w:p>
        </w:tc>
      </w:tr>
      <w:tr w:rsidR="004770AF" w:rsidRPr="00CF77C1" w14:paraId="4CCCD6D8" w14:textId="77777777" w:rsidTr="008151A2">
        <w:trPr>
          <w:cantSplit/>
        </w:trPr>
        <w:tc>
          <w:tcPr>
            <w:tcW w:w="1086" w:type="dxa"/>
            <w:tcBorders>
              <w:top w:val="single" w:sz="18" w:space="0" w:color="auto"/>
              <w:left w:val="single" w:sz="18" w:space="0" w:color="auto"/>
              <w:bottom w:val="single" w:sz="18" w:space="0" w:color="auto"/>
              <w:right w:val="single" w:sz="6" w:space="0" w:color="auto"/>
            </w:tcBorders>
            <w:shd w:val="pct10" w:color="auto" w:fill="auto"/>
            <w:vAlign w:val="center"/>
          </w:tcPr>
          <w:p w14:paraId="440A39DA" w14:textId="54E1927D" w:rsidR="004770AF" w:rsidRPr="00CF77C1" w:rsidRDefault="004770AF" w:rsidP="00AF2E80">
            <w:pPr>
              <w:jc w:val="center"/>
              <w:rPr>
                <w:lang w:val="sr-Cyrl-RS"/>
              </w:rPr>
            </w:pPr>
            <w:r w:rsidRPr="00CF77C1">
              <w:rPr>
                <w:lang w:val="sr-Cyrl-RS"/>
              </w:rPr>
              <w:t>47</w:t>
            </w:r>
          </w:p>
        </w:tc>
        <w:tc>
          <w:tcPr>
            <w:tcW w:w="6677" w:type="dxa"/>
            <w:tcBorders>
              <w:top w:val="single" w:sz="18" w:space="0" w:color="auto"/>
              <w:left w:val="single" w:sz="6" w:space="0" w:color="auto"/>
              <w:bottom w:val="single" w:sz="18" w:space="0" w:color="auto"/>
              <w:right w:val="single" w:sz="6" w:space="0" w:color="auto"/>
            </w:tcBorders>
            <w:shd w:val="pct10" w:color="auto" w:fill="auto"/>
            <w:vAlign w:val="center"/>
          </w:tcPr>
          <w:p w14:paraId="575A3DA1" w14:textId="5AAE272B" w:rsidR="004770AF" w:rsidRPr="00CF77C1" w:rsidRDefault="004770AF" w:rsidP="00AF2E80">
            <w:pPr>
              <w:jc w:val="left"/>
              <w:rPr>
                <w:lang w:val="sr-Cyrl-RS"/>
              </w:rPr>
            </w:pPr>
            <w:r w:rsidRPr="00CF77C1">
              <w:rPr>
                <w:lang w:val="sr-Cyrl-RS"/>
              </w:rPr>
              <w:t xml:space="preserve">Пројекат појачања надземних и подземних (кабловских) електроенергетских водова 110 kV у циљу повећања сигурности напајања и повећања ефикасности преноса електричне енергије на напонском нивоу 110 kV - </w:t>
            </w:r>
            <w:r w:rsidRPr="00CF77C1">
              <w:rPr>
                <w:lang w:val="sr-Cyrl-RS"/>
              </w:rPr>
              <w:fldChar w:fldCharType="begin"/>
            </w:r>
            <w:r w:rsidRPr="00CF77C1">
              <w:rPr>
                <w:lang w:val="sr-Cyrl-RS"/>
              </w:rPr>
              <w:instrText xml:space="preserve"> REF _Ref476805996 \r \h  \* MERGEFORMAT </w:instrText>
            </w:r>
            <w:r w:rsidRPr="00CF77C1">
              <w:rPr>
                <w:lang w:val="sr-Cyrl-RS"/>
              </w:rPr>
            </w:r>
            <w:r w:rsidRPr="00CF77C1">
              <w:rPr>
                <w:lang w:val="sr-Cyrl-RS"/>
              </w:rPr>
              <w:fldChar w:fldCharType="separate"/>
            </w:r>
            <w:r w:rsidR="002D5918">
              <w:rPr>
                <w:lang w:val="sr-Cyrl-RS"/>
              </w:rPr>
              <w:t>П.4</w:t>
            </w:r>
            <w:r w:rsidRPr="00CF77C1">
              <w:rPr>
                <w:lang w:val="sr-Cyrl-RS"/>
              </w:rPr>
              <w:fldChar w:fldCharType="end"/>
            </w:r>
          </w:p>
        </w:tc>
        <w:tc>
          <w:tcPr>
            <w:tcW w:w="1963" w:type="dxa"/>
            <w:tcBorders>
              <w:top w:val="single" w:sz="18" w:space="0" w:color="auto"/>
              <w:left w:val="single" w:sz="6" w:space="0" w:color="auto"/>
              <w:bottom w:val="single" w:sz="18" w:space="0" w:color="auto"/>
              <w:right w:val="single" w:sz="6" w:space="0" w:color="auto"/>
            </w:tcBorders>
            <w:shd w:val="pct10" w:color="auto" w:fill="auto"/>
            <w:vAlign w:val="center"/>
          </w:tcPr>
          <w:p w14:paraId="3BFB36BC" w14:textId="69D608F5" w:rsidR="004770AF" w:rsidRPr="00CF77C1" w:rsidRDefault="004770AF" w:rsidP="00AF2E80">
            <w:pPr>
              <w:jc w:val="center"/>
              <w:rPr>
                <w:lang w:val="sr-Cyrl-RS"/>
              </w:rPr>
            </w:pPr>
            <w:r w:rsidRPr="00CF77C1">
              <w:rPr>
                <w:lang w:val="sr-Cyrl-RS"/>
              </w:rPr>
              <w:t>20,9 милиона €</w:t>
            </w:r>
          </w:p>
        </w:tc>
        <w:tc>
          <w:tcPr>
            <w:tcW w:w="1429" w:type="dxa"/>
            <w:tcBorders>
              <w:top w:val="single" w:sz="18" w:space="0" w:color="auto"/>
              <w:left w:val="single" w:sz="6" w:space="0" w:color="auto"/>
              <w:bottom w:val="single" w:sz="18" w:space="0" w:color="auto"/>
              <w:right w:val="single" w:sz="6" w:space="0" w:color="auto"/>
            </w:tcBorders>
            <w:shd w:val="pct10" w:color="auto" w:fill="auto"/>
            <w:vAlign w:val="center"/>
          </w:tcPr>
          <w:p w14:paraId="2F6F9DB2" w14:textId="53229145" w:rsidR="004770AF" w:rsidRPr="00CF77C1" w:rsidRDefault="004770AF" w:rsidP="00AF2E80">
            <w:pPr>
              <w:jc w:val="center"/>
              <w:rPr>
                <w:lang w:val="sr-Cyrl-RS"/>
              </w:rPr>
            </w:pPr>
            <w:r w:rsidRPr="00CF77C1">
              <w:rPr>
                <w:lang w:val="sr-Cyrl-RS"/>
              </w:rPr>
              <w:t>2017-2021.</w:t>
            </w:r>
          </w:p>
        </w:tc>
        <w:tc>
          <w:tcPr>
            <w:tcW w:w="1711" w:type="dxa"/>
            <w:tcBorders>
              <w:top w:val="single" w:sz="18" w:space="0" w:color="auto"/>
              <w:left w:val="single" w:sz="6" w:space="0" w:color="auto"/>
              <w:bottom w:val="single" w:sz="18" w:space="0" w:color="auto"/>
              <w:right w:val="single" w:sz="6" w:space="0" w:color="auto"/>
            </w:tcBorders>
            <w:shd w:val="pct10" w:color="auto" w:fill="auto"/>
            <w:vAlign w:val="center"/>
          </w:tcPr>
          <w:p w14:paraId="68016F82" w14:textId="702BDDFA" w:rsidR="004770AF" w:rsidRPr="00CF77C1" w:rsidRDefault="004770AF" w:rsidP="00AF2E80">
            <w:pPr>
              <w:jc w:val="center"/>
              <w:rPr>
                <w:lang w:val="sr-Cyrl-RS"/>
              </w:rPr>
            </w:pPr>
            <w:r w:rsidRPr="00CF77C1">
              <w:rPr>
                <w:lang w:val="sr-Cyrl-RS"/>
              </w:rPr>
              <w:t>71</w:t>
            </w:r>
          </w:p>
        </w:tc>
        <w:tc>
          <w:tcPr>
            <w:tcW w:w="1921" w:type="dxa"/>
            <w:tcBorders>
              <w:top w:val="single" w:sz="18" w:space="0" w:color="auto"/>
              <w:left w:val="single" w:sz="6" w:space="0" w:color="auto"/>
              <w:bottom w:val="single" w:sz="18" w:space="0" w:color="auto"/>
              <w:right w:val="single" w:sz="18" w:space="0" w:color="auto"/>
            </w:tcBorders>
            <w:shd w:val="pct10" w:color="auto" w:fill="auto"/>
            <w:vAlign w:val="center"/>
          </w:tcPr>
          <w:p w14:paraId="1A1FB0C3" w14:textId="15ED0135" w:rsidR="004770AF" w:rsidRPr="00CF77C1" w:rsidRDefault="004770AF" w:rsidP="007D00C6">
            <w:pPr>
              <w:jc w:val="center"/>
              <w:rPr>
                <w:lang w:val="sr-Cyrl-RS"/>
              </w:rPr>
            </w:pPr>
            <w:r w:rsidRPr="00CF77C1">
              <w:rPr>
                <w:lang w:val="sr-Cyrl-RS"/>
              </w:rPr>
              <w:t>А, Б (зависно од потпројекта реконструкције водова)</w:t>
            </w:r>
          </w:p>
        </w:tc>
      </w:tr>
      <w:tr w:rsidR="004770AF" w:rsidRPr="00CF77C1" w14:paraId="5D139F43" w14:textId="77777777" w:rsidTr="008151A2">
        <w:trPr>
          <w:cantSplit/>
        </w:trPr>
        <w:tc>
          <w:tcPr>
            <w:tcW w:w="1086" w:type="dxa"/>
            <w:tcBorders>
              <w:top w:val="single" w:sz="18" w:space="0" w:color="auto"/>
              <w:left w:val="single" w:sz="18" w:space="0" w:color="auto"/>
              <w:bottom w:val="single" w:sz="18" w:space="0" w:color="auto"/>
              <w:right w:val="single" w:sz="6" w:space="0" w:color="auto"/>
            </w:tcBorders>
            <w:shd w:val="pct10" w:color="auto" w:fill="auto"/>
            <w:vAlign w:val="center"/>
          </w:tcPr>
          <w:p w14:paraId="7F622351" w14:textId="4142AF8B" w:rsidR="004770AF" w:rsidRPr="00CF77C1" w:rsidRDefault="004770AF" w:rsidP="00AF2E80">
            <w:pPr>
              <w:jc w:val="center"/>
              <w:rPr>
                <w:lang w:val="sr-Cyrl-RS"/>
              </w:rPr>
            </w:pPr>
            <w:r w:rsidRPr="00CF77C1">
              <w:rPr>
                <w:lang w:val="sr-Cyrl-RS"/>
              </w:rPr>
              <w:t>48</w:t>
            </w:r>
          </w:p>
        </w:tc>
        <w:tc>
          <w:tcPr>
            <w:tcW w:w="6677" w:type="dxa"/>
            <w:tcBorders>
              <w:top w:val="single" w:sz="18" w:space="0" w:color="auto"/>
              <w:left w:val="single" w:sz="6" w:space="0" w:color="auto"/>
              <w:bottom w:val="single" w:sz="18" w:space="0" w:color="auto"/>
              <w:right w:val="single" w:sz="6" w:space="0" w:color="auto"/>
            </w:tcBorders>
            <w:shd w:val="pct10" w:color="auto" w:fill="auto"/>
            <w:vAlign w:val="center"/>
          </w:tcPr>
          <w:p w14:paraId="72F1E44B" w14:textId="30457673" w:rsidR="004770AF" w:rsidRPr="00CF77C1" w:rsidRDefault="004770AF" w:rsidP="00AF2E80">
            <w:pPr>
              <w:jc w:val="left"/>
              <w:rPr>
                <w:lang w:val="sr-Cyrl-RS"/>
              </w:rPr>
            </w:pPr>
            <w:r w:rsidRPr="00CF77C1">
              <w:rPr>
                <w:lang w:val="sr-Cyrl-RS"/>
              </w:rPr>
              <w:t xml:space="preserve">Пројекат „Аутоматизацаја дистрибутивне мреже” - </w:t>
            </w:r>
            <w:r w:rsidRPr="00CF77C1">
              <w:rPr>
                <w:lang w:val="sr-Cyrl-RS"/>
              </w:rPr>
              <w:fldChar w:fldCharType="begin"/>
            </w:r>
            <w:r w:rsidRPr="00CF77C1">
              <w:rPr>
                <w:lang w:val="sr-Cyrl-RS"/>
              </w:rPr>
              <w:instrText xml:space="preserve"> REF _Ref476806003 \r \h  \* MERGEFORMAT </w:instrText>
            </w:r>
            <w:r w:rsidRPr="00CF77C1">
              <w:rPr>
                <w:lang w:val="sr-Cyrl-RS"/>
              </w:rPr>
            </w:r>
            <w:r w:rsidRPr="00CF77C1">
              <w:rPr>
                <w:lang w:val="sr-Cyrl-RS"/>
              </w:rPr>
              <w:fldChar w:fldCharType="separate"/>
            </w:r>
            <w:r w:rsidR="002D5918">
              <w:rPr>
                <w:lang w:val="sr-Cyrl-RS"/>
              </w:rPr>
              <w:t>П.6</w:t>
            </w:r>
            <w:r w:rsidRPr="00CF77C1">
              <w:rPr>
                <w:lang w:val="sr-Cyrl-RS"/>
              </w:rPr>
              <w:fldChar w:fldCharType="end"/>
            </w:r>
          </w:p>
        </w:tc>
        <w:tc>
          <w:tcPr>
            <w:tcW w:w="1963" w:type="dxa"/>
            <w:tcBorders>
              <w:top w:val="single" w:sz="18" w:space="0" w:color="auto"/>
              <w:left w:val="single" w:sz="6" w:space="0" w:color="auto"/>
              <w:bottom w:val="single" w:sz="18" w:space="0" w:color="auto"/>
              <w:right w:val="single" w:sz="6" w:space="0" w:color="auto"/>
            </w:tcBorders>
            <w:shd w:val="pct10" w:color="auto" w:fill="auto"/>
            <w:vAlign w:val="center"/>
          </w:tcPr>
          <w:p w14:paraId="44CFF37A" w14:textId="162D108E" w:rsidR="004770AF" w:rsidRPr="00CF77C1" w:rsidRDefault="004770AF" w:rsidP="00AF2E80">
            <w:pPr>
              <w:jc w:val="center"/>
              <w:rPr>
                <w:lang w:val="sr-Cyrl-RS"/>
              </w:rPr>
            </w:pPr>
            <w:r w:rsidRPr="00CF77C1">
              <w:rPr>
                <w:lang w:val="sr-Cyrl-RS"/>
              </w:rPr>
              <w:t>10,5 милиона €</w:t>
            </w:r>
          </w:p>
        </w:tc>
        <w:tc>
          <w:tcPr>
            <w:tcW w:w="1429" w:type="dxa"/>
            <w:tcBorders>
              <w:top w:val="single" w:sz="18" w:space="0" w:color="auto"/>
              <w:left w:val="single" w:sz="6" w:space="0" w:color="auto"/>
              <w:bottom w:val="single" w:sz="18" w:space="0" w:color="auto"/>
              <w:right w:val="single" w:sz="6" w:space="0" w:color="auto"/>
            </w:tcBorders>
            <w:shd w:val="pct10" w:color="auto" w:fill="auto"/>
            <w:vAlign w:val="center"/>
          </w:tcPr>
          <w:p w14:paraId="78BC6E40" w14:textId="59E0DE18" w:rsidR="004770AF" w:rsidRPr="00CF77C1" w:rsidRDefault="004770AF" w:rsidP="00AF2E80">
            <w:pPr>
              <w:jc w:val="center"/>
              <w:rPr>
                <w:lang w:val="sr-Cyrl-RS"/>
              </w:rPr>
            </w:pPr>
            <w:r w:rsidRPr="00CF77C1">
              <w:rPr>
                <w:lang w:val="sr-Cyrl-RS"/>
              </w:rPr>
              <w:t>2017-2023.</w:t>
            </w:r>
          </w:p>
        </w:tc>
        <w:tc>
          <w:tcPr>
            <w:tcW w:w="1711" w:type="dxa"/>
            <w:tcBorders>
              <w:top w:val="single" w:sz="18" w:space="0" w:color="auto"/>
              <w:left w:val="single" w:sz="6" w:space="0" w:color="auto"/>
              <w:bottom w:val="single" w:sz="18" w:space="0" w:color="auto"/>
              <w:right w:val="single" w:sz="6" w:space="0" w:color="auto"/>
            </w:tcBorders>
            <w:shd w:val="pct10" w:color="auto" w:fill="auto"/>
            <w:vAlign w:val="center"/>
          </w:tcPr>
          <w:p w14:paraId="6FDE92C5" w14:textId="624F7BAE" w:rsidR="004770AF" w:rsidRPr="00CF77C1" w:rsidRDefault="004770AF" w:rsidP="00AF2E80">
            <w:pPr>
              <w:jc w:val="center"/>
              <w:rPr>
                <w:lang w:val="sr-Cyrl-RS"/>
              </w:rPr>
            </w:pPr>
            <w:r w:rsidRPr="00CF77C1">
              <w:rPr>
                <w:lang w:val="sr-Cyrl-RS"/>
              </w:rPr>
              <w:t>71</w:t>
            </w:r>
          </w:p>
        </w:tc>
        <w:tc>
          <w:tcPr>
            <w:tcW w:w="1921" w:type="dxa"/>
            <w:tcBorders>
              <w:top w:val="single" w:sz="18" w:space="0" w:color="auto"/>
              <w:left w:val="single" w:sz="6" w:space="0" w:color="auto"/>
              <w:bottom w:val="single" w:sz="18" w:space="0" w:color="auto"/>
              <w:right w:val="single" w:sz="18" w:space="0" w:color="auto"/>
            </w:tcBorders>
            <w:shd w:val="pct10" w:color="auto" w:fill="auto"/>
            <w:vAlign w:val="center"/>
          </w:tcPr>
          <w:p w14:paraId="48B183A1" w14:textId="7AE6DB64" w:rsidR="004770AF" w:rsidRPr="00CF77C1" w:rsidRDefault="004770AF" w:rsidP="007D00C6">
            <w:pPr>
              <w:jc w:val="center"/>
              <w:rPr>
                <w:lang w:val="sr-Cyrl-RS"/>
              </w:rPr>
            </w:pPr>
            <w:r w:rsidRPr="00CF77C1">
              <w:rPr>
                <w:lang w:val="sr-Cyrl-RS"/>
              </w:rPr>
              <w:t>А, Б (зависно од потпројекта аутоматизације који се реализује)</w:t>
            </w:r>
          </w:p>
        </w:tc>
      </w:tr>
      <w:tr w:rsidR="004770AF" w:rsidRPr="00CF77C1" w14:paraId="7E8C6DBA" w14:textId="77777777" w:rsidTr="008151A2">
        <w:trPr>
          <w:cantSplit/>
        </w:trPr>
        <w:tc>
          <w:tcPr>
            <w:tcW w:w="1086" w:type="dxa"/>
            <w:tcBorders>
              <w:top w:val="single" w:sz="18" w:space="0" w:color="auto"/>
            </w:tcBorders>
            <w:vAlign w:val="center"/>
          </w:tcPr>
          <w:p w14:paraId="31EB2B3B" w14:textId="7FB851E9" w:rsidR="004770AF" w:rsidRPr="00CF77C1" w:rsidRDefault="004770AF" w:rsidP="00AF2E80">
            <w:pPr>
              <w:jc w:val="center"/>
              <w:rPr>
                <w:lang w:val="sr-Cyrl-RS"/>
              </w:rPr>
            </w:pPr>
            <w:r w:rsidRPr="00CF77C1">
              <w:rPr>
                <w:lang w:val="sr-Cyrl-RS"/>
              </w:rPr>
              <w:t>49</w:t>
            </w:r>
          </w:p>
        </w:tc>
        <w:tc>
          <w:tcPr>
            <w:tcW w:w="6677" w:type="dxa"/>
            <w:tcBorders>
              <w:top w:val="single" w:sz="18" w:space="0" w:color="auto"/>
            </w:tcBorders>
            <w:vAlign w:val="center"/>
          </w:tcPr>
          <w:p w14:paraId="25E64ABB" w14:textId="3D164F89" w:rsidR="004770AF" w:rsidRPr="00CF77C1" w:rsidRDefault="004770AF" w:rsidP="000D6EF0">
            <w:pPr>
              <w:jc w:val="left"/>
              <w:rPr>
                <w:lang w:val="sr-Cyrl-RS"/>
              </w:rPr>
            </w:pPr>
            <w:r w:rsidRPr="00CF77C1">
              <w:rPr>
                <w:lang w:val="sr-Cyrl-RS"/>
              </w:rPr>
              <w:t>Изградња новог котла од 4,0 MW који користи биомасу у постројењу за производњу комбиноване топлотне и електричне енергије у Пећинцима</w:t>
            </w:r>
          </w:p>
        </w:tc>
        <w:tc>
          <w:tcPr>
            <w:tcW w:w="1963" w:type="dxa"/>
            <w:tcBorders>
              <w:top w:val="single" w:sz="18" w:space="0" w:color="auto"/>
            </w:tcBorders>
            <w:vAlign w:val="center"/>
          </w:tcPr>
          <w:p w14:paraId="0ECDA8AD" w14:textId="0933BDDA" w:rsidR="004770AF" w:rsidRPr="00CF77C1" w:rsidRDefault="004770AF" w:rsidP="00AF2E80">
            <w:pPr>
              <w:jc w:val="center"/>
              <w:rPr>
                <w:lang w:val="sr-Cyrl-RS"/>
              </w:rPr>
            </w:pPr>
            <w:r w:rsidRPr="00CF77C1">
              <w:rPr>
                <w:lang w:val="sr-Cyrl-RS"/>
              </w:rPr>
              <w:t>9 милиона €</w:t>
            </w:r>
          </w:p>
        </w:tc>
        <w:tc>
          <w:tcPr>
            <w:tcW w:w="1429" w:type="dxa"/>
            <w:tcBorders>
              <w:top w:val="single" w:sz="18" w:space="0" w:color="auto"/>
            </w:tcBorders>
            <w:vAlign w:val="center"/>
          </w:tcPr>
          <w:p w14:paraId="02CCA5EE" w14:textId="2107020E" w:rsidR="004770AF" w:rsidRPr="00CF77C1" w:rsidRDefault="004770AF" w:rsidP="00AF2E80">
            <w:pPr>
              <w:jc w:val="center"/>
              <w:rPr>
                <w:lang w:val="sr-Cyrl-RS"/>
              </w:rPr>
            </w:pPr>
            <w:r w:rsidRPr="00CF77C1">
              <w:rPr>
                <w:lang w:val="sr-Cyrl-RS"/>
              </w:rPr>
              <w:t>није дефинисан</w:t>
            </w:r>
          </w:p>
        </w:tc>
        <w:tc>
          <w:tcPr>
            <w:tcW w:w="1711" w:type="dxa"/>
            <w:tcBorders>
              <w:top w:val="single" w:sz="18" w:space="0" w:color="auto"/>
            </w:tcBorders>
            <w:vAlign w:val="center"/>
          </w:tcPr>
          <w:p w14:paraId="00064DF8" w14:textId="24E68CDC" w:rsidR="004770AF" w:rsidRPr="00CF77C1" w:rsidRDefault="004770AF" w:rsidP="00AF2E80">
            <w:pPr>
              <w:jc w:val="center"/>
              <w:rPr>
                <w:lang w:val="sr-Cyrl-RS"/>
              </w:rPr>
            </w:pPr>
            <w:r w:rsidRPr="00CF77C1">
              <w:rPr>
                <w:lang w:val="sr-Cyrl-RS"/>
              </w:rPr>
              <w:t>71</w:t>
            </w:r>
          </w:p>
        </w:tc>
        <w:tc>
          <w:tcPr>
            <w:tcW w:w="1921" w:type="dxa"/>
            <w:tcBorders>
              <w:top w:val="single" w:sz="18" w:space="0" w:color="auto"/>
            </w:tcBorders>
            <w:vAlign w:val="center"/>
          </w:tcPr>
          <w:p w14:paraId="0CE9C08C" w14:textId="49620347" w:rsidR="004770AF" w:rsidRPr="00CF77C1" w:rsidRDefault="004770AF" w:rsidP="00AF2E80">
            <w:pPr>
              <w:jc w:val="center"/>
              <w:rPr>
                <w:lang w:val="sr-Cyrl-RS"/>
              </w:rPr>
            </w:pPr>
            <w:r w:rsidRPr="00CF77C1">
              <w:rPr>
                <w:lang w:val="sr-Cyrl-RS"/>
              </w:rPr>
              <w:t>2б</w:t>
            </w:r>
          </w:p>
        </w:tc>
      </w:tr>
      <w:tr w:rsidR="004770AF" w:rsidRPr="00CF77C1" w14:paraId="5059B9B8" w14:textId="77777777" w:rsidTr="008151A2">
        <w:trPr>
          <w:cantSplit/>
        </w:trPr>
        <w:tc>
          <w:tcPr>
            <w:tcW w:w="1086" w:type="dxa"/>
            <w:vAlign w:val="center"/>
          </w:tcPr>
          <w:p w14:paraId="26BEE3F5" w14:textId="62C4B25A" w:rsidR="004770AF" w:rsidRPr="00CF77C1" w:rsidRDefault="004770AF" w:rsidP="00AF2E80">
            <w:pPr>
              <w:jc w:val="center"/>
              <w:rPr>
                <w:lang w:val="sr-Cyrl-RS"/>
              </w:rPr>
            </w:pPr>
            <w:r w:rsidRPr="00CF77C1">
              <w:rPr>
                <w:lang w:val="sr-Cyrl-RS"/>
              </w:rPr>
              <w:t>50</w:t>
            </w:r>
          </w:p>
        </w:tc>
        <w:tc>
          <w:tcPr>
            <w:tcW w:w="6677" w:type="dxa"/>
            <w:vAlign w:val="center"/>
          </w:tcPr>
          <w:p w14:paraId="043BF929" w14:textId="230BDAC4" w:rsidR="004770AF" w:rsidRPr="00CF77C1" w:rsidRDefault="004770AF" w:rsidP="000D6EF0">
            <w:pPr>
              <w:jc w:val="left"/>
              <w:rPr>
                <w:lang w:val="sr-Cyrl-RS"/>
              </w:rPr>
            </w:pPr>
            <w:r w:rsidRPr="00CF77C1">
              <w:rPr>
                <w:lang w:val="sr-Cyrl-RS"/>
              </w:rPr>
              <w:t>Нови систем за руковање пепелом у ТЕ Никола Тесла А</w:t>
            </w:r>
            <w:r w:rsidR="00CE75BE" w:rsidRPr="00CF77C1">
              <w:rPr>
                <w:lang w:val="sr-Cyrl-RS"/>
              </w:rPr>
              <w:t xml:space="preserve"> (део „Пројекта заштите животне средине у области производње електр</w:t>
            </w:r>
            <w:r w:rsidR="001741AC" w:rsidRPr="00CF77C1">
              <w:rPr>
                <w:lang w:val="sr-Cyrl-RS"/>
              </w:rPr>
              <w:t>ичне енергије из електрана ЕПС</w:t>
            </w:r>
            <w:r w:rsidR="00CE75BE" w:rsidRPr="00CF77C1">
              <w:rPr>
                <w:lang w:val="sr-Cyrl-RS"/>
              </w:rPr>
              <w:t xml:space="preserve">” - </w:t>
            </w:r>
            <w:r w:rsidR="00CE75BE" w:rsidRPr="00CF77C1">
              <w:rPr>
                <w:lang w:val="sr-Cyrl-RS"/>
              </w:rPr>
              <w:fldChar w:fldCharType="begin"/>
            </w:r>
            <w:r w:rsidR="00CE75BE" w:rsidRPr="00CF77C1">
              <w:rPr>
                <w:lang w:val="sr-Cyrl-RS"/>
              </w:rPr>
              <w:instrText xml:space="preserve"> REF _Ref479965552 \r \h </w:instrText>
            </w:r>
            <w:r w:rsidR="0077363A" w:rsidRPr="00CF77C1">
              <w:rPr>
                <w:lang w:val="sr-Cyrl-RS"/>
              </w:rPr>
              <w:instrText xml:space="preserve"> \* MERGEFORMAT </w:instrText>
            </w:r>
            <w:r w:rsidR="00CE75BE" w:rsidRPr="00CF77C1">
              <w:rPr>
                <w:lang w:val="sr-Cyrl-RS"/>
              </w:rPr>
            </w:r>
            <w:r w:rsidR="00CE75BE" w:rsidRPr="00CF77C1">
              <w:rPr>
                <w:lang w:val="sr-Cyrl-RS"/>
              </w:rPr>
              <w:fldChar w:fldCharType="separate"/>
            </w:r>
            <w:r w:rsidR="002D5918">
              <w:rPr>
                <w:lang w:val="sr-Cyrl-RS"/>
              </w:rPr>
              <w:t>П.9</w:t>
            </w:r>
            <w:r w:rsidR="00CE75BE" w:rsidRPr="00CF77C1">
              <w:rPr>
                <w:lang w:val="sr-Cyrl-RS"/>
              </w:rPr>
              <w:fldChar w:fldCharType="end"/>
            </w:r>
            <w:r w:rsidR="00CE75BE" w:rsidRPr="00CF77C1">
              <w:rPr>
                <w:lang w:val="sr-Cyrl-RS"/>
              </w:rPr>
              <w:t>)</w:t>
            </w:r>
          </w:p>
        </w:tc>
        <w:tc>
          <w:tcPr>
            <w:tcW w:w="1963" w:type="dxa"/>
            <w:vAlign w:val="center"/>
          </w:tcPr>
          <w:p w14:paraId="0BD2547E" w14:textId="0D5C75E5" w:rsidR="004770AF" w:rsidRPr="00CF77C1" w:rsidRDefault="004770AF" w:rsidP="00AF2E80">
            <w:pPr>
              <w:jc w:val="center"/>
              <w:rPr>
                <w:lang w:val="sr-Cyrl-RS"/>
              </w:rPr>
            </w:pPr>
            <w:r w:rsidRPr="00CF77C1">
              <w:rPr>
                <w:lang w:val="sr-Cyrl-RS"/>
              </w:rPr>
              <w:t>55 милиона €</w:t>
            </w:r>
          </w:p>
        </w:tc>
        <w:tc>
          <w:tcPr>
            <w:tcW w:w="1429" w:type="dxa"/>
            <w:vAlign w:val="center"/>
          </w:tcPr>
          <w:p w14:paraId="7E60AF72" w14:textId="6E17321B" w:rsidR="004770AF" w:rsidRPr="00CF77C1" w:rsidRDefault="004770AF" w:rsidP="00AF2E80">
            <w:pPr>
              <w:jc w:val="center"/>
              <w:rPr>
                <w:lang w:val="sr-Cyrl-RS"/>
              </w:rPr>
            </w:pPr>
            <w:r w:rsidRPr="00CF77C1">
              <w:rPr>
                <w:lang w:val="sr-Cyrl-RS"/>
              </w:rPr>
              <w:t>2020-2021.</w:t>
            </w:r>
          </w:p>
        </w:tc>
        <w:tc>
          <w:tcPr>
            <w:tcW w:w="1711" w:type="dxa"/>
            <w:vAlign w:val="center"/>
          </w:tcPr>
          <w:p w14:paraId="1F001AE6" w14:textId="0AEA3437" w:rsidR="004770AF" w:rsidRPr="00CF77C1" w:rsidRDefault="004770AF" w:rsidP="00AF2E80">
            <w:pPr>
              <w:jc w:val="center"/>
              <w:rPr>
                <w:lang w:val="sr-Cyrl-RS"/>
              </w:rPr>
            </w:pPr>
            <w:r w:rsidRPr="00CF77C1">
              <w:rPr>
                <w:lang w:val="sr-Cyrl-RS"/>
              </w:rPr>
              <w:t>67</w:t>
            </w:r>
          </w:p>
        </w:tc>
        <w:tc>
          <w:tcPr>
            <w:tcW w:w="1921" w:type="dxa"/>
            <w:vAlign w:val="center"/>
          </w:tcPr>
          <w:p w14:paraId="6214BB13" w14:textId="55E1E5F0" w:rsidR="004770AF" w:rsidRPr="00CF77C1" w:rsidRDefault="004770AF" w:rsidP="00AF2E80">
            <w:pPr>
              <w:jc w:val="center"/>
              <w:rPr>
                <w:lang w:val="sr-Cyrl-RS"/>
              </w:rPr>
            </w:pPr>
            <w:r w:rsidRPr="00CF77C1">
              <w:rPr>
                <w:lang w:val="sr-Cyrl-RS"/>
              </w:rPr>
              <w:t>2а</w:t>
            </w:r>
          </w:p>
        </w:tc>
      </w:tr>
      <w:tr w:rsidR="004770AF" w:rsidRPr="00CF77C1" w14:paraId="21A4653B" w14:textId="77777777" w:rsidTr="008151A2">
        <w:trPr>
          <w:cantSplit/>
        </w:trPr>
        <w:tc>
          <w:tcPr>
            <w:tcW w:w="1086" w:type="dxa"/>
            <w:vAlign w:val="center"/>
          </w:tcPr>
          <w:p w14:paraId="1D369E50" w14:textId="72FF0382" w:rsidR="004770AF" w:rsidRPr="00CF77C1" w:rsidRDefault="004770AF" w:rsidP="00AF2E80">
            <w:pPr>
              <w:jc w:val="center"/>
              <w:rPr>
                <w:lang w:val="sr-Cyrl-RS"/>
              </w:rPr>
            </w:pPr>
            <w:r w:rsidRPr="00CF77C1">
              <w:rPr>
                <w:lang w:val="sr-Cyrl-RS"/>
              </w:rPr>
              <w:t>51</w:t>
            </w:r>
          </w:p>
        </w:tc>
        <w:tc>
          <w:tcPr>
            <w:tcW w:w="6677" w:type="dxa"/>
            <w:vAlign w:val="center"/>
          </w:tcPr>
          <w:p w14:paraId="5AB30E35" w14:textId="6E1BDD7E" w:rsidR="004770AF" w:rsidRPr="00CF77C1" w:rsidRDefault="004770AF" w:rsidP="000D6EF0">
            <w:pPr>
              <w:jc w:val="left"/>
              <w:rPr>
                <w:lang w:val="sr-Cyrl-RS"/>
              </w:rPr>
            </w:pPr>
            <w:r w:rsidRPr="00CF77C1">
              <w:rPr>
                <w:lang w:val="sr-Cyrl-RS"/>
              </w:rPr>
              <w:t>Адаптација депонија у складу са ЕУ директивом о депонијама:</w:t>
            </w:r>
          </w:p>
          <w:p w14:paraId="2FBB6056"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Никола Тесла А,</w:t>
            </w:r>
          </w:p>
          <w:p w14:paraId="69A144C8"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Никола Тесла Б,</w:t>
            </w:r>
          </w:p>
          <w:p w14:paraId="6422E5A8"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Колубара А,</w:t>
            </w:r>
          </w:p>
          <w:p w14:paraId="68B2FA78" w14:textId="77777777" w:rsidR="004770AF" w:rsidRPr="00CF77C1" w:rsidRDefault="004770AF" w:rsidP="003E39B4">
            <w:pPr>
              <w:pStyle w:val="ListParagraph"/>
              <w:numPr>
                <w:ilvl w:val="0"/>
                <w:numId w:val="58"/>
              </w:numPr>
              <w:spacing w:before="60" w:after="60"/>
              <w:ind w:left="357" w:hanging="357"/>
              <w:contextualSpacing w:val="0"/>
              <w:jc w:val="left"/>
              <w:rPr>
                <w:lang w:val="sr-Cyrl-RS"/>
              </w:rPr>
            </w:pPr>
            <w:r w:rsidRPr="00CF77C1">
              <w:rPr>
                <w:lang w:val="sr-Cyrl-RS"/>
              </w:rPr>
              <w:t>ТЕ Морава</w:t>
            </w:r>
          </w:p>
          <w:p w14:paraId="53642E11" w14:textId="23640CFD" w:rsidR="00CE75BE" w:rsidRPr="00CF77C1" w:rsidRDefault="00CE75BE" w:rsidP="00CE75BE">
            <w:pPr>
              <w:jc w:val="left"/>
              <w:rPr>
                <w:lang w:val="sr-Cyrl-RS"/>
              </w:rPr>
            </w:pPr>
            <w:r w:rsidRPr="00CF77C1">
              <w:rPr>
                <w:lang w:val="sr-Cyrl-RS"/>
              </w:rPr>
              <w:t>(део „Пројекта заштите животне средине у области производње електр</w:t>
            </w:r>
            <w:r w:rsidR="001741AC" w:rsidRPr="00CF77C1">
              <w:rPr>
                <w:lang w:val="sr-Cyrl-RS"/>
              </w:rPr>
              <w:t>ичне енергије из електрана ЕПС</w:t>
            </w:r>
            <w:r w:rsidRPr="00CF77C1">
              <w:rPr>
                <w:lang w:val="sr-Cyrl-RS"/>
              </w:rPr>
              <w:t xml:space="preserve">” - </w:t>
            </w:r>
            <w:r w:rsidRPr="00CF77C1">
              <w:rPr>
                <w:lang w:val="sr-Cyrl-RS"/>
              </w:rPr>
              <w:fldChar w:fldCharType="begin"/>
            </w:r>
            <w:r w:rsidRPr="00CF77C1">
              <w:rPr>
                <w:lang w:val="sr-Cyrl-RS"/>
              </w:rPr>
              <w:instrText xml:space="preserve"> REF _Ref479965552 \r \h </w:instrText>
            </w:r>
            <w:r w:rsidR="0077363A" w:rsidRPr="00CF77C1">
              <w:rPr>
                <w:lang w:val="sr-Cyrl-RS"/>
              </w:rPr>
              <w:instrText xml:space="preserve"> \* MERGEFORMAT </w:instrText>
            </w:r>
            <w:r w:rsidRPr="00CF77C1">
              <w:rPr>
                <w:lang w:val="sr-Cyrl-RS"/>
              </w:rPr>
            </w:r>
            <w:r w:rsidRPr="00CF77C1">
              <w:rPr>
                <w:lang w:val="sr-Cyrl-RS"/>
              </w:rPr>
              <w:fldChar w:fldCharType="separate"/>
            </w:r>
            <w:r w:rsidR="002D5918">
              <w:rPr>
                <w:lang w:val="sr-Cyrl-RS"/>
              </w:rPr>
              <w:t>П.9</w:t>
            </w:r>
            <w:r w:rsidRPr="00CF77C1">
              <w:rPr>
                <w:lang w:val="sr-Cyrl-RS"/>
              </w:rPr>
              <w:fldChar w:fldCharType="end"/>
            </w:r>
            <w:r w:rsidRPr="00CF77C1">
              <w:rPr>
                <w:lang w:val="sr-Cyrl-RS"/>
              </w:rPr>
              <w:t>)</w:t>
            </w:r>
          </w:p>
        </w:tc>
        <w:tc>
          <w:tcPr>
            <w:tcW w:w="1963" w:type="dxa"/>
            <w:vAlign w:val="center"/>
          </w:tcPr>
          <w:p w14:paraId="45481532" w14:textId="4E8A86AF" w:rsidR="004770AF" w:rsidRPr="00CF77C1" w:rsidRDefault="004770AF" w:rsidP="00AF2E80">
            <w:pPr>
              <w:jc w:val="center"/>
              <w:rPr>
                <w:lang w:val="sr-Cyrl-RS"/>
              </w:rPr>
            </w:pPr>
            <w:r w:rsidRPr="00CF77C1">
              <w:rPr>
                <w:lang w:val="sr-Cyrl-RS"/>
              </w:rPr>
              <w:t>55 милиона €</w:t>
            </w:r>
          </w:p>
        </w:tc>
        <w:tc>
          <w:tcPr>
            <w:tcW w:w="1429" w:type="dxa"/>
            <w:vAlign w:val="center"/>
          </w:tcPr>
          <w:p w14:paraId="17A5CEA6" w14:textId="335DBB7F" w:rsidR="004770AF" w:rsidRPr="00CF77C1" w:rsidRDefault="004770AF" w:rsidP="00AF2E80">
            <w:pPr>
              <w:jc w:val="center"/>
              <w:rPr>
                <w:lang w:val="sr-Cyrl-RS"/>
              </w:rPr>
            </w:pPr>
            <w:r w:rsidRPr="00CF77C1">
              <w:rPr>
                <w:lang w:val="sr-Cyrl-RS"/>
              </w:rPr>
              <w:t>није дефинисан</w:t>
            </w:r>
          </w:p>
        </w:tc>
        <w:tc>
          <w:tcPr>
            <w:tcW w:w="1711" w:type="dxa"/>
            <w:vAlign w:val="center"/>
          </w:tcPr>
          <w:p w14:paraId="796202E4" w14:textId="2DEEBB66" w:rsidR="004770AF" w:rsidRPr="00CF77C1" w:rsidRDefault="004770AF" w:rsidP="00AF2E80">
            <w:pPr>
              <w:jc w:val="center"/>
              <w:rPr>
                <w:lang w:val="sr-Cyrl-RS"/>
              </w:rPr>
            </w:pPr>
            <w:r w:rsidRPr="00CF77C1">
              <w:rPr>
                <w:lang w:val="sr-Cyrl-RS"/>
              </w:rPr>
              <w:t>67</w:t>
            </w:r>
          </w:p>
        </w:tc>
        <w:tc>
          <w:tcPr>
            <w:tcW w:w="1921" w:type="dxa"/>
            <w:vAlign w:val="center"/>
          </w:tcPr>
          <w:p w14:paraId="4015DBF7" w14:textId="13346699" w:rsidR="004770AF" w:rsidRPr="00CF77C1" w:rsidRDefault="004770AF" w:rsidP="00AF2E80">
            <w:pPr>
              <w:jc w:val="center"/>
              <w:rPr>
                <w:lang w:val="sr-Cyrl-RS"/>
              </w:rPr>
            </w:pPr>
            <w:r w:rsidRPr="00CF77C1">
              <w:rPr>
                <w:lang w:val="sr-Cyrl-RS"/>
              </w:rPr>
              <w:t>2а</w:t>
            </w:r>
          </w:p>
        </w:tc>
      </w:tr>
      <w:tr w:rsidR="004770AF" w:rsidRPr="00CF77C1" w14:paraId="2F00B35E" w14:textId="77777777" w:rsidTr="008151A2">
        <w:trPr>
          <w:cantSplit/>
        </w:trPr>
        <w:tc>
          <w:tcPr>
            <w:tcW w:w="1086" w:type="dxa"/>
            <w:vAlign w:val="center"/>
          </w:tcPr>
          <w:p w14:paraId="3ACC3B63" w14:textId="15B8EAFB" w:rsidR="004770AF" w:rsidRPr="00CF77C1" w:rsidRDefault="004770AF" w:rsidP="00AF2E80">
            <w:pPr>
              <w:jc w:val="center"/>
              <w:rPr>
                <w:lang w:val="sr-Cyrl-RS"/>
              </w:rPr>
            </w:pPr>
            <w:r w:rsidRPr="00CF77C1">
              <w:rPr>
                <w:lang w:val="sr-Cyrl-RS"/>
              </w:rPr>
              <w:t>52</w:t>
            </w:r>
          </w:p>
        </w:tc>
        <w:tc>
          <w:tcPr>
            <w:tcW w:w="6677" w:type="dxa"/>
            <w:vAlign w:val="center"/>
          </w:tcPr>
          <w:p w14:paraId="480F0C39" w14:textId="11FFBCE8" w:rsidR="004770AF" w:rsidRPr="00CF77C1" w:rsidRDefault="004770AF" w:rsidP="000D6EF0">
            <w:pPr>
              <w:jc w:val="left"/>
              <w:rPr>
                <w:lang w:val="sr-Cyrl-RS"/>
              </w:rPr>
            </w:pPr>
            <w:r w:rsidRPr="00CF77C1">
              <w:rPr>
                <w:lang w:val="sr-Cyrl-RS"/>
              </w:rPr>
              <w:t>Унапређење енергетске ефикасности и употреба обновљивих извора енергије у основним школама и јавним зградама на територији града Краљева</w:t>
            </w:r>
          </w:p>
        </w:tc>
        <w:tc>
          <w:tcPr>
            <w:tcW w:w="1963" w:type="dxa"/>
            <w:vAlign w:val="center"/>
          </w:tcPr>
          <w:p w14:paraId="0454B696" w14:textId="7F1DCD7F" w:rsidR="004770AF" w:rsidRPr="00CF77C1" w:rsidRDefault="004770AF" w:rsidP="00AF2E80">
            <w:pPr>
              <w:jc w:val="center"/>
              <w:rPr>
                <w:lang w:val="sr-Cyrl-RS"/>
              </w:rPr>
            </w:pPr>
            <w:r w:rsidRPr="00CF77C1">
              <w:rPr>
                <w:lang w:val="sr-Cyrl-RS"/>
              </w:rPr>
              <w:t>1 милион €</w:t>
            </w:r>
          </w:p>
        </w:tc>
        <w:tc>
          <w:tcPr>
            <w:tcW w:w="1429" w:type="dxa"/>
            <w:vAlign w:val="center"/>
          </w:tcPr>
          <w:p w14:paraId="3A3534D1" w14:textId="35617F77" w:rsidR="004770AF" w:rsidRPr="00CF77C1" w:rsidRDefault="004770AF" w:rsidP="00AF2E80">
            <w:pPr>
              <w:jc w:val="center"/>
              <w:rPr>
                <w:lang w:val="sr-Cyrl-RS"/>
              </w:rPr>
            </w:pPr>
            <w:r w:rsidRPr="00CF77C1">
              <w:rPr>
                <w:lang w:val="sr-Cyrl-RS"/>
              </w:rPr>
              <w:t>није дефинисан</w:t>
            </w:r>
          </w:p>
        </w:tc>
        <w:tc>
          <w:tcPr>
            <w:tcW w:w="1711" w:type="dxa"/>
            <w:vAlign w:val="center"/>
          </w:tcPr>
          <w:p w14:paraId="40ED3DBB" w14:textId="7863DB82" w:rsidR="004770AF" w:rsidRPr="00CF77C1" w:rsidRDefault="004770AF" w:rsidP="00AF2E80">
            <w:pPr>
              <w:jc w:val="center"/>
              <w:rPr>
                <w:lang w:val="sr-Cyrl-RS"/>
              </w:rPr>
            </w:pPr>
            <w:r w:rsidRPr="00CF77C1">
              <w:rPr>
                <w:lang w:val="sr-Cyrl-RS"/>
              </w:rPr>
              <w:t>67</w:t>
            </w:r>
          </w:p>
        </w:tc>
        <w:tc>
          <w:tcPr>
            <w:tcW w:w="1921" w:type="dxa"/>
            <w:vAlign w:val="center"/>
          </w:tcPr>
          <w:p w14:paraId="68661356" w14:textId="3AEDB80C" w:rsidR="004770AF" w:rsidRPr="00CF77C1" w:rsidRDefault="004770AF" w:rsidP="00AF2E80">
            <w:pPr>
              <w:jc w:val="center"/>
              <w:rPr>
                <w:lang w:val="sr-Cyrl-RS"/>
              </w:rPr>
            </w:pPr>
            <w:r w:rsidRPr="00CF77C1">
              <w:rPr>
                <w:lang w:val="sr-Cyrl-RS"/>
              </w:rPr>
              <w:t>2а</w:t>
            </w:r>
          </w:p>
        </w:tc>
      </w:tr>
    </w:tbl>
    <w:p w14:paraId="51A24297" w14:textId="6616A886" w:rsidR="00246C17" w:rsidRPr="00CF77C1" w:rsidRDefault="00086DE0" w:rsidP="00DB045D">
      <w:pPr>
        <w:ind w:left="7" w:right="-594" w:firstLine="720"/>
        <w:rPr>
          <w:lang w:val="sr-Cyrl-RS"/>
        </w:rPr>
      </w:pPr>
      <w:r w:rsidRPr="00CF77C1">
        <w:rPr>
          <w:lang w:val="sr-Cyrl-RS"/>
        </w:rPr>
        <w:t xml:space="preserve">* </w:t>
      </w:r>
      <w:r w:rsidR="00246C17" w:rsidRPr="00CF77C1">
        <w:rPr>
          <w:lang w:val="sr-Cyrl-RS"/>
        </w:rPr>
        <w:t>Нетачно је наведена вредност пројекта „Смањење емисија SO</w:t>
      </w:r>
      <w:r w:rsidR="00246C17" w:rsidRPr="00CF77C1">
        <w:rPr>
          <w:vertAlign w:val="subscript"/>
          <w:lang w:val="sr-Cyrl-RS"/>
        </w:rPr>
        <w:t>2</w:t>
      </w:r>
      <w:r w:rsidR="00246C17" w:rsidRPr="00CF77C1">
        <w:rPr>
          <w:lang w:val="sr-Cyrl-RS"/>
        </w:rPr>
        <w:t xml:space="preserve"> у ТЕ Костолац A, јединица А2” од 4 милиона € у Јединственој листи инфраструктурних пројеката у области енергетике. Ради се о материјалној грешци</w:t>
      </w:r>
      <w:r w:rsidR="00CE75BE" w:rsidRPr="00CF77C1">
        <w:rPr>
          <w:lang w:val="sr-Cyrl-RS"/>
        </w:rPr>
        <w:t xml:space="preserve"> која ће бити исправљена у ажурираној Јединственој листи инфраструктурних пројеката у области енергетике</w:t>
      </w:r>
      <w:r w:rsidR="00246C17" w:rsidRPr="00CF77C1">
        <w:rPr>
          <w:lang w:val="sr-Cyrl-RS"/>
        </w:rPr>
        <w:t>.</w:t>
      </w:r>
    </w:p>
    <w:p w14:paraId="180BDCAB" w14:textId="5ABCD3FF" w:rsidR="007D00C6" w:rsidRPr="00CF77C1" w:rsidRDefault="00541376" w:rsidP="00DB045D">
      <w:pPr>
        <w:tabs>
          <w:tab w:val="left" w:pos="0"/>
        </w:tabs>
        <w:ind w:left="7" w:right="-594" w:firstLine="720"/>
        <w:rPr>
          <w:lang w:val="sr-Cyrl-RS"/>
        </w:rPr>
      </w:pPr>
      <w:r w:rsidRPr="00CF77C1">
        <w:rPr>
          <w:lang w:val="sr-Cyrl-RS"/>
        </w:rPr>
        <w:t>Напомене:</w:t>
      </w:r>
      <w:r w:rsidRPr="00CF77C1">
        <w:rPr>
          <w:lang w:val="sr-Cyrl-RS"/>
        </w:rPr>
        <w:tab/>
      </w:r>
      <w:r w:rsidR="007D00C6" w:rsidRPr="00CF77C1">
        <w:rPr>
          <w:lang w:val="sr-Cyrl-RS"/>
        </w:rPr>
        <w:t>Број поена за пр</w:t>
      </w:r>
      <w:r w:rsidR="006C729D">
        <w:rPr>
          <w:lang w:val="sr-Cyrl-RS"/>
        </w:rPr>
        <w:t>ојекте који су обухваћени ПОС</w:t>
      </w:r>
      <w:r w:rsidR="007D00C6" w:rsidRPr="00CF77C1">
        <w:rPr>
          <w:lang w:val="sr-Cyrl-RS"/>
        </w:rPr>
        <w:t xml:space="preserve"> прорачунат је пондерисањем броја бодова прорачунатог на основу Критеријума за процену стратешке релевантности са истим пондером помоћу којег је формирана Јединствена листа инфраструктурних пројеката у области енергетике.</w:t>
      </w:r>
    </w:p>
    <w:p w14:paraId="69CF5896" w14:textId="2D22BF5C" w:rsidR="00541376" w:rsidRPr="00CF77C1" w:rsidRDefault="00F0139B" w:rsidP="00DB045D">
      <w:pPr>
        <w:tabs>
          <w:tab w:val="left" w:pos="1276"/>
        </w:tabs>
        <w:ind w:firstLine="720"/>
        <w:rPr>
          <w:lang w:val="sr-Cyrl-RS"/>
        </w:rPr>
      </w:pPr>
      <w:r w:rsidRPr="00CF77C1">
        <w:rPr>
          <w:lang w:val="sr-Cyrl-RS"/>
        </w:rPr>
        <w:t>Дефиниције групе на основу Извештаја о недостатку:</w:t>
      </w:r>
    </w:p>
    <w:p w14:paraId="1FAF5693" w14:textId="0D197F53" w:rsidR="00F0139B" w:rsidRPr="00CF77C1" w:rsidRDefault="00F0139B" w:rsidP="00DB045D">
      <w:pPr>
        <w:tabs>
          <w:tab w:val="left" w:pos="1276"/>
        </w:tabs>
        <w:ind w:firstLine="720"/>
        <w:rPr>
          <w:lang w:val="sr-Cyrl-RS"/>
        </w:rPr>
      </w:pPr>
      <w:r w:rsidRPr="00CF77C1">
        <w:rPr>
          <w:lang w:val="sr-Cyrl-RS"/>
        </w:rPr>
        <w:t xml:space="preserve">Група 1 - </w:t>
      </w:r>
      <w:r w:rsidR="007202D0" w:rsidRPr="00CF77C1">
        <w:rPr>
          <w:lang w:val="sr-Cyrl-RS"/>
        </w:rPr>
        <w:t>спрeмни зa тeндeрски пoступaк и рeaлизaциjу инвeстициje</w:t>
      </w:r>
      <w:r w:rsidR="00C34093" w:rsidRPr="00CF77C1">
        <w:rPr>
          <w:lang w:val="sr-Cyrl-RS"/>
        </w:rPr>
        <w:t>:</w:t>
      </w:r>
    </w:p>
    <w:p w14:paraId="2498FBCD" w14:textId="47B84C15" w:rsidR="00F0139B" w:rsidRPr="00CF77C1" w:rsidRDefault="00F0139B" w:rsidP="00DB045D">
      <w:pPr>
        <w:pStyle w:val="ListParagraph"/>
        <w:numPr>
          <w:ilvl w:val="0"/>
          <w:numId w:val="58"/>
        </w:numPr>
        <w:tabs>
          <w:tab w:val="left" w:pos="1276"/>
        </w:tabs>
        <w:ind w:left="0" w:firstLine="720"/>
        <w:rPr>
          <w:lang w:val="sr-Cyrl-RS"/>
        </w:rPr>
      </w:pPr>
      <w:r w:rsidRPr="00CF77C1">
        <w:rPr>
          <w:lang w:val="sr-Cyrl-RS"/>
        </w:rPr>
        <w:t xml:space="preserve">Група 1а - </w:t>
      </w:r>
      <w:r w:rsidR="00C34093" w:rsidRPr="00CF77C1">
        <w:rPr>
          <w:lang w:val="sr-Cyrl-RS"/>
        </w:rPr>
        <w:t>прojeкти сa припрeмљeнoм тeхничкoм дoкумeнтaциjoм, спрeмни зa припрeму или спрoвoђeњe тeндeрскoг пoступкa;</w:t>
      </w:r>
    </w:p>
    <w:p w14:paraId="1C00BC5E" w14:textId="35AC6ED8" w:rsidR="00F0139B" w:rsidRPr="00CF77C1" w:rsidRDefault="00F0139B" w:rsidP="00DB045D">
      <w:pPr>
        <w:pStyle w:val="ListParagraph"/>
        <w:numPr>
          <w:ilvl w:val="0"/>
          <w:numId w:val="58"/>
        </w:numPr>
        <w:tabs>
          <w:tab w:val="left" w:pos="1276"/>
        </w:tabs>
        <w:ind w:left="0" w:firstLine="720"/>
        <w:rPr>
          <w:lang w:val="sr-Cyrl-RS"/>
        </w:rPr>
      </w:pPr>
      <w:r w:rsidRPr="00CF77C1">
        <w:rPr>
          <w:lang w:val="sr-Cyrl-RS"/>
        </w:rPr>
        <w:t xml:space="preserve">Група 1б - </w:t>
      </w:r>
      <w:r w:rsidR="00C34093" w:rsidRPr="00CF77C1">
        <w:rPr>
          <w:lang w:val="sr-Cyrl-RS"/>
        </w:rPr>
        <w:t>прojeкти чиja je припрeмa тeхничкe дoкумeнтaциje у тoку и кojи су нaкoн припрeмљeнe тeхничкe дoкумeнтaциje спрeмни зa тeндeрски пoступaк</w:t>
      </w:r>
    </w:p>
    <w:p w14:paraId="3DAD17E7" w14:textId="1E16256A" w:rsidR="00F0139B" w:rsidRPr="00CF77C1" w:rsidRDefault="00F0139B" w:rsidP="00DB045D">
      <w:pPr>
        <w:tabs>
          <w:tab w:val="left" w:pos="1276"/>
        </w:tabs>
        <w:ind w:firstLine="720"/>
        <w:rPr>
          <w:lang w:val="sr-Cyrl-RS"/>
        </w:rPr>
      </w:pPr>
      <w:r w:rsidRPr="00CF77C1">
        <w:rPr>
          <w:lang w:val="sr-Cyrl-RS"/>
        </w:rPr>
        <w:t>Група 2 -</w:t>
      </w:r>
      <w:r w:rsidR="00C34093" w:rsidRPr="00CF77C1">
        <w:rPr>
          <w:lang w:val="sr-Cyrl-RS"/>
        </w:rPr>
        <w:t xml:space="preserve"> спремни</w:t>
      </w:r>
      <w:r w:rsidRPr="00CF77C1">
        <w:rPr>
          <w:lang w:val="sr-Cyrl-RS"/>
        </w:rPr>
        <w:t xml:space="preserve"> </w:t>
      </w:r>
      <w:r w:rsidR="00C34093" w:rsidRPr="00CF77C1">
        <w:rPr>
          <w:lang w:val="sr-Cyrl-RS"/>
        </w:rPr>
        <w:t>зa припрeму тeхничкe дoкумeнтaциje:</w:t>
      </w:r>
    </w:p>
    <w:p w14:paraId="347AD4C8" w14:textId="58C2E192" w:rsidR="00F0139B" w:rsidRPr="00CF77C1" w:rsidRDefault="00F0139B" w:rsidP="00DB045D">
      <w:pPr>
        <w:pStyle w:val="ListParagraph"/>
        <w:numPr>
          <w:ilvl w:val="0"/>
          <w:numId w:val="58"/>
        </w:numPr>
        <w:tabs>
          <w:tab w:val="left" w:pos="1276"/>
        </w:tabs>
        <w:ind w:left="0" w:firstLine="720"/>
        <w:rPr>
          <w:lang w:val="sr-Cyrl-RS"/>
        </w:rPr>
      </w:pPr>
      <w:r w:rsidRPr="00CF77C1">
        <w:rPr>
          <w:lang w:val="sr-Cyrl-RS"/>
        </w:rPr>
        <w:t xml:space="preserve">Група 2а - </w:t>
      </w:r>
      <w:r w:rsidR="00C34093" w:rsidRPr="00CF77C1">
        <w:rPr>
          <w:lang w:val="sr-Cyrl-RS"/>
        </w:rPr>
        <w:t>прojeкти сa зaвршeнoм плaнскoм дoкумeнтaциjoм и спремним предусловима за решавање имoвинскo-прaвних питaњa;</w:t>
      </w:r>
    </w:p>
    <w:p w14:paraId="6741CAA8" w14:textId="2F0A1F7F" w:rsidR="00F0139B" w:rsidRPr="00CF77C1" w:rsidRDefault="00F0139B" w:rsidP="00DB045D">
      <w:pPr>
        <w:pStyle w:val="ListParagraph"/>
        <w:numPr>
          <w:ilvl w:val="0"/>
          <w:numId w:val="58"/>
        </w:numPr>
        <w:tabs>
          <w:tab w:val="left" w:pos="1276"/>
        </w:tabs>
        <w:ind w:left="0" w:firstLine="720"/>
        <w:rPr>
          <w:lang w:val="sr-Cyrl-RS"/>
        </w:rPr>
      </w:pPr>
      <w:r w:rsidRPr="00CF77C1">
        <w:rPr>
          <w:lang w:val="sr-Cyrl-RS"/>
        </w:rPr>
        <w:t xml:space="preserve">Група 2б - </w:t>
      </w:r>
      <w:r w:rsidR="00C34093" w:rsidRPr="00CF77C1">
        <w:rPr>
          <w:lang w:val="sr-Cyrl-RS"/>
        </w:rPr>
        <w:t>прojeкти са нeдoстaцимa у прoстoрнoj плaнскoj дoкумeнтaциjи и нерешеним предусловима за решевање имoвинскo-прaвних питaњa.</w:t>
      </w:r>
    </w:p>
    <w:p w14:paraId="34CF3267" w14:textId="0F4BECF0" w:rsidR="001A544F" w:rsidRPr="00CF77C1" w:rsidRDefault="001A544F" w:rsidP="00DB045D">
      <w:pPr>
        <w:ind w:firstLine="720"/>
        <w:rPr>
          <w:lang w:val="sr-Cyrl-RS"/>
        </w:rPr>
      </w:pPr>
      <w:r w:rsidRPr="00CF77C1">
        <w:rPr>
          <w:lang w:val="sr-Cyrl-RS"/>
        </w:rPr>
        <w:t>Дефиниција зрелости пројеката за реализацију сходно начину процене дефинисаном у Упитнику. Оцене су описне, означене великим словима А-Г и њихово значење је следеће:</w:t>
      </w:r>
    </w:p>
    <w:p w14:paraId="0BCD6A45" w14:textId="77777777" w:rsidR="001A544F" w:rsidRPr="00CF77C1" w:rsidRDefault="001A544F" w:rsidP="00DB045D">
      <w:pPr>
        <w:ind w:firstLine="720"/>
        <w:rPr>
          <w:lang w:val="sr-Cyrl-RS"/>
        </w:rPr>
      </w:pPr>
      <w:r w:rsidRPr="00CF77C1">
        <w:rPr>
          <w:lang w:val="sr-Cyrl-RS"/>
        </w:rPr>
        <w:t>А - спреман за расписивање тендерске процедуре за извођење радова,</w:t>
      </w:r>
    </w:p>
    <w:p w14:paraId="62728C2A" w14:textId="77777777" w:rsidR="001A544F" w:rsidRPr="00CF77C1" w:rsidRDefault="001A544F" w:rsidP="00E127B0">
      <w:pPr>
        <w:ind w:firstLine="720"/>
        <w:rPr>
          <w:lang w:val="sr-Cyrl-RS"/>
        </w:rPr>
      </w:pPr>
      <w:r w:rsidRPr="00CF77C1">
        <w:rPr>
          <w:lang w:val="sr-Cyrl-RS"/>
        </w:rPr>
        <w:t>Б - спреман за припрему недостајуће техничке документације,</w:t>
      </w:r>
    </w:p>
    <w:p w14:paraId="5F7822D0" w14:textId="77777777" w:rsidR="001A544F" w:rsidRPr="00CF77C1" w:rsidRDefault="001A544F" w:rsidP="00E127B0">
      <w:pPr>
        <w:ind w:firstLine="720"/>
        <w:rPr>
          <w:lang w:val="sr-Cyrl-RS"/>
        </w:rPr>
      </w:pPr>
      <w:r w:rsidRPr="00CF77C1">
        <w:rPr>
          <w:lang w:val="sr-Cyrl-RS"/>
        </w:rPr>
        <w:t>В - потребно решити мање недостатке пре припреме техничке документације,</w:t>
      </w:r>
    </w:p>
    <w:p w14:paraId="1EDC738F" w14:textId="77777777" w:rsidR="001A544F" w:rsidRPr="00CF77C1" w:rsidRDefault="001A544F" w:rsidP="00E127B0">
      <w:pPr>
        <w:ind w:firstLine="720"/>
        <w:rPr>
          <w:lang w:val="sr-Cyrl-RS"/>
        </w:rPr>
      </w:pPr>
      <w:r w:rsidRPr="00CF77C1">
        <w:rPr>
          <w:lang w:val="sr-Cyrl-RS"/>
        </w:rPr>
        <w:t>Г - потребно решити значајне недостатке пре припреме.</w:t>
      </w:r>
    </w:p>
    <w:p w14:paraId="0A4A014E" w14:textId="77777777" w:rsidR="001A544F" w:rsidRPr="00CF77C1" w:rsidRDefault="001A544F" w:rsidP="00DB045D">
      <w:pPr>
        <w:ind w:firstLine="720"/>
        <w:rPr>
          <w:lang w:val="sr-Cyrl-RS"/>
        </w:rPr>
      </w:pPr>
      <w:r w:rsidRPr="00CF77C1">
        <w:rPr>
          <w:lang w:val="sr-Cyrl-RS"/>
        </w:rPr>
        <w:t>Пројекти који се састоје од неколико потпројеката могу да садрже различите вредности оцена за процену зрелости пројеката за реализацију које се односе на различите потпројекте у оквиру пројекта.</w:t>
      </w:r>
    </w:p>
    <w:p w14:paraId="2CEDC97C" w14:textId="0F0BA44E" w:rsidR="00BA424A" w:rsidRPr="00CF77C1" w:rsidRDefault="00BA424A" w:rsidP="00D22907">
      <w:pPr>
        <w:pStyle w:val="Caption"/>
        <w:ind w:firstLine="720"/>
        <w:rPr>
          <w:b w:val="0"/>
          <w:lang w:val="sr-Cyrl-RS"/>
        </w:rPr>
      </w:pPr>
      <w:bookmarkStart w:id="199" w:name="_Ref476119074"/>
      <w:r w:rsidRPr="00CF77C1">
        <w:rPr>
          <w:b w:val="0"/>
          <w:lang w:val="sr-Cyrl-RS"/>
        </w:rPr>
        <w:t xml:space="preserve">таб. </w:t>
      </w:r>
      <w:r w:rsidRPr="00CF77C1">
        <w:rPr>
          <w:b w:val="0"/>
          <w:lang w:val="sr-Cyrl-RS"/>
        </w:rPr>
        <w:fldChar w:fldCharType="begin"/>
      </w:r>
      <w:r w:rsidRPr="00CF77C1">
        <w:rPr>
          <w:b w:val="0"/>
          <w:lang w:val="sr-Cyrl-RS"/>
        </w:rPr>
        <w:instrText xml:space="preserve"> SEQ таб. \* ARABIC </w:instrText>
      </w:r>
      <w:r w:rsidRPr="00CF77C1">
        <w:rPr>
          <w:b w:val="0"/>
          <w:lang w:val="sr-Cyrl-RS"/>
        </w:rPr>
        <w:fldChar w:fldCharType="separate"/>
      </w:r>
      <w:r w:rsidR="002D5918">
        <w:rPr>
          <w:b w:val="0"/>
          <w:noProof/>
          <w:lang w:val="sr-Cyrl-RS"/>
        </w:rPr>
        <w:t>130</w:t>
      </w:r>
      <w:r w:rsidRPr="00CF77C1">
        <w:rPr>
          <w:b w:val="0"/>
          <w:lang w:val="sr-Cyrl-RS"/>
        </w:rPr>
        <w:fldChar w:fldCharType="end"/>
      </w:r>
      <w:bookmarkEnd w:id="199"/>
      <w:r w:rsidRPr="00CF77C1">
        <w:rPr>
          <w:b w:val="0"/>
          <w:lang w:val="sr-Cyrl-RS"/>
        </w:rPr>
        <w:t>: Одређивање приоритета пројеката у складу са препознатим индикаторима остварења циљева из Стратегије развоја енергетике Републике Србије</w:t>
      </w:r>
    </w:p>
    <w:tbl>
      <w:tblPr>
        <w:tblW w:w="14728"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708"/>
        <w:gridCol w:w="5387"/>
        <w:gridCol w:w="992"/>
        <w:gridCol w:w="809"/>
        <w:gridCol w:w="708"/>
        <w:gridCol w:w="708"/>
        <w:gridCol w:w="709"/>
        <w:gridCol w:w="708"/>
        <w:gridCol w:w="709"/>
        <w:gridCol w:w="708"/>
        <w:gridCol w:w="709"/>
        <w:gridCol w:w="708"/>
        <w:gridCol w:w="709"/>
      </w:tblGrid>
      <w:tr w:rsidR="00FF1371" w:rsidRPr="00CF77C1" w14:paraId="06E878DB" w14:textId="77777777" w:rsidTr="00FF1371">
        <w:trPr>
          <w:cantSplit/>
          <w:trHeight w:val="3048"/>
          <w:tblHeader/>
        </w:trPr>
        <w:tc>
          <w:tcPr>
            <w:tcW w:w="456" w:type="dxa"/>
            <w:textDirection w:val="btLr"/>
          </w:tcPr>
          <w:p w14:paraId="6413EF99" w14:textId="2EC338C6"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Ранг</w:t>
            </w:r>
          </w:p>
        </w:tc>
        <w:tc>
          <w:tcPr>
            <w:tcW w:w="708" w:type="dxa"/>
            <w:textDirection w:val="btLr"/>
            <w:vAlign w:val="center"/>
          </w:tcPr>
          <w:p w14:paraId="315F6A9F" w14:textId="41D35941"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Редни број</w:t>
            </w:r>
          </w:p>
        </w:tc>
        <w:tc>
          <w:tcPr>
            <w:tcW w:w="5387" w:type="dxa"/>
            <w:vAlign w:val="center"/>
          </w:tcPr>
          <w:p w14:paraId="348A2DE1" w14:textId="77777777" w:rsidR="00FF1371" w:rsidRPr="00CF77C1" w:rsidRDefault="00FF1371" w:rsidP="00FC673F">
            <w:pPr>
              <w:keepNext/>
              <w:keepLines/>
              <w:autoSpaceDE w:val="0"/>
              <w:autoSpaceDN w:val="0"/>
              <w:adjustRightInd w:val="0"/>
              <w:spacing w:before="0" w:after="0"/>
              <w:jc w:val="left"/>
              <w:rPr>
                <w:color w:val="000000"/>
                <w:sz w:val="20"/>
                <w:lang w:val="sr-Cyrl-RS"/>
              </w:rPr>
            </w:pPr>
            <w:r w:rsidRPr="00CF77C1">
              <w:rPr>
                <w:color w:val="000000"/>
                <w:sz w:val="20"/>
                <w:lang w:val="sr-Cyrl-RS"/>
              </w:rPr>
              <w:t>Назив пројекта</w:t>
            </w:r>
          </w:p>
        </w:tc>
        <w:tc>
          <w:tcPr>
            <w:tcW w:w="992" w:type="dxa"/>
            <w:textDirection w:val="btLr"/>
            <w:vAlign w:val="center"/>
          </w:tcPr>
          <w:p w14:paraId="340EDB98" w14:textId="64F3FE3F"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Број становника за који се повећава сигурност снабдевања или квалитет испоручених енергента</w:t>
            </w:r>
          </w:p>
        </w:tc>
        <w:tc>
          <w:tcPr>
            <w:tcW w:w="809" w:type="dxa"/>
            <w:textDirection w:val="btLr"/>
            <w:vAlign w:val="center"/>
          </w:tcPr>
          <w:p w14:paraId="390B1B4E"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Смањење увозне зависности или стварање услова за нето извоз енергије и енергената</w:t>
            </w:r>
          </w:p>
        </w:tc>
        <w:tc>
          <w:tcPr>
            <w:tcW w:w="708" w:type="dxa"/>
            <w:textDirection w:val="btLr"/>
            <w:vAlign w:val="center"/>
          </w:tcPr>
          <w:p w14:paraId="7A2344F1"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Обновљиви извори енергије</w:t>
            </w:r>
          </w:p>
        </w:tc>
        <w:tc>
          <w:tcPr>
            <w:tcW w:w="708" w:type="dxa"/>
            <w:textDirection w:val="btLr"/>
            <w:vAlign w:val="center"/>
          </w:tcPr>
          <w:p w14:paraId="3618C7F0"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Развој тржишта енергије и унапређење конкуренције</w:t>
            </w:r>
          </w:p>
        </w:tc>
        <w:tc>
          <w:tcPr>
            <w:tcW w:w="709" w:type="dxa"/>
            <w:textDirection w:val="btLr"/>
            <w:vAlign w:val="center"/>
          </w:tcPr>
          <w:p w14:paraId="6FBB1BB9"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Пројекти регионалног или ширег значаја</w:t>
            </w:r>
          </w:p>
        </w:tc>
        <w:tc>
          <w:tcPr>
            <w:tcW w:w="708" w:type="dxa"/>
            <w:textDirection w:val="btLr"/>
            <w:vAlign w:val="center"/>
          </w:tcPr>
          <w:p w14:paraId="78238ABB"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Енергетска ефикасност</w:t>
            </w:r>
          </w:p>
        </w:tc>
        <w:tc>
          <w:tcPr>
            <w:tcW w:w="709" w:type="dxa"/>
            <w:textDirection w:val="btLr"/>
            <w:vAlign w:val="center"/>
          </w:tcPr>
          <w:p w14:paraId="068E11F6"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Заштита животне средине</w:t>
            </w:r>
          </w:p>
        </w:tc>
        <w:tc>
          <w:tcPr>
            <w:tcW w:w="708" w:type="dxa"/>
            <w:textDirection w:val="btLr"/>
            <w:vAlign w:val="center"/>
          </w:tcPr>
          <w:p w14:paraId="1353BEBF"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Диверсификација праваца и извора снабдевања</w:t>
            </w:r>
          </w:p>
        </w:tc>
        <w:tc>
          <w:tcPr>
            <w:tcW w:w="709" w:type="dxa"/>
            <w:textDirection w:val="btLr"/>
            <w:vAlign w:val="center"/>
          </w:tcPr>
          <w:p w14:paraId="0EC95798"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Зрелост пројекта за реализацију</w:t>
            </w:r>
          </w:p>
        </w:tc>
        <w:tc>
          <w:tcPr>
            <w:tcW w:w="708" w:type="dxa"/>
            <w:textDirection w:val="btLr"/>
            <w:vAlign w:val="center"/>
          </w:tcPr>
          <w:p w14:paraId="5D320A27"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Испуњавање међународних обавеза</w:t>
            </w:r>
          </w:p>
        </w:tc>
        <w:tc>
          <w:tcPr>
            <w:tcW w:w="709" w:type="dxa"/>
            <w:textDirection w:val="btLr"/>
            <w:vAlign w:val="center"/>
          </w:tcPr>
          <w:p w14:paraId="63BC7340" w14:textId="77777777" w:rsidR="00FF1371" w:rsidRPr="00CF77C1" w:rsidRDefault="00FF1371" w:rsidP="00FC673F">
            <w:pPr>
              <w:keepNext/>
              <w:keepLines/>
              <w:autoSpaceDE w:val="0"/>
              <w:autoSpaceDN w:val="0"/>
              <w:adjustRightInd w:val="0"/>
              <w:spacing w:before="0" w:after="0"/>
              <w:ind w:left="113" w:right="113"/>
              <w:jc w:val="left"/>
              <w:rPr>
                <w:color w:val="000000"/>
                <w:sz w:val="20"/>
                <w:lang w:val="sr-Cyrl-RS"/>
              </w:rPr>
            </w:pPr>
            <w:r w:rsidRPr="00CF77C1">
              <w:rPr>
                <w:color w:val="000000"/>
                <w:sz w:val="20"/>
                <w:lang w:val="sr-Cyrl-RS"/>
              </w:rPr>
              <w:t>Укупно</w:t>
            </w:r>
          </w:p>
        </w:tc>
      </w:tr>
      <w:tr w:rsidR="00FF1371" w:rsidRPr="00CF77C1" w14:paraId="4517EED8" w14:textId="77777777" w:rsidTr="00C34093">
        <w:trPr>
          <w:cantSplit/>
          <w:trHeight w:val="305"/>
          <w:tblHeader/>
        </w:trPr>
        <w:tc>
          <w:tcPr>
            <w:tcW w:w="456" w:type="dxa"/>
          </w:tcPr>
          <w:p w14:paraId="6524375C" w14:textId="77777777" w:rsidR="00FF1371" w:rsidRPr="00CF77C1" w:rsidRDefault="00FF1371" w:rsidP="00FC673F">
            <w:pPr>
              <w:keepNext/>
              <w:keepLines/>
              <w:autoSpaceDE w:val="0"/>
              <w:autoSpaceDN w:val="0"/>
              <w:adjustRightInd w:val="0"/>
              <w:spacing w:before="0" w:after="0"/>
              <w:jc w:val="left"/>
              <w:rPr>
                <w:color w:val="000000"/>
                <w:sz w:val="20"/>
                <w:lang w:val="sr-Cyrl-RS"/>
              </w:rPr>
            </w:pPr>
          </w:p>
        </w:tc>
        <w:tc>
          <w:tcPr>
            <w:tcW w:w="708" w:type="dxa"/>
            <w:vAlign w:val="center"/>
          </w:tcPr>
          <w:p w14:paraId="1F711432" w14:textId="6BDBAA61" w:rsidR="00FF1371" w:rsidRPr="00CF77C1" w:rsidRDefault="00FF1371" w:rsidP="00FC673F">
            <w:pPr>
              <w:keepNext/>
              <w:keepLines/>
              <w:autoSpaceDE w:val="0"/>
              <w:autoSpaceDN w:val="0"/>
              <w:adjustRightInd w:val="0"/>
              <w:spacing w:before="0" w:after="0"/>
              <w:jc w:val="left"/>
              <w:rPr>
                <w:color w:val="000000"/>
                <w:sz w:val="20"/>
                <w:lang w:val="sr-Cyrl-RS"/>
              </w:rPr>
            </w:pPr>
          </w:p>
        </w:tc>
        <w:tc>
          <w:tcPr>
            <w:tcW w:w="5387" w:type="dxa"/>
            <w:vAlign w:val="center"/>
          </w:tcPr>
          <w:p w14:paraId="50208333" w14:textId="77777777" w:rsidR="00FF1371" w:rsidRPr="00CF77C1" w:rsidRDefault="00FF1371" w:rsidP="00FC673F">
            <w:pPr>
              <w:keepNext/>
              <w:keepLines/>
              <w:autoSpaceDE w:val="0"/>
              <w:autoSpaceDN w:val="0"/>
              <w:adjustRightInd w:val="0"/>
              <w:spacing w:before="0" w:after="0"/>
              <w:jc w:val="left"/>
              <w:rPr>
                <w:color w:val="000000"/>
                <w:sz w:val="20"/>
                <w:lang w:val="sr-Cyrl-RS"/>
              </w:rPr>
            </w:pPr>
            <w:r w:rsidRPr="00CF77C1">
              <w:rPr>
                <w:color w:val="000000"/>
                <w:sz w:val="20"/>
                <w:lang w:val="sr-Cyrl-RS"/>
              </w:rPr>
              <w:t>Тежински фактор</w:t>
            </w:r>
          </w:p>
        </w:tc>
        <w:tc>
          <w:tcPr>
            <w:tcW w:w="992" w:type="dxa"/>
            <w:vAlign w:val="center"/>
          </w:tcPr>
          <w:p w14:paraId="0A562ED8"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3</w:t>
            </w:r>
          </w:p>
        </w:tc>
        <w:tc>
          <w:tcPr>
            <w:tcW w:w="809" w:type="dxa"/>
            <w:vAlign w:val="center"/>
          </w:tcPr>
          <w:p w14:paraId="274FDCDA"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3DD85C81"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30619B61"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2B929BE6"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3273A138"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18FCB2F2"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316999F9"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3B44B7CE"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564C2536" w14:textId="77777777" w:rsidR="00FF1371" w:rsidRPr="00CF77C1" w:rsidRDefault="00FF1371" w:rsidP="00FC673F">
            <w:pPr>
              <w:keepNext/>
              <w:keepLines/>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423C7E7B" w14:textId="77777777" w:rsidR="00FF1371" w:rsidRPr="00CF77C1" w:rsidRDefault="00FF1371" w:rsidP="00FC673F">
            <w:pPr>
              <w:keepNext/>
              <w:keepLines/>
              <w:autoSpaceDE w:val="0"/>
              <w:autoSpaceDN w:val="0"/>
              <w:adjustRightInd w:val="0"/>
              <w:spacing w:before="0" w:after="0"/>
              <w:jc w:val="center"/>
              <w:rPr>
                <w:color w:val="000000"/>
                <w:sz w:val="20"/>
                <w:lang w:val="sr-Cyrl-RS"/>
              </w:rPr>
            </w:pPr>
          </w:p>
        </w:tc>
      </w:tr>
      <w:tr w:rsidR="00FF1371" w:rsidRPr="00CF77C1" w14:paraId="116E7864" w14:textId="77777777" w:rsidTr="00C34093">
        <w:trPr>
          <w:cantSplit/>
          <w:trHeight w:val="610"/>
        </w:trPr>
        <w:tc>
          <w:tcPr>
            <w:tcW w:w="456" w:type="dxa"/>
            <w:vAlign w:val="center"/>
          </w:tcPr>
          <w:p w14:paraId="495DBCC3" w14:textId="06A46514"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1</w:t>
            </w:r>
          </w:p>
        </w:tc>
        <w:tc>
          <w:tcPr>
            <w:tcW w:w="708" w:type="dxa"/>
            <w:vAlign w:val="center"/>
          </w:tcPr>
          <w:p w14:paraId="2C1F7409" w14:textId="20172351" w:rsidR="00FF1371" w:rsidRPr="00CF77C1" w:rsidRDefault="004E3B6F" w:rsidP="00BA424A">
            <w:pPr>
              <w:autoSpaceDE w:val="0"/>
              <w:autoSpaceDN w:val="0"/>
              <w:adjustRightInd w:val="0"/>
              <w:spacing w:before="0" w:after="0"/>
              <w:jc w:val="center"/>
              <w:rPr>
                <w:color w:val="000000"/>
                <w:sz w:val="20"/>
                <w:lang w:val="sr-Cyrl-RS"/>
              </w:rPr>
            </w:pPr>
            <w:r>
              <w:rPr>
                <w:sz w:val="20"/>
                <w:lang w:val="sr-Cyrl-RS"/>
              </w:rPr>
              <w:t>П.15</w:t>
            </w:r>
          </w:p>
        </w:tc>
        <w:tc>
          <w:tcPr>
            <w:tcW w:w="5387" w:type="dxa"/>
            <w:vAlign w:val="center"/>
          </w:tcPr>
          <w:p w14:paraId="4DB34606" w14:textId="77777777" w:rsidR="00FF1371" w:rsidRPr="00CF77C1" w:rsidRDefault="00FF1371"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изградње нових ветроелектрана укупне снаге до 500 MW на подручју Републике Србије</w:t>
            </w:r>
          </w:p>
        </w:tc>
        <w:tc>
          <w:tcPr>
            <w:tcW w:w="992" w:type="dxa"/>
            <w:vAlign w:val="center"/>
          </w:tcPr>
          <w:p w14:paraId="71923C5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809" w:type="dxa"/>
            <w:vAlign w:val="center"/>
          </w:tcPr>
          <w:p w14:paraId="12214ECA"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22D860FE"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620DC04C"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4496FD26"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6F7A76F7"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4832CB9B"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5FB9C61C"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9" w:type="dxa"/>
            <w:vAlign w:val="center"/>
          </w:tcPr>
          <w:p w14:paraId="74F200FA"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031C6ABD"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74378822"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81</w:t>
            </w:r>
          </w:p>
        </w:tc>
      </w:tr>
      <w:tr w:rsidR="00FF1371" w:rsidRPr="00CF77C1" w14:paraId="562660F3" w14:textId="77777777" w:rsidTr="00C34093">
        <w:trPr>
          <w:cantSplit/>
          <w:trHeight w:val="610"/>
        </w:trPr>
        <w:tc>
          <w:tcPr>
            <w:tcW w:w="456" w:type="dxa"/>
            <w:vAlign w:val="center"/>
          </w:tcPr>
          <w:p w14:paraId="560D5E48" w14:textId="6BC665FD"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2</w:t>
            </w:r>
          </w:p>
        </w:tc>
        <w:tc>
          <w:tcPr>
            <w:tcW w:w="708" w:type="dxa"/>
            <w:vAlign w:val="center"/>
          </w:tcPr>
          <w:p w14:paraId="59E6D4B5" w14:textId="107FBDFA" w:rsidR="00FF1371" w:rsidRPr="00CF77C1" w:rsidRDefault="004E3B6F" w:rsidP="00BA424A">
            <w:pPr>
              <w:autoSpaceDE w:val="0"/>
              <w:autoSpaceDN w:val="0"/>
              <w:adjustRightInd w:val="0"/>
              <w:spacing w:before="0" w:after="0"/>
              <w:jc w:val="center"/>
              <w:rPr>
                <w:color w:val="000000"/>
                <w:sz w:val="20"/>
                <w:lang w:val="sr-Cyrl-RS"/>
              </w:rPr>
            </w:pPr>
            <w:r>
              <w:rPr>
                <w:sz w:val="20"/>
                <w:lang w:val="sr-Cyrl-RS"/>
              </w:rPr>
              <w:t>П.27</w:t>
            </w:r>
          </w:p>
        </w:tc>
        <w:tc>
          <w:tcPr>
            <w:tcW w:w="5387" w:type="dxa"/>
            <w:vAlign w:val="center"/>
          </w:tcPr>
          <w:p w14:paraId="077B1AD2" w14:textId="77777777" w:rsidR="00FF1371" w:rsidRPr="00CF77C1" w:rsidRDefault="00FF1371" w:rsidP="00BA424A">
            <w:pPr>
              <w:autoSpaceDE w:val="0"/>
              <w:autoSpaceDN w:val="0"/>
              <w:adjustRightInd w:val="0"/>
              <w:spacing w:before="0" w:after="0"/>
              <w:jc w:val="left"/>
              <w:rPr>
                <w:color w:val="000000"/>
                <w:sz w:val="20"/>
                <w:lang w:val="sr-Cyrl-RS"/>
              </w:rPr>
            </w:pPr>
            <w:r w:rsidRPr="00CF77C1">
              <w:rPr>
                <w:color w:val="000000"/>
                <w:sz w:val="20"/>
                <w:lang w:val="sr-Cyrl-RS"/>
              </w:rPr>
              <w:t>Отварање заменских капацитета за постојеће површинске копове који престају са радом и отварање копова који ће бити намењени за нове термоенергетске капацитете</w:t>
            </w:r>
          </w:p>
        </w:tc>
        <w:tc>
          <w:tcPr>
            <w:tcW w:w="992" w:type="dxa"/>
            <w:vAlign w:val="center"/>
          </w:tcPr>
          <w:p w14:paraId="18C08F7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809" w:type="dxa"/>
            <w:vAlign w:val="center"/>
          </w:tcPr>
          <w:p w14:paraId="2E4C329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3C3D1EA6"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0FCD99B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5D8E483C"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3676085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9" w:type="dxa"/>
            <w:vAlign w:val="center"/>
          </w:tcPr>
          <w:p w14:paraId="692A52E2" w14:textId="4FC34DA9" w:rsidR="00FF1371" w:rsidRPr="00CF77C1" w:rsidRDefault="0049450C"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17BA962D"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6C1FE94D"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1F462E9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6275A421" w14:textId="66AFF382" w:rsidR="00FF1371" w:rsidRPr="00CF77C1" w:rsidRDefault="0049450C" w:rsidP="00BA424A">
            <w:pPr>
              <w:autoSpaceDE w:val="0"/>
              <w:autoSpaceDN w:val="0"/>
              <w:adjustRightInd w:val="0"/>
              <w:spacing w:before="0" w:after="0"/>
              <w:jc w:val="center"/>
              <w:rPr>
                <w:color w:val="000000"/>
                <w:sz w:val="20"/>
                <w:lang w:val="sr-Cyrl-RS"/>
              </w:rPr>
            </w:pPr>
            <w:r w:rsidRPr="00CF77C1">
              <w:rPr>
                <w:color w:val="000000"/>
                <w:sz w:val="20"/>
                <w:lang w:val="sr-Cyrl-RS"/>
              </w:rPr>
              <w:t>66</w:t>
            </w:r>
          </w:p>
        </w:tc>
      </w:tr>
      <w:tr w:rsidR="00FF1371" w:rsidRPr="00CF77C1" w14:paraId="3BF0D79F" w14:textId="77777777" w:rsidTr="00C34093">
        <w:trPr>
          <w:cantSplit/>
          <w:trHeight w:val="305"/>
        </w:trPr>
        <w:tc>
          <w:tcPr>
            <w:tcW w:w="456" w:type="dxa"/>
            <w:vAlign w:val="center"/>
          </w:tcPr>
          <w:p w14:paraId="196237C0" w14:textId="35437DD1"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3</w:t>
            </w:r>
          </w:p>
        </w:tc>
        <w:tc>
          <w:tcPr>
            <w:tcW w:w="708" w:type="dxa"/>
            <w:vAlign w:val="center"/>
          </w:tcPr>
          <w:p w14:paraId="680182AF" w14:textId="62A795FC" w:rsidR="00FF1371" w:rsidRPr="00CF77C1" w:rsidRDefault="004E3B6F" w:rsidP="00624C44">
            <w:pPr>
              <w:autoSpaceDE w:val="0"/>
              <w:autoSpaceDN w:val="0"/>
              <w:adjustRightInd w:val="0"/>
              <w:spacing w:before="0" w:after="0"/>
              <w:jc w:val="center"/>
              <w:rPr>
                <w:color w:val="000000"/>
                <w:sz w:val="20"/>
                <w:lang w:val="sr-Cyrl-RS"/>
              </w:rPr>
            </w:pPr>
            <w:r>
              <w:rPr>
                <w:sz w:val="20"/>
                <w:lang w:val="sr-Cyrl-RS"/>
              </w:rPr>
              <w:t>П.29</w:t>
            </w:r>
          </w:p>
        </w:tc>
        <w:tc>
          <w:tcPr>
            <w:tcW w:w="5387" w:type="dxa"/>
            <w:vAlign w:val="center"/>
          </w:tcPr>
          <w:p w14:paraId="1CFF6DC9" w14:textId="77777777" w:rsidR="00FF1371" w:rsidRPr="00CF77C1" w:rsidRDefault="00FF1371" w:rsidP="00624C44">
            <w:pPr>
              <w:autoSpaceDE w:val="0"/>
              <w:autoSpaceDN w:val="0"/>
              <w:adjustRightInd w:val="0"/>
              <w:spacing w:before="0" w:after="0"/>
              <w:jc w:val="left"/>
              <w:rPr>
                <w:color w:val="000000"/>
                <w:sz w:val="20"/>
                <w:lang w:val="sr-Cyrl-RS"/>
              </w:rPr>
            </w:pPr>
            <w:r w:rsidRPr="00CF77C1">
              <w:rPr>
                <w:color w:val="000000"/>
                <w:sz w:val="20"/>
                <w:lang w:val="sr-Cyrl-RS"/>
              </w:rPr>
              <w:t>Увођење система за управљање квалитетом угља</w:t>
            </w:r>
          </w:p>
        </w:tc>
        <w:tc>
          <w:tcPr>
            <w:tcW w:w="992" w:type="dxa"/>
            <w:vAlign w:val="center"/>
          </w:tcPr>
          <w:p w14:paraId="0E237550"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809" w:type="dxa"/>
            <w:vAlign w:val="center"/>
          </w:tcPr>
          <w:p w14:paraId="015847DF"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32C9E644"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069397A6"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672D6B38"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54773678"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9" w:type="dxa"/>
            <w:vAlign w:val="center"/>
          </w:tcPr>
          <w:p w14:paraId="7C718A22"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vAlign w:val="center"/>
          </w:tcPr>
          <w:p w14:paraId="2ACD33D0"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1D4976F9"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26660214"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326A8804" w14:textId="77777777" w:rsidR="00FF1371" w:rsidRPr="00CF77C1" w:rsidRDefault="00FF1371" w:rsidP="00624C44">
            <w:pPr>
              <w:autoSpaceDE w:val="0"/>
              <w:autoSpaceDN w:val="0"/>
              <w:adjustRightInd w:val="0"/>
              <w:spacing w:before="0" w:after="0"/>
              <w:jc w:val="center"/>
              <w:rPr>
                <w:color w:val="000000"/>
                <w:sz w:val="20"/>
                <w:lang w:val="sr-Cyrl-RS"/>
              </w:rPr>
            </w:pPr>
            <w:r w:rsidRPr="00CF77C1">
              <w:rPr>
                <w:color w:val="000000"/>
                <w:sz w:val="20"/>
                <w:lang w:val="sr-Cyrl-RS"/>
              </w:rPr>
              <w:t>65</w:t>
            </w:r>
          </w:p>
        </w:tc>
      </w:tr>
      <w:tr w:rsidR="00FF1371" w:rsidRPr="00CF77C1" w14:paraId="5E2AB587" w14:textId="77777777" w:rsidTr="00C34093">
        <w:trPr>
          <w:cantSplit/>
          <w:trHeight w:val="305"/>
        </w:trPr>
        <w:tc>
          <w:tcPr>
            <w:tcW w:w="456" w:type="dxa"/>
            <w:shd w:val="pct10" w:color="auto" w:fill="auto"/>
            <w:vAlign w:val="center"/>
          </w:tcPr>
          <w:p w14:paraId="218CC442" w14:textId="793E8BC5"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4</w:t>
            </w:r>
          </w:p>
        </w:tc>
        <w:tc>
          <w:tcPr>
            <w:tcW w:w="708" w:type="dxa"/>
            <w:shd w:val="pct10" w:color="auto" w:fill="auto"/>
            <w:vAlign w:val="center"/>
          </w:tcPr>
          <w:p w14:paraId="3051D51F" w14:textId="1F86D900" w:rsidR="00FF1371" w:rsidRPr="00CF77C1" w:rsidRDefault="004E3B6F" w:rsidP="00BA424A">
            <w:pPr>
              <w:autoSpaceDE w:val="0"/>
              <w:autoSpaceDN w:val="0"/>
              <w:adjustRightInd w:val="0"/>
              <w:spacing w:before="0" w:after="0"/>
              <w:jc w:val="center"/>
              <w:rPr>
                <w:color w:val="000000"/>
                <w:sz w:val="20"/>
                <w:lang w:val="sr-Cyrl-RS"/>
              </w:rPr>
            </w:pPr>
            <w:r>
              <w:rPr>
                <w:sz w:val="20"/>
                <w:lang w:val="sr-Cyrl-RS"/>
              </w:rPr>
              <w:t>П.18</w:t>
            </w:r>
          </w:p>
        </w:tc>
        <w:tc>
          <w:tcPr>
            <w:tcW w:w="5387" w:type="dxa"/>
            <w:shd w:val="pct10" w:color="auto" w:fill="auto"/>
            <w:vAlign w:val="center"/>
          </w:tcPr>
          <w:p w14:paraId="4E69C221" w14:textId="77777777" w:rsidR="00FF1371" w:rsidRPr="00CF77C1" w:rsidRDefault="00FF1371" w:rsidP="006760DE">
            <w:pPr>
              <w:autoSpaceDE w:val="0"/>
              <w:autoSpaceDN w:val="0"/>
              <w:adjustRightInd w:val="0"/>
              <w:spacing w:before="0" w:after="0"/>
              <w:jc w:val="left"/>
              <w:rPr>
                <w:color w:val="000000"/>
                <w:sz w:val="20"/>
                <w:lang w:val="sr-Cyrl-RS"/>
              </w:rPr>
            </w:pPr>
            <w:r w:rsidRPr="00CF77C1">
              <w:rPr>
                <w:sz w:val="20"/>
                <w:lang w:val="sr-Cyrl-RS"/>
              </w:rPr>
              <w:t>Стрaтeшки прojeкaт „Дубoка прeрaда”</w:t>
            </w:r>
          </w:p>
        </w:tc>
        <w:tc>
          <w:tcPr>
            <w:tcW w:w="992" w:type="dxa"/>
            <w:shd w:val="pct10" w:color="auto" w:fill="auto"/>
            <w:vAlign w:val="center"/>
          </w:tcPr>
          <w:p w14:paraId="4A494AD9"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809" w:type="dxa"/>
            <w:shd w:val="pct10" w:color="auto" w:fill="auto"/>
            <w:vAlign w:val="center"/>
          </w:tcPr>
          <w:p w14:paraId="78C93F0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B839B00"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62DE3653"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01D6FA81"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2F54CD01"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shd w:val="pct10" w:color="auto" w:fill="auto"/>
            <w:vAlign w:val="center"/>
          </w:tcPr>
          <w:p w14:paraId="6349644C"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shd w:val="pct10" w:color="auto" w:fill="auto"/>
            <w:vAlign w:val="center"/>
          </w:tcPr>
          <w:p w14:paraId="1199ACA7"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4F812B81"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shd w:val="pct10" w:color="auto" w:fill="auto"/>
            <w:vAlign w:val="center"/>
          </w:tcPr>
          <w:p w14:paraId="296ECD7B"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shd w:val="pct10" w:color="auto" w:fill="auto"/>
            <w:vAlign w:val="center"/>
          </w:tcPr>
          <w:p w14:paraId="1ACDA47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64</w:t>
            </w:r>
          </w:p>
        </w:tc>
      </w:tr>
      <w:tr w:rsidR="00FF1371" w:rsidRPr="00CF77C1" w14:paraId="65D0830E" w14:textId="77777777" w:rsidTr="00C34093">
        <w:trPr>
          <w:cantSplit/>
          <w:trHeight w:val="305"/>
        </w:trPr>
        <w:tc>
          <w:tcPr>
            <w:tcW w:w="456" w:type="dxa"/>
            <w:shd w:val="pct10" w:color="auto" w:fill="auto"/>
            <w:vAlign w:val="center"/>
          </w:tcPr>
          <w:p w14:paraId="2782EF82" w14:textId="6F850464"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5</w:t>
            </w:r>
          </w:p>
        </w:tc>
        <w:tc>
          <w:tcPr>
            <w:tcW w:w="708" w:type="dxa"/>
            <w:shd w:val="pct10" w:color="auto" w:fill="auto"/>
            <w:vAlign w:val="center"/>
          </w:tcPr>
          <w:p w14:paraId="652B248B" w14:textId="1AD155A8" w:rsidR="00FF1371" w:rsidRPr="00CF77C1" w:rsidRDefault="00FF1371"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_Ref476806001 \r \h  \* MERGEFORMAT </w:instrText>
            </w:r>
            <w:r w:rsidRPr="00CF77C1">
              <w:rPr>
                <w:sz w:val="20"/>
                <w:lang w:val="sr-Cyrl-RS"/>
              </w:rPr>
            </w:r>
            <w:r w:rsidRPr="00CF77C1">
              <w:rPr>
                <w:sz w:val="20"/>
                <w:lang w:val="sr-Cyrl-RS"/>
              </w:rPr>
              <w:fldChar w:fldCharType="separate"/>
            </w:r>
            <w:r w:rsidR="002D5918">
              <w:rPr>
                <w:sz w:val="20"/>
                <w:lang w:val="sr-Cyrl-RS"/>
              </w:rPr>
              <w:t>П.5</w:t>
            </w:r>
            <w:r w:rsidRPr="00CF77C1">
              <w:rPr>
                <w:sz w:val="20"/>
                <w:lang w:val="sr-Cyrl-RS"/>
              </w:rPr>
              <w:fldChar w:fldCharType="end"/>
            </w:r>
          </w:p>
        </w:tc>
        <w:tc>
          <w:tcPr>
            <w:tcW w:w="5387" w:type="dxa"/>
            <w:shd w:val="pct10" w:color="auto" w:fill="auto"/>
            <w:vAlign w:val="center"/>
          </w:tcPr>
          <w:p w14:paraId="4325CBED" w14:textId="77777777" w:rsidR="00FF1371" w:rsidRPr="00CF77C1" w:rsidRDefault="00FF1371"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„Унапређење мерне инфраструктуре”</w:t>
            </w:r>
          </w:p>
        </w:tc>
        <w:tc>
          <w:tcPr>
            <w:tcW w:w="992" w:type="dxa"/>
            <w:shd w:val="pct10" w:color="auto" w:fill="auto"/>
            <w:vAlign w:val="center"/>
          </w:tcPr>
          <w:p w14:paraId="1C0D1E5D"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809" w:type="dxa"/>
            <w:shd w:val="pct10" w:color="auto" w:fill="auto"/>
            <w:vAlign w:val="center"/>
          </w:tcPr>
          <w:p w14:paraId="3E529267"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00C7513D"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79844023"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shd w:val="pct10" w:color="auto" w:fill="auto"/>
            <w:vAlign w:val="center"/>
          </w:tcPr>
          <w:p w14:paraId="619D7AA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717701F3"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shd w:val="pct10" w:color="auto" w:fill="auto"/>
            <w:vAlign w:val="center"/>
          </w:tcPr>
          <w:p w14:paraId="7D92CAB3"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037725CC"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0CF1C4D3"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shd w:val="pct10" w:color="auto" w:fill="auto"/>
            <w:vAlign w:val="center"/>
          </w:tcPr>
          <w:p w14:paraId="32189198"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73963DDF"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60</w:t>
            </w:r>
          </w:p>
        </w:tc>
      </w:tr>
      <w:tr w:rsidR="00FF1371" w:rsidRPr="00CF77C1" w14:paraId="400B6CA3" w14:textId="77777777" w:rsidTr="00FC673F">
        <w:trPr>
          <w:cantSplit/>
          <w:trHeight w:val="682"/>
        </w:trPr>
        <w:tc>
          <w:tcPr>
            <w:tcW w:w="456" w:type="dxa"/>
            <w:vAlign w:val="center"/>
          </w:tcPr>
          <w:p w14:paraId="0B409145" w14:textId="5D066BE2"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6</w:t>
            </w:r>
          </w:p>
        </w:tc>
        <w:tc>
          <w:tcPr>
            <w:tcW w:w="708" w:type="dxa"/>
            <w:vAlign w:val="center"/>
          </w:tcPr>
          <w:p w14:paraId="4711CE18" w14:textId="1D535D7C" w:rsidR="00FF1371" w:rsidRPr="00CF77C1" w:rsidRDefault="00FF1371"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_Ref476805981 \r \h  \* MERGEFORMAT </w:instrText>
            </w:r>
            <w:r w:rsidRPr="00CF77C1">
              <w:rPr>
                <w:sz w:val="20"/>
                <w:lang w:val="sr-Cyrl-RS"/>
              </w:rPr>
            </w:r>
            <w:r w:rsidRPr="00CF77C1">
              <w:rPr>
                <w:sz w:val="20"/>
                <w:lang w:val="sr-Cyrl-RS"/>
              </w:rPr>
              <w:fldChar w:fldCharType="separate"/>
            </w:r>
            <w:r w:rsidR="002D5918">
              <w:rPr>
                <w:sz w:val="20"/>
                <w:lang w:val="sr-Cyrl-RS"/>
              </w:rPr>
              <w:t>П.2</w:t>
            </w:r>
            <w:r w:rsidRPr="00CF77C1">
              <w:rPr>
                <w:sz w:val="20"/>
                <w:lang w:val="sr-Cyrl-RS"/>
              </w:rPr>
              <w:fldChar w:fldCharType="end"/>
            </w:r>
          </w:p>
        </w:tc>
        <w:tc>
          <w:tcPr>
            <w:tcW w:w="5387" w:type="dxa"/>
            <w:vAlign w:val="center"/>
          </w:tcPr>
          <w:p w14:paraId="111C5A3E" w14:textId="39B78553" w:rsidR="00FF1371" w:rsidRPr="00CF77C1" w:rsidRDefault="00FF1371" w:rsidP="00C3571E">
            <w:pPr>
              <w:autoSpaceDE w:val="0"/>
              <w:autoSpaceDN w:val="0"/>
              <w:adjustRightInd w:val="0"/>
              <w:spacing w:before="0" w:after="0"/>
              <w:jc w:val="left"/>
              <w:rPr>
                <w:color w:val="000000"/>
                <w:sz w:val="20"/>
                <w:lang w:val="sr-Cyrl-RS"/>
              </w:rPr>
            </w:pPr>
            <w:r w:rsidRPr="00CF77C1">
              <w:rPr>
                <w:sz w:val="20"/>
                <w:lang w:val="sr-Cyrl-RS"/>
              </w:rPr>
              <w:t>Пројекат „Трансбалкански коридор”</w:t>
            </w:r>
            <w:r w:rsidR="00674EB5" w:rsidRPr="00CF77C1">
              <w:rPr>
                <w:sz w:val="20"/>
                <w:lang w:val="sr-Cyrl-RS"/>
              </w:rPr>
              <w:t xml:space="preserve"> </w:t>
            </w:r>
            <w:r w:rsidRPr="00CF77C1">
              <w:rPr>
                <w:sz w:val="20"/>
                <w:lang w:val="sr-Cyrl-RS"/>
              </w:rPr>
              <w:t>(ЈЛИП-Е, PECI, PCI (секција Решица - Панчево)</w:t>
            </w:r>
            <w:r w:rsidR="00C34093" w:rsidRPr="00CF77C1">
              <w:rPr>
                <w:sz w:val="20"/>
                <w:lang w:val="sr-Cyrl-RS"/>
              </w:rPr>
              <w:t>,</w:t>
            </w:r>
            <w:r w:rsidRPr="00CF77C1">
              <w:rPr>
                <w:sz w:val="20"/>
                <w:lang w:val="sr-Cyrl-RS"/>
              </w:rPr>
              <w:t xml:space="preserve"> WBIF</w:t>
            </w:r>
            <w:r w:rsidR="00C34093" w:rsidRPr="00CF77C1">
              <w:rPr>
                <w:sz w:val="20"/>
                <w:lang w:val="sr-Cyrl-RS"/>
              </w:rPr>
              <w:t xml:space="preserve"> и WB6</w:t>
            </w:r>
            <w:r w:rsidR="00C3571E" w:rsidRPr="00CF77C1">
              <w:rPr>
                <w:sz w:val="20"/>
                <w:lang w:val="sr-Cyrl-RS"/>
              </w:rPr>
              <w:t xml:space="preserve"> (секција Крагујевац 2 - Краљево 3 и доградња ТС Краљево 3)</w:t>
            </w:r>
            <w:r w:rsidRPr="00CF77C1">
              <w:rPr>
                <w:sz w:val="20"/>
                <w:lang w:val="sr-Cyrl-RS"/>
              </w:rPr>
              <w:t>)</w:t>
            </w:r>
          </w:p>
        </w:tc>
        <w:tc>
          <w:tcPr>
            <w:tcW w:w="992" w:type="dxa"/>
            <w:vAlign w:val="center"/>
          </w:tcPr>
          <w:p w14:paraId="07BEC91B"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809" w:type="dxa"/>
            <w:vAlign w:val="center"/>
          </w:tcPr>
          <w:p w14:paraId="3D35B659"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50A14E3F"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57439F87"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584BD34F"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6FF672A9"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5C99ABFD"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0E67E6A6"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9" w:type="dxa"/>
            <w:vAlign w:val="center"/>
          </w:tcPr>
          <w:p w14:paraId="43082AB2"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vAlign w:val="center"/>
          </w:tcPr>
          <w:p w14:paraId="2B5AD7F1"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571AF3E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59</w:t>
            </w:r>
          </w:p>
        </w:tc>
      </w:tr>
      <w:tr w:rsidR="00FF1371" w:rsidRPr="00CF77C1" w14:paraId="2ED1094D" w14:textId="77777777" w:rsidTr="00C34093">
        <w:trPr>
          <w:cantSplit/>
          <w:trHeight w:val="610"/>
        </w:trPr>
        <w:tc>
          <w:tcPr>
            <w:tcW w:w="456" w:type="dxa"/>
            <w:vAlign w:val="center"/>
          </w:tcPr>
          <w:p w14:paraId="115377E5" w14:textId="5A65AB2C"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7</w:t>
            </w:r>
          </w:p>
        </w:tc>
        <w:tc>
          <w:tcPr>
            <w:tcW w:w="708" w:type="dxa"/>
            <w:vAlign w:val="center"/>
          </w:tcPr>
          <w:p w14:paraId="4A2B3507" w14:textId="093F9131" w:rsidR="00FF1371" w:rsidRPr="00CF77C1" w:rsidRDefault="004E3B6F" w:rsidP="00BA424A">
            <w:pPr>
              <w:autoSpaceDE w:val="0"/>
              <w:autoSpaceDN w:val="0"/>
              <w:adjustRightInd w:val="0"/>
              <w:spacing w:before="0" w:after="0"/>
              <w:jc w:val="center"/>
              <w:rPr>
                <w:color w:val="000000"/>
                <w:sz w:val="20"/>
                <w:lang w:val="sr-Cyrl-RS"/>
              </w:rPr>
            </w:pPr>
            <w:r>
              <w:rPr>
                <w:sz w:val="20"/>
                <w:lang w:val="sr-Cyrl-RS"/>
              </w:rPr>
              <w:t>П.21</w:t>
            </w:r>
          </w:p>
        </w:tc>
        <w:tc>
          <w:tcPr>
            <w:tcW w:w="5387" w:type="dxa"/>
            <w:vAlign w:val="center"/>
          </w:tcPr>
          <w:p w14:paraId="769E2727" w14:textId="77777777" w:rsidR="00FF1371" w:rsidRPr="00CF77C1" w:rsidRDefault="00FF1371" w:rsidP="00A0631B">
            <w:pPr>
              <w:autoSpaceDE w:val="0"/>
              <w:autoSpaceDN w:val="0"/>
              <w:adjustRightInd w:val="0"/>
              <w:spacing w:before="0" w:after="0"/>
              <w:jc w:val="left"/>
              <w:rPr>
                <w:color w:val="000000"/>
                <w:sz w:val="20"/>
                <w:lang w:val="sr-Cyrl-RS"/>
              </w:rPr>
            </w:pPr>
            <w:r w:rsidRPr="00CF77C1">
              <w:rPr>
                <w:sz w:val="20"/>
                <w:lang w:val="sr-Cyrl-RS"/>
              </w:rPr>
              <w:t>Пројекат гасне интерконекције Србија - Бугарска, магистрални гасовод МГ-10 Ниш - Димитровград (граница са Бугарском) (ЈЛИП-Е, PECI, PCI, CESEC)</w:t>
            </w:r>
          </w:p>
        </w:tc>
        <w:tc>
          <w:tcPr>
            <w:tcW w:w="992" w:type="dxa"/>
            <w:vAlign w:val="center"/>
          </w:tcPr>
          <w:p w14:paraId="2C510CAA"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809" w:type="dxa"/>
            <w:vAlign w:val="center"/>
          </w:tcPr>
          <w:p w14:paraId="3C5F9539"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39EC7FC7"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0EEC77D"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2367EA37"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649117B8"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2D47E295"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vAlign w:val="center"/>
          </w:tcPr>
          <w:p w14:paraId="39CC47D2"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6CEC0706"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vAlign w:val="center"/>
          </w:tcPr>
          <w:p w14:paraId="35D652D0"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7A33C31C" w14:textId="77777777" w:rsidR="00FF1371" w:rsidRPr="00CF77C1" w:rsidRDefault="00FF1371" w:rsidP="00DB6984">
            <w:pPr>
              <w:autoSpaceDE w:val="0"/>
              <w:autoSpaceDN w:val="0"/>
              <w:adjustRightInd w:val="0"/>
              <w:spacing w:before="0" w:after="0"/>
              <w:jc w:val="center"/>
              <w:rPr>
                <w:color w:val="000000"/>
                <w:sz w:val="20"/>
                <w:lang w:val="sr-Cyrl-RS"/>
              </w:rPr>
            </w:pPr>
            <w:r w:rsidRPr="00CF77C1">
              <w:rPr>
                <w:color w:val="000000"/>
                <w:sz w:val="20"/>
                <w:lang w:val="sr-Cyrl-RS"/>
              </w:rPr>
              <w:t>55</w:t>
            </w:r>
          </w:p>
        </w:tc>
      </w:tr>
      <w:tr w:rsidR="00FF1371" w:rsidRPr="00CF77C1" w14:paraId="0A1A6CF3" w14:textId="77777777" w:rsidTr="00C34093">
        <w:trPr>
          <w:cantSplit/>
          <w:trHeight w:val="610"/>
        </w:trPr>
        <w:tc>
          <w:tcPr>
            <w:tcW w:w="456" w:type="dxa"/>
            <w:vAlign w:val="center"/>
          </w:tcPr>
          <w:p w14:paraId="245E99AE" w14:textId="09648A4F"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8</w:t>
            </w:r>
          </w:p>
        </w:tc>
        <w:tc>
          <w:tcPr>
            <w:tcW w:w="708" w:type="dxa"/>
            <w:vAlign w:val="center"/>
          </w:tcPr>
          <w:p w14:paraId="5C3A5F5B" w14:textId="13336659" w:rsidR="00FF1371" w:rsidRPr="00CF77C1" w:rsidRDefault="00FF1371" w:rsidP="00EB087E">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_Ref476806021 \r \h  \* MERGEFORMAT </w:instrText>
            </w:r>
            <w:r w:rsidRPr="00CF77C1">
              <w:rPr>
                <w:sz w:val="20"/>
                <w:lang w:val="sr-Cyrl-RS"/>
              </w:rPr>
            </w:r>
            <w:r w:rsidRPr="00CF77C1">
              <w:rPr>
                <w:sz w:val="20"/>
                <w:lang w:val="sr-Cyrl-RS"/>
              </w:rPr>
              <w:fldChar w:fldCharType="separate"/>
            </w:r>
            <w:r w:rsidR="002D5918">
              <w:rPr>
                <w:sz w:val="20"/>
                <w:lang w:val="sr-Cyrl-RS"/>
              </w:rPr>
              <w:t>П.10</w:t>
            </w:r>
            <w:r w:rsidRPr="00CF77C1">
              <w:rPr>
                <w:sz w:val="20"/>
                <w:lang w:val="sr-Cyrl-RS"/>
              </w:rPr>
              <w:fldChar w:fldCharType="end"/>
            </w:r>
          </w:p>
        </w:tc>
        <w:tc>
          <w:tcPr>
            <w:tcW w:w="5387" w:type="dxa"/>
            <w:vAlign w:val="center"/>
          </w:tcPr>
          <w:p w14:paraId="46691A46" w14:textId="77777777" w:rsidR="00FF1371" w:rsidRPr="00CF77C1" w:rsidRDefault="00FF1371" w:rsidP="00BA424A">
            <w:pPr>
              <w:autoSpaceDE w:val="0"/>
              <w:autoSpaceDN w:val="0"/>
              <w:adjustRightInd w:val="0"/>
              <w:spacing w:before="0" w:after="0"/>
              <w:jc w:val="left"/>
              <w:rPr>
                <w:color w:val="000000"/>
                <w:sz w:val="20"/>
                <w:lang w:val="sr-Cyrl-RS"/>
              </w:rPr>
            </w:pPr>
            <w:r w:rsidRPr="00CF77C1">
              <w:rPr>
                <w:color w:val="000000"/>
                <w:sz w:val="20"/>
                <w:lang w:val="sr-Cyrl-RS"/>
              </w:rPr>
              <w:t>Снабдевање Београда топлотном енергијом из ТЕ „Никола Тесла А” топлодалеководом капацитета од 600 MW топлотне енергије</w:t>
            </w:r>
          </w:p>
        </w:tc>
        <w:tc>
          <w:tcPr>
            <w:tcW w:w="992" w:type="dxa"/>
            <w:vAlign w:val="center"/>
          </w:tcPr>
          <w:p w14:paraId="4921BEB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809" w:type="dxa"/>
            <w:vAlign w:val="center"/>
          </w:tcPr>
          <w:p w14:paraId="2E9DDFF9"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79A63277"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77EAE55B"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096DC41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5307FC0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745C33F7"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10427701"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60DC26F8"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vAlign w:val="center"/>
          </w:tcPr>
          <w:p w14:paraId="78CFEE7A"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5BFCBE39"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54</w:t>
            </w:r>
          </w:p>
        </w:tc>
      </w:tr>
      <w:tr w:rsidR="00FF1371" w:rsidRPr="00CF77C1" w14:paraId="1E655D5E" w14:textId="77777777" w:rsidTr="00C34093">
        <w:trPr>
          <w:cantSplit/>
          <w:trHeight w:val="305"/>
        </w:trPr>
        <w:tc>
          <w:tcPr>
            <w:tcW w:w="456" w:type="dxa"/>
            <w:shd w:val="pct10" w:color="auto" w:fill="auto"/>
            <w:vAlign w:val="center"/>
          </w:tcPr>
          <w:p w14:paraId="32D24A65" w14:textId="711AAB93"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9</w:t>
            </w:r>
          </w:p>
        </w:tc>
        <w:tc>
          <w:tcPr>
            <w:tcW w:w="708" w:type="dxa"/>
            <w:shd w:val="pct10" w:color="auto" w:fill="auto"/>
            <w:vAlign w:val="center"/>
          </w:tcPr>
          <w:p w14:paraId="487CCD4C" w14:textId="0666A9FA" w:rsidR="00FF1371" w:rsidRPr="00CF77C1" w:rsidRDefault="004E3B6F" w:rsidP="00EB087E">
            <w:pPr>
              <w:autoSpaceDE w:val="0"/>
              <w:autoSpaceDN w:val="0"/>
              <w:adjustRightInd w:val="0"/>
              <w:spacing w:before="0" w:after="0"/>
              <w:jc w:val="center"/>
              <w:rPr>
                <w:color w:val="000000"/>
                <w:sz w:val="20"/>
                <w:lang w:val="sr-Cyrl-RS"/>
              </w:rPr>
            </w:pPr>
            <w:r>
              <w:rPr>
                <w:sz w:val="20"/>
                <w:lang w:val="sr-Cyrl-RS"/>
              </w:rPr>
              <w:t>П.16</w:t>
            </w:r>
          </w:p>
        </w:tc>
        <w:tc>
          <w:tcPr>
            <w:tcW w:w="5387" w:type="dxa"/>
            <w:shd w:val="pct10" w:color="auto" w:fill="auto"/>
            <w:vAlign w:val="center"/>
          </w:tcPr>
          <w:p w14:paraId="76DCB6D2" w14:textId="77777777" w:rsidR="00FF1371" w:rsidRPr="00CF77C1" w:rsidRDefault="00FF1371" w:rsidP="00A0631B">
            <w:pPr>
              <w:autoSpaceDE w:val="0"/>
              <w:autoSpaceDN w:val="0"/>
              <w:adjustRightInd w:val="0"/>
              <w:spacing w:before="0" w:after="0"/>
              <w:jc w:val="left"/>
              <w:rPr>
                <w:color w:val="000000"/>
                <w:sz w:val="20"/>
                <w:lang w:val="sr-Cyrl-RS"/>
              </w:rPr>
            </w:pPr>
            <w:r w:rsidRPr="00CF77C1">
              <w:rPr>
                <w:color w:val="000000"/>
                <w:sz w:val="20"/>
                <w:lang w:val="sr-Cyrl-RS"/>
              </w:rPr>
              <w:t>Пројекат преласка котларница на биомасу (Немачка - РС)</w:t>
            </w:r>
          </w:p>
        </w:tc>
        <w:tc>
          <w:tcPr>
            <w:tcW w:w="992" w:type="dxa"/>
            <w:shd w:val="pct10" w:color="auto" w:fill="auto"/>
            <w:vAlign w:val="center"/>
          </w:tcPr>
          <w:p w14:paraId="0C5E8ACE"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809" w:type="dxa"/>
            <w:shd w:val="pct10" w:color="auto" w:fill="auto"/>
            <w:vAlign w:val="center"/>
          </w:tcPr>
          <w:p w14:paraId="21FFC5B2"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6C5014BA"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shd w:val="pct10" w:color="auto" w:fill="auto"/>
            <w:vAlign w:val="center"/>
          </w:tcPr>
          <w:p w14:paraId="57382652"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shd w:val="pct10" w:color="auto" w:fill="auto"/>
            <w:vAlign w:val="center"/>
          </w:tcPr>
          <w:p w14:paraId="2022F048"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7768C17C"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08D3AF41"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shd w:val="pct10" w:color="auto" w:fill="auto"/>
            <w:vAlign w:val="center"/>
          </w:tcPr>
          <w:p w14:paraId="3BF7182C"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1167155F"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shd w:val="pct10" w:color="auto" w:fill="auto"/>
            <w:vAlign w:val="center"/>
          </w:tcPr>
          <w:p w14:paraId="3AAB98A1"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640B3E6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54</w:t>
            </w:r>
          </w:p>
        </w:tc>
      </w:tr>
      <w:tr w:rsidR="00FF1371" w:rsidRPr="00CF77C1" w14:paraId="591F8152" w14:textId="77777777" w:rsidTr="00C34093">
        <w:trPr>
          <w:cantSplit/>
          <w:trHeight w:val="305"/>
        </w:trPr>
        <w:tc>
          <w:tcPr>
            <w:tcW w:w="456" w:type="dxa"/>
            <w:vAlign w:val="center"/>
          </w:tcPr>
          <w:p w14:paraId="31BBAD3A" w14:textId="4CEA3EDB" w:rsidR="00FF1371" w:rsidRPr="00CF77C1" w:rsidRDefault="00FF1371" w:rsidP="00FF1371">
            <w:pPr>
              <w:autoSpaceDE w:val="0"/>
              <w:autoSpaceDN w:val="0"/>
              <w:adjustRightInd w:val="0"/>
              <w:spacing w:before="0" w:after="0"/>
              <w:jc w:val="center"/>
              <w:rPr>
                <w:sz w:val="20"/>
                <w:lang w:val="sr-Cyrl-RS"/>
              </w:rPr>
            </w:pPr>
            <w:r w:rsidRPr="00CF77C1">
              <w:rPr>
                <w:sz w:val="20"/>
                <w:lang w:val="sr-Cyrl-RS"/>
              </w:rPr>
              <w:t>10</w:t>
            </w:r>
          </w:p>
        </w:tc>
        <w:tc>
          <w:tcPr>
            <w:tcW w:w="708" w:type="dxa"/>
            <w:vAlign w:val="center"/>
          </w:tcPr>
          <w:p w14:paraId="07F147E4" w14:textId="52353AC6" w:rsidR="00FF1371" w:rsidRPr="00CF77C1" w:rsidRDefault="004E3B6F" w:rsidP="00BA424A">
            <w:pPr>
              <w:autoSpaceDE w:val="0"/>
              <w:autoSpaceDN w:val="0"/>
              <w:adjustRightInd w:val="0"/>
              <w:spacing w:before="0" w:after="0"/>
              <w:jc w:val="center"/>
              <w:rPr>
                <w:color w:val="000000"/>
                <w:sz w:val="20"/>
                <w:lang w:val="sr-Cyrl-RS"/>
              </w:rPr>
            </w:pPr>
            <w:r>
              <w:rPr>
                <w:sz w:val="20"/>
                <w:lang w:val="sr-Cyrl-RS"/>
              </w:rPr>
              <w:t>П.19</w:t>
            </w:r>
          </w:p>
        </w:tc>
        <w:tc>
          <w:tcPr>
            <w:tcW w:w="5387" w:type="dxa"/>
            <w:vAlign w:val="center"/>
          </w:tcPr>
          <w:p w14:paraId="4E5FA3AF" w14:textId="77777777" w:rsidR="00FF1371" w:rsidRPr="00CF77C1" w:rsidRDefault="00FF1371" w:rsidP="00F0139B">
            <w:pPr>
              <w:autoSpaceDE w:val="0"/>
              <w:autoSpaceDN w:val="0"/>
              <w:adjustRightInd w:val="0"/>
              <w:spacing w:before="0" w:after="0"/>
              <w:jc w:val="left"/>
              <w:rPr>
                <w:color w:val="000000"/>
                <w:sz w:val="20"/>
                <w:lang w:val="sr-Cyrl-RS"/>
              </w:rPr>
            </w:pPr>
            <w:r w:rsidRPr="00CF77C1">
              <w:rPr>
                <w:sz w:val="20"/>
                <w:lang w:val="sr-Cyrl-RS"/>
              </w:rPr>
              <w:t>Пројекат „Изградња Првог објекта система продуктовода”</w:t>
            </w:r>
          </w:p>
        </w:tc>
        <w:tc>
          <w:tcPr>
            <w:tcW w:w="992" w:type="dxa"/>
            <w:vAlign w:val="center"/>
          </w:tcPr>
          <w:p w14:paraId="461750B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809" w:type="dxa"/>
            <w:vAlign w:val="center"/>
          </w:tcPr>
          <w:p w14:paraId="07800B52"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563EFAEA"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92CD0B4"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574F603B"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1B2BA548"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9" w:type="dxa"/>
            <w:vAlign w:val="center"/>
          </w:tcPr>
          <w:p w14:paraId="74707992"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vAlign w:val="center"/>
          </w:tcPr>
          <w:p w14:paraId="19F4BBA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5CCF681B"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vAlign w:val="center"/>
          </w:tcPr>
          <w:p w14:paraId="1BD9B25F"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099CA2D5" w14:textId="77777777" w:rsidR="00FF1371" w:rsidRPr="00CF77C1" w:rsidRDefault="00FF1371" w:rsidP="00BA424A">
            <w:pPr>
              <w:autoSpaceDE w:val="0"/>
              <w:autoSpaceDN w:val="0"/>
              <w:adjustRightInd w:val="0"/>
              <w:spacing w:before="0" w:after="0"/>
              <w:jc w:val="center"/>
              <w:rPr>
                <w:color w:val="000000"/>
                <w:sz w:val="20"/>
                <w:lang w:val="sr-Cyrl-RS"/>
              </w:rPr>
            </w:pPr>
            <w:r w:rsidRPr="00CF77C1">
              <w:rPr>
                <w:color w:val="000000"/>
                <w:sz w:val="20"/>
                <w:lang w:val="sr-Cyrl-RS"/>
              </w:rPr>
              <w:t>53</w:t>
            </w:r>
          </w:p>
        </w:tc>
      </w:tr>
      <w:tr w:rsidR="00572939" w:rsidRPr="00CF77C1" w14:paraId="4D3FF20A" w14:textId="77777777" w:rsidTr="00572939">
        <w:trPr>
          <w:cantSplit/>
          <w:trHeight w:val="610"/>
        </w:trPr>
        <w:tc>
          <w:tcPr>
            <w:tcW w:w="456" w:type="dxa"/>
            <w:shd w:val="clear" w:color="auto" w:fill="auto"/>
            <w:vAlign w:val="center"/>
          </w:tcPr>
          <w:p w14:paraId="5D1BE680" w14:textId="135371DB"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11</w:t>
            </w:r>
          </w:p>
        </w:tc>
        <w:tc>
          <w:tcPr>
            <w:tcW w:w="708" w:type="dxa"/>
            <w:shd w:val="clear" w:color="auto" w:fill="auto"/>
            <w:vAlign w:val="center"/>
          </w:tcPr>
          <w:p w14:paraId="1266AADF" w14:textId="741B49C7" w:rsidR="00572939" w:rsidRPr="00CF77C1" w:rsidRDefault="00572939" w:rsidP="00EB087E">
            <w:pPr>
              <w:autoSpaceDE w:val="0"/>
              <w:autoSpaceDN w:val="0"/>
              <w:adjustRightInd w:val="0"/>
              <w:spacing w:before="0" w:after="0"/>
              <w:jc w:val="center"/>
              <w:rPr>
                <w:sz w:val="20"/>
                <w:lang w:val="sr-Cyrl-RS"/>
              </w:rPr>
            </w:pPr>
            <w:r w:rsidRPr="00CF77C1">
              <w:rPr>
                <w:sz w:val="20"/>
                <w:lang w:val="sr-Cyrl-RS"/>
              </w:rPr>
              <w:fldChar w:fldCharType="begin"/>
            </w:r>
            <w:r w:rsidRPr="00CF77C1">
              <w:rPr>
                <w:sz w:val="20"/>
                <w:lang w:val="sr-Cyrl-RS"/>
              </w:rPr>
              <w:instrText xml:space="preserve"> REF _Ref479966482 \r \h  \* MERGEFORMAT </w:instrText>
            </w:r>
            <w:r w:rsidRPr="00CF77C1">
              <w:rPr>
                <w:sz w:val="20"/>
                <w:lang w:val="sr-Cyrl-RS"/>
              </w:rPr>
            </w:r>
            <w:r w:rsidRPr="00CF77C1">
              <w:rPr>
                <w:sz w:val="20"/>
                <w:lang w:val="sr-Cyrl-RS"/>
              </w:rPr>
              <w:fldChar w:fldCharType="separate"/>
            </w:r>
            <w:r w:rsidR="002D5918">
              <w:rPr>
                <w:sz w:val="20"/>
                <w:lang w:val="sr-Cyrl-RS"/>
              </w:rPr>
              <w:t>П.9</w:t>
            </w:r>
            <w:r w:rsidRPr="00CF77C1">
              <w:rPr>
                <w:sz w:val="20"/>
                <w:lang w:val="sr-Cyrl-RS"/>
              </w:rPr>
              <w:fldChar w:fldCharType="end"/>
            </w:r>
          </w:p>
        </w:tc>
        <w:tc>
          <w:tcPr>
            <w:tcW w:w="5387" w:type="dxa"/>
            <w:shd w:val="clear" w:color="auto" w:fill="auto"/>
            <w:vAlign w:val="center"/>
          </w:tcPr>
          <w:p w14:paraId="07B5F5D9" w14:textId="1DFD0D0C"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заштите животне средине у области производње електричне енергије из електрана ЕП</w:t>
            </w:r>
            <w:r w:rsidR="001741AC" w:rsidRPr="00CF77C1">
              <w:rPr>
                <w:color w:val="000000"/>
                <w:sz w:val="20"/>
                <w:lang w:val="sr-Cyrl-RS"/>
              </w:rPr>
              <w:t>С</w:t>
            </w:r>
            <w:r w:rsidRPr="00CF77C1">
              <w:rPr>
                <w:color w:val="000000"/>
                <w:sz w:val="20"/>
                <w:lang w:val="sr-Cyrl-RS"/>
              </w:rPr>
              <w:t xml:space="preserve"> (</w:t>
            </w:r>
            <w:r w:rsidRPr="00CF77C1">
              <w:rPr>
                <w:sz w:val="20"/>
                <w:lang w:val="sr-Cyrl-RS"/>
              </w:rPr>
              <w:t>ЈЛИП-Е</w:t>
            </w:r>
            <w:r w:rsidRPr="00CF77C1">
              <w:rPr>
                <w:color w:val="000000"/>
                <w:sz w:val="20"/>
                <w:lang w:val="sr-Cyrl-RS"/>
              </w:rPr>
              <w:t>)</w:t>
            </w:r>
          </w:p>
        </w:tc>
        <w:tc>
          <w:tcPr>
            <w:tcW w:w="992" w:type="dxa"/>
            <w:shd w:val="clear" w:color="auto" w:fill="auto"/>
            <w:vAlign w:val="center"/>
          </w:tcPr>
          <w:p w14:paraId="6AA52839" w14:textId="092506A1"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1</w:t>
            </w:r>
          </w:p>
        </w:tc>
        <w:tc>
          <w:tcPr>
            <w:tcW w:w="809" w:type="dxa"/>
            <w:shd w:val="clear" w:color="auto" w:fill="auto"/>
            <w:vAlign w:val="center"/>
          </w:tcPr>
          <w:p w14:paraId="5D04FADB" w14:textId="6C7C113F"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3</w:t>
            </w:r>
          </w:p>
        </w:tc>
        <w:tc>
          <w:tcPr>
            <w:tcW w:w="708" w:type="dxa"/>
            <w:shd w:val="clear" w:color="auto" w:fill="auto"/>
            <w:vAlign w:val="center"/>
          </w:tcPr>
          <w:p w14:paraId="23188FD5" w14:textId="6EAE9804"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1</w:t>
            </w:r>
          </w:p>
        </w:tc>
        <w:tc>
          <w:tcPr>
            <w:tcW w:w="708" w:type="dxa"/>
            <w:shd w:val="clear" w:color="auto" w:fill="auto"/>
            <w:vAlign w:val="center"/>
          </w:tcPr>
          <w:p w14:paraId="0052A3EB" w14:textId="3B0AD4A7"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3</w:t>
            </w:r>
          </w:p>
        </w:tc>
        <w:tc>
          <w:tcPr>
            <w:tcW w:w="709" w:type="dxa"/>
            <w:shd w:val="clear" w:color="auto" w:fill="auto"/>
            <w:vAlign w:val="center"/>
          </w:tcPr>
          <w:p w14:paraId="7D67110F" w14:textId="298CE69B"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1</w:t>
            </w:r>
          </w:p>
        </w:tc>
        <w:tc>
          <w:tcPr>
            <w:tcW w:w="708" w:type="dxa"/>
            <w:shd w:val="clear" w:color="auto" w:fill="auto"/>
            <w:vAlign w:val="center"/>
          </w:tcPr>
          <w:p w14:paraId="76067079" w14:textId="1D779D48"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1</w:t>
            </w:r>
          </w:p>
        </w:tc>
        <w:tc>
          <w:tcPr>
            <w:tcW w:w="709" w:type="dxa"/>
            <w:shd w:val="clear" w:color="auto" w:fill="auto"/>
            <w:vAlign w:val="center"/>
          </w:tcPr>
          <w:p w14:paraId="7015BC21" w14:textId="10D985E3"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5</w:t>
            </w:r>
          </w:p>
        </w:tc>
        <w:tc>
          <w:tcPr>
            <w:tcW w:w="708" w:type="dxa"/>
            <w:shd w:val="clear" w:color="auto" w:fill="auto"/>
            <w:vAlign w:val="center"/>
          </w:tcPr>
          <w:p w14:paraId="0CDF26AB" w14:textId="03F207D2"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1</w:t>
            </w:r>
          </w:p>
        </w:tc>
        <w:tc>
          <w:tcPr>
            <w:tcW w:w="709" w:type="dxa"/>
            <w:shd w:val="clear" w:color="auto" w:fill="auto"/>
            <w:vAlign w:val="center"/>
          </w:tcPr>
          <w:p w14:paraId="67DB1827" w14:textId="7722B929"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3</w:t>
            </w:r>
          </w:p>
        </w:tc>
        <w:tc>
          <w:tcPr>
            <w:tcW w:w="708" w:type="dxa"/>
            <w:shd w:val="clear" w:color="auto" w:fill="auto"/>
            <w:vAlign w:val="center"/>
          </w:tcPr>
          <w:p w14:paraId="5B3A8C8C" w14:textId="0A264ABD"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4</w:t>
            </w:r>
          </w:p>
        </w:tc>
        <w:tc>
          <w:tcPr>
            <w:tcW w:w="709" w:type="dxa"/>
            <w:shd w:val="clear" w:color="auto" w:fill="auto"/>
            <w:vAlign w:val="center"/>
          </w:tcPr>
          <w:p w14:paraId="702EC4C7" w14:textId="7A0DFD6A"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t>51</w:t>
            </w:r>
          </w:p>
        </w:tc>
      </w:tr>
      <w:tr w:rsidR="00572939" w:rsidRPr="00CF77C1" w14:paraId="4DCC546D" w14:textId="77777777" w:rsidTr="00C34093">
        <w:trPr>
          <w:cantSplit/>
          <w:trHeight w:val="610"/>
        </w:trPr>
        <w:tc>
          <w:tcPr>
            <w:tcW w:w="456" w:type="dxa"/>
            <w:shd w:val="pct10" w:color="auto" w:fill="auto"/>
            <w:vAlign w:val="center"/>
          </w:tcPr>
          <w:p w14:paraId="4DFB0B26" w14:textId="51E19978"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12</w:t>
            </w:r>
          </w:p>
        </w:tc>
        <w:tc>
          <w:tcPr>
            <w:tcW w:w="708" w:type="dxa"/>
            <w:shd w:val="pct10" w:color="auto" w:fill="auto"/>
            <w:vAlign w:val="center"/>
          </w:tcPr>
          <w:p w14:paraId="32E77E95" w14:textId="6D497483" w:rsidR="00572939" w:rsidRPr="00CF77C1" w:rsidRDefault="004E3B6F" w:rsidP="00EB087E">
            <w:pPr>
              <w:autoSpaceDE w:val="0"/>
              <w:autoSpaceDN w:val="0"/>
              <w:adjustRightInd w:val="0"/>
              <w:spacing w:before="0" w:after="0"/>
              <w:jc w:val="center"/>
              <w:rPr>
                <w:color w:val="000000"/>
                <w:sz w:val="20"/>
                <w:lang w:val="sr-Cyrl-RS"/>
              </w:rPr>
            </w:pPr>
            <w:r>
              <w:rPr>
                <w:sz w:val="20"/>
                <w:lang w:val="sr-Cyrl-RS"/>
              </w:rPr>
              <w:t>П.30</w:t>
            </w:r>
          </w:p>
        </w:tc>
        <w:tc>
          <w:tcPr>
            <w:tcW w:w="5387" w:type="dxa"/>
            <w:shd w:val="pct10" w:color="auto" w:fill="auto"/>
            <w:vAlign w:val="center"/>
          </w:tcPr>
          <w:p w14:paraId="75EFE26F" w14:textId="365FABD1"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Увођење нове организаци</w:t>
            </w:r>
            <w:r w:rsidR="001741AC" w:rsidRPr="00CF77C1">
              <w:rPr>
                <w:color w:val="000000"/>
                <w:sz w:val="20"/>
                <w:lang w:val="sr-Cyrl-RS"/>
              </w:rPr>
              <w:t>је на површинским коповима ЕПС</w:t>
            </w:r>
            <w:r w:rsidRPr="00CF77C1">
              <w:rPr>
                <w:color w:val="000000"/>
                <w:sz w:val="20"/>
                <w:lang w:val="sr-Cyrl-RS"/>
              </w:rPr>
              <w:t xml:space="preserve"> у циљу унапређења рада и повећања ефикас</w:t>
            </w:r>
            <w:r w:rsidR="001741AC" w:rsidRPr="00CF77C1">
              <w:rPr>
                <w:color w:val="000000"/>
                <w:sz w:val="20"/>
                <w:lang w:val="sr-Cyrl-RS"/>
              </w:rPr>
              <w:t>ности површинских копова у ЕПС</w:t>
            </w:r>
          </w:p>
        </w:tc>
        <w:tc>
          <w:tcPr>
            <w:tcW w:w="992" w:type="dxa"/>
            <w:shd w:val="pct10" w:color="auto" w:fill="auto"/>
            <w:vAlign w:val="center"/>
          </w:tcPr>
          <w:p w14:paraId="0ECEA108"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809" w:type="dxa"/>
            <w:shd w:val="pct10" w:color="auto" w:fill="auto"/>
            <w:vAlign w:val="center"/>
          </w:tcPr>
          <w:p w14:paraId="2804682E"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shd w:val="pct10" w:color="auto" w:fill="auto"/>
            <w:vAlign w:val="center"/>
          </w:tcPr>
          <w:p w14:paraId="4C1D6FFF"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205E67D3"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60C1C97D"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055BB753"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2A94A8BF"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shd w:val="pct10" w:color="auto" w:fill="auto"/>
            <w:vAlign w:val="center"/>
          </w:tcPr>
          <w:p w14:paraId="241A66B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shd w:val="pct10" w:color="auto" w:fill="auto"/>
            <w:vAlign w:val="center"/>
          </w:tcPr>
          <w:p w14:paraId="23E2CD8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shd w:val="pct10" w:color="auto" w:fill="auto"/>
            <w:vAlign w:val="center"/>
          </w:tcPr>
          <w:p w14:paraId="4EF3681E"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6AEE29F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51</w:t>
            </w:r>
          </w:p>
        </w:tc>
      </w:tr>
      <w:tr w:rsidR="00572939" w:rsidRPr="00CF77C1" w14:paraId="26EE3D67" w14:textId="77777777" w:rsidTr="00C34093">
        <w:trPr>
          <w:cantSplit/>
          <w:trHeight w:val="305"/>
        </w:trPr>
        <w:tc>
          <w:tcPr>
            <w:tcW w:w="456" w:type="dxa"/>
            <w:shd w:val="pct10" w:color="auto" w:fill="auto"/>
            <w:vAlign w:val="center"/>
          </w:tcPr>
          <w:p w14:paraId="32CFAAE5" w14:textId="06923DB0"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13</w:t>
            </w:r>
          </w:p>
        </w:tc>
        <w:tc>
          <w:tcPr>
            <w:tcW w:w="708" w:type="dxa"/>
            <w:shd w:val="pct10" w:color="auto" w:fill="auto"/>
            <w:vAlign w:val="center"/>
          </w:tcPr>
          <w:p w14:paraId="63DBF01A" w14:textId="185F8994"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_Ref476805948 \r \h  \* MERGEFORMAT </w:instrText>
            </w:r>
            <w:r w:rsidRPr="00CF77C1">
              <w:rPr>
                <w:sz w:val="20"/>
                <w:lang w:val="sr-Cyrl-RS"/>
              </w:rPr>
            </w:r>
            <w:r w:rsidRPr="00CF77C1">
              <w:rPr>
                <w:sz w:val="20"/>
                <w:lang w:val="sr-Cyrl-RS"/>
              </w:rPr>
              <w:fldChar w:fldCharType="separate"/>
            </w:r>
            <w:r w:rsidR="002D5918">
              <w:rPr>
                <w:sz w:val="20"/>
                <w:lang w:val="sr-Cyrl-RS"/>
              </w:rPr>
              <w:t>П.1</w:t>
            </w:r>
            <w:r w:rsidRPr="00CF77C1">
              <w:rPr>
                <w:sz w:val="20"/>
                <w:lang w:val="sr-Cyrl-RS"/>
              </w:rPr>
              <w:fldChar w:fldCharType="end"/>
            </w:r>
          </w:p>
        </w:tc>
        <w:tc>
          <w:tcPr>
            <w:tcW w:w="5387" w:type="dxa"/>
            <w:shd w:val="pct10" w:color="auto" w:fill="auto"/>
            <w:vAlign w:val="center"/>
          </w:tcPr>
          <w:p w14:paraId="0796F848" w14:textId="7777777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изградње новог блока у ТЕ Костолац Б3</w:t>
            </w:r>
          </w:p>
        </w:tc>
        <w:tc>
          <w:tcPr>
            <w:tcW w:w="992" w:type="dxa"/>
            <w:shd w:val="pct10" w:color="auto" w:fill="auto"/>
            <w:vAlign w:val="center"/>
          </w:tcPr>
          <w:p w14:paraId="45BF85AC"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809" w:type="dxa"/>
            <w:shd w:val="pct10" w:color="auto" w:fill="auto"/>
            <w:vAlign w:val="center"/>
          </w:tcPr>
          <w:p w14:paraId="5F77F511"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shd w:val="pct10" w:color="auto" w:fill="auto"/>
            <w:vAlign w:val="center"/>
          </w:tcPr>
          <w:p w14:paraId="1801885C"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0DD8FC9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585E745C"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3AA2C8E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9" w:type="dxa"/>
            <w:shd w:val="pct10" w:color="auto" w:fill="auto"/>
            <w:vAlign w:val="center"/>
          </w:tcPr>
          <w:p w14:paraId="1202642B"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shd w:val="pct10" w:color="auto" w:fill="auto"/>
            <w:vAlign w:val="center"/>
          </w:tcPr>
          <w:p w14:paraId="00C9911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4FCF5C5E"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shd w:val="pct10" w:color="auto" w:fill="auto"/>
            <w:vAlign w:val="center"/>
          </w:tcPr>
          <w:p w14:paraId="6117738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5BB76D70"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49</w:t>
            </w:r>
          </w:p>
        </w:tc>
      </w:tr>
      <w:tr w:rsidR="001C4E4D" w:rsidRPr="00CF77C1" w14:paraId="24B02DA2" w14:textId="77777777" w:rsidTr="00A8674F">
        <w:trPr>
          <w:cantSplit/>
          <w:trHeight w:val="610"/>
        </w:trPr>
        <w:tc>
          <w:tcPr>
            <w:tcW w:w="456" w:type="dxa"/>
            <w:vAlign w:val="center"/>
          </w:tcPr>
          <w:p w14:paraId="699CB360" w14:textId="51ECAF60" w:rsidR="001C4E4D" w:rsidRPr="00CF77C1" w:rsidRDefault="001C4E4D" w:rsidP="00A8674F">
            <w:pPr>
              <w:autoSpaceDE w:val="0"/>
              <w:autoSpaceDN w:val="0"/>
              <w:adjustRightInd w:val="0"/>
              <w:spacing w:before="0" w:after="0"/>
              <w:jc w:val="center"/>
              <w:rPr>
                <w:sz w:val="20"/>
                <w:lang w:val="sr-Cyrl-RS"/>
              </w:rPr>
            </w:pPr>
            <w:r w:rsidRPr="00CF77C1">
              <w:rPr>
                <w:sz w:val="20"/>
                <w:lang w:val="sr-Cyrl-RS"/>
              </w:rPr>
              <w:t>14</w:t>
            </w:r>
          </w:p>
        </w:tc>
        <w:tc>
          <w:tcPr>
            <w:tcW w:w="708" w:type="dxa"/>
            <w:vAlign w:val="center"/>
          </w:tcPr>
          <w:p w14:paraId="3B9A521A" w14:textId="2473C0CB" w:rsidR="001C4E4D" w:rsidRPr="00CF77C1" w:rsidRDefault="004E3B6F" w:rsidP="00A8674F">
            <w:pPr>
              <w:autoSpaceDE w:val="0"/>
              <w:autoSpaceDN w:val="0"/>
              <w:adjustRightInd w:val="0"/>
              <w:spacing w:before="0" w:after="0"/>
              <w:jc w:val="center"/>
              <w:rPr>
                <w:color w:val="000000"/>
                <w:sz w:val="20"/>
                <w:lang w:val="sr-Cyrl-RS"/>
              </w:rPr>
            </w:pPr>
            <w:r>
              <w:rPr>
                <w:sz w:val="20"/>
                <w:lang w:val="sr-Cyrl-RS"/>
              </w:rPr>
              <w:t>П.23</w:t>
            </w:r>
          </w:p>
        </w:tc>
        <w:tc>
          <w:tcPr>
            <w:tcW w:w="5387" w:type="dxa"/>
            <w:vAlign w:val="center"/>
          </w:tcPr>
          <w:p w14:paraId="2A4C7C53" w14:textId="77777777" w:rsidR="001C4E4D" w:rsidRPr="00CF77C1" w:rsidRDefault="001C4E4D" w:rsidP="00A8674F">
            <w:pPr>
              <w:autoSpaceDE w:val="0"/>
              <w:autoSpaceDN w:val="0"/>
              <w:adjustRightInd w:val="0"/>
              <w:spacing w:before="0" w:after="0"/>
              <w:jc w:val="left"/>
              <w:rPr>
                <w:color w:val="000000"/>
                <w:sz w:val="20"/>
                <w:lang w:val="sr-Cyrl-RS"/>
              </w:rPr>
            </w:pPr>
            <w:r w:rsidRPr="00CF77C1">
              <w:rPr>
                <w:sz w:val="20"/>
                <w:lang w:val="sr-Cyrl-RS"/>
              </w:rPr>
              <w:t>Пројекaт гасне интерконекције Србија - Румунија, гасовод Мокрин - Арад (граница са Румунијом) (ЈЛИП-Е)</w:t>
            </w:r>
          </w:p>
        </w:tc>
        <w:tc>
          <w:tcPr>
            <w:tcW w:w="992" w:type="dxa"/>
            <w:vAlign w:val="center"/>
          </w:tcPr>
          <w:p w14:paraId="534A3D90"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809" w:type="dxa"/>
            <w:vAlign w:val="center"/>
          </w:tcPr>
          <w:p w14:paraId="6228AD1B"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D85BEF2"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1EFB3776"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268B72C6"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4EBEE5A7"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0C7D1BB3"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vAlign w:val="center"/>
          </w:tcPr>
          <w:p w14:paraId="369C6850"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9" w:type="dxa"/>
            <w:vAlign w:val="center"/>
          </w:tcPr>
          <w:p w14:paraId="295A8713"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10FCBEB8"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4B2D5204" w14:textId="77777777" w:rsidR="001C4E4D" w:rsidRPr="00CF77C1" w:rsidRDefault="001C4E4D" w:rsidP="00A8674F">
            <w:pPr>
              <w:autoSpaceDE w:val="0"/>
              <w:autoSpaceDN w:val="0"/>
              <w:adjustRightInd w:val="0"/>
              <w:spacing w:before="0" w:after="0"/>
              <w:jc w:val="center"/>
              <w:rPr>
                <w:color w:val="000000"/>
                <w:sz w:val="20"/>
                <w:lang w:val="sr-Cyrl-RS"/>
              </w:rPr>
            </w:pPr>
            <w:r w:rsidRPr="00CF77C1">
              <w:rPr>
                <w:color w:val="000000"/>
                <w:sz w:val="20"/>
                <w:lang w:val="sr-Cyrl-RS"/>
              </w:rPr>
              <w:t>48</w:t>
            </w:r>
          </w:p>
        </w:tc>
      </w:tr>
      <w:tr w:rsidR="00572939" w:rsidRPr="00CF77C1" w14:paraId="7BCB18BD" w14:textId="77777777" w:rsidTr="00C34093">
        <w:trPr>
          <w:cantSplit/>
          <w:trHeight w:val="305"/>
        </w:trPr>
        <w:tc>
          <w:tcPr>
            <w:tcW w:w="456" w:type="dxa"/>
            <w:vAlign w:val="center"/>
          </w:tcPr>
          <w:p w14:paraId="1CB6587C" w14:textId="1E906194"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1</w:t>
            </w:r>
            <w:r w:rsidR="001C4E4D" w:rsidRPr="00CF77C1">
              <w:rPr>
                <w:sz w:val="20"/>
                <w:lang w:val="sr-Cyrl-RS"/>
              </w:rPr>
              <w:t>5</w:t>
            </w:r>
          </w:p>
        </w:tc>
        <w:tc>
          <w:tcPr>
            <w:tcW w:w="708" w:type="dxa"/>
            <w:vAlign w:val="center"/>
          </w:tcPr>
          <w:p w14:paraId="1A6D4C24" w14:textId="5827C52C" w:rsidR="00572939" w:rsidRPr="00CF77C1" w:rsidRDefault="004E3B6F" w:rsidP="00BA424A">
            <w:pPr>
              <w:autoSpaceDE w:val="0"/>
              <w:autoSpaceDN w:val="0"/>
              <w:adjustRightInd w:val="0"/>
              <w:spacing w:before="0" w:after="0"/>
              <w:jc w:val="center"/>
              <w:rPr>
                <w:color w:val="000000"/>
                <w:sz w:val="20"/>
                <w:lang w:val="sr-Cyrl-RS"/>
              </w:rPr>
            </w:pPr>
            <w:r>
              <w:rPr>
                <w:sz w:val="20"/>
                <w:lang w:val="sr-Cyrl-RS"/>
              </w:rPr>
              <w:t>П.24</w:t>
            </w:r>
          </w:p>
        </w:tc>
        <w:tc>
          <w:tcPr>
            <w:tcW w:w="5387" w:type="dxa"/>
            <w:vAlign w:val="center"/>
          </w:tcPr>
          <w:p w14:paraId="6E0EB24E" w14:textId="7777777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Пројекaт проширења капацитета подземног складишта гаса Банатски Двор</w:t>
            </w:r>
          </w:p>
        </w:tc>
        <w:tc>
          <w:tcPr>
            <w:tcW w:w="992" w:type="dxa"/>
            <w:vAlign w:val="center"/>
          </w:tcPr>
          <w:p w14:paraId="44DB4123"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809" w:type="dxa"/>
            <w:vAlign w:val="center"/>
          </w:tcPr>
          <w:p w14:paraId="2A5EBDA6"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0F9E4C4B"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6E19B8F"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58198D45"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674D857A"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24068B5D"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vAlign w:val="center"/>
          </w:tcPr>
          <w:p w14:paraId="2A1D33CC"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3D58D7C0"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1459B4E6"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507D8E5B"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47</w:t>
            </w:r>
          </w:p>
        </w:tc>
      </w:tr>
      <w:tr w:rsidR="00572939" w:rsidRPr="00CF77C1" w14:paraId="22B6129D" w14:textId="77777777" w:rsidTr="00C34093">
        <w:trPr>
          <w:cantSplit/>
          <w:trHeight w:val="305"/>
        </w:trPr>
        <w:tc>
          <w:tcPr>
            <w:tcW w:w="456" w:type="dxa"/>
            <w:shd w:val="pct10" w:color="auto" w:fill="auto"/>
            <w:vAlign w:val="center"/>
          </w:tcPr>
          <w:p w14:paraId="39810924" w14:textId="1DC18610"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1</w:t>
            </w:r>
            <w:r w:rsidR="001C4E4D" w:rsidRPr="00CF77C1">
              <w:rPr>
                <w:sz w:val="20"/>
                <w:lang w:val="sr-Cyrl-RS"/>
              </w:rPr>
              <w:t>6</w:t>
            </w:r>
          </w:p>
        </w:tc>
        <w:tc>
          <w:tcPr>
            <w:tcW w:w="708" w:type="dxa"/>
            <w:shd w:val="pct10" w:color="auto" w:fill="auto"/>
            <w:vAlign w:val="center"/>
          </w:tcPr>
          <w:p w14:paraId="264874EF" w14:textId="13FD2A5C" w:rsidR="00572939" w:rsidRPr="00CF77C1" w:rsidRDefault="004E3B6F" w:rsidP="00BA424A">
            <w:pPr>
              <w:autoSpaceDE w:val="0"/>
              <w:autoSpaceDN w:val="0"/>
              <w:adjustRightInd w:val="0"/>
              <w:spacing w:before="0" w:after="0"/>
              <w:jc w:val="center"/>
              <w:rPr>
                <w:color w:val="000000"/>
                <w:sz w:val="20"/>
                <w:lang w:val="sr-Cyrl-RS"/>
              </w:rPr>
            </w:pPr>
            <w:r>
              <w:rPr>
                <w:sz w:val="20"/>
                <w:lang w:val="sr-Cyrl-RS"/>
              </w:rPr>
              <w:t>П.26</w:t>
            </w:r>
          </w:p>
        </w:tc>
        <w:tc>
          <w:tcPr>
            <w:tcW w:w="5387" w:type="dxa"/>
            <w:shd w:val="pct10" w:color="auto" w:fill="auto"/>
            <w:vAlign w:val="center"/>
          </w:tcPr>
          <w:p w14:paraId="44BAB9E8" w14:textId="7777777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Интензивирање истраживања лежишта угља на целој територији Републике Србије</w:t>
            </w:r>
          </w:p>
        </w:tc>
        <w:tc>
          <w:tcPr>
            <w:tcW w:w="992" w:type="dxa"/>
            <w:shd w:val="pct10" w:color="auto" w:fill="auto"/>
            <w:vAlign w:val="center"/>
          </w:tcPr>
          <w:p w14:paraId="4A7AE541"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809" w:type="dxa"/>
            <w:shd w:val="pct10" w:color="auto" w:fill="auto"/>
            <w:vAlign w:val="center"/>
          </w:tcPr>
          <w:p w14:paraId="67B9BEA2"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shd w:val="pct10" w:color="auto" w:fill="auto"/>
            <w:vAlign w:val="center"/>
          </w:tcPr>
          <w:p w14:paraId="5BD34CC1"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4346446"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78F7BB4D"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2D96C10"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7A137BA6"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shd w:val="pct10" w:color="auto" w:fill="auto"/>
            <w:vAlign w:val="center"/>
          </w:tcPr>
          <w:p w14:paraId="587B875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shd w:val="pct10" w:color="auto" w:fill="auto"/>
            <w:vAlign w:val="center"/>
          </w:tcPr>
          <w:p w14:paraId="1603EDFF"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shd w:val="pct10" w:color="auto" w:fill="auto"/>
            <w:vAlign w:val="center"/>
          </w:tcPr>
          <w:p w14:paraId="2FCE1DDD"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115C730A"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45</w:t>
            </w:r>
          </w:p>
        </w:tc>
      </w:tr>
      <w:tr w:rsidR="00572939" w:rsidRPr="00CF77C1" w14:paraId="4EC09D71" w14:textId="77777777" w:rsidTr="00FF1371">
        <w:trPr>
          <w:cantSplit/>
          <w:trHeight w:val="914"/>
        </w:trPr>
        <w:tc>
          <w:tcPr>
            <w:tcW w:w="456" w:type="dxa"/>
            <w:vAlign w:val="center"/>
          </w:tcPr>
          <w:p w14:paraId="3DF4CB8E" w14:textId="662CBC67"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1</w:t>
            </w:r>
            <w:r w:rsidR="001C4E4D" w:rsidRPr="00CF77C1">
              <w:rPr>
                <w:sz w:val="20"/>
                <w:lang w:val="sr-Cyrl-RS"/>
              </w:rPr>
              <w:t>7</w:t>
            </w:r>
          </w:p>
        </w:tc>
        <w:tc>
          <w:tcPr>
            <w:tcW w:w="708" w:type="dxa"/>
            <w:vAlign w:val="center"/>
          </w:tcPr>
          <w:p w14:paraId="7331DB1A" w14:textId="085D7288"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_Ref476806007 \r \h  \* MERGEFORMAT </w:instrText>
            </w:r>
            <w:r w:rsidRPr="00CF77C1">
              <w:rPr>
                <w:sz w:val="20"/>
                <w:lang w:val="sr-Cyrl-RS"/>
              </w:rPr>
            </w:r>
            <w:r w:rsidRPr="00CF77C1">
              <w:rPr>
                <w:sz w:val="20"/>
                <w:lang w:val="sr-Cyrl-RS"/>
              </w:rPr>
              <w:fldChar w:fldCharType="separate"/>
            </w:r>
            <w:r w:rsidR="002D5918">
              <w:rPr>
                <w:sz w:val="20"/>
                <w:lang w:val="sr-Cyrl-RS"/>
              </w:rPr>
              <w:t>П.7</w:t>
            </w:r>
            <w:r w:rsidRPr="00CF77C1">
              <w:rPr>
                <w:sz w:val="20"/>
                <w:lang w:val="sr-Cyrl-RS"/>
              </w:rPr>
              <w:fldChar w:fldCharType="end"/>
            </w:r>
          </w:p>
        </w:tc>
        <w:tc>
          <w:tcPr>
            <w:tcW w:w="5387" w:type="dxa"/>
            <w:vAlign w:val="center"/>
          </w:tcPr>
          <w:p w14:paraId="5AAF7073" w14:textId="7963E83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реконструкције ТС 110/X kV на крају експлоатационог века у циљу повећања безбедности рада и сигурности напајања и повећања ефикасности дистрибуције електричне енергије на напонском нивоу 110 kV</w:t>
            </w:r>
          </w:p>
        </w:tc>
        <w:tc>
          <w:tcPr>
            <w:tcW w:w="992" w:type="dxa"/>
            <w:vAlign w:val="center"/>
          </w:tcPr>
          <w:p w14:paraId="1779DD4C"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809" w:type="dxa"/>
            <w:vAlign w:val="center"/>
          </w:tcPr>
          <w:p w14:paraId="392B673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51231161"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95E87C3"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4A8B0F4B"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53D686B6"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67FAE57B"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1F429912"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58F704E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vAlign w:val="center"/>
          </w:tcPr>
          <w:p w14:paraId="1784090F"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3F5C3095"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42</w:t>
            </w:r>
          </w:p>
        </w:tc>
      </w:tr>
      <w:tr w:rsidR="00572939" w:rsidRPr="00CF77C1" w14:paraId="03BD81BA" w14:textId="77777777" w:rsidTr="00FF1371">
        <w:trPr>
          <w:cantSplit/>
          <w:trHeight w:val="305"/>
        </w:trPr>
        <w:tc>
          <w:tcPr>
            <w:tcW w:w="456" w:type="dxa"/>
            <w:vAlign w:val="center"/>
          </w:tcPr>
          <w:p w14:paraId="6831D3E8" w14:textId="58F2055A"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18</w:t>
            </w:r>
          </w:p>
        </w:tc>
        <w:tc>
          <w:tcPr>
            <w:tcW w:w="708" w:type="dxa"/>
            <w:vAlign w:val="center"/>
          </w:tcPr>
          <w:p w14:paraId="5A9B6AF5" w14:textId="35EBBFA7" w:rsidR="00572939" w:rsidRPr="00CF77C1" w:rsidRDefault="004E3B6F" w:rsidP="00BA424A">
            <w:pPr>
              <w:autoSpaceDE w:val="0"/>
              <w:autoSpaceDN w:val="0"/>
              <w:adjustRightInd w:val="0"/>
              <w:spacing w:before="0" w:after="0"/>
              <w:jc w:val="center"/>
              <w:rPr>
                <w:color w:val="000000"/>
                <w:sz w:val="20"/>
                <w:lang w:val="sr-Cyrl-RS"/>
              </w:rPr>
            </w:pPr>
            <w:r>
              <w:rPr>
                <w:sz w:val="20"/>
                <w:lang w:val="sr-Cyrl-RS"/>
              </w:rPr>
              <w:t>П.25</w:t>
            </w:r>
          </w:p>
        </w:tc>
        <w:tc>
          <w:tcPr>
            <w:tcW w:w="5387" w:type="dxa"/>
            <w:vAlign w:val="center"/>
          </w:tcPr>
          <w:p w14:paraId="176326A0" w14:textId="7777777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Изградња магистралних, разводних и дистрибутивних гасовода</w:t>
            </w:r>
          </w:p>
        </w:tc>
        <w:tc>
          <w:tcPr>
            <w:tcW w:w="992" w:type="dxa"/>
            <w:vAlign w:val="center"/>
          </w:tcPr>
          <w:p w14:paraId="51CD97FF"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809" w:type="dxa"/>
            <w:vAlign w:val="center"/>
          </w:tcPr>
          <w:p w14:paraId="574D039A"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0900F59"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71A9B274"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16300647"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B6D881E"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440BB4D3"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vAlign w:val="center"/>
          </w:tcPr>
          <w:p w14:paraId="1024D8E6"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70A1A5A6"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045CD70E"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78B2F066"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42</w:t>
            </w:r>
          </w:p>
        </w:tc>
      </w:tr>
      <w:tr w:rsidR="00572939" w:rsidRPr="00CF77C1" w14:paraId="07A1B786" w14:textId="77777777" w:rsidTr="00C34093">
        <w:trPr>
          <w:cantSplit/>
          <w:trHeight w:val="610"/>
        </w:trPr>
        <w:tc>
          <w:tcPr>
            <w:tcW w:w="456" w:type="dxa"/>
            <w:vAlign w:val="center"/>
          </w:tcPr>
          <w:p w14:paraId="723CF3D9" w14:textId="1B2204F6" w:rsidR="00572939" w:rsidRPr="00CF77C1" w:rsidRDefault="00572939" w:rsidP="00373085">
            <w:pPr>
              <w:autoSpaceDE w:val="0"/>
              <w:autoSpaceDN w:val="0"/>
              <w:adjustRightInd w:val="0"/>
              <w:spacing w:before="0" w:after="0"/>
              <w:jc w:val="center"/>
              <w:rPr>
                <w:sz w:val="20"/>
                <w:lang w:val="sr-Cyrl-RS"/>
              </w:rPr>
            </w:pPr>
            <w:r w:rsidRPr="00CF77C1">
              <w:rPr>
                <w:sz w:val="20"/>
                <w:lang w:val="sr-Cyrl-RS"/>
              </w:rPr>
              <w:t>19</w:t>
            </w:r>
          </w:p>
        </w:tc>
        <w:tc>
          <w:tcPr>
            <w:tcW w:w="708" w:type="dxa"/>
            <w:vAlign w:val="center"/>
          </w:tcPr>
          <w:p w14:paraId="2763C272" w14:textId="686EB5FC" w:rsidR="00572939" w:rsidRPr="00CF77C1" w:rsidRDefault="004E3B6F" w:rsidP="00373085">
            <w:pPr>
              <w:autoSpaceDE w:val="0"/>
              <w:autoSpaceDN w:val="0"/>
              <w:adjustRightInd w:val="0"/>
              <w:spacing w:before="0" w:after="0"/>
              <w:jc w:val="center"/>
              <w:rPr>
                <w:color w:val="000000"/>
                <w:sz w:val="20"/>
                <w:lang w:val="sr-Cyrl-RS"/>
              </w:rPr>
            </w:pPr>
            <w:r>
              <w:rPr>
                <w:sz w:val="20"/>
                <w:lang w:val="sr-Cyrl-RS"/>
              </w:rPr>
              <w:t>П.28</w:t>
            </w:r>
          </w:p>
        </w:tc>
        <w:tc>
          <w:tcPr>
            <w:tcW w:w="5387" w:type="dxa"/>
            <w:vAlign w:val="center"/>
          </w:tcPr>
          <w:p w14:paraId="39275792" w14:textId="1CFF767A" w:rsidR="00572939" w:rsidRPr="00CF77C1" w:rsidRDefault="00572939" w:rsidP="00A01B84">
            <w:pPr>
              <w:autoSpaceDE w:val="0"/>
              <w:autoSpaceDN w:val="0"/>
              <w:adjustRightInd w:val="0"/>
              <w:spacing w:before="0" w:after="0"/>
              <w:jc w:val="left"/>
              <w:rPr>
                <w:color w:val="000000"/>
                <w:sz w:val="20"/>
                <w:lang w:val="sr-Cyrl-RS"/>
              </w:rPr>
            </w:pPr>
            <w:r w:rsidRPr="00CF77C1">
              <w:rPr>
                <w:color w:val="000000"/>
                <w:sz w:val="20"/>
                <w:lang w:val="sr-Cyrl-RS"/>
              </w:rPr>
              <w:t>Оптимизација и концентрација производње угља из подземне експлоатације</w:t>
            </w:r>
          </w:p>
        </w:tc>
        <w:tc>
          <w:tcPr>
            <w:tcW w:w="992" w:type="dxa"/>
            <w:vAlign w:val="center"/>
          </w:tcPr>
          <w:p w14:paraId="355752CF"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809" w:type="dxa"/>
            <w:vAlign w:val="center"/>
          </w:tcPr>
          <w:p w14:paraId="72108FB6"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00662205"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6933D8AE"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050C7444"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9D50987"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0CDB5C0F"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56676106"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5701F826"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4</w:t>
            </w:r>
          </w:p>
        </w:tc>
        <w:tc>
          <w:tcPr>
            <w:tcW w:w="708" w:type="dxa"/>
            <w:vAlign w:val="center"/>
          </w:tcPr>
          <w:p w14:paraId="0199A2E6"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7E0B03E7" w14:textId="77777777" w:rsidR="00572939" w:rsidRPr="00CF77C1" w:rsidRDefault="00572939" w:rsidP="00373085">
            <w:pPr>
              <w:autoSpaceDE w:val="0"/>
              <w:autoSpaceDN w:val="0"/>
              <w:adjustRightInd w:val="0"/>
              <w:spacing w:before="0" w:after="0"/>
              <w:jc w:val="center"/>
              <w:rPr>
                <w:color w:val="000000"/>
                <w:sz w:val="20"/>
                <w:lang w:val="sr-Cyrl-RS"/>
              </w:rPr>
            </w:pPr>
            <w:r w:rsidRPr="00CF77C1">
              <w:rPr>
                <w:color w:val="000000"/>
                <w:sz w:val="20"/>
                <w:lang w:val="sr-Cyrl-RS"/>
              </w:rPr>
              <w:t>41</w:t>
            </w:r>
          </w:p>
        </w:tc>
      </w:tr>
      <w:tr w:rsidR="00572939" w:rsidRPr="00CF77C1" w14:paraId="32BAF81C" w14:textId="77777777" w:rsidTr="00C34093">
        <w:trPr>
          <w:cantSplit/>
          <w:trHeight w:val="305"/>
        </w:trPr>
        <w:tc>
          <w:tcPr>
            <w:tcW w:w="456" w:type="dxa"/>
            <w:shd w:val="pct10" w:color="auto" w:fill="auto"/>
            <w:vAlign w:val="center"/>
          </w:tcPr>
          <w:p w14:paraId="18267C0A" w14:textId="409EC877"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20</w:t>
            </w:r>
          </w:p>
        </w:tc>
        <w:tc>
          <w:tcPr>
            <w:tcW w:w="708" w:type="dxa"/>
            <w:shd w:val="pct10" w:color="auto" w:fill="auto"/>
            <w:vAlign w:val="center"/>
          </w:tcPr>
          <w:p w14:paraId="17713958" w14:textId="2CD83517" w:rsidR="00572939" w:rsidRPr="00CF77C1" w:rsidRDefault="004E3B6F" w:rsidP="00BA424A">
            <w:pPr>
              <w:autoSpaceDE w:val="0"/>
              <w:autoSpaceDN w:val="0"/>
              <w:adjustRightInd w:val="0"/>
              <w:spacing w:before="0" w:after="0"/>
              <w:jc w:val="center"/>
              <w:rPr>
                <w:color w:val="000000"/>
                <w:sz w:val="20"/>
                <w:lang w:val="sr-Cyrl-RS"/>
              </w:rPr>
            </w:pPr>
            <w:r>
              <w:rPr>
                <w:sz w:val="20"/>
                <w:lang w:val="sr-Cyrl-RS"/>
              </w:rPr>
              <w:t>П.20</w:t>
            </w:r>
          </w:p>
        </w:tc>
        <w:tc>
          <w:tcPr>
            <w:tcW w:w="5387" w:type="dxa"/>
            <w:shd w:val="pct10" w:color="auto" w:fill="auto"/>
            <w:vAlign w:val="center"/>
          </w:tcPr>
          <w:p w14:paraId="6DB190CD" w14:textId="77777777" w:rsidR="00572939" w:rsidRPr="00CF77C1" w:rsidRDefault="00572939" w:rsidP="00A0631B">
            <w:pPr>
              <w:autoSpaceDE w:val="0"/>
              <w:autoSpaceDN w:val="0"/>
              <w:adjustRightInd w:val="0"/>
              <w:spacing w:before="0" w:after="0"/>
              <w:jc w:val="left"/>
              <w:rPr>
                <w:color w:val="000000"/>
                <w:sz w:val="20"/>
                <w:lang w:val="sr-Cyrl-RS"/>
              </w:rPr>
            </w:pPr>
            <w:r w:rsidRPr="00CF77C1">
              <w:rPr>
                <w:color w:val="000000"/>
                <w:sz w:val="20"/>
                <w:lang w:val="sr-Cyrl-RS"/>
              </w:rPr>
              <w:t>Пројекaт „Формирање обавезних резерви” (ЈЛИП-Е)</w:t>
            </w:r>
          </w:p>
        </w:tc>
        <w:tc>
          <w:tcPr>
            <w:tcW w:w="992" w:type="dxa"/>
            <w:shd w:val="pct10" w:color="auto" w:fill="auto"/>
            <w:vAlign w:val="center"/>
          </w:tcPr>
          <w:p w14:paraId="500CEC4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809" w:type="dxa"/>
            <w:shd w:val="pct10" w:color="auto" w:fill="auto"/>
            <w:vAlign w:val="center"/>
          </w:tcPr>
          <w:p w14:paraId="1AD1378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674C512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75D1D221"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0D77261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2EFCFBA0"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3A4DF69A"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BFA44BD"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2B2BFBD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16990F8"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shd w:val="pct10" w:color="auto" w:fill="auto"/>
            <w:vAlign w:val="center"/>
          </w:tcPr>
          <w:p w14:paraId="59EB4B7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40</w:t>
            </w:r>
          </w:p>
        </w:tc>
      </w:tr>
      <w:tr w:rsidR="00572939" w:rsidRPr="00CF77C1" w14:paraId="2AE2A1F3" w14:textId="77777777" w:rsidTr="00C34093">
        <w:trPr>
          <w:cantSplit/>
          <w:trHeight w:val="610"/>
        </w:trPr>
        <w:tc>
          <w:tcPr>
            <w:tcW w:w="456" w:type="dxa"/>
            <w:vAlign w:val="center"/>
          </w:tcPr>
          <w:p w14:paraId="49CD28E2" w14:textId="31823637"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21</w:t>
            </w:r>
          </w:p>
        </w:tc>
        <w:tc>
          <w:tcPr>
            <w:tcW w:w="708" w:type="dxa"/>
            <w:vAlign w:val="center"/>
          </w:tcPr>
          <w:p w14:paraId="5EA6305B" w14:textId="5AEFA6B0" w:rsidR="00572939" w:rsidRPr="00CF77C1" w:rsidRDefault="004E3B6F" w:rsidP="00BA424A">
            <w:pPr>
              <w:autoSpaceDE w:val="0"/>
              <w:autoSpaceDN w:val="0"/>
              <w:adjustRightInd w:val="0"/>
              <w:spacing w:before="0" w:after="0"/>
              <w:jc w:val="center"/>
              <w:rPr>
                <w:color w:val="000000"/>
                <w:sz w:val="20"/>
                <w:lang w:val="sr-Cyrl-RS"/>
              </w:rPr>
            </w:pPr>
            <w:r>
              <w:rPr>
                <w:sz w:val="20"/>
                <w:lang w:val="sr-Cyrl-RS"/>
              </w:rPr>
              <w:t>П.22</w:t>
            </w:r>
          </w:p>
        </w:tc>
        <w:tc>
          <w:tcPr>
            <w:tcW w:w="5387" w:type="dxa"/>
            <w:vAlign w:val="center"/>
          </w:tcPr>
          <w:p w14:paraId="2899ED20" w14:textId="77777777" w:rsidR="00572939" w:rsidRPr="00CF77C1" w:rsidRDefault="00572939" w:rsidP="00A0631B">
            <w:pPr>
              <w:autoSpaceDE w:val="0"/>
              <w:autoSpaceDN w:val="0"/>
              <w:adjustRightInd w:val="0"/>
              <w:spacing w:before="0" w:after="0"/>
              <w:jc w:val="left"/>
              <w:rPr>
                <w:color w:val="000000"/>
                <w:sz w:val="20"/>
                <w:lang w:val="sr-Cyrl-RS"/>
              </w:rPr>
            </w:pPr>
            <w:r w:rsidRPr="00CF77C1">
              <w:rPr>
                <w:sz w:val="20"/>
                <w:lang w:val="sr-Cyrl-RS"/>
              </w:rPr>
              <w:t>Пројекaт гасне интерконекције Србија - Хрватска, магистрални гасовод МГ- 08 Госпођинци (Футог) - Сотин (граница са Хрватском) (ЈЛИП-Е, PMI, PCI и CESEC)</w:t>
            </w:r>
          </w:p>
        </w:tc>
        <w:tc>
          <w:tcPr>
            <w:tcW w:w="992" w:type="dxa"/>
            <w:vAlign w:val="center"/>
          </w:tcPr>
          <w:p w14:paraId="342AA4D7"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809" w:type="dxa"/>
            <w:vAlign w:val="center"/>
          </w:tcPr>
          <w:p w14:paraId="63029921"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75B97CB3"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67F1C693"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9" w:type="dxa"/>
            <w:vAlign w:val="center"/>
          </w:tcPr>
          <w:p w14:paraId="415BF6A7"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00124B2D"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vAlign w:val="center"/>
          </w:tcPr>
          <w:p w14:paraId="58DA9D0B"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8" w:type="dxa"/>
            <w:vAlign w:val="center"/>
          </w:tcPr>
          <w:p w14:paraId="55C78277"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61E5040B"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29D8FAA8"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0414BEA6" w14:textId="77777777" w:rsidR="00572939" w:rsidRPr="00CF77C1" w:rsidRDefault="00572939" w:rsidP="00DB6984">
            <w:pPr>
              <w:autoSpaceDE w:val="0"/>
              <w:autoSpaceDN w:val="0"/>
              <w:adjustRightInd w:val="0"/>
              <w:spacing w:before="0" w:after="0"/>
              <w:jc w:val="center"/>
              <w:rPr>
                <w:color w:val="000000"/>
                <w:sz w:val="20"/>
                <w:lang w:val="sr-Cyrl-RS"/>
              </w:rPr>
            </w:pPr>
            <w:r w:rsidRPr="00CF77C1">
              <w:rPr>
                <w:color w:val="000000"/>
                <w:sz w:val="20"/>
                <w:lang w:val="sr-Cyrl-RS"/>
              </w:rPr>
              <w:t>40</w:t>
            </w:r>
          </w:p>
        </w:tc>
      </w:tr>
      <w:tr w:rsidR="00572939" w:rsidRPr="00CF77C1" w14:paraId="32498B88" w14:textId="77777777" w:rsidTr="00C34093">
        <w:trPr>
          <w:cantSplit/>
          <w:trHeight w:val="610"/>
        </w:trPr>
        <w:tc>
          <w:tcPr>
            <w:tcW w:w="456" w:type="dxa"/>
            <w:vAlign w:val="center"/>
          </w:tcPr>
          <w:p w14:paraId="536BB13B" w14:textId="5CECFB62"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22</w:t>
            </w:r>
          </w:p>
        </w:tc>
        <w:tc>
          <w:tcPr>
            <w:tcW w:w="708" w:type="dxa"/>
            <w:vAlign w:val="center"/>
          </w:tcPr>
          <w:p w14:paraId="657B08FC" w14:textId="7D993FEA"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_Ref476806012 \r \h  \* MERGEFORMAT </w:instrText>
            </w:r>
            <w:r w:rsidRPr="00CF77C1">
              <w:rPr>
                <w:sz w:val="20"/>
                <w:lang w:val="sr-Cyrl-RS"/>
              </w:rPr>
            </w:r>
            <w:r w:rsidRPr="00CF77C1">
              <w:rPr>
                <w:sz w:val="20"/>
                <w:lang w:val="sr-Cyrl-RS"/>
              </w:rPr>
              <w:fldChar w:fldCharType="separate"/>
            </w:r>
            <w:r w:rsidR="002D5918">
              <w:rPr>
                <w:sz w:val="20"/>
                <w:lang w:val="sr-Cyrl-RS"/>
              </w:rPr>
              <w:t>П.8</w:t>
            </w:r>
            <w:r w:rsidRPr="00CF77C1">
              <w:rPr>
                <w:sz w:val="20"/>
                <w:lang w:val="sr-Cyrl-RS"/>
              </w:rPr>
              <w:fldChar w:fldCharType="end"/>
            </w:r>
          </w:p>
        </w:tc>
        <w:tc>
          <w:tcPr>
            <w:tcW w:w="5387" w:type="dxa"/>
            <w:vAlign w:val="center"/>
          </w:tcPr>
          <w:p w14:paraId="3C14A29C" w14:textId="7777777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изградње нових ТС 110/X kV у циљу повећања сигурности напајања и повећања ефикасности дистрибуције електричне енергије</w:t>
            </w:r>
          </w:p>
        </w:tc>
        <w:tc>
          <w:tcPr>
            <w:tcW w:w="992" w:type="dxa"/>
            <w:vAlign w:val="center"/>
          </w:tcPr>
          <w:p w14:paraId="7EAF0632"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809" w:type="dxa"/>
            <w:vAlign w:val="center"/>
          </w:tcPr>
          <w:p w14:paraId="1B8DAFF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25A45DB1"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2DAB034D"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14AA7D10"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6B8C8B5A"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vAlign w:val="center"/>
          </w:tcPr>
          <w:p w14:paraId="09CAF2E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vAlign w:val="center"/>
          </w:tcPr>
          <w:p w14:paraId="49D587D2"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1FC85F7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vAlign w:val="center"/>
          </w:tcPr>
          <w:p w14:paraId="6502A8A6"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vAlign w:val="center"/>
          </w:tcPr>
          <w:p w14:paraId="320CDB65"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35</w:t>
            </w:r>
          </w:p>
        </w:tc>
      </w:tr>
      <w:tr w:rsidR="00572939" w:rsidRPr="00CF77C1" w14:paraId="3E0162E9" w14:textId="77777777" w:rsidTr="00C34093">
        <w:trPr>
          <w:cantSplit/>
          <w:trHeight w:val="914"/>
        </w:trPr>
        <w:tc>
          <w:tcPr>
            <w:tcW w:w="456" w:type="dxa"/>
            <w:shd w:val="pct10" w:color="auto" w:fill="auto"/>
            <w:vAlign w:val="center"/>
          </w:tcPr>
          <w:p w14:paraId="4A7AB214" w14:textId="3E77EED2"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23</w:t>
            </w:r>
          </w:p>
        </w:tc>
        <w:tc>
          <w:tcPr>
            <w:tcW w:w="708" w:type="dxa"/>
            <w:shd w:val="pct10" w:color="auto" w:fill="auto"/>
            <w:vAlign w:val="center"/>
          </w:tcPr>
          <w:p w14:paraId="600E82A7" w14:textId="5EF2386E"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_Ref476805994 \r \h  \* MERGEFORMAT </w:instrText>
            </w:r>
            <w:r w:rsidRPr="00CF77C1">
              <w:rPr>
                <w:sz w:val="20"/>
                <w:lang w:val="sr-Cyrl-RS"/>
              </w:rPr>
            </w:r>
            <w:r w:rsidRPr="00CF77C1">
              <w:rPr>
                <w:sz w:val="20"/>
                <w:lang w:val="sr-Cyrl-RS"/>
              </w:rPr>
              <w:fldChar w:fldCharType="separate"/>
            </w:r>
            <w:r w:rsidR="002D5918">
              <w:rPr>
                <w:sz w:val="20"/>
                <w:lang w:val="sr-Cyrl-RS"/>
              </w:rPr>
              <w:t>П.3</w:t>
            </w:r>
            <w:r w:rsidRPr="00CF77C1">
              <w:rPr>
                <w:sz w:val="20"/>
                <w:lang w:val="sr-Cyrl-RS"/>
              </w:rPr>
              <w:fldChar w:fldCharType="end"/>
            </w:r>
          </w:p>
        </w:tc>
        <w:tc>
          <w:tcPr>
            <w:tcW w:w="5387" w:type="dxa"/>
            <w:shd w:val="pct10" w:color="auto" w:fill="auto"/>
            <w:vAlign w:val="center"/>
          </w:tcPr>
          <w:p w14:paraId="27B73542" w14:textId="08D09014"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реконструкције електроенергетских водова 110 kV у циљу повећања сигурности напајања и повећања ефикасности преноса електричне енергије на напонском нивоу 110 kV</w:t>
            </w:r>
          </w:p>
        </w:tc>
        <w:tc>
          <w:tcPr>
            <w:tcW w:w="992" w:type="dxa"/>
            <w:shd w:val="pct10" w:color="auto" w:fill="auto"/>
            <w:vAlign w:val="center"/>
          </w:tcPr>
          <w:p w14:paraId="3A82F0BB"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809" w:type="dxa"/>
            <w:shd w:val="pct10" w:color="auto" w:fill="auto"/>
            <w:vAlign w:val="center"/>
          </w:tcPr>
          <w:p w14:paraId="4C5A01E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3408288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38079790"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shd w:val="pct10" w:color="auto" w:fill="auto"/>
            <w:vAlign w:val="center"/>
          </w:tcPr>
          <w:p w14:paraId="164E44F5"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3B83615"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shd w:val="pct10" w:color="auto" w:fill="auto"/>
            <w:vAlign w:val="center"/>
          </w:tcPr>
          <w:p w14:paraId="5CFF9D9E"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54E9602"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42DD9BE0"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shd w:val="pct10" w:color="auto" w:fill="auto"/>
            <w:vAlign w:val="center"/>
          </w:tcPr>
          <w:p w14:paraId="4AB1AF5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1DA0D468"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34</w:t>
            </w:r>
          </w:p>
        </w:tc>
      </w:tr>
      <w:tr w:rsidR="00572939" w:rsidRPr="00CF77C1" w14:paraId="0F344058" w14:textId="77777777" w:rsidTr="00C34093">
        <w:trPr>
          <w:cantSplit/>
          <w:trHeight w:val="305"/>
        </w:trPr>
        <w:tc>
          <w:tcPr>
            <w:tcW w:w="456" w:type="dxa"/>
            <w:shd w:val="pct10" w:color="auto" w:fill="auto"/>
            <w:vAlign w:val="center"/>
          </w:tcPr>
          <w:p w14:paraId="563C6946" w14:textId="38459F81"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24</w:t>
            </w:r>
          </w:p>
        </w:tc>
        <w:tc>
          <w:tcPr>
            <w:tcW w:w="708" w:type="dxa"/>
            <w:shd w:val="pct10" w:color="auto" w:fill="auto"/>
            <w:vAlign w:val="center"/>
          </w:tcPr>
          <w:p w14:paraId="669F7A18" w14:textId="79C04312"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_Ref476806003 \r \h  \* MERGEFORMAT </w:instrText>
            </w:r>
            <w:r w:rsidRPr="00CF77C1">
              <w:rPr>
                <w:sz w:val="20"/>
                <w:lang w:val="sr-Cyrl-RS"/>
              </w:rPr>
            </w:r>
            <w:r w:rsidRPr="00CF77C1">
              <w:rPr>
                <w:sz w:val="20"/>
                <w:lang w:val="sr-Cyrl-RS"/>
              </w:rPr>
              <w:fldChar w:fldCharType="separate"/>
            </w:r>
            <w:r w:rsidR="002D5918">
              <w:rPr>
                <w:sz w:val="20"/>
                <w:lang w:val="sr-Cyrl-RS"/>
              </w:rPr>
              <w:t>П.6</w:t>
            </w:r>
            <w:r w:rsidRPr="00CF77C1">
              <w:rPr>
                <w:sz w:val="20"/>
                <w:lang w:val="sr-Cyrl-RS"/>
              </w:rPr>
              <w:fldChar w:fldCharType="end"/>
            </w:r>
          </w:p>
        </w:tc>
        <w:tc>
          <w:tcPr>
            <w:tcW w:w="5387" w:type="dxa"/>
            <w:shd w:val="pct10" w:color="auto" w:fill="auto"/>
            <w:vAlign w:val="center"/>
          </w:tcPr>
          <w:p w14:paraId="0F1BD87E" w14:textId="7777777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„Аутоматизацаја дистрибутивне мреже”</w:t>
            </w:r>
          </w:p>
        </w:tc>
        <w:tc>
          <w:tcPr>
            <w:tcW w:w="992" w:type="dxa"/>
            <w:shd w:val="pct10" w:color="auto" w:fill="auto"/>
            <w:vAlign w:val="center"/>
          </w:tcPr>
          <w:p w14:paraId="3A4D113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809" w:type="dxa"/>
            <w:shd w:val="pct10" w:color="auto" w:fill="auto"/>
            <w:vAlign w:val="center"/>
          </w:tcPr>
          <w:p w14:paraId="399A7B11"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76702053"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4695189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60DD7694"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2B1AF32B"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43EF8593"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6E420C8"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08CA8455"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5</w:t>
            </w:r>
          </w:p>
        </w:tc>
        <w:tc>
          <w:tcPr>
            <w:tcW w:w="708" w:type="dxa"/>
            <w:shd w:val="pct10" w:color="auto" w:fill="auto"/>
            <w:vAlign w:val="center"/>
          </w:tcPr>
          <w:p w14:paraId="5C436507"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2087A792"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34</w:t>
            </w:r>
          </w:p>
        </w:tc>
      </w:tr>
      <w:tr w:rsidR="00572939" w:rsidRPr="00CF77C1" w14:paraId="7964B5A9" w14:textId="77777777" w:rsidTr="00C34093">
        <w:trPr>
          <w:cantSplit/>
          <w:trHeight w:val="914"/>
        </w:trPr>
        <w:tc>
          <w:tcPr>
            <w:tcW w:w="456" w:type="dxa"/>
            <w:shd w:val="pct10" w:color="auto" w:fill="auto"/>
            <w:vAlign w:val="center"/>
          </w:tcPr>
          <w:p w14:paraId="62951B33" w14:textId="72185F4D" w:rsidR="00572939" w:rsidRPr="00CF77C1" w:rsidRDefault="00572939" w:rsidP="00FF1371">
            <w:pPr>
              <w:autoSpaceDE w:val="0"/>
              <w:autoSpaceDN w:val="0"/>
              <w:adjustRightInd w:val="0"/>
              <w:spacing w:before="0" w:after="0"/>
              <w:jc w:val="center"/>
              <w:rPr>
                <w:sz w:val="20"/>
                <w:lang w:val="sr-Cyrl-RS"/>
              </w:rPr>
            </w:pPr>
            <w:r w:rsidRPr="00CF77C1">
              <w:rPr>
                <w:sz w:val="20"/>
                <w:lang w:val="sr-Cyrl-RS"/>
              </w:rPr>
              <w:t>25</w:t>
            </w:r>
          </w:p>
        </w:tc>
        <w:tc>
          <w:tcPr>
            <w:tcW w:w="708" w:type="dxa"/>
            <w:shd w:val="pct10" w:color="auto" w:fill="auto"/>
            <w:vAlign w:val="center"/>
          </w:tcPr>
          <w:p w14:paraId="0D416C51" w14:textId="46F47AF7" w:rsidR="00572939" w:rsidRPr="00CF77C1" w:rsidRDefault="00572939" w:rsidP="00BA424A">
            <w:pPr>
              <w:autoSpaceDE w:val="0"/>
              <w:autoSpaceDN w:val="0"/>
              <w:adjustRightInd w:val="0"/>
              <w:spacing w:before="0" w:after="0"/>
              <w:jc w:val="center"/>
              <w:rPr>
                <w:color w:val="000000"/>
                <w:sz w:val="20"/>
                <w:lang w:val="sr-Cyrl-RS"/>
              </w:rPr>
            </w:pPr>
            <w:r w:rsidRPr="00CF77C1">
              <w:rPr>
                <w:sz w:val="20"/>
                <w:lang w:val="sr-Cyrl-RS"/>
              </w:rPr>
              <w:fldChar w:fldCharType="begin"/>
            </w:r>
            <w:r w:rsidRPr="00CF77C1">
              <w:rPr>
                <w:sz w:val="20"/>
                <w:lang w:val="sr-Cyrl-RS"/>
              </w:rPr>
              <w:instrText xml:space="preserve"> REF _Ref476805996 \r \h  \* MERGEFORMAT </w:instrText>
            </w:r>
            <w:r w:rsidRPr="00CF77C1">
              <w:rPr>
                <w:sz w:val="20"/>
                <w:lang w:val="sr-Cyrl-RS"/>
              </w:rPr>
            </w:r>
            <w:r w:rsidRPr="00CF77C1">
              <w:rPr>
                <w:sz w:val="20"/>
                <w:lang w:val="sr-Cyrl-RS"/>
              </w:rPr>
              <w:fldChar w:fldCharType="separate"/>
            </w:r>
            <w:r w:rsidR="002D5918">
              <w:rPr>
                <w:sz w:val="20"/>
                <w:lang w:val="sr-Cyrl-RS"/>
              </w:rPr>
              <w:t>П.4</w:t>
            </w:r>
            <w:r w:rsidRPr="00CF77C1">
              <w:rPr>
                <w:sz w:val="20"/>
                <w:lang w:val="sr-Cyrl-RS"/>
              </w:rPr>
              <w:fldChar w:fldCharType="end"/>
            </w:r>
          </w:p>
        </w:tc>
        <w:tc>
          <w:tcPr>
            <w:tcW w:w="5387" w:type="dxa"/>
            <w:shd w:val="pct10" w:color="auto" w:fill="auto"/>
            <w:vAlign w:val="center"/>
          </w:tcPr>
          <w:p w14:paraId="21E50B69" w14:textId="77777777" w:rsidR="00572939" w:rsidRPr="00CF77C1" w:rsidRDefault="00572939" w:rsidP="00BA424A">
            <w:pPr>
              <w:autoSpaceDE w:val="0"/>
              <w:autoSpaceDN w:val="0"/>
              <w:adjustRightInd w:val="0"/>
              <w:spacing w:before="0" w:after="0"/>
              <w:jc w:val="left"/>
              <w:rPr>
                <w:color w:val="000000"/>
                <w:sz w:val="20"/>
                <w:lang w:val="sr-Cyrl-RS"/>
              </w:rPr>
            </w:pPr>
            <w:r w:rsidRPr="00CF77C1">
              <w:rPr>
                <w:color w:val="000000"/>
                <w:sz w:val="20"/>
                <w:lang w:val="sr-Cyrl-RS"/>
              </w:rPr>
              <w:t>Пројекат појачања надземних и подземних (кабловских) електроенергетских водова 110 kV у циљу повећања сигурности напајања и повећања ефикасности преноса електричне енергије на напонском нивоу 110 kV.</w:t>
            </w:r>
          </w:p>
        </w:tc>
        <w:tc>
          <w:tcPr>
            <w:tcW w:w="992" w:type="dxa"/>
            <w:shd w:val="pct10" w:color="auto" w:fill="auto"/>
            <w:vAlign w:val="center"/>
          </w:tcPr>
          <w:p w14:paraId="6AF38685"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809" w:type="dxa"/>
            <w:shd w:val="pct10" w:color="auto" w:fill="auto"/>
            <w:vAlign w:val="center"/>
          </w:tcPr>
          <w:p w14:paraId="1B7C922E"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1500BDEA"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8826D42"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2</w:t>
            </w:r>
          </w:p>
        </w:tc>
        <w:tc>
          <w:tcPr>
            <w:tcW w:w="709" w:type="dxa"/>
            <w:shd w:val="pct10" w:color="auto" w:fill="auto"/>
            <w:vAlign w:val="center"/>
          </w:tcPr>
          <w:p w14:paraId="1EA6601C"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6FC1D18F"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9" w:type="dxa"/>
            <w:shd w:val="pct10" w:color="auto" w:fill="auto"/>
            <w:vAlign w:val="center"/>
          </w:tcPr>
          <w:p w14:paraId="79914E69"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8" w:type="dxa"/>
            <w:shd w:val="pct10" w:color="auto" w:fill="auto"/>
            <w:vAlign w:val="center"/>
          </w:tcPr>
          <w:p w14:paraId="567A0EE6"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239A7808"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w:t>
            </w:r>
          </w:p>
        </w:tc>
        <w:tc>
          <w:tcPr>
            <w:tcW w:w="708" w:type="dxa"/>
            <w:shd w:val="pct10" w:color="auto" w:fill="auto"/>
            <w:vAlign w:val="center"/>
          </w:tcPr>
          <w:p w14:paraId="77FB82A6"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1</w:t>
            </w:r>
          </w:p>
        </w:tc>
        <w:tc>
          <w:tcPr>
            <w:tcW w:w="709" w:type="dxa"/>
            <w:shd w:val="pct10" w:color="auto" w:fill="auto"/>
            <w:vAlign w:val="center"/>
          </w:tcPr>
          <w:p w14:paraId="06D01FE8" w14:textId="77777777" w:rsidR="00572939" w:rsidRPr="00CF77C1" w:rsidRDefault="00572939" w:rsidP="00BA424A">
            <w:pPr>
              <w:autoSpaceDE w:val="0"/>
              <w:autoSpaceDN w:val="0"/>
              <w:adjustRightInd w:val="0"/>
              <w:spacing w:before="0" w:after="0"/>
              <w:jc w:val="center"/>
              <w:rPr>
                <w:color w:val="000000"/>
                <w:sz w:val="20"/>
                <w:lang w:val="sr-Cyrl-RS"/>
              </w:rPr>
            </w:pPr>
            <w:r w:rsidRPr="00CF77C1">
              <w:rPr>
                <w:color w:val="000000"/>
                <w:sz w:val="20"/>
                <w:lang w:val="sr-Cyrl-RS"/>
              </w:rPr>
              <w:t>33</w:t>
            </w:r>
          </w:p>
        </w:tc>
      </w:tr>
    </w:tbl>
    <w:p w14:paraId="13F781EE" w14:textId="39047559" w:rsidR="00BA424A" w:rsidRPr="00CF77C1" w:rsidRDefault="00262E96" w:rsidP="00D22907">
      <w:pPr>
        <w:ind w:firstLine="720"/>
        <w:rPr>
          <w:lang w:val="sr-Cyrl-RS"/>
        </w:rPr>
      </w:pPr>
      <w:r w:rsidRPr="00CF77C1">
        <w:rPr>
          <w:lang w:val="sr-Cyrl-RS"/>
        </w:rPr>
        <w:t>Напоменe:</w:t>
      </w:r>
      <w:r w:rsidRPr="00CF77C1">
        <w:rPr>
          <w:lang w:val="sr-Cyrl-RS"/>
        </w:rPr>
        <w:tab/>
      </w:r>
      <w:r w:rsidR="00C34093" w:rsidRPr="00CF77C1">
        <w:rPr>
          <w:lang w:val="sr-Cyrl-RS"/>
        </w:rPr>
        <w:t xml:space="preserve">Означени су затамњеним пољима </w:t>
      </w:r>
      <w:r w:rsidR="00246C17" w:rsidRPr="00CF77C1">
        <w:rPr>
          <w:lang w:val="sr-Cyrl-RS"/>
        </w:rPr>
        <w:t>пројекти за које је обезбеђено финансирање или је обезбеђивање финансирања у току, односно, извесно је да ће финансирање бити обезбеђено</w:t>
      </w:r>
      <w:r w:rsidR="00B065D1" w:rsidRPr="00CF77C1">
        <w:rPr>
          <w:lang w:val="sr-Cyrl-RS"/>
        </w:rPr>
        <w:t>.</w:t>
      </w:r>
    </w:p>
    <w:p w14:paraId="790B3135" w14:textId="0FBCDC7E" w:rsidR="00262E96" w:rsidRPr="00CF77C1" w:rsidRDefault="00262E96" w:rsidP="00D22907">
      <w:pPr>
        <w:tabs>
          <w:tab w:val="left" w:pos="1418"/>
        </w:tabs>
        <w:ind w:firstLine="720"/>
        <w:rPr>
          <w:lang w:val="sr-Cyrl-RS"/>
        </w:rPr>
      </w:pPr>
      <w:r w:rsidRPr="00CF77C1">
        <w:rPr>
          <w:lang w:val="sr-Cyrl-RS"/>
        </w:rPr>
        <w:t>Скраћенице:</w:t>
      </w:r>
      <w:r w:rsidRPr="00CF77C1">
        <w:rPr>
          <w:lang w:val="sr-Cyrl-RS"/>
        </w:rPr>
        <w:tab/>
        <w:t>ЈЛИП-Е - Јединствена листа приоритетних инфраструктурних пројеката у области енергетике</w:t>
      </w:r>
    </w:p>
    <w:p w14:paraId="2F6264EA" w14:textId="1E380B08" w:rsidR="00262E96" w:rsidRPr="00CF77C1" w:rsidRDefault="00262E96" w:rsidP="00262E96">
      <w:pPr>
        <w:tabs>
          <w:tab w:val="left" w:pos="1418"/>
        </w:tabs>
        <w:ind w:left="1418"/>
        <w:rPr>
          <w:lang w:val="sr-Cyrl-RS"/>
        </w:rPr>
      </w:pPr>
      <w:r w:rsidRPr="00CF77C1">
        <w:rPr>
          <w:lang w:val="sr-Cyrl-RS"/>
        </w:rPr>
        <w:t>PECI - Приоритетна листи инфраструктурних енергетских пројеката</w:t>
      </w:r>
      <w:r w:rsidR="00C34093" w:rsidRPr="00CF77C1">
        <w:rPr>
          <w:lang w:val="sr-Cyrl-RS"/>
        </w:rPr>
        <w:t xml:space="preserve"> од значаја за Енергетску заједницу</w:t>
      </w:r>
    </w:p>
    <w:p w14:paraId="3B7AB3C4" w14:textId="51EF69CB" w:rsidR="00262E96" w:rsidRPr="00CF77C1" w:rsidRDefault="00262E96" w:rsidP="00262E96">
      <w:pPr>
        <w:tabs>
          <w:tab w:val="left" w:pos="1418"/>
        </w:tabs>
        <w:ind w:left="1418"/>
        <w:rPr>
          <w:lang w:val="sr-Cyrl-RS"/>
        </w:rPr>
      </w:pPr>
      <w:r w:rsidRPr="00CF77C1">
        <w:rPr>
          <w:lang w:val="sr-Cyrl-RS"/>
        </w:rPr>
        <w:t>PMI - Приоритетна листи инфраструктурних енергетских пројеката</w:t>
      </w:r>
      <w:r w:rsidR="00C34093" w:rsidRPr="00CF77C1">
        <w:rPr>
          <w:lang w:val="sr-Cyrl-RS"/>
        </w:rPr>
        <w:t xml:space="preserve"> од значаја за Енергетску заједницу</w:t>
      </w:r>
    </w:p>
    <w:p w14:paraId="71B94502" w14:textId="4F771672" w:rsidR="00262E96" w:rsidRPr="00CF77C1" w:rsidRDefault="00262E96" w:rsidP="00262E96">
      <w:pPr>
        <w:tabs>
          <w:tab w:val="left" w:pos="1418"/>
        </w:tabs>
        <w:ind w:left="1418"/>
        <w:rPr>
          <w:lang w:val="sr-Cyrl-RS"/>
        </w:rPr>
      </w:pPr>
      <w:r w:rsidRPr="00CF77C1">
        <w:rPr>
          <w:lang w:val="sr-Cyrl-RS"/>
        </w:rPr>
        <w:t>PCI - Листа пројеката од заједничког интереса</w:t>
      </w:r>
      <w:r w:rsidR="00C34093" w:rsidRPr="00CF77C1">
        <w:rPr>
          <w:lang w:val="sr-Cyrl-RS"/>
        </w:rPr>
        <w:t xml:space="preserve"> Европске комисије</w:t>
      </w:r>
    </w:p>
    <w:p w14:paraId="1630328F" w14:textId="5815A854" w:rsidR="00262E96" w:rsidRPr="00CF77C1" w:rsidRDefault="00262E96" w:rsidP="00262E96">
      <w:pPr>
        <w:tabs>
          <w:tab w:val="left" w:pos="1418"/>
        </w:tabs>
        <w:ind w:left="1418"/>
        <w:rPr>
          <w:lang w:val="sr-Cyrl-RS"/>
        </w:rPr>
      </w:pPr>
      <w:r w:rsidRPr="00CF77C1">
        <w:rPr>
          <w:lang w:val="sr-Cyrl-RS"/>
        </w:rPr>
        <w:t>WBIF - Листа пројеката инвестиционог оквира Западног Балкана</w:t>
      </w:r>
    </w:p>
    <w:p w14:paraId="12EC8EEA" w14:textId="77777777" w:rsidR="00262E96" w:rsidRPr="00CF77C1" w:rsidRDefault="00262E96" w:rsidP="00262E96">
      <w:pPr>
        <w:tabs>
          <w:tab w:val="left" w:pos="1418"/>
        </w:tabs>
        <w:ind w:left="1418"/>
        <w:rPr>
          <w:lang w:val="sr-Cyrl-RS"/>
        </w:rPr>
      </w:pPr>
      <w:r w:rsidRPr="00CF77C1">
        <w:rPr>
          <w:lang w:val="sr-Cyrl-RS"/>
        </w:rPr>
        <w:t>CESEC - Листа пројеката за повезаност гасом средњеисточне и југоисточне Европе</w:t>
      </w:r>
    </w:p>
    <w:p w14:paraId="2EA73792" w14:textId="02C33543" w:rsidR="00C34093" w:rsidRPr="00CF77C1" w:rsidRDefault="00C34093" w:rsidP="00262E96">
      <w:pPr>
        <w:tabs>
          <w:tab w:val="left" w:pos="1418"/>
        </w:tabs>
        <w:ind w:left="1418"/>
        <w:rPr>
          <w:lang w:val="sr-Cyrl-RS"/>
        </w:rPr>
      </w:pPr>
      <w:r w:rsidRPr="00CF77C1">
        <w:rPr>
          <w:lang w:val="sr-Cyrl-RS"/>
        </w:rPr>
        <w:t>WB6 - Листа пројеката у оквиру иницијативе Западни Балкан 6</w:t>
      </w:r>
    </w:p>
    <w:p w14:paraId="65CC295E" w14:textId="7E3775BE" w:rsidR="00262E96" w:rsidRPr="00CF77C1" w:rsidRDefault="00262E96" w:rsidP="00262E96">
      <w:pPr>
        <w:tabs>
          <w:tab w:val="left" w:pos="1418"/>
        </w:tabs>
        <w:ind w:left="1418"/>
        <w:rPr>
          <w:lang w:val="sr-Cyrl-RS"/>
        </w:rPr>
      </w:pPr>
      <w:r w:rsidRPr="00CF77C1">
        <w:rPr>
          <w:lang w:val="sr-Cyrl-RS"/>
        </w:rPr>
        <w:t xml:space="preserve">Немачка - РС - Група пројеката за која су алоцирана средства у оквиру више рунди билатералних преговора између Влада Немачке и </w:t>
      </w:r>
      <w:r w:rsidR="00585E18">
        <w:rPr>
          <w:lang w:val="sr-Cyrl-RS"/>
        </w:rPr>
        <w:t xml:space="preserve">Владе </w:t>
      </w:r>
      <w:r w:rsidRPr="00CF77C1">
        <w:rPr>
          <w:lang w:val="sr-Cyrl-RS"/>
        </w:rPr>
        <w:t>Републике Србије</w:t>
      </w:r>
    </w:p>
    <w:p w14:paraId="38B2DF3A" w14:textId="7B679330" w:rsidR="001D0517" w:rsidRPr="00CF77C1" w:rsidRDefault="001D0517" w:rsidP="00D76889">
      <w:pPr>
        <w:pStyle w:val="Caption"/>
        <w:ind w:firstLine="720"/>
        <w:rPr>
          <w:b w:val="0"/>
          <w:lang w:val="sr-Cyrl-RS"/>
        </w:rPr>
      </w:pPr>
      <w:bookmarkStart w:id="200" w:name="_Ref476814370"/>
      <w:r w:rsidRPr="00CF77C1">
        <w:rPr>
          <w:b w:val="0"/>
          <w:lang w:val="sr-Cyrl-RS"/>
        </w:rPr>
        <w:t xml:space="preserve">таб. </w:t>
      </w:r>
      <w:r w:rsidRPr="00CF77C1">
        <w:rPr>
          <w:b w:val="0"/>
          <w:lang w:val="sr-Cyrl-RS"/>
        </w:rPr>
        <w:fldChar w:fldCharType="begin"/>
      </w:r>
      <w:r w:rsidRPr="00CF77C1">
        <w:rPr>
          <w:b w:val="0"/>
          <w:lang w:val="sr-Cyrl-RS"/>
        </w:rPr>
        <w:instrText xml:space="preserve"> SEQ таб. \* ARABIC </w:instrText>
      </w:r>
      <w:r w:rsidRPr="00CF77C1">
        <w:rPr>
          <w:b w:val="0"/>
          <w:lang w:val="sr-Cyrl-RS"/>
        </w:rPr>
        <w:fldChar w:fldCharType="separate"/>
      </w:r>
      <w:r w:rsidR="002D5918">
        <w:rPr>
          <w:b w:val="0"/>
          <w:noProof/>
          <w:lang w:val="sr-Cyrl-RS"/>
        </w:rPr>
        <w:t>131</w:t>
      </w:r>
      <w:r w:rsidRPr="00CF77C1">
        <w:rPr>
          <w:b w:val="0"/>
          <w:lang w:val="sr-Cyrl-RS"/>
        </w:rPr>
        <w:fldChar w:fldCharType="end"/>
      </w:r>
      <w:bookmarkEnd w:id="200"/>
      <w:r w:rsidRPr="00CF77C1">
        <w:rPr>
          <w:b w:val="0"/>
          <w:lang w:val="sr-Cyrl-RS"/>
        </w:rPr>
        <w:t>: Ранг листа пројеката у складу са препознатим индикаторима остварења циљева из Стратегије развоја енергетике Републике Србије, са образложењима појединачних доприноса стратешким приоритетима и циљевима и препознатим предностима и недостацима пројеката</w:t>
      </w:r>
    </w:p>
    <w:tbl>
      <w:tblPr>
        <w:tblW w:w="14631"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708"/>
        <w:gridCol w:w="1985"/>
        <w:gridCol w:w="425"/>
        <w:gridCol w:w="8363"/>
        <w:gridCol w:w="1418"/>
        <w:gridCol w:w="1276"/>
      </w:tblGrid>
      <w:tr w:rsidR="0099187F" w:rsidRPr="00CF77C1" w14:paraId="333BAC53" w14:textId="1BB2DC43" w:rsidTr="00FF1371">
        <w:trPr>
          <w:cantSplit/>
          <w:trHeight w:val="1372"/>
          <w:tblHeader/>
        </w:trPr>
        <w:tc>
          <w:tcPr>
            <w:tcW w:w="456" w:type="dxa"/>
            <w:textDirection w:val="btLr"/>
            <w:vAlign w:val="center"/>
          </w:tcPr>
          <w:p w14:paraId="001C225A" w14:textId="5AC188F3" w:rsidR="00080C15" w:rsidRPr="00CF77C1" w:rsidRDefault="00080C15" w:rsidP="00FB4DC4">
            <w:pPr>
              <w:keepNext/>
              <w:keepLines/>
              <w:autoSpaceDE w:val="0"/>
              <w:autoSpaceDN w:val="0"/>
              <w:adjustRightInd w:val="0"/>
              <w:spacing w:before="20" w:after="20"/>
              <w:ind w:left="113" w:right="113"/>
              <w:jc w:val="center"/>
              <w:rPr>
                <w:color w:val="000000"/>
                <w:sz w:val="20"/>
                <w:lang w:val="sr-Cyrl-RS"/>
              </w:rPr>
            </w:pPr>
            <w:r w:rsidRPr="00CF77C1">
              <w:rPr>
                <w:color w:val="000000"/>
                <w:sz w:val="20"/>
                <w:lang w:val="sr-Cyrl-RS"/>
              </w:rPr>
              <w:t>Ранг</w:t>
            </w:r>
          </w:p>
        </w:tc>
        <w:tc>
          <w:tcPr>
            <w:tcW w:w="708" w:type="dxa"/>
            <w:textDirection w:val="btLr"/>
            <w:vAlign w:val="center"/>
          </w:tcPr>
          <w:p w14:paraId="161D6C9A" w14:textId="1DB9E893" w:rsidR="00080C15" w:rsidRPr="00CF77C1" w:rsidRDefault="00080C15" w:rsidP="0099089D">
            <w:pPr>
              <w:keepNext/>
              <w:keepLines/>
              <w:autoSpaceDE w:val="0"/>
              <w:autoSpaceDN w:val="0"/>
              <w:adjustRightInd w:val="0"/>
              <w:spacing w:before="20" w:after="20"/>
              <w:ind w:left="113" w:right="113"/>
              <w:jc w:val="center"/>
              <w:rPr>
                <w:color w:val="000000"/>
                <w:sz w:val="20"/>
                <w:lang w:val="sr-Cyrl-RS"/>
              </w:rPr>
            </w:pPr>
            <w:r w:rsidRPr="00CF77C1">
              <w:rPr>
                <w:color w:val="000000"/>
                <w:sz w:val="20"/>
                <w:lang w:val="sr-Cyrl-RS"/>
              </w:rPr>
              <w:t>Редни број</w:t>
            </w:r>
          </w:p>
        </w:tc>
        <w:tc>
          <w:tcPr>
            <w:tcW w:w="1985" w:type="dxa"/>
            <w:vAlign w:val="center"/>
          </w:tcPr>
          <w:p w14:paraId="01DC0C7E" w14:textId="77777777" w:rsidR="00080C15" w:rsidRPr="00CF77C1" w:rsidRDefault="00080C15" w:rsidP="0099089D">
            <w:pPr>
              <w:keepNext/>
              <w:keepLines/>
              <w:autoSpaceDE w:val="0"/>
              <w:autoSpaceDN w:val="0"/>
              <w:adjustRightInd w:val="0"/>
              <w:spacing w:before="20" w:after="20"/>
              <w:jc w:val="left"/>
              <w:rPr>
                <w:color w:val="000000"/>
                <w:sz w:val="20"/>
                <w:lang w:val="sr-Cyrl-RS"/>
              </w:rPr>
            </w:pPr>
            <w:r w:rsidRPr="00CF77C1">
              <w:rPr>
                <w:color w:val="000000"/>
                <w:sz w:val="20"/>
                <w:lang w:val="sr-Cyrl-RS"/>
              </w:rPr>
              <w:t>Назив пројекта</w:t>
            </w:r>
          </w:p>
        </w:tc>
        <w:tc>
          <w:tcPr>
            <w:tcW w:w="425" w:type="dxa"/>
            <w:textDirection w:val="btLr"/>
            <w:vAlign w:val="center"/>
          </w:tcPr>
          <w:p w14:paraId="71D7E841" w14:textId="77777777" w:rsidR="00080C15" w:rsidRPr="00CF77C1" w:rsidRDefault="00080C15" w:rsidP="0099089D">
            <w:pPr>
              <w:keepNext/>
              <w:keepLines/>
              <w:autoSpaceDE w:val="0"/>
              <w:autoSpaceDN w:val="0"/>
              <w:adjustRightInd w:val="0"/>
              <w:spacing w:before="20" w:after="20"/>
              <w:ind w:left="113" w:right="113"/>
              <w:jc w:val="center"/>
              <w:rPr>
                <w:color w:val="000000"/>
                <w:sz w:val="20"/>
                <w:lang w:val="sr-Cyrl-RS"/>
              </w:rPr>
            </w:pPr>
            <w:r w:rsidRPr="00CF77C1">
              <w:rPr>
                <w:color w:val="000000"/>
                <w:sz w:val="20"/>
                <w:lang w:val="sr-Cyrl-RS"/>
              </w:rPr>
              <w:t>Број поена</w:t>
            </w:r>
          </w:p>
        </w:tc>
        <w:tc>
          <w:tcPr>
            <w:tcW w:w="8363" w:type="dxa"/>
            <w:vAlign w:val="center"/>
          </w:tcPr>
          <w:p w14:paraId="02F60573" w14:textId="5F5570EC" w:rsidR="00080C15" w:rsidRPr="00CF77C1" w:rsidRDefault="00A0631B" w:rsidP="0099089D">
            <w:pPr>
              <w:keepNext/>
              <w:keepLines/>
              <w:autoSpaceDE w:val="0"/>
              <w:autoSpaceDN w:val="0"/>
              <w:adjustRightInd w:val="0"/>
              <w:spacing w:before="20" w:after="20"/>
              <w:jc w:val="left"/>
              <w:rPr>
                <w:color w:val="000000"/>
                <w:sz w:val="20"/>
                <w:lang w:val="sr-Cyrl-RS"/>
              </w:rPr>
            </w:pPr>
            <w:r w:rsidRPr="00CF77C1">
              <w:rPr>
                <w:color w:val="000000"/>
                <w:sz w:val="20"/>
                <w:lang w:val="sr-Cyrl-RS"/>
              </w:rPr>
              <w:t>Основне информације о пројекту</w:t>
            </w:r>
          </w:p>
        </w:tc>
        <w:tc>
          <w:tcPr>
            <w:tcW w:w="1418" w:type="dxa"/>
            <w:vAlign w:val="center"/>
          </w:tcPr>
          <w:p w14:paraId="7DA6AAEF" w14:textId="56AFB1AF" w:rsidR="00080C15" w:rsidRPr="00CF77C1" w:rsidRDefault="00080C15" w:rsidP="003C278C">
            <w:pPr>
              <w:jc w:val="center"/>
              <w:rPr>
                <w:sz w:val="20"/>
                <w:lang w:val="sr-Cyrl-RS"/>
              </w:rPr>
            </w:pPr>
            <w:r w:rsidRPr="00CF77C1">
              <w:rPr>
                <w:sz w:val="20"/>
                <w:lang w:val="sr-Cyrl-RS"/>
              </w:rPr>
              <w:t>Вредност пројекта</w:t>
            </w:r>
          </w:p>
        </w:tc>
        <w:tc>
          <w:tcPr>
            <w:tcW w:w="1276" w:type="dxa"/>
            <w:vAlign w:val="center"/>
          </w:tcPr>
          <w:p w14:paraId="37B8AF10" w14:textId="7983367C" w:rsidR="00080C15" w:rsidRPr="00CF77C1" w:rsidRDefault="00080C15" w:rsidP="003C278C">
            <w:pPr>
              <w:jc w:val="center"/>
              <w:rPr>
                <w:sz w:val="20"/>
                <w:lang w:val="sr-Cyrl-RS"/>
              </w:rPr>
            </w:pPr>
            <w:r w:rsidRPr="00CF77C1">
              <w:rPr>
                <w:sz w:val="20"/>
                <w:lang w:val="sr-Cyrl-RS"/>
              </w:rPr>
              <w:t>Период реализације</w:t>
            </w:r>
          </w:p>
        </w:tc>
      </w:tr>
      <w:tr w:rsidR="00F17E96" w:rsidRPr="00CF77C1" w14:paraId="55CD8571" w14:textId="77777777" w:rsidTr="00FF1371">
        <w:trPr>
          <w:cantSplit/>
          <w:trHeight w:val="610"/>
        </w:trPr>
        <w:tc>
          <w:tcPr>
            <w:tcW w:w="456" w:type="dxa"/>
            <w:vAlign w:val="center"/>
          </w:tcPr>
          <w:p w14:paraId="44FEAE5E" w14:textId="34D1A0A2"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1</w:t>
            </w:r>
          </w:p>
        </w:tc>
        <w:tc>
          <w:tcPr>
            <w:tcW w:w="708" w:type="dxa"/>
            <w:vAlign w:val="center"/>
          </w:tcPr>
          <w:p w14:paraId="797419FF" w14:textId="251B4A71" w:rsidR="00F17E96" w:rsidRPr="00CF77C1" w:rsidRDefault="004E3B6F" w:rsidP="001D0517">
            <w:pPr>
              <w:autoSpaceDE w:val="0"/>
              <w:autoSpaceDN w:val="0"/>
              <w:adjustRightInd w:val="0"/>
              <w:spacing w:before="20" w:after="20"/>
              <w:jc w:val="center"/>
              <w:rPr>
                <w:sz w:val="20"/>
                <w:lang w:val="sr-Cyrl-RS"/>
              </w:rPr>
            </w:pPr>
            <w:r>
              <w:rPr>
                <w:sz w:val="20"/>
                <w:lang w:val="sr-Cyrl-RS"/>
              </w:rPr>
              <w:t>П.15</w:t>
            </w:r>
          </w:p>
        </w:tc>
        <w:tc>
          <w:tcPr>
            <w:tcW w:w="1985" w:type="dxa"/>
            <w:vAlign w:val="center"/>
          </w:tcPr>
          <w:p w14:paraId="76164145" w14:textId="3972971A"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изградње нових ветроелектрана укупне снаге до 500 MW на подручју Републике Србије</w:t>
            </w:r>
          </w:p>
        </w:tc>
        <w:tc>
          <w:tcPr>
            <w:tcW w:w="425" w:type="dxa"/>
            <w:vAlign w:val="center"/>
          </w:tcPr>
          <w:p w14:paraId="4ED2FB03" w14:textId="46CA58EB"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81</w:t>
            </w:r>
          </w:p>
        </w:tc>
        <w:tc>
          <w:tcPr>
            <w:tcW w:w="8363" w:type="dxa"/>
            <w:vAlign w:val="center"/>
          </w:tcPr>
          <w:p w14:paraId="51991787" w14:textId="4DCB6020" w:rsidR="00F17E96" w:rsidRPr="00CF77C1" w:rsidRDefault="00F17E96" w:rsidP="003E39B4">
            <w:pPr>
              <w:pStyle w:val="ListParagraph"/>
              <w:numPr>
                <w:ilvl w:val="0"/>
                <w:numId w:val="95"/>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субјекти:</w:t>
            </w:r>
            <w:r w:rsidRPr="00CF77C1">
              <w:rPr>
                <w:color w:val="000000"/>
                <w:sz w:val="20"/>
                <w:szCs w:val="20"/>
                <w:lang w:val="sr-Cyrl-RS"/>
              </w:rPr>
              <w:tab/>
              <w:t>Приватни инвеститори, ЕПС</w:t>
            </w:r>
          </w:p>
          <w:p w14:paraId="79286730" w14:textId="77777777" w:rsidR="00F17E96" w:rsidRPr="00CF77C1" w:rsidRDefault="00F17E96" w:rsidP="003E39B4">
            <w:pPr>
              <w:pStyle w:val="ListParagraph"/>
              <w:numPr>
                <w:ilvl w:val="0"/>
                <w:numId w:val="9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1E0B91C7" w14:textId="31975ADE" w:rsidR="00F17E96" w:rsidRPr="00CF77C1" w:rsidRDefault="00F17E96" w:rsidP="008E01E8">
            <w:pPr>
              <w:autoSpaceDE w:val="0"/>
              <w:autoSpaceDN w:val="0"/>
              <w:adjustRightInd w:val="0"/>
              <w:spacing w:before="20" w:after="20"/>
              <w:jc w:val="left"/>
              <w:rPr>
                <w:color w:val="000000"/>
                <w:sz w:val="20"/>
                <w:lang w:val="sr-Cyrl-RS"/>
              </w:rPr>
            </w:pPr>
            <w:r w:rsidRPr="00CF77C1">
              <w:rPr>
                <w:color w:val="000000"/>
                <w:sz w:val="20"/>
                <w:lang w:val="sr-Cyrl-RS"/>
              </w:rPr>
              <w:t xml:space="preserve">Пројекат обухвата изградњу седам нових ветропаркова различитих снага којима ће се обезбедити укупна годишња производња 1.303 GWh, чиме се из обновљивих извора обезбеђује значајних 1,2% </w:t>
            </w:r>
            <w:r w:rsidR="00F87662" w:rsidRPr="00CF77C1">
              <w:rPr>
                <w:color w:val="000000"/>
                <w:sz w:val="20"/>
                <w:lang w:val="sr-Cyrl-RS"/>
              </w:rPr>
              <w:t xml:space="preserve">бруто финалне потрошње енергије </w:t>
            </w:r>
            <w:r w:rsidRPr="00CF77C1">
              <w:rPr>
                <w:color w:val="000000"/>
                <w:sz w:val="20"/>
                <w:lang w:val="sr-Cyrl-RS"/>
              </w:rPr>
              <w:t>Републике Србије.</w:t>
            </w:r>
            <w:r w:rsidR="00F87662" w:rsidRPr="00CF77C1">
              <w:rPr>
                <w:color w:val="000000"/>
                <w:sz w:val="20"/>
                <w:lang w:val="sr-Cyrl-RS"/>
              </w:rPr>
              <w:t xml:space="preserve"> Пројекат реализује више приватних инвеститора и он је од стратешке важности за Републику Србију због постизања циљева дефинисаних за учешће обновљивих извора енергије у бруто финалној потрошњи енергије Републике Србије.</w:t>
            </w:r>
          </w:p>
          <w:p w14:paraId="3CE44401" w14:textId="77777777" w:rsidR="00F17E96" w:rsidRPr="00CF77C1" w:rsidRDefault="00F17E96" w:rsidP="003E39B4">
            <w:pPr>
              <w:pStyle w:val="ListParagraph"/>
              <w:numPr>
                <w:ilvl w:val="0"/>
                <w:numId w:val="9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1C11A37F" w14:textId="2FEC8A66" w:rsidR="00F17E96" w:rsidRPr="00CF77C1" w:rsidRDefault="00F17E96" w:rsidP="008E01E8">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развоју тржишта електричне енергије и транзицији ка одрживој енергетици.</w:t>
            </w:r>
          </w:p>
          <w:p w14:paraId="6BB9FD66" w14:textId="77777777" w:rsidR="00F17E96" w:rsidRPr="00CF77C1" w:rsidRDefault="00F17E96" w:rsidP="003E39B4">
            <w:pPr>
              <w:pStyle w:val="ListParagraph"/>
              <w:numPr>
                <w:ilvl w:val="0"/>
                <w:numId w:val="9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593B3015" w14:textId="2DD42827" w:rsidR="00F17E96" w:rsidRPr="00CF77C1" w:rsidRDefault="00F17E96" w:rsidP="008E01E8">
            <w:pPr>
              <w:autoSpaceDE w:val="0"/>
              <w:autoSpaceDN w:val="0"/>
              <w:adjustRightInd w:val="0"/>
              <w:spacing w:before="20" w:after="20"/>
              <w:jc w:val="left"/>
              <w:rPr>
                <w:color w:val="000000"/>
                <w:sz w:val="20"/>
                <w:lang w:val="sr-Cyrl-RS"/>
              </w:rPr>
            </w:pPr>
            <w:r w:rsidRPr="00CF77C1">
              <w:rPr>
                <w:color w:val="000000"/>
                <w:sz w:val="20"/>
                <w:lang w:val="sr-Cyrl-RS"/>
              </w:rPr>
              <w:t>За већину потпројеката техничка документација је припремљена, или у завршној фази. Очекује се почетак изградње првих ветропаркова током 2017. године.</w:t>
            </w:r>
          </w:p>
          <w:p w14:paraId="4EB08366" w14:textId="77777777" w:rsidR="00F17E96" w:rsidRPr="00CF77C1" w:rsidRDefault="00F17E96" w:rsidP="003E39B4">
            <w:pPr>
              <w:pStyle w:val="ListParagraph"/>
              <w:numPr>
                <w:ilvl w:val="0"/>
                <w:numId w:val="9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0EF4812D" w14:textId="6B90A5FC"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Није позната ситуација са изворима финансирања ових објеката.</w:t>
            </w:r>
          </w:p>
        </w:tc>
        <w:tc>
          <w:tcPr>
            <w:tcW w:w="1418" w:type="dxa"/>
            <w:vAlign w:val="center"/>
          </w:tcPr>
          <w:p w14:paraId="550C6214" w14:textId="02D55931" w:rsidR="00F17E96" w:rsidRPr="00CF77C1" w:rsidRDefault="00F17E96" w:rsidP="009C78BD">
            <w:pPr>
              <w:jc w:val="center"/>
              <w:rPr>
                <w:sz w:val="20"/>
                <w:lang w:val="sr-Cyrl-RS"/>
              </w:rPr>
            </w:pPr>
            <w:r w:rsidRPr="00CF77C1">
              <w:rPr>
                <w:sz w:val="20"/>
                <w:lang w:val="sr-Cyrl-RS"/>
              </w:rPr>
              <w:t>706 милиона €</w:t>
            </w:r>
          </w:p>
        </w:tc>
        <w:tc>
          <w:tcPr>
            <w:tcW w:w="1276" w:type="dxa"/>
            <w:vAlign w:val="center"/>
          </w:tcPr>
          <w:p w14:paraId="571B8516" w14:textId="69BC6CE0" w:rsidR="00F17E96" w:rsidRPr="00CF77C1" w:rsidRDefault="00F17E96" w:rsidP="003C278C">
            <w:pPr>
              <w:jc w:val="center"/>
              <w:rPr>
                <w:sz w:val="20"/>
                <w:lang w:val="sr-Cyrl-RS"/>
              </w:rPr>
            </w:pPr>
            <w:r w:rsidRPr="00CF77C1">
              <w:rPr>
                <w:sz w:val="20"/>
                <w:lang w:val="sr-Cyrl-RS"/>
              </w:rPr>
              <w:t>2017-2020.</w:t>
            </w:r>
          </w:p>
        </w:tc>
      </w:tr>
      <w:tr w:rsidR="00F17E96" w:rsidRPr="00CF77C1" w14:paraId="038972EF" w14:textId="4320BF8C" w:rsidTr="00FF1371">
        <w:trPr>
          <w:cantSplit/>
          <w:trHeight w:val="610"/>
        </w:trPr>
        <w:tc>
          <w:tcPr>
            <w:tcW w:w="456" w:type="dxa"/>
            <w:vAlign w:val="center"/>
          </w:tcPr>
          <w:p w14:paraId="1057A69E" w14:textId="690C40FD"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2</w:t>
            </w:r>
          </w:p>
        </w:tc>
        <w:tc>
          <w:tcPr>
            <w:tcW w:w="708" w:type="dxa"/>
            <w:vAlign w:val="center"/>
          </w:tcPr>
          <w:p w14:paraId="0FCA2E94" w14:textId="2427E3BE" w:rsidR="00F17E96" w:rsidRPr="00CF77C1" w:rsidRDefault="004E3B6F" w:rsidP="001D0517">
            <w:pPr>
              <w:autoSpaceDE w:val="0"/>
              <w:autoSpaceDN w:val="0"/>
              <w:adjustRightInd w:val="0"/>
              <w:spacing w:before="20" w:after="20"/>
              <w:jc w:val="center"/>
              <w:rPr>
                <w:color w:val="000000"/>
                <w:sz w:val="20"/>
                <w:lang w:val="sr-Cyrl-RS"/>
              </w:rPr>
            </w:pPr>
            <w:r>
              <w:rPr>
                <w:sz w:val="20"/>
                <w:lang w:val="sr-Cyrl-RS"/>
              </w:rPr>
              <w:t>П.27</w:t>
            </w:r>
          </w:p>
        </w:tc>
        <w:tc>
          <w:tcPr>
            <w:tcW w:w="1985" w:type="dxa"/>
            <w:vAlign w:val="center"/>
          </w:tcPr>
          <w:p w14:paraId="5A699538" w14:textId="77777777"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Отварање заменских капацитета за постојеће површинске копове који престају са радом и отварање копова који ће бити намењени за нове термоенергетске капацитете</w:t>
            </w:r>
          </w:p>
        </w:tc>
        <w:tc>
          <w:tcPr>
            <w:tcW w:w="425" w:type="dxa"/>
            <w:vAlign w:val="center"/>
          </w:tcPr>
          <w:p w14:paraId="1F8E5AB0"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69</w:t>
            </w:r>
          </w:p>
        </w:tc>
        <w:tc>
          <w:tcPr>
            <w:tcW w:w="8363" w:type="dxa"/>
            <w:vAlign w:val="center"/>
          </w:tcPr>
          <w:p w14:paraId="289E8DB5" w14:textId="494253C0" w:rsidR="00F17E96" w:rsidRPr="00CF77C1" w:rsidRDefault="00F17E96" w:rsidP="003E39B4">
            <w:pPr>
              <w:pStyle w:val="ListParagraph"/>
              <w:numPr>
                <w:ilvl w:val="0"/>
                <w:numId w:val="94"/>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5A8D9C57" w14:textId="225FE6D7" w:rsidR="00F17E96" w:rsidRPr="00CF77C1" w:rsidRDefault="00F17E96" w:rsidP="003E39B4">
            <w:pPr>
              <w:pStyle w:val="ListParagraph"/>
              <w:numPr>
                <w:ilvl w:val="0"/>
                <w:numId w:val="9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3339E782" w14:textId="5971572C" w:rsidR="00F17E96" w:rsidRPr="00CF77C1" w:rsidRDefault="00F17E96" w:rsidP="00A0631B">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сигурном и поузданом снабдевању угљем нових и постојећих електроенергетских термо капацитета. Састоји се од више потпројеката при чему ћ</w:t>
            </w:r>
            <w:r w:rsidR="006C729D">
              <w:rPr>
                <w:color w:val="000000"/>
                <w:sz w:val="20"/>
                <w:lang w:val="sr-Cyrl-RS"/>
              </w:rPr>
              <w:t>е се у периоду реализације ПОС</w:t>
            </w:r>
            <w:r w:rsidRPr="00CF77C1">
              <w:rPr>
                <w:color w:val="000000"/>
                <w:sz w:val="20"/>
                <w:lang w:val="sr-Cyrl-RS"/>
              </w:rPr>
              <w:t xml:space="preserve"> реализовати повећање капацитета копа Дрмно у костолачком басену са постојећих 9 на 12 милиона тона угља годишње због изградње новог блока ТЕ Костолац Б3 снаге 350 МW, ау колубарском басену: повећање капацитета Поља Ц у функцији</w:t>
            </w:r>
            <w:r w:rsidR="001E7E4C">
              <w:rPr>
                <w:color w:val="000000"/>
                <w:sz w:val="20"/>
                <w:lang w:val="sr-Cyrl-RS"/>
              </w:rPr>
              <w:t xml:space="preserve"> отварања Поља Е, отвара</w:t>
            </w:r>
            <w:r w:rsidRPr="00CF77C1">
              <w:rPr>
                <w:color w:val="000000"/>
                <w:sz w:val="20"/>
                <w:lang w:val="sr-Cyrl-RS"/>
              </w:rPr>
              <w:t>ње Поља Е као заменског капацитета површинском копу Поље Ц и Поље Д, отварање површинског копа Поље Г као заменског капацитета површинском копу Велики Црљени, као и отварање копа Радљево у функцији уједначавање квалитета угља и у каснијој фази као заменски капацитет површинског копа Тамнава западно поље.</w:t>
            </w:r>
          </w:p>
          <w:p w14:paraId="1C8BAE90" w14:textId="6C1EB3F4" w:rsidR="00F17E96" w:rsidRPr="00CF77C1" w:rsidRDefault="00F17E96" w:rsidP="003E39B4">
            <w:pPr>
              <w:pStyle w:val="ListParagraph"/>
              <w:numPr>
                <w:ilvl w:val="0"/>
                <w:numId w:val="9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1A67D0B2" w14:textId="5C2D4754" w:rsidR="00F17E96" w:rsidRPr="00CF77C1" w:rsidRDefault="00F17E96" w:rsidP="00A0631B">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и угљем.</w:t>
            </w:r>
          </w:p>
          <w:p w14:paraId="6F1E55B0" w14:textId="5B5AC00E" w:rsidR="00F17E96" w:rsidRPr="00CF77C1" w:rsidRDefault="00F17E96" w:rsidP="003E39B4">
            <w:pPr>
              <w:pStyle w:val="ListParagraph"/>
              <w:numPr>
                <w:ilvl w:val="0"/>
                <w:numId w:val="9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13E3B033" w14:textId="613878E6" w:rsidR="00F17E96" w:rsidRPr="00CF77C1" w:rsidRDefault="00F17E96" w:rsidP="00A0631B">
            <w:pPr>
              <w:autoSpaceDE w:val="0"/>
              <w:autoSpaceDN w:val="0"/>
              <w:adjustRightInd w:val="0"/>
              <w:spacing w:before="20" w:after="20"/>
              <w:jc w:val="left"/>
              <w:rPr>
                <w:color w:val="000000"/>
                <w:sz w:val="20"/>
                <w:lang w:val="sr-Cyrl-RS"/>
              </w:rPr>
            </w:pPr>
            <w:r w:rsidRPr="00CF77C1">
              <w:rPr>
                <w:color w:val="000000"/>
                <w:sz w:val="20"/>
                <w:lang w:val="sr-Cyrl-RS"/>
              </w:rPr>
              <w:t>За поједине потпројекте техничка документација је припремљена, док је за поједине у фази припреме.</w:t>
            </w:r>
          </w:p>
          <w:p w14:paraId="28C51B4C" w14:textId="38B9C8CE" w:rsidR="00F17E96" w:rsidRPr="00CF77C1" w:rsidRDefault="00F17E96" w:rsidP="003E39B4">
            <w:pPr>
              <w:pStyle w:val="ListParagraph"/>
              <w:numPr>
                <w:ilvl w:val="0"/>
                <w:numId w:val="9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102C035B" w14:textId="15686CCD"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За поједине потпројекте уговорени су извори финансирања, а за остале су у фази планирања.</w:t>
            </w:r>
          </w:p>
        </w:tc>
        <w:tc>
          <w:tcPr>
            <w:tcW w:w="1418" w:type="dxa"/>
            <w:vAlign w:val="center"/>
          </w:tcPr>
          <w:p w14:paraId="4255DA80" w14:textId="53623D71" w:rsidR="00F17E96" w:rsidRPr="00CF77C1" w:rsidRDefault="00F17E96" w:rsidP="009C78BD">
            <w:pPr>
              <w:jc w:val="center"/>
              <w:rPr>
                <w:sz w:val="20"/>
                <w:lang w:val="sr-Cyrl-RS"/>
              </w:rPr>
            </w:pPr>
            <w:r w:rsidRPr="00CF77C1">
              <w:rPr>
                <w:sz w:val="20"/>
                <w:lang w:val="sr-Cyrl-RS"/>
              </w:rPr>
              <w:t>1.125 милиона €</w:t>
            </w:r>
          </w:p>
        </w:tc>
        <w:tc>
          <w:tcPr>
            <w:tcW w:w="1276" w:type="dxa"/>
            <w:vAlign w:val="center"/>
          </w:tcPr>
          <w:p w14:paraId="5A612351" w14:textId="6574C074" w:rsidR="00F17E96" w:rsidRPr="00CF77C1" w:rsidRDefault="00F17E96" w:rsidP="003C278C">
            <w:pPr>
              <w:jc w:val="center"/>
              <w:rPr>
                <w:sz w:val="20"/>
                <w:lang w:val="sr-Cyrl-RS"/>
              </w:rPr>
            </w:pPr>
            <w:r w:rsidRPr="00CF77C1">
              <w:rPr>
                <w:sz w:val="20"/>
                <w:lang w:val="sr-Cyrl-RS"/>
              </w:rPr>
              <w:t>2017-2023.</w:t>
            </w:r>
          </w:p>
        </w:tc>
      </w:tr>
      <w:tr w:rsidR="00F17E96" w:rsidRPr="00CF77C1" w14:paraId="5EF1D2D9" w14:textId="5B94C2E0" w:rsidTr="00FF1371">
        <w:trPr>
          <w:cantSplit/>
          <w:trHeight w:val="305"/>
        </w:trPr>
        <w:tc>
          <w:tcPr>
            <w:tcW w:w="456" w:type="dxa"/>
            <w:vAlign w:val="center"/>
          </w:tcPr>
          <w:p w14:paraId="43046D89" w14:textId="16261775"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3</w:t>
            </w:r>
          </w:p>
        </w:tc>
        <w:tc>
          <w:tcPr>
            <w:tcW w:w="708" w:type="dxa"/>
            <w:vAlign w:val="center"/>
          </w:tcPr>
          <w:p w14:paraId="4B0AE921" w14:textId="63380C4C" w:rsidR="00F17E96" w:rsidRPr="00CF77C1" w:rsidRDefault="004E3B6F" w:rsidP="00624C44">
            <w:pPr>
              <w:autoSpaceDE w:val="0"/>
              <w:autoSpaceDN w:val="0"/>
              <w:adjustRightInd w:val="0"/>
              <w:spacing w:before="20" w:after="20"/>
              <w:jc w:val="center"/>
              <w:rPr>
                <w:color w:val="000000"/>
                <w:sz w:val="20"/>
                <w:lang w:val="sr-Cyrl-RS"/>
              </w:rPr>
            </w:pPr>
            <w:r>
              <w:rPr>
                <w:sz w:val="20"/>
                <w:lang w:val="sr-Cyrl-RS"/>
              </w:rPr>
              <w:t>П.29</w:t>
            </w:r>
          </w:p>
        </w:tc>
        <w:tc>
          <w:tcPr>
            <w:tcW w:w="1985" w:type="dxa"/>
            <w:vAlign w:val="center"/>
          </w:tcPr>
          <w:p w14:paraId="7C9E7A91" w14:textId="77777777" w:rsidR="00F17E96" w:rsidRPr="00CF77C1" w:rsidRDefault="00F17E96" w:rsidP="00624C44">
            <w:pPr>
              <w:autoSpaceDE w:val="0"/>
              <w:autoSpaceDN w:val="0"/>
              <w:adjustRightInd w:val="0"/>
              <w:spacing w:before="20" w:after="20"/>
              <w:jc w:val="left"/>
              <w:rPr>
                <w:color w:val="000000"/>
                <w:sz w:val="20"/>
                <w:lang w:val="sr-Cyrl-RS"/>
              </w:rPr>
            </w:pPr>
            <w:r w:rsidRPr="00CF77C1">
              <w:rPr>
                <w:color w:val="000000"/>
                <w:sz w:val="20"/>
                <w:lang w:val="sr-Cyrl-RS"/>
              </w:rPr>
              <w:t>Увођење система за управљање квалитетом угља</w:t>
            </w:r>
          </w:p>
        </w:tc>
        <w:tc>
          <w:tcPr>
            <w:tcW w:w="425" w:type="dxa"/>
            <w:vAlign w:val="center"/>
          </w:tcPr>
          <w:p w14:paraId="66D0F5E0" w14:textId="77777777" w:rsidR="00F17E96" w:rsidRPr="00CF77C1" w:rsidRDefault="00F17E96" w:rsidP="00624C44">
            <w:pPr>
              <w:autoSpaceDE w:val="0"/>
              <w:autoSpaceDN w:val="0"/>
              <w:adjustRightInd w:val="0"/>
              <w:spacing w:before="20" w:after="20"/>
              <w:jc w:val="center"/>
              <w:rPr>
                <w:color w:val="000000"/>
                <w:sz w:val="20"/>
                <w:lang w:val="sr-Cyrl-RS"/>
              </w:rPr>
            </w:pPr>
            <w:r w:rsidRPr="00CF77C1">
              <w:rPr>
                <w:color w:val="000000"/>
                <w:sz w:val="20"/>
                <w:lang w:val="sr-Cyrl-RS"/>
              </w:rPr>
              <w:t>65</w:t>
            </w:r>
          </w:p>
        </w:tc>
        <w:tc>
          <w:tcPr>
            <w:tcW w:w="8363" w:type="dxa"/>
            <w:vAlign w:val="center"/>
          </w:tcPr>
          <w:p w14:paraId="6C3AEC28" w14:textId="77777777" w:rsidR="00F17E96" w:rsidRPr="00CF77C1" w:rsidRDefault="00F17E96" w:rsidP="003E39B4">
            <w:pPr>
              <w:pStyle w:val="ListParagraph"/>
              <w:numPr>
                <w:ilvl w:val="0"/>
                <w:numId w:val="72"/>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2B82B87D" w14:textId="77777777" w:rsidR="00F17E96" w:rsidRPr="00CF77C1" w:rsidRDefault="00F17E96" w:rsidP="003E39B4">
            <w:pPr>
              <w:pStyle w:val="ListParagraph"/>
              <w:numPr>
                <w:ilvl w:val="0"/>
                <w:numId w:val="7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50EC5F50" w14:textId="707FD029" w:rsidR="00F17E96" w:rsidRPr="00CF77C1" w:rsidRDefault="00F17E96" w:rsidP="00A0631B">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повећању продуктивности електрана за 5%, што значи повећање снаге у производњи за 180 MW, смањењу губитака за 370 GWh, могућности експлоатације нискоквалитетнијих угљева и заштити животне средине (спречавању самоупале одложеног угља на одлагалиштима). Пројекат се састоји из три потпројекта који су у различитим фазама реализације. У току реализације једног потпројекта, врши се припрема документације за реализацију наредног потпројекта, уз имплементацију стечених искустава, а тиме се олакшава финан</w:t>
            </w:r>
            <w:r w:rsidR="00A921C6">
              <w:rPr>
                <w:color w:val="000000"/>
                <w:sz w:val="20"/>
                <w:lang w:val="sr-Cyrl-RS"/>
              </w:rPr>
              <w:t>с</w:t>
            </w:r>
            <w:r w:rsidRPr="00CF77C1">
              <w:rPr>
                <w:color w:val="000000"/>
                <w:sz w:val="20"/>
                <w:lang w:val="sr-Cyrl-RS"/>
              </w:rPr>
              <w:t>ирање.</w:t>
            </w:r>
          </w:p>
          <w:p w14:paraId="171159FB" w14:textId="77777777" w:rsidR="00F17E96" w:rsidRPr="00CF77C1" w:rsidRDefault="00F17E96" w:rsidP="003E39B4">
            <w:pPr>
              <w:pStyle w:val="ListParagraph"/>
              <w:numPr>
                <w:ilvl w:val="0"/>
                <w:numId w:val="7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0FB5A477" w14:textId="2EF815E8" w:rsidR="00F17E96" w:rsidRPr="00CF77C1" w:rsidRDefault="00F17E96" w:rsidP="00A0631B">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и транзицији ка одрживој енергетици.</w:t>
            </w:r>
          </w:p>
          <w:p w14:paraId="46731823" w14:textId="77777777" w:rsidR="00F17E96" w:rsidRPr="00CF77C1" w:rsidRDefault="00F17E96" w:rsidP="003E39B4">
            <w:pPr>
              <w:pStyle w:val="ListParagraph"/>
              <w:numPr>
                <w:ilvl w:val="0"/>
                <w:numId w:val="7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4871C550" w14:textId="566B38E6" w:rsidR="00F17E96" w:rsidRPr="00CF77C1" w:rsidRDefault="00F17E96" w:rsidP="00A0631B">
            <w:pPr>
              <w:autoSpaceDE w:val="0"/>
              <w:autoSpaceDN w:val="0"/>
              <w:adjustRightInd w:val="0"/>
              <w:spacing w:before="20" w:after="20"/>
              <w:jc w:val="left"/>
              <w:rPr>
                <w:color w:val="000000"/>
                <w:sz w:val="20"/>
                <w:lang w:val="sr-Cyrl-RS"/>
              </w:rPr>
            </w:pPr>
            <w:r w:rsidRPr="00CF77C1">
              <w:rPr>
                <w:color w:val="000000"/>
                <w:sz w:val="20"/>
                <w:lang w:val="sr-Cyrl-RS"/>
              </w:rPr>
              <w:t>За два потпројекта техничка документација је припремљена, док је за трећи у фази припреме.</w:t>
            </w:r>
          </w:p>
          <w:p w14:paraId="4FAB7CA8" w14:textId="77777777" w:rsidR="00F17E96" w:rsidRPr="00CF77C1" w:rsidRDefault="00F17E96" w:rsidP="003E39B4">
            <w:pPr>
              <w:pStyle w:val="ListParagraph"/>
              <w:numPr>
                <w:ilvl w:val="0"/>
                <w:numId w:val="7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5F4115E5" w14:textId="771FFDDD"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За два потпројекта обезбеђени су извори финансирања, а за трећи још не.</w:t>
            </w:r>
          </w:p>
        </w:tc>
        <w:tc>
          <w:tcPr>
            <w:tcW w:w="1418" w:type="dxa"/>
            <w:vAlign w:val="center"/>
          </w:tcPr>
          <w:p w14:paraId="53107B3E" w14:textId="66EC1AAF" w:rsidR="00F17E96" w:rsidRPr="00CF77C1" w:rsidRDefault="00F17E96" w:rsidP="009C78BD">
            <w:pPr>
              <w:jc w:val="center"/>
              <w:rPr>
                <w:sz w:val="20"/>
                <w:lang w:val="sr-Cyrl-RS"/>
              </w:rPr>
            </w:pPr>
            <w:r w:rsidRPr="00CF77C1">
              <w:rPr>
                <w:sz w:val="20"/>
                <w:lang w:val="sr-Cyrl-RS"/>
              </w:rPr>
              <w:t>150 милиона €</w:t>
            </w:r>
          </w:p>
        </w:tc>
        <w:tc>
          <w:tcPr>
            <w:tcW w:w="1276" w:type="dxa"/>
            <w:vAlign w:val="center"/>
          </w:tcPr>
          <w:p w14:paraId="7504ED27" w14:textId="068C3276" w:rsidR="00F17E96" w:rsidRPr="00CF77C1" w:rsidRDefault="00F17E96" w:rsidP="00B07003">
            <w:pPr>
              <w:jc w:val="center"/>
              <w:rPr>
                <w:sz w:val="20"/>
                <w:lang w:val="sr-Cyrl-RS"/>
              </w:rPr>
            </w:pPr>
            <w:r w:rsidRPr="00CF77C1">
              <w:rPr>
                <w:sz w:val="20"/>
                <w:lang w:val="sr-Cyrl-RS"/>
              </w:rPr>
              <w:t>2017-</w:t>
            </w:r>
            <w:r w:rsidR="00B07003" w:rsidRPr="00CF77C1">
              <w:rPr>
                <w:sz w:val="20"/>
              </w:rPr>
              <w:t>2025</w:t>
            </w:r>
            <w:r w:rsidRPr="00CF77C1">
              <w:rPr>
                <w:sz w:val="20"/>
                <w:lang w:val="sr-Cyrl-RS"/>
              </w:rPr>
              <w:t>.</w:t>
            </w:r>
          </w:p>
        </w:tc>
      </w:tr>
      <w:tr w:rsidR="00F17E96" w:rsidRPr="00CF77C1" w14:paraId="3F9B2A45" w14:textId="590AF2F1" w:rsidTr="00FF1371">
        <w:trPr>
          <w:cantSplit/>
          <w:trHeight w:val="305"/>
        </w:trPr>
        <w:tc>
          <w:tcPr>
            <w:tcW w:w="456" w:type="dxa"/>
            <w:vAlign w:val="center"/>
          </w:tcPr>
          <w:p w14:paraId="23128806" w14:textId="4E5EAC69"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4</w:t>
            </w:r>
          </w:p>
        </w:tc>
        <w:tc>
          <w:tcPr>
            <w:tcW w:w="708" w:type="dxa"/>
            <w:vAlign w:val="center"/>
          </w:tcPr>
          <w:p w14:paraId="7E32B4CE" w14:textId="477D32FC" w:rsidR="00F17E96" w:rsidRPr="00CF77C1" w:rsidRDefault="004E3B6F" w:rsidP="001D0517">
            <w:pPr>
              <w:autoSpaceDE w:val="0"/>
              <w:autoSpaceDN w:val="0"/>
              <w:adjustRightInd w:val="0"/>
              <w:spacing w:before="20" w:after="20"/>
              <w:jc w:val="center"/>
              <w:rPr>
                <w:color w:val="000000"/>
                <w:sz w:val="20"/>
                <w:lang w:val="sr-Cyrl-RS"/>
              </w:rPr>
            </w:pPr>
            <w:r>
              <w:rPr>
                <w:sz w:val="20"/>
                <w:lang w:val="sr-Cyrl-RS"/>
              </w:rPr>
              <w:t>П.18</w:t>
            </w:r>
          </w:p>
        </w:tc>
        <w:tc>
          <w:tcPr>
            <w:tcW w:w="1985" w:type="dxa"/>
            <w:vAlign w:val="center"/>
          </w:tcPr>
          <w:p w14:paraId="7A4F4B34" w14:textId="77777777"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Стрaтeшки прojeкaт „Дубoка прeрaда”</w:t>
            </w:r>
          </w:p>
        </w:tc>
        <w:tc>
          <w:tcPr>
            <w:tcW w:w="425" w:type="dxa"/>
            <w:vAlign w:val="center"/>
          </w:tcPr>
          <w:p w14:paraId="4F04FA35"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64</w:t>
            </w:r>
          </w:p>
        </w:tc>
        <w:tc>
          <w:tcPr>
            <w:tcW w:w="8363" w:type="dxa"/>
            <w:vAlign w:val="center"/>
          </w:tcPr>
          <w:p w14:paraId="2463201E" w14:textId="5252CF8F" w:rsidR="00F17E96" w:rsidRPr="00CF77C1" w:rsidRDefault="00F17E96" w:rsidP="003E39B4">
            <w:pPr>
              <w:pStyle w:val="ListParagraph"/>
              <w:numPr>
                <w:ilvl w:val="0"/>
                <w:numId w:val="7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НИС</w:t>
            </w:r>
          </w:p>
          <w:p w14:paraId="09D3E230" w14:textId="77777777" w:rsidR="00F17E96" w:rsidRPr="00CF77C1" w:rsidRDefault="00F17E96" w:rsidP="003E39B4">
            <w:pPr>
              <w:pStyle w:val="ListParagraph"/>
              <w:numPr>
                <w:ilvl w:val="0"/>
                <w:numId w:val="7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20990343" w14:textId="37CBB676" w:rsidR="00F17E96" w:rsidRPr="00CF77C1" w:rsidRDefault="00F17E96" w:rsidP="001E6FE9">
            <w:pPr>
              <w:autoSpaceDE w:val="0"/>
              <w:autoSpaceDN w:val="0"/>
              <w:adjustRightInd w:val="0"/>
              <w:spacing w:before="20" w:after="20"/>
              <w:jc w:val="left"/>
              <w:rPr>
                <w:color w:val="000000"/>
                <w:sz w:val="20"/>
                <w:lang w:val="sr-Cyrl-RS"/>
              </w:rPr>
            </w:pPr>
            <w:r w:rsidRPr="00CF77C1">
              <w:rPr>
                <w:color w:val="000000"/>
                <w:sz w:val="20"/>
                <w:lang w:val="sr-Cyrl-RS"/>
              </w:rPr>
              <w:t>Овим пројектом ће се омогућити пoвeћaњe дубине прераде (на 92%) и повећање прoизвoдњe бeлих дeривaтa (на 85,8%), уз истовремено унапређење и повећање ефикасности процеса прераде, уз повећање доступности постројења и максимизацију нивoа oптимизaциje eнeргeтских трoшкoвa у Рафинерији нафте Панчево. По нивоу енергетског интензитета она ће се изједначити са водећим светским рафинеријама.</w:t>
            </w:r>
          </w:p>
          <w:p w14:paraId="291EE12E" w14:textId="77777777" w:rsidR="00F17E96" w:rsidRPr="00CF77C1" w:rsidRDefault="00F17E96" w:rsidP="003E39B4">
            <w:pPr>
              <w:pStyle w:val="ListParagraph"/>
              <w:numPr>
                <w:ilvl w:val="0"/>
                <w:numId w:val="7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20B17243" w14:textId="3B9FFBA9" w:rsidR="00F17E96" w:rsidRPr="00CF77C1" w:rsidRDefault="00F17E96" w:rsidP="001E6FE9">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нафтним дериватим</w:t>
            </w:r>
            <w:r w:rsidR="0011525E">
              <w:rPr>
                <w:color w:val="000000"/>
                <w:sz w:val="20"/>
                <w:lang w:val="sr-Cyrl-RS"/>
              </w:rPr>
              <w:t>а, развоју тржишта нафтних дерив</w:t>
            </w:r>
            <w:r w:rsidRPr="00CF77C1">
              <w:rPr>
                <w:color w:val="000000"/>
                <w:sz w:val="20"/>
                <w:lang w:val="sr-Cyrl-RS"/>
              </w:rPr>
              <w:t>ата и транзицији ка одрживој енергетици.</w:t>
            </w:r>
          </w:p>
          <w:p w14:paraId="527931EE" w14:textId="77777777" w:rsidR="00F17E96" w:rsidRPr="00CF77C1" w:rsidRDefault="00F17E96" w:rsidP="003E39B4">
            <w:pPr>
              <w:pStyle w:val="ListParagraph"/>
              <w:numPr>
                <w:ilvl w:val="0"/>
                <w:numId w:val="7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0E7D5D24" w14:textId="2C5DAF1D" w:rsidR="00F17E96" w:rsidRPr="00CF77C1" w:rsidRDefault="00F17E96" w:rsidP="001E6FE9">
            <w:pPr>
              <w:autoSpaceDE w:val="0"/>
              <w:autoSpaceDN w:val="0"/>
              <w:adjustRightInd w:val="0"/>
              <w:spacing w:before="20" w:after="20"/>
              <w:jc w:val="left"/>
              <w:rPr>
                <w:color w:val="000000"/>
                <w:sz w:val="20"/>
                <w:lang w:val="sr-Cyrl-RS"/>
              </w:rPr>
            </w:pPr>
            <w:r w:rsidRPr="00CF77C1">
              <w:rPr>
                <w:color w:val="000000"/>
                <w:sz w:val="20"/>
                <w:lang w:val="sr-Cyrl-RS"/>
              </w:rPr>
              <w:t>Пројекат је у завршној фази припреме пред реализацију - обезбеђују се потребне дозволе.</w:t>
            </w:r>
          </w:p>
          <w:p w14:paraId="7A6AF435" w14:textId="77777777" w:rsidR="00F17E96" w:rsidRPr="00CF77C1" w:rsidRDefault="00F17E96" w:rsidP="003E39B4">
            <w:pPr>
              <w:pStyle w:val="ListParagraph"/>
              <w:numPr>
                <w:ilvl w:val="0"/>
                <w:numId w:val="7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76052CF8" w14:textId="7C27F669"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Финансирање пројекта је обезбеђе</w:t>
            </w:r>
            <w:r w:rsidR="00585E18">
              <w:rPr>
                <w:color w:val="000000"/>
                <w:sz w:val="20"/>
                <w:lang w:val="sr-Cyrl-RS"/>
              </w:rPr>
              <w:t>но из сопствених средстава НИС.</w:t>
            </w:r>
          </w:p>
        </w:tc>
        <w:tc>
          <w:tcPr>
            <w:tcW w:w="1418" w:type="dxa"/>
            <w:vAlign w:val="center"/>
          </w:tcPr>
          <w:p w14:paraId="66A74124" w14:textId="4A487E74" w:rsidR="00F17E96" w:rsidRPr="00CF77C1" w:rsidRDefault="00F17E96" w:rsidP="009C78BD">
            <w:pPr>
              <w:jc w:val="center"/>
              <w:rPr>
                <w:sz w:val="20"/>
                <w:lang w:val="sr-Cyrl-RS"/>
              </w:rPr>
            </w:pPr>
            <w:r w:rsidRPr="00CF77C1">
              <w:rPr>
                <w:sz w:val="20"/>
                <w:lang w:val="sr-Cyrl-RS"/>
              </w:rPr>
              <w:t>330 милиона $</w:t>
            </w:r>
          </w:p>
        </w:tc>
        <w:tc>
          <w:tcPr>
            <w:tcW w:w="1276" w:type="dxa"/>
            <w:vAlign w:val="center"/>
          </w:tcPr>
          <w:p w14:paraId="1416F879" w14:textId="517241D6" w:rsidR="00F17E96" w:rsidRPr="00CF77C1" w:rsidRDefault="00F17E96" w:rsidP="003C278C">
            <w:pPr>
              <w:jc w:val="center"/>
              <w:rPr>
                <w:sz w:val="20"/>
                <w:lang w:val="sr-Cyrl-RS"/>
              </w:rPr>
            </w:pPr>
            <w:r w:rsidRPr="00CF77C1">
              <w:rPr>
                <w:sz w:val="20"/>
                <w:lang w:val="sr-Cyrl-RS"/>
              </w:rPr>
              <w:t>2017-2019.</w:t>
            </w:r>
          </w:p>
        </w:tc>
      </w:tr>
      <w:tr w:rsidR="00F17E96" w:rsidRPr="00CF77C1" w14:paraId="4EBA9291" w14:textId="5046E32B" w:rsidTr="00FF1371">
        <w:trPr>
          <w:cantSplit/>
          <w:trHeight w:val="305"/>
        </w:trPr>
        <w:tc>
          <w:tcPr>
            <w:tcW w:w="456" w:type="dxa"/>
            <w:vAlign w:val="center"/>
          </w:tcPr>
          <w:p w14:paraId="266A9D0E" w14:textId="210907DF"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5</w:t>
            </w:r>
          </w:p>
        </w:tc>
        <w:tc>
          <w:tcPr>
            <w:tcW w:w="708" w:type="dxa"/>
            <w:vAlign w:val="center"/>
          </w:tcPr>
          <w:p w14:paraId="3EB15C6D" w14:textId="1D5BA27B" w:rsidR="00F17E96" w:rsidRPr="00CF77C1" w:rsidRDefault="00F17E96"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_Ref476806001 \r \h  \* MERGEFORMAT </w:instrText>
            </w:r>
            <w:r w:rsidRPr="00CF77C1">
              <w:rPr>
                <w:sz w:val="20"/>
                <w:lang w:val="sr-Cyrl-RS"/>
              </w:rPr>
            </w:r>
            <w:r w:rsidRPr="00CF77C1">
              <w:rPr>
                <w:sz w:val="20"/>
                <w:lang w:val="sr-Cyrl-RS"/>
              </w:rPr>
              <w:fldChar w:fldCharType="separate"/>
            </w:r>
            <w:r w:rsidR="002D5918">
              <w:rPr>
                <w:sz w:val="20"/>
                <w:lang w:val="sr-Cyrl-RS"/>
              </w:rPr>
              <w:t>П.5</w:t>
            </w:r>
            <w:r w:rsidRPr="00CF77C1">
              <w:rPr>
                <w:sz w:val="20"/>
                <w:lang w:val="sr-Cyrl-RS"/>
              </w:rPr>
              <w:fldChar w:fldCharType="end"/>
            </w:r>
          </w:p>
        </w:tc>
        <w:tc>
          <w:tcPr>
            <w:tcW w:w="1985" w:type="dxa"/>
            <w:vAlign w:val="center"/>
          </w:tcPr>
          <w:p w14:paraId="3533A6C0" w14:textId="77777777"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„Унапређење мерне инфраструктуре”</w:t>
            </w:r>
          </w:p>
        </w:tc>
        <w:tc>
          <w:tcPr>
            <w:tcW w:w="425" w:type="dxa"/>
            <w:vAlign w:val="center"/>
          </w:tcPr>
          <w:p w14:paraId="1990F5D5"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60</w:t>
            </w:r>
          </w:p>
        </w:tc>
        <w:tc>
          <w:tcPr>
            <w:tcW w:w="8363" w:type="dxa"/>
            <w:vAlign w:val="center"/>
          </w:tcPr>
          <w:p w14:paraId="2DEC3270" w14:textId="3ACFEAE3" w:rsidR="00F17E96" w:rsidRPr="00CF77C1" w:rsidRDefault="00F17E96" w:rsidP="003E39B4">
            <w:pPr>
              <w:pStyle w:val="ListParagraph"/>
              <w:numPr>
                <w:ilvl w:val="0"/>
                <w:numId w:val="74"/>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5957D059" w14:textId="77777777" w:rsidR="00F17E96" w:rsidRPr="00CF77C1" w:rsidRDefault="00F17E96" w:rsidP="003E39B4">
            <w:pPr>
              <w:pStyle w:val="ListParagraph"/>
              <w:numPr>
                <w:ilvl w:val="0"/>
                <w:numId w:val="7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18E0C21F" w14:textId="37F88C2B" w:rsidR="00F17E96" w:rsidRPr="00CF77C1" w:rsidRDefault="00F17E96" w:rsidP="00E05915">
            <w:pPr>
              <w:autoSpaceDE w:val="0"/>
              <w:autoSpaceDN w:val="0"/>
              <w:adjustRightInd w:val="0"/>
              <w:spacing w:before="20" w:after="20"/>
              <w:jc w:val="left"/>
              <w:rPr>
                <w:color w:val="000000"/>
                <w:sz w:val="20"/>
                <w:lang w:val="sr-Cyrl-RS"/>
              </w:rPr>
            </w:pPr>
            <w:r w:rsidRPr="00CF77C1">
              <w:rPr>
                <w:color w:val="000000"/>
                <w:sz w:val="20"/>
                <w:lang w:val="sr-Cyrl-RS"/>
              </w:rPr>
              <w:t>Циљ пројекта је замена дотрајале мерне инфраструктуре и имплементација савремених система за даљинско очитавање и управљање потрошњом, као и информационих система који омогућују коришћење овако прикупљених података. Пројекат се реализује фазно, кроз замену бројила и имплементацију система на подручјима на којима је извршена претходна припрема и снимање постојећег стања.</w:t>
            </w:r>
          </w:p>
          <w:p w14:paraId="0183E64C" w14:textId="77777777" w:rsidR="00F17E96" w:rsidRPr="00CF77C1" w:rsidRDefault="00F17E96" w:rsidP="003E39B4">
            <w:pPr>
              <w:pStyle w:val="ListParagraph"/>
              <w:numPr>
                <w:ilvl w:val="0"/>
                <w:numId w:val="7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3C26AC94" w14:textId="5F28EA71" w:rsidR="00F17E96" w:rsidRPr="00CF77C1" w:rsidRDefault="00F17E96" w:rsidP="00E05915">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и развоју тржишта електричне енергије.</w:t>
            </w:r>
          </w:p>
          <w:p w14:paraId="32B781BC" w14:textId="77777777" w:rsidR="00F17E96" w:rsidRPr="00CF77C1" w:rsidRDefault="00F17E96" w:rsidP="003E39B4">
            <w:pPr>
              <w:pStyle w:val="ListParagraph"/>
              <w:numPr>
                <w:ilvl w:val="0"/>
                <w:numId w:val="7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44F8D1AD" w14:textId="740F866D" w:rsidR="00F17E96" w:rsidRPr="00CF77C1" w:rsidRDefault="00F17E96" w:rsidP="00E05915">
            <w:pPr>
              <w:autoSpaceDE w:val="0"/>
              <w:autoSpaceDN w:val="0"/>
              <w:adjustRightInd w:val="0"/>
              <w:spacing w:before="20" w:after="20"/>
              <w:jc w:val="left"/>
              <w:rPr>
                <w:color w:val="000000"/>
                <w:sz w:val="20"/>
                <w:lang w:val="sr-Cyrl-RS"/>
              </w:rPr>
            </w:pPr>
            <w:r w:rsidRPr="00CF77C1">
              <w:rPr>
                <w:color w:val="000000"/>
                <w:sz w:val="20"/>
                <w:lang w:val="sr-Cyrl-RS"/>
              </w:rPr>
              <w:t>Пројекат се реализује фазно, при чему је припремљена документација за брзу реализацију првих фаза. Преостала техничка документација ће се припремати током имплементације првих фаза, да би се у њену припрему уградила искуства стечена у имплементацији.</w:t>
            </w:r>
          </w:p>
          <w:p w14:paraId="1890C586" w14:textId="77777777" w:rsidR="00F17E96" w:rsidRPr="00CF77C1" w:rsidRDefault="00F17E96" w:rsidP="003E39B4">
            <w:pPr>
              <w:pStyle w:val="ListParagraph"/>
              <w:numPr>
                <w:ilvl w:val="0"/>
                <w:numId w:val="7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61DF4DDA" w14:textId="2A93BABC"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Финансирање пројекта је обезбеђено.</w:t>
            </w:r>
          </w:p>
        </w:tc>
        <w:tc>
          <w:tcPr>
            <w:tcW w:w="1418" w:type="dxa"/>
            <w:vAlign w:val="center"/>
          </w:tcPr>
          <w:p w14:paraId="3B3C420F" w14:textId="4E30F137" w:rsidR="00F17E96" w:rsidRPr="00CF77C1" w:rsidRDefault="00F17E96" w:rsidP="009C78BD">
            <w:pPr>
              <w:jc w:val="center"/>
              <w:rPr>
                <w:sz w:val="20"/>
                <w:lang w:val="sr-Cyrl-RS"/>
              </w:rPr>
            </w:pPr>
            <w:r w:rsidRPr="00CF77C1">
              <w:rPr>
                <w:sz w:val="20"/>
                <w:lang w:val="sr-Cyrl-RS"/>
              </w:rPr>
              <w:t>80 милиона €</w:t>
            </w:r>
          </w:p>
        </w:tc>
        <w:tc>
          <w:tcPr>
            <w:tcW w:w="1276" w:type="dxa"/>
            <w:vAlign w:val="center"/>
          </w:tcPr>
          <w:p w14:paraId="4A85BEB7" w14:textId="7991AF12" w:rsidR="00F17E96" w:rsidRPr="00CF77C1" w:rsidRDefault="00F17E96" w:rsidP="003C278C">
            <w:pPr>
              <w:jc w:val="center"/>
              <w:rPr>
                <w:sz w:val="20"/>
                <w:lang w:val="sr-Cyrl-RS"/>
              </w:rPr>
            </w:pPr>
            <w:r w:rsidRPr="00CF77C1">
              <w:rPr>
                <w:sz w:val="20"/>
                <w:lang w:val="sr-Cyrl-RS"/>
              </w:rPr>
              <w:t>2017-2022.</w:t>
            </w:r>
          </w:p>
        </w:tc>
      </w:tr>
      <w:tr w:rsidR="00F17E96" w:rsidRPr="00CF77C1" w14:paraId="37CF37B5" w14:textId="07F24102" w:rsidTr="00FF1371">
        <w:trPr>
          <w:cantSplit/>
          <w:trHeight w:val="305"/>
        </w:trPr>
        <w:tc>
          <w:tcPr>
            <w:tcW w:w="456" w:type="dxa"/>
            <w:vAlign w:val="center"/>
          </w:tcPr>
          <w:p w14:paraId="2773C3F0" w14:textId="727FB3AD"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6</w:t>
            </w:r>
          </w:p>
        </w:tc>
        <w:tc>
          <w:tcPr>
            <w:tcW w:w="708" w:type="dxa"/>
            <w:vAlign w:val="center"/>
          </w:tcPr>
          <w:p w14:paraId="669598F8" w14:textId="27B80E86" w:rsidR="00F17E96" w:rsidRPr="00CF77C1" w:rsidRDefault="00F17E96"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_Ref476805981 \r \h  \* MERGEFORMAT </w:instrText>
            </w:r>
            <w:r w:rsidRPr="00CF77C1">
              <w:rPr>
                <w:sz w:val="20"/>
                <w:lang w:val="sr-Cyrl-RS"/>
              </w:rPr>
            </w:r>
            <w:r w:rsidRPr="00CF77C1">
              <w:rPr>
                <w:sz w:val="20"/>
                <w:lang w:val="sr-Cyrl-RS"/>
              </w:rPr>
              <w:fldChar w:fldCharType="separate"/>
            </w:r>
            <w:r w:rsidR="002D5918">
              <w:rPr>
                <w:sz w:val="20"/>
                <w:lang w:val="sr-Cyrl-RS"/>
              </w:rPr>
              <w:t>П.2</w:t>
            </w:r>
            <w:r w:rsidRPr="00CF77C1">
              <w:rPr>
                <w:sz w:val="20"/>
                <w:lang w:val="sr-Cyrl-RS"/>
              </w:rPr>
              <w:fldChar w:fldCharType="end"/>
            </w:r>
          </w:p>
        </w:tc>
        <w:tc>
          <w:tcPr>
            <w:tcW w:w="1985" w:type="dxa"/>
            <w:vAlign w:val="center"/>
          </w:tcPr>
          <w:p w14:paraId="141A4933" w14:textId="21A112D2"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„Трансбалкански коридор”</w:t>
            </w:r>
            <w:r w:rsidR="00246C17" w:rsidRPr="00CF77C1">
              <w:rPr>
                <w:color w:val="000000"/>
                <w:sz w:val="20"/>
                <w:lang w:val="sr-Cyrl-RS"/>
              </w:rPr>
              <w:t xml:space="preserve"> - фаза 1</w:t>
            </w:r>
          </w:p>
        </w:tc>
        <w:tc>
          <w:tcPr>
            <w:tcW w:w="425" w:type="dxa"/>
            <w:vAlign w:val="center"/>
          </w:tcPr>
          <w:p w14:paraId="4F76DA9B"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59</w:t>
            </w:r>
          </w:p>
        </w:tc>
        <w:tc>
          <w:tcPr>
            <w:tcW w:w="8363" w:type="dxa"/>
            <w:vAlign w:val="center"/>
          </w:tcPr>
          <w:p w14:paraId="23762F12" w14:textId="331E415A" w:rsidR="00F17E96" w:rsidRPr="00CF77C1" w:rsidRDefault="00F17E96" w:rsidP="003E39B4">
            <w:pPr>
              <w:pStyle w:val="ListParagraph"/>
              <w:numPr>
                <w:ilvl w:val="0"/>
                <w:numId w:val="75"/>
              </w:numPr>
              <w:tabs>
                <w:tab w:val="left" w:pos="6380"/>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r>
            <w:r w:rsidRPr="00CF77C1">
              <w:rPr>
                <w:color w:val="000000"/>
                <w:sz w:val="20"/>
                <w:szCs w:val="20"/>
                <w:lang w:val="sr-Cyrl-RS"/>
              </w:rPr>
              <w:tab/>
              <w:t>ЕМС</w:t>
            </w:r>
          </w:p>
          <w:p w14:paraId="07F89DA9" w14:textId="77777777" w:rsidR="00F17E96" w:rsidRPr="00CF77C1" w:rsidRDefault="00F17E96" w:rsidP="003E39B4">
            <w:pPr>
              <w:pStyle w:val="ListParagraph"/>
              <w:numPr>
                <w:ilvl w:val="0"/>
                <w:numId w:val="7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67C500E2" w14:textId="2207DA93" w:rsidR="00F17E96" w:rsidRPr="00CF77C1" w:rsidRDefault="00F17E96" w:rsidP="009C78BD">
            <w:pPr>
              <w:autoSpaceDE w:val="0"/>
              <w:autoSpaceDN w:val="0"/>
              <w:adjustRightInd w:val="0"/>
              <w:spacing w:before="20" w:after="20"/>
              <w:jc w:val="left"/>
              <w:rPr>
                <w:color w:val="000000"/>
                <w:sz w:val="20"/>
                <w:lang w:val="sr-Cyrl-RS"/>
              </w:rPr>
            </w:pPr>
            <w:r w:rsidRPr="00CF77C1">
              <w:rPr>
                <w:color w:val="000000"/>
                <w:sz w:val="20"/>
                <w:lang w:val="sr-Cyrl-RS"/>
              </w:rPr>
              <w:t>Пројекат, који се састоји из две фазе у оквиру којих се реализује више потпројеката изградње нових 400 kV водова (у 1. фази се реализују четири секције) и прикључних ТС и разводних постројења, омогућује повећање преносних капацитета преносне мреже Републике Србије, замену дотрајале мреже 220 kV, лакше прикључење производних и складишних капацитета електричне енергије и бољу интеграцију тржишта електричне енергије.</w:t>
            </w:r>
          </w:p>
          <w:p w14:paraId="0BBFC98D" w14:textId="77777777" w:rsidR="00F17E96" w:rsidRPr="00CF77C1" w:rsidRDefault="00F17E96" w:rsidP="003E39B4">
            <w:pPr>
              <w:pStyle w:val="ListParagraph"/>
              <w:numPr>
                <w:ilvl w:val="0"/>
                <w:numId w:val="7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1B2E97CC" w14:textId="6604D6CC" w:rsidR="00F17E96" w:rsidRPr="00CF77C1" w:rsidRDefault="00F17E96" w:rsidP="009C78BD">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развоју тржишта електричне енергије и транзицији ка одрживој енергетици.</w:t>
            </w:r>
          </w:p>
          <w:p w14:paraId="469B1A67" w14:textId="77777777" w:rsidR="00F17E96" w:rsidRPr="00CF77C1" w:rsidRDefault="00F17E96" w:rsidP="003E39B4">
            <w:pPr>
              <w:pStyle w:val="ListParagraph"/>
              <w:numPr>
                <w:ilvl w:val="0"/>
                <w:numId w:val="7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4750BAF5" w14:textId="3D2B6DB6" w:rsidR="00F17E96" w:rsidRPr="00CF77C1" w:rsidRDefault="00F17E96" w:rsidP="009C78BD">
            <w:pPr>
              <w:autoSpaceDE w:val="0"/>
              <w:autoSpaceDN w:val="0"/>
              <w:adjustRightInd w:val="0"/>
              <w:spacing w:before="20" w:after="20"/>
              <w:jc w:val="left"/>
              <w:rPr>
                <w:color w:val="000000"/>
                <w:sz w:val="20"/>
                <w:lang w:val="sr-Cyrl-RS"/>
              </w:rPr>
            </w:pPr>
            <w:r w:rsidRPr="00CF77C1">
              <w:rPr>
                <w:color w:val="000000"/>
                <w:sz w:val="20"/>
                <w:lang w:val="sr-Cyrl-RS"/>
              </w:rPr>
              <w:t>Пројекат се реализује фазно, при чему се поједине секције граде, за поједине је у току обезбеђивање потребних дозвола, за поједине је у току израда просторно-планске и техничке документације, а за поједине ова израда тек треба да отпочне, што омогућује да се олакша могућност финансирања и сама реализација пројекта.</w:t>
            </w:r>
          </w:p>
          <w:p w14:paraId="7F21252A" w14:textId="77777777" w:rsidR="00F17E96" w:rsidRPr="00CF77C1" w:rsidRDefault="00F17E96" w:rsidP="003E39B4">
            <w:pPr>
              <w:pStyle w:val="ListParagraph"/>
              <w:numPr>
                <w:ilvl w:val="0"/>
                <w:numId w:val="7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0A714E22" w14:textId="28D36A43" w:rsidR="00F17E96" w:rsidRPr="00CF77C1" w:rsidRDefault="00C34093" w:rsidP="00C34093">
            <w:pPr>
              <w:autoSpaceDE w:val="0"/>
              <w:autoSpaceDN w:val="0"/>
              <w:adjustRightInd w:val="0"/>
              <w:spacing w:before="20" w:after="20"/>
              <w:jc w:val="left"/>
              <w:rPr>
                <w:color w:val="000000"/>
                <w:sz w:val="20"/>
                <w:lang w:val="sr-Cyrl-RS"/>
              </w:rPr>
            </w:pPr>
            <w:r w:rsidRPr="00CF77C1">
              <w:rPr>
                <w:color w:val="000000"/>
                <w:sz w:val="20"/>
                <w:lang w:val="sr-Cyrl-RS"/>
              </w:rPr>
              <w:t>Финансирање је обезбеђено за прву секцију која је у изградњи (сопствена средства ЕМС). За другу секцију, такође су обезбеђена додатна средстава кроз WBIF и кредит. За остале још нису обезбеђени извори финансирања. Аплицирано је такође за Инвестициони грант WBIF и одобравање је у току.</w:t>
            </w:r>
          </w:p>
        </w:tc>
        <w:tc>
          <w:tcPr>
            <w:tcW w:w="1418" w:type="dxa"/>
            <w:vAlign w:val="center"/>
          </w:tcPr>
          <w:p w14:paraId="68C161A8" w14:textId="6F889C08" w:rsidR="00F17E96" w:rsidRPr="00CF77C1" w:rsidRDefault="00DE55ED" w:rsidP="009C78BD">
            <w:pPr>
              <w:jc w:val="center"/>
              <w:rPr>
                <w:sz w:val="20"/>
                <w:lang w:val="sr-Cyrl-RS"/>
              </w:rPr>
            </w:pPr>
            <w:r w:rsidRPr="00CF77C1">
              <w:rPr>
                <w:sz w:val="20"/>
                <w:lang w:val="sr-Cyrl-RS"/>
              </w:rPr>
              <w:t>163</w:t>
            </w:r>
            <w:r w:rsidRPr="00CF77C1">
              <w:rPr>
                <w:sz w:val="20"/>
              </w:rPr>
              <w:t>,75</w:t>
            </w:r>
            <w:r w:rsidR="00F17E96" w:rsidRPr="00CF77C1">
              <w:rPr>
                <w:sz w:val="20"/>
                <w:lang w:val="sr-Cyrl-RS"/>
              </w:rPr>
              <w:t xml:space="preserve"> милиона €</w:t>
            </w:r>
          </w:p>
        </w:tc>
        <w:tc>
          <w:tcPr>
            <w:tcW w:w="1276" w:type="dxa"/>
            <w:vAlign w:val="center"/>
          </w:tcPr>
          <w:p w14:paraId="73B4AAFC" w14:textId="69BCD89C" w:rsidR="00F17E96" w:rsidRPr="00CF77C1" w:rsidRDefault="00F17E96" w:rsidP="003C278C">
            <w:pPr>
              <w:jc w:val="center"/>
              <w:rPr>
                <w:sz w:val="20"/>
                <w:lang w:val="sr-Cyrl-RS"/>
              </w:rPr>
            </w:pPr>
            <w:r w:rsidRPr="00CF77C1">
              <w:rPr>
                <w:sz w:val="20"/>
                <w:lang w:val="sr-Cyrl-RS"/>
              </w:rPr>
              <w:t>2017-2023.</w:t>
            </w:r>
          </w:p>
        </w:tc>
      </w:tr>
      <w:tr w:rsidR="00F17E96" w:rsidRPr="00CF77C1" w14:paraId="5158C30D" w14:textId="75108DC3" w:rsidTr="00FF1371">
        <w:trPr>
          <w:cantSplit/>
          <w:trHeight w:val="610"/>
        </w:trPr>
        <w:tc>
          <w:tcPr>
            <w:tcW w:w="456" w:type="dxa"/>
            <w:vAlign w:val="center"/>
          </w:tcPr>
          <w:p w14:paraId="27F5CE5D" w14:textId="281CE07F"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7</w:t>
            </w:r>
          </w:p>
        </w:tc>
        <w:tc>
          <w:tcPr>
            <w:tcW w:w="708" w:type="dxa"/>
            <w:vAlign w:val="center"/>
          </w:tcPr>
          <w:p w14:paraId="2398EDED" w14:textId="11CC1D58" w:rsidR="00F17E96" w:rsidRPr="00CF77C1" w:rsidRDefault="004E3B6F" w:rsidP="004E3B6F">
            <w:pPr>
              <w:autoSpaceDE w:val="0"/>
              <w:autoSpaceDN w:val="0"/>
              <w:adjustRightInd w:val="0"/>
              <w:spacing w:before="20" w:after="20"/>
              <w:rPr>
                <w:color w:val="000000"/>
                <w:sz w:val="20"/>
                <w:lang w:val="sr-Cyrl-RS"/>
              </w:rPr>
            </w:pPr>
            <w:r>
              <w:rPr>
                <w:sz w:val="20"/>
                <w:lang w:val="sr-Cyrl-RS"/>
              </w:rPr>
              <w:t xml:space="preserve"> П.21</w:t>
            </w:r>
          </w:p>
        </w:tc>
        <w:tc>
          <w:tcPr>
            <w:tcW w:w="1985" w:type="dxa"/>
            <w:vAlign w:val="center"/>
          </w:tcPr>
          <w:p w14:paraId="3CEC6867" w14:textId="77777777"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гасне интерконекције Србија - Бугарска, магистрални гасовод МГ-10 Ниш - Димитровград (граница са Бугарском)</w:t>
            </w:r>
          </w:p>
        </w:tc>
        <w:tc>
          <w:tcPr>
            <w:tcW w:w="425" w:type="dxa"/>
            <w:vAlign w:val="center"/>
          </w:tcPr>
          <w:p w14:paraId="546DFFF3"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55</w:t>
            </w:r>
          </w:p>
        </w:tc>
        <w:tc>
          <w:tcPr>
            <w:tcW w:w="8363" w:type="dxa"/>
            <w:vAlign w:val="center"/>
          </w:tcPr>
          <w:p w14:paraId="2789B61B" w14:textId="23D9CCAD" w:rsidR="00F17E96" w:rsidRPr="00CF77C1" w:rsidRDefault="00F17E96" w:rsidP="003E39B4">
            <w:pPr>
              <w:pStyle w:val="ListParagraph"/>
              <w:numPr>
                <w:ilvl w:val="0"/>
                <w:numId w:val="76"/>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r>
            <w:r w:rsidR="00205D28" w:rsidRPr="00CF77C1">
              <w:rPr>
                <w:color w:val="000000"/>
                <w:sz w:val="20"/>
                <w:szCs w:val="20"/>
                <w:lang w:val="sr-Cyrl-RS"/>
              </w:rPr>
              <w:t>Транспортгас Србија д.о.о</w:t>
            </w:r>
            <w:r w:rsidR="00205D28" w:rsidRPr="00CF77C1">
              <w:rPr>
                <w:lang w:val="sr-Cyrl-RS"/>
              </w:rPr>
              <w:t>.</w:t>
            </w:r>
          </w:p>
          <w:p w14:paraId="691BE91F" w14:textId="77777777" w:rsidR="00F17E96" w:rsidRPr="00CF77C1" w:rsidRDefault="00F17E96" w:rsidP="003E39B4">
            <w:pPr>
              <w:pStyle w:val="ListParagraph"/>
              <w:numPr>
                <w:ilvl w:val="0"/>
                <w:numId w:val="7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6ECB36C1" w14:textId="698E34C7" w:rsidR="00F17E96" w:rsidRPr="00CF77C1" w:rsidRDefault="00F17E96" w:rsidP="009C78BD">
            <w:pPr>
              <w:autoSpaceDE w:val="0"/>
              <w:autoSpaceDN w:val="0"/>
              <w:adjustRightInd w:val="0"/>
              <w:spacing w:before="20" w:after="20"/>
              <w:jc w:val="left"/>
              <w:rPr>
                <w:color w:val="000000"/>
                <w:sz w:val="20"/>
                <w:lang w:val="sr-Cyrl-RS"/>
              </w:rPr>
            </w:pPr>
            <w:r w:rsidRPr="00CF77C1">
              <w:rPr>
                <w:color w:val="000000"/>
                <w:sz w:val="20"/>
                <w:lang w:val="sr-Cyrl-RS"/>
              </w:rPr>
              <w:t>МГ-10 Ниш - Димитровград представља инфраструктурну основу за успостављање гасне интерконекције са Републиком Бугарском. Примарни технички елементи гасовода су цевовод (једноцевни гасовод дужине 109 km, пречника DN 700, техничког капацитета 1,8 милијарди m</w:t>
            </w:r>
            <w:r w:rsidR="009670F0">
              <w:rPr>
                <w:color w:val="000000"/>
                <w:sz w:val="20"/>
                <w:vertAlign w:val="superscript"/>
                <w:lang w:val="sr-Cyrl-RS"/>
              </w:rPr>
              <w:t>3</w:t>
            </w:r>
            <w:r w:rsidRPr="00CF77C1">
              <w:rPr>
                <w:color w:val="000000"/>
                <w:sz w:val="20"/>
                <w:lang w:val="sr-Cyrl-RS"/>
              </w:rPr>
              <w:t>/годишње, максимални радни притисак 55 bar), објекти и пратећа инфраструктура.</w:t>
            </w:r>
          </w:p>
          <w:p w14:paraId="05008AEB" w14:textId="77777777" w:rsidR="00F17E96" w:rsidRPr="00CF77C1" w:rsidRDefault="00F17E96" w:rsidP="003E39B4">
            <w:pPr>
              <w:pStyle w:val="ListParagraph"/>
              <w:numPr>
                <w:ilvl w:val="0"/>
                <w:numId w:val="7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00DE1624" w14:textId="076EF4E2" w:rsidR="00F17E96" w:rsidRPr="00CF77C1" w:rsidRDefault="00F17E96" w:rsidP="009C78BD">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повећању сигурности снабдевања гасом и развоју тржишта гаса.</w:t>
            </w:r>
          </w:p>
          <w:p w14:paraId="63042277" w14:textId="77777777" w:rsidR="00F17E96" w:rsidRPr="00CF77C1" w:rsidRDefault="00F17E96" w:rsidP="003E39B4">
            <w:pPr>
              <w:pStyle w:val="ListParagraph"/>
              <w:numPr>
                <w:ilvl w:val="0"/>
                <w:numId w:val="7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30AB22B3" w14:textId="7FFA2F12" w:rsidR="00F17E96" w:rsidRPr="00CF77C1" w:rsidRDefault="00F17E96" w:rsidP="009C78BD">
            <w:pPr>
              <w:autoSpaceDE w:val="0"/>
              <w:autoSpaceDN w:val="0"/>
              <w:adjustRightInd w:val="0"/>
              <w:spacing w:before="20" w:after="20"/>
              <w:jc w:val="left"/>
              <w:rPr>
                <w:color w:val="000000"/>
                <w:sz w:val="20"/>
                <w:lang w:val="sr-Cyrl-RS"/>
              </w:rPr>
            </w:pPr>
            <w:r w:rsidRPr="00CF77C1">
              <w:rPr>
                <w:color w:val="000000"/>
                <w:sz w:val="20"/>
                <w:lang w:val="sr-Cyrl-RS"/>
              </w:rPr>
              <w:t>Планска и техничка документација за реализацију није у потпуности припремљена.</w:t>
            </w:r>
          </w:p>
          <w:p w14:paraId="305EE872" w14:textId="77777777" w:rsidR="00F17E96" w:rsidRPr="00CF77C1" w:rsidRDefault="00F17E96" w:rsidP="003E39B4">
            <w:pPr>
              <w:pStyle w:val="ListParagraph"/>
              <w:numPr>
                <w:ilvl w:val="0"/>
                <w:numId w:val="7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0BB246F4" w14:textId="4F4753A9"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нису обезбеђени</w:t>
            </w:r>
            <w:r w:rsidR="00C34093" w:rsidRPr="00CF77C1">
              <w:rPr>
                <w:color w:val="000000"/>
                <w:sz w:val="20"/>
                <w:lang w:val="sr-Cyrl-RS"/>
              </w:rPr>
              <w:t>, али је пројекат предложен за финансирање кроз националну ИПА 2017. Унапређење и одобравање Акционог документа је у току.</w:t>
            </w:r>
          </w:p>
        </w:tc>
        <w:tc>
          <w:tcPr>
            <w:tcW w:w="1418" w:type="dxa"/>
            <w:vAlign w:val="center"/>
          </w:tcPr>
          <w:p w14:paraId="063C8FA9" w14:textId="72DC43A7" w:rsidR="00F17E96" w:rsidRPr="00CF77C1" w:rsidRDefault="00F17E96" w:rsidP="003C278C">
            <w:pPr>
              <w:jc w:val="center"/>
              <w:rPr>
                <w:sz w:val="20"/>
                <w:lang w:val="sr-Cyrl-RS"/>
              </w:rPr>
            </w:pPr>
            <w:r w:rsidRPr="00CF77C1">
              <w:rPr>
                <w:sz w:val="20"/>
                <w:lang w:val="sr-Cyrl-RS"/>
              </w:rPr>
              <w:t>85,5 милиона €</w:t>
            </w:r>
          </w:p>
        </w:tc>
        <w:tc>
          <w:tcPr>
            <w:tcW w:w="1276" w:type="dxa"/>
            <w:vAlign w:val="center"/>
          </w:tcPr>
          <w:p w14:paraId="171B7ABD" w14:textId="0770E830" w:rsidR="00F17E96" w:rsidRPr="00CF77C1" w:rsidRDefault="00F17E96" w:rsidP="005656B1">
            <w:pPr>
              <w:jc w:val="center"/>
              <w:rPr>
                <w:sz w:val="20"/>
                <w:lang w:val="sr-Cyrl-RS"/>
              </w:rPr>
            </w:pPr>
            <w:r w:rsidRPr="00CF77C1">
              <w:rPr>
                <w:sz w:val="20"/>
                <w:lang w:val="sr-Cyrl-RS"/>
              </w:rPr>
              <w:t>2017-202</w:t>
            </w:r>
            <w:r w:rsidR="005656B1" w:rsidRPr="00CF77C1">
              <w:rPr>
                <w:sz w:val="20"/>
              </w:rPr>
              <w:t>1</w:t>
            </w:r>
            <w:r w:rsidRPr="00CF77C1">
              <w:rPr>
                <w:sz w:val="20"/>
                <w:lang w:val="sr-Cyrl-RS"/>
              </w:rPr>
              <w:t>.</w:t>
            </w:r>
          </w:p>
        </w:tc>
      </w:tr>
      <w:tr w:rsidR="00F17E96" w:rsidRPr="00CF77C1" w14:paraId="0604B47E" w14:textId="144052BE" w:rsidTr="00FF1371">
        <w:trPr>
          <w:cantSplit/>
          <w:trHeight w:val="610"/>
        </w:trPr>
        <w:tc>
          <w:tcPr>
            <w:tcW w:w="456" w:type="dxa"/>
            <w:vAlign w:val="center"/>
          </w:tcPr>
          <w:p w14:paraId="77633EF6" w14:textId="76DD2A25"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8</w:t>
            </w:r>
          </w:p>
        </w:tc>
        <w:tc>
          <w:tcPr>
            <w:tcW w:w="708" w:type="dxa"/>
            <w:vAlign w:val="center"/>
          </w:tcPr>
          <w:p w14:paraId="553F9D57" w14:textId="5975BFD4" w:rsidR="00F17E96" w:rsidRPr="00CF77C1" w:rsidRDefault="00F17E96" w:rsidP="00052E00">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_Ref476806021 \r \h  \* MERGEFORMAT </w:instrText>
            </w:r>
            <w:r w:rsidRPr="00CF77C1">
              <w:rPr>
                <w:sz w:val="20"/>
                <w:lang w:val="sr-Cyrl-RS"/>
              </w:rPr>
            </w:r>
            <w:r w:rsidRPr="00CF77C1">
              <w:rPr>
                <w:sz w:val="20"/>
                <w:lang w:val="sr-Cyrl-RS"/>
              </w:rPr>
              <w:fldChar w:fldCharType="separate"/>
            </w:r>
            <w:r w:rsidR="002D5918">
              <w:rPr>
                <w:sz w:val="20"/>
                <w:lang w:val="sr-Cyrl-RS"/>
              </w:rPr>
              <w:t>П.10</w:t>
            </w:r>
            <w:r w:rsidRPr="00CF77C1">
              <w:rPr>
                <w:sz w:val="20"/>
                <w:lang w:val="sr-Cyrl-RS"/>
              </w:rPr>
              <w:fldChar w:fldCharType="end"/>
            </w:r>
          </w:p>
        </w:tc>
        <w:tc>
          <w:tcPr>
            <w:tcW w:w="1985" w:type="dxa"/>
            <w:vAlign w:val="center"/>
          </w:tcPr>
          <w:p w14:paraId="048407B9" w14:textId="77777777"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Снабдевање Београда топлотном енергијом из ТЕ „Никола Тесла А” топлодалеководом капацитета од 600 MW топлотне енергије</w:t>
            </w:r>
          </w:p>
        </w:tc>
        <w:tc>
          <w:tcPr>
            <w:tcW w:w="425" w:type="dxa"/>
            <w:vAlign w:val="center"/>
          </w:tcPr>
          <w:p w14:paraId="5828F403"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54</w:t>
            </w:r>
          </w:p>
        </w:tc>
        <w:tc>
          <w:tcPr>
            <w:tcW w:w="8363" w:type="dxa"/>
            <w:vAlign w:val="center"/>
          </w:tcPr>
          <w:p w14:paraId="0250E169" w14:textId="6A8DF942" w:rsidR="00F17E96" w:rsidRPr="00CF77C1" w:rsidRDefault="00F17E96" w:rsidP="003E39B4">
            <w:pPr>
              <w:pStyle w:val="ListParagraph"/>
              <w:numPr>
                <w:ilvl w:val="0"/>
                <w:numId w:val="77"/>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ЈКП Београдске електране, ЕПС</w:t>
            </w:r>
          </w:p>
          <w:p w14:paraId="73E42F77" w14:textId="77777777" w:rsidR="00F17E96" w:rsidRPr="00CF77C1" w:rsidRDefault="00F17E96" w:rsidP="003E39B4">
            <w:pPr>
              <w:pStyle w:val="ListParagraph"/>
              <w:numPr>
                <w:ilvl w:val="0"/>
                <w:numId w:val="7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13FDDC86" w14:textId="424DFEBA" w:rsidR="00F17E96" w:rsidRPr="00CF77C1" w:rsidRDefault="00F17E96" w:rsidP="006C6D04">
            <w:pPr>
              <w:autoSpaceDE w:val="0"/>
              <w:autoSpaceDN w:val="0"/>
              <w:adjustRightInd w:val="0"/>
              <w:spacing w:before="20" w:after="20"/>
              <w:jc w:val="left"/>
              <w:rPr>
                <w:color w:val="000000"/>
                <w:sz w:val="20"/>
                <w:lang w:val="sr-Cyrl-RS"/>
              </w:rPr>
            </w:pPr>
            <w:r w:rsidRPr="00CF77C1">
              <w:rPr>
                <w:color w:val="000000"/>
                <w:sz w:val="20"/>
                <w:lang w:val="sr-Cyrl-RS"/>
              </w:rPr>
              <w:t>Предвиђени капацитет топловода од 600 MWth обезбеђује топлотну енергију за више од 50% топлотног конзума топлане Нови Београд. Комплементарни пројекат је и повезивање великих и ефикаснијих топлана (Нови Београд, Дунав, Коњарник</w:t>
            </w:r>
            <w:r w:rsidR="00C560B5" w:rsidRPr="00CF77C1">
              <w:rPr>
                <w:color w:val="000000"/>
                <w:sz w:val="20"/>
                <w:lang w:val="sr-Cyrl-RS"/>
              </w:rPr>
              <w:t>,</w:t>
            </w:r>
            <w:r w:rsidRPr="00CF77C1">
              <w:rPr>
                <w:color w:val="000000"/>
                <w:sz w:val="20"/>
                <w:lang w:val="sr-Cyrl-RS"/>
              </w:rPr>
              <w:t>...) у јединствен систем за снабдевање потрошача, као и уградња система складишта топлотне енергије. СДГ Београда ће се потенцијално снабдевати са 600 МWth из блокова А3 до А6 ТЕНТ-А, што ће утицати на смањење расположиве снаге на ТЕНТ А од око 150 MWe.</w:t>
            </w:r>
          </w:p>
          <w:p w14:paraId="0D01C77E" w14:textId="77777777" w:rsidR="00F17E96" w:rsidRPr="00CF77C1" w:rsidRDefault="00F17E96" w:rsidP="003E39B4">
            <w:pPr>
              <w:pStyle w:val="ListParagraph"/>
              <w:numPr>
                <w:ilvl w:val="0"/>
                <w:numId w:val="7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7D2BB0E0" w14:textId="5193F51F" w:rsidR="00F17E96" w:rsidRPr="00CF77C1" w:rsidRDefault="00F17E96" w:rsidP="006C6D04">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топлотном енергијом, развоју тржишта енергије и транзицији ка одрживој енергетици.</w:t>
            </w:r>
          </w:p>
          <w:p w14:paraId="22FB4013" w14:textId="77777777" w:rsidR="00F17E96" w:rsidRPr="00CF77C1" w:rsidRDefault="00F17E96" w:rsidP="003E39B4">
            <w:pPr>
              <w:pStyle w:val="ListParagraph"/>
              <w:numPr>
                <w:ilvl w:val="0"/>
                <w:numId w:val="7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1BD5D4B3" w14:textId="25528213" w:rsidR="00F17E96" w:rsidRPr="00CF77C1" w:rsidRDefault="00F17E96" w:rsidP="006C6D04">
            <w:pPr>
              <w:autoSpaceDE w:val="0"/>
              <w:autoSpaceDN w:val="0"/>
              <w:adjustRightInd w:val="0"/>
              <w:spacing w:before="20" w:after="20"/>
              <w:jc w:val="left"/>
              <w:rPr>
                <w:color w:val="000000"/>
                <w:sz w:val="20"/>
                <w:lang w:val="sr-Cyrl-RS"/>
              </w:rPr>
            </w:pPr>
            <w:r w:rsidRPr="00CF77C1">
              <w:rPr>
                <w:color w:val="000000"/>
                <w:sz w:val="20"/>
                <w:lang w:val="sr-Cyrl-RS"/>
              </w:rPr>
              <w:t>Планска и техничка доку</w:t>
            </w:r>
            <w:r w:rsidR="005E207D">
              <w:rPr>
                <w:color w:val="000000"/>
                <w:sz w:val="20"/>
                <w:lang w:val="sr-Cyrl-RS"/>
              </w:rPr>
              <w:t>м</w:t>
            </w:r>
            <w:r w:rsidRPr="00CF77C1">
              <w:rPr>
                <w:color w:val="000000"/>
                <w:sz w:val="20"/>
                <w:lang w:val="sr-Cyrl-RS"/>
              </w:rPr>
              <w:t>ентација за реализацију није у потпуности припремљена.</w:t>
            </w:r>
          </w:p>
          <w:p w14:paraId="754D888D" w14:textId="77777777" w:rsidR="00F17E96" w:rsidRPr="00CF77C1" w:rsidRDefault="00F17E96" w:rsidP="003E39B4">
            <w:pPr>
              <w:pStyle w:val="ListParagraph"/>
              <w:numPr>
                <w:ilvl w:val="0"/>
                <w:numId w:val="7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481C7015" w14:textId="6D921E65"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нису обезбеђени.</w:t>
            </w:r>
          </w:p>
        </w:tc>
        <w:tc>
          <w:tcPr>
            <w:tcW w:w="1418" w:type="dxa"/>
            <w:vAlign w:val="center"/>
          </w:tcPr>
          <w:p w14:paraId="6BCA919C" w14:textId="1A9DE93E" w:rsidR="00F17E96" w:rsidRPr="00CF77C1" w:rsidRDefault="00F17E96" w:rsidP="003C278C">
            <w:pPr>
              <w:jc w:val="center"/>
              <w:rPr>
                <w:sz w:val="20"/>
                <w:lang w:val="sr-Cyrl-RS"/>
              </w:rPr>
            </w:pPr>
            <w:r w:rsidRPr="00CF77C1">
              <w:rPr>
                <w:sz w:val="20"/>
                <w:lang w:val="sr-Cyrl-RS"/>
              </w:rPr>
              <w:t>165 милиона €</w:t>
            </w:r>
          </w:p>
        </w:tc>
        <w:tc>
          <w:tcPr>
            <w:tcW w:w="1276" w:type="dxa"/>
            <w:vAlign w:val="center"/>
          </w:tcPr>
          <w:p w14:paraId="02B311B4" w14:textId="14971A7D" w:rsidR="00F17E96" w:rsidRPr="00CF77C1" w:rsidRDefault="00F17E96" w:rsidP="003C278C">
            <w:pPr>
              <w:jc w:val="center"/>
              <w:rPr>
                <w:sz w:val="20"/>
                <w:lang w:val="sr-Cyrl-RS"/>
              </w:rPr>
            </w:pPr>
            <w:r w:rsidRPr="00CF77C1">
              <w:rPr>
                <w:sz w:val="20"/>
                <w:lang w:val="sr-Cyrl-RS"/>
              </w:rPr>
              <w:t>2017-2023.</w:t>
            </w:r>
          </w:p>
        </w:tc>
      </w:tr>
      <w:tr w:rsidR="00F17E96" w:rsidRPr="00CF77C1" w14:paraId="6392DC18" w14:textId="2ABACF3A" w:rsidTr="00FF1371">
        <w:trPr>
          <w:cantSplit/>
          <w:trHeight w:val="305"/>
        </w:trPr>
        <w:tc>
          <w:tcPr>
            <w:tcW w:w="456" w:type="dxa"/>
            <w:vAlign w:val="center"/>
          </w:tcPr>
          <w:p w14:paraId="23643062" w14:textId="1DA6CE9F"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9</w:t>
            </w:r>
          </w:p>
        </w:tc>
        <w:tc>
          <w:tcPr>
            <w:tcW w:w="708" w:type="dxa"/>
            <w:vAlign w:val="center"/>
          </w:tcPr>
          <w:p w14:paraId="7D8CF799" w14:textId="2ABDE331" w:rsidR="00F17E96" w:rsidRPr="00CF77C1" w:rsidRDefault="004E3B6F" w:rsidP="006F097E">
            <w:pPr>
              <w:autoSpaceDE w:val="0"/>
              <w:autoSpaceDN w:val="0"/>
              <w:adjustRightInd w:val="0"/>
              <w:spacing w:before="20" w:after="20"/>
              <w:jc w:val="center"/>
              <w:rPr>
                <w:color w:val="000000"/>
                <w:sz w:val="20"/>
                <w:lang w:val="sr-Cyrl-RS"/>
              </w:rPr>
            </w:pPr>
            <w:r>
              <w:rPr>
                <w:sz w:val="20"/>
                <w:lang w:val="sr-Cyrl-RS"/>
              </w:rPr>
              <w:t>П.16</w:t>
            </w:r>
          </w:p>
        </w:tc>
        <w:tc>
          <w:tcPr>
            <w:tcW w:w="1985" w:type="dxa"/>
            <w:vAlign w:val="center"/>
          </w:tcPr>
          <w:p w14:paraId="2403A0C5" w14:textId="77777777" w:rsidR="00F17E96" w:rsidRPr="00CF77C1" w:rsidRDefault="00F17E96"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преласка котларница на биомасу</w:t>
            </w:r>
          </w:p>
        </w:tc>
        <w:tc>
          <w:tcPr>
            <w:tcW w:w="425" w:type="dxa"/>
            <w:vAlign w:val="center"/>
          </w:tcPr>
          <w:p w14:paraId="3A3B6688"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54</w:t>
            </w:r>
          </w:p>
        </w:tc>
        <w:tc>
          <w:tcPr>
            <w:tcW w:w="8363" w:type="dxa"/>
            <w:vAlign w:val="center"/>
          </w:tcPr>
          <w:p w14:paraId="4A68B226" w14:textId="50B2014A" w:rsidR="00F17E96" w:rsidRPr="00CF77C1" w:rsidRDefault="00F17E96" w:rsidP="003E39B4">
            <w:pPr>
              <w:pStyle w:val="ListParagraph"/>
              <w:numPr>
                <w:ilvl w:val="0"/>
                <w:numId w:val="78"/>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Ј</w:t>
            </w:r>
            <w:r w:rsidR="00E2227A" w:rsidRPr="00CF77C1">
              <w:rPr>
                <w:color w:val="000000"/>
                <w:sz w:val="20"/>
                <w:szCs w:val="20"/>
                <w:lang w:val="sr-Cyrl-RS"/>
              </w:rPr>
              <w:t>КП Београдске електране</w:t>
            </w:r>
          </w:p>
          <w:p w14:paraId="2D873CEA" w14:textId="77777777" w:rsidR="00F17E96" w:rsidRPr="00CF77C1" w:rsidRDefault="00F17E96" w:rsidP="003E39B4">
            <w:pPr>
              <w:pStyle w:val="ListParagraph"/>
              <w:numPr>
                <w:ilvl w:val="0"/>
                <w:numId w:val="7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3838A012" w14:textId="04C307DF" w:rsidR="00F17E96" w:rsidRPr="00CF77C1" w:rsidRDefault="00F17E96" w:rsidP="006C6D04">
            <w:pPr>
              <w:autoSpaceDE w:val="0"/>
              <w:autoSpaceDN w:val="0"/>
              <w:adjustRightInd w:val="0"/>
              <w:spacing w:before="20" w:after="20"/>
              <w:jc w:val="left"/>
              <w:rPr>
                <w:color w:val="000000"/>
                <w:sz w:val="20"/>
                <w:lang w:val="sr-Cyrl-RS"/>
              </w:rPr>
            </w:pPr>
            <w:r w:rsidRPr="00CF77C1">
              <w:rPr>
                <w:color w:val="000000"/>
                <w:sz w:val="20"/>
                <w:lang w:val="sr-Cyrl-RS"/>
              </w:rPr>
              <w:t>У припреми је више пројеката увођења биомасе или коришћења геотермалне енергије као енергента у топланама, очекиване укупне снаге око 105 MW, односно годишње производње 21.000 тен. Наведени циљеви реализоваће се кроз активности у оквиру пројекта „Подстицање коришћења обновљивих извора енергије - развој тржишта биомасе”, као и кроз појединачне комерцијалне пројекте.</w:t>
            </w:r>
          </w:p>
          <w:p w14:paraId="6F619BD1" w14:textId="77777777" w:rsidR="00F17E96" w:rsidRPr="00CF77C1" w:rsidRDefault="00F17E96" w:rsidP="003E39B4">
            <w:pPr>
              <w:pStyle w:val="ListParagraph"/>
              <w:numPr>
                <w:ilvl w:val="0"/>
                <w:numId w:val="7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0EA3937F" w14:textId="342F765C" w:rsidR="00F17E96" w:rsidRPr="00CF77C1" w:rsidRDefault="00F17E96" w:rsidP="006C6D04">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топлотном енергијом и транзицији ка одрживој енергетици.</w:t>
            </w:r>
          </w:p>
          <w:p w14:paraId="345E1846" w14:textId="77777777" w:rsidR="00F17E96" w:rsidRPr="00CF77C1" w:rsidRDefault="00F17E96" w:rsidP="003E39B4">
            <w:pPr>
              <w:pStyle w:val="ListParagraph"/>
              <w:numPr>
                <w:ilvl w:val="0"/>
                <w:numId w:val="7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18D6048F" w14:textId="5C0FFA3D" w:rsidR="00F17E96" w:rsidRPr="00CF77C1" w:rsidRDefault="00F17E96" w:rsidP="006C6D04">
            <w:pPr>
              <w:autoSpaceDE w:val="0"/>
              <w:autoSpaceDN w:val="0"/>
              <w:adjustRightInd w:val="0"/>
              <w:spacing w:before="20" w:after="20"/>
              <w:jc w:val="left"/>
              <w:rPr>
                <w:color w:val="000000"/>
                <w:sz w:val="20"/>
                <w:lang w:val="sr-Cyrl-RS"/>
              </w:rPr>
            </w:pPr>
            <w:r w:rsidRPr="00CF77C1">
              <w:rPr>
                <w:color w:val="000000"/>
                <w:sz w:val="20"/>
                <w:lang w:val="sr-Cyrl-RS"/>
              </w:rPr>
              <w:t>Пројекти су у почетној фази са аспекта припреме просторно-планске и техничке документације.</w:t>
            </w:r>
          </w:p>
          <w:p w14:paraId="65798E3B" w14:textId="77777777" w:rsidR="00F17E96" w:rsidRPr="00CF77C1" w:rsidRDefault="00F17E96" w:rsidP="003E39B4">
            <w:pPr>
              <w:pStyle w:val="ListParagraph"/>
              <w:numPr>
                <w:ilvl w:val="0"/>
                <w:numId w:val="7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109FF551" w14:textId="00117D4F"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 xml:space="preserve">Извори финансирања </w:t>
            </w:r>
            <w:r w:rsidR="007635CF" w:rsidRPr="00CF77C1">
              <w:rPr>
                <w:color w:val="000000"/>
                <w:sz w:val="20"/>
                <w:lang w:val="sr-Cyrl-RS"/>
              </w:rPr>
              <w:t>су делимично обезбеђени и то за котларнице које су укључене у пројекат „Подстицање коришћења обновљивих извора енергије - развој тржишта биомасе”</w:t>
            </w:r>
            <w:r w:rsidRPr="00CF77C1">
              <w:rPr>
                <w:color w:val="000000"/>
                <w:sz w:val="20"/>
                <w:lang w:val="sr-Cyrl-RS"/>
              </w:rPr>
              <w:t>.</w:t>
            </w:r>
          </w:p>
        </w:tc>
        <w:tc>
          <w:tcPr>
            <w:tcW w:w="1418" w:type="dxa"/>
            <w:vAlign w:val="center"/>
          </w:tcPr>
          <w:p w14:paraId="37FE0751" w14:textId="556EC86B" w:rsidR="00F17E96" w:rsidRPr="00CF77C1" w:rsidRDefault="00246C17" w:rsidP="00BA558D">
            <w:pPr>
              <w:jc w:val="center"/>
              <w:rPr>
                <w:sz w:val="20"/>
                <w:lang w:val="sr-Cyrl-RS"/>
              </w:rPr>
            </w:pPr>
            <w:r w:rsidRPr="00CF77C1">
              <w:rPr>
                <w:sz w:val="20"/>
                <w:lang w:val="sr-Cyrl-RS"/>
              </w:rPr>
              <w:t>100</w:t>
            </w:r>
            <w:r w:rsidR="00F17E96" w:rsidRPr="00CF77C1">
              <w:rPr>
                <w:sz w:val="20"/>
                <w:lang w:val="sr-Cyrl-RS"/>
              </w:rPr>
              <w:t xml:space="preserve"> милиона €</w:t>
            </w:r>
          </w:p>
        </w:tc>
        <w:tc>
          <w:tcPr>
            <w:tcW w:w="1276" w:type="dxa"/>
            <w:vAlign w:val="center"/>
          </w:tcPr>
          <w:p w14:paraId="5BACBDAF" w14:textId="61294DD4" w:rsidR="00F17E96" w:rsidRPr="00CF77C1" w:rsidRDefault="00F17E96" w:rsidP="003C278C">
            <w:pPr>
              <w:jc w:val="center"/>
              <w:rPr>
                <w:sz w:val="20"/>
                <w:lang w:val="sr-Cyrl-RS"/>
              </w:rPr>
            </w:pPr>
            <w:r w:rsidRPr="00CF77C1">
              <w:rPr>
                <w:sz w:val="20"/>
                <w:lang w:val="sr-Cyrl-RS"/>
              </w:rPr>
              <w:t>2017-2021.</w:t>
            </w:r>
          </w:p>
        </w:tc>
      </w:tr>
      <w:tr w:rsidR="00F17E96" w:rsidRPr="00CF77C1" w14:paraId="35433C33" w14:textId="0CF5DCB6" w:rsidTr="00FF1371">
        <w:trPr>
          <w:cantSplit/>
          <w:trHeight w:val="305"/>
        </w:trPr>
        <w:tc>
          <w:tcPr>
            <w:tcW w:w="456" w:type="dxa"/>
            <w:vAlign w:val="center"/>
          </w:tcPr>
          <w:p w14:paraId="166C90D4" w14:textId="235162EF" w:rsidR="00F17E96" w:rsidRPr="00CF77C1" w:rsidRDefault="00F17E96" w:rsidP="00FB4DC4">
            <w:pPr>
              <w:autoSpaceDE w:val="0"/>
              <w:autoSpaceDN w:val="0"/>
              <w:adjustRightInd w:val="0"/>
              <w:spacing w:before="20" w:after="20"/>
              <w:jc w:val="center"/>
              <w:rPr>
                <w:sz w:val="20"/>
                <w:lang w:val="sr-Cyrl-RS"/>
              </w:rPr>
            </w:pPr>
            <w:r w:rsidRPr="00CF77C1">
              <w:rPr>
                <w:sz w:val="20"/>
                <w:lang w:val="sr-Cyrl-RS"/>
              </w:rPr>
              <w:t>10</w:t>
            </w:r>
          </w:p>
        </w:tc>
        <w:tc>
          <w:tcPr>
            <w:tcW w:w="708" w:type="dxa"/>
            <w:vAlign w:val="center"/>
          </w:tcPr>
          <w:p w14:paraId="1412835A" w14:textId="5B0D9B03" w:rsidR="00F17E96" w:rsidRPr="00CF77C1" w:rsidRDefault="004E3B6F" w:rsidP="001D0517">
            <w:pPr>
              <w:autoSpaceDE w:val="0"/>
              <w:autoSpaceDN w:val="0"/>
              <w:adjustRightInd w:val="0"/>
              <w:spacing w:before="20" w:after="20"/>
              <w:jc w:val="center"/>
              <w:rPr>
                <w:color w:val="000000"/>
                <w:sz w:val="20"/>
                <w:lang w:val="sr-Cyrl-RS"/>
              </w:rPr>
            </w:pPr>
            <w:r>
              <w:rPr>
                <w:sz w:val="20"/>
                <w:lang w:val="sr-Cyrl-RS"/>
              </w:rPr>
              <w:t>П.19</w:t>
            </w:r>
          </w:p>
        </w:tc>
        <w:tc>
          <w:tcPr>
            <w:tcW w:w="1985" w:type="dxa"/>
            <w:vAlign w:val="center"/>
          </w:tcPr>
          <w:p w14:paraId="2545C620" w14:textId="70A20FC4" w:rsidR="00F17E96" w:rsidRPr="00CF77C1" w:rsidRDefault="00F17E96" w:rsidP="0006398E">
            <w:pPr>
              <w:autoSpaceDE w:val="0"/>
              <w:autoSpaceDN w:val="0"/>
              <w:adjustRightInd w:val="0"/>
              <w:spacing w:before="20" w:after="20"/>
              <w:jc w:val="left"/>
              <w:rPr>
                <w:color w:val="000000"/>
                <w:sz w:val="20"/>
                <w:lang w:val="sr-Cyrl-RS"/>
              </w:rPr>
            </w:pPr>
            <w:r w:rsidRPr="00CF77C1">
              <w:rPr>
                <w:color w:val="000000"/>
                <w:sz w:val="20"/>
                <w:lang w:val="sr-Cyrl-RS"/>
              </w:rPr>
              <w:t>Пројекат „Изградња Првог објекта система продуктовода”</w:t>
            </w:r>
          </w:p>
        </w:tc>
        <w:tc>
          <w:tcPr>
            <w:tcW w:w="425" w:type="dxa"/>
            <w:vAlign w:val="center"/>
          </w:tcPr>
          <w:p w14:paraId="00CE7679" w14:textId="77777777" w:rsidR="00F17E96" w:rsidRPr="00CF77C1" w:rsidRDefault="00F17E96" w:rsidP="001D0517">
            <w:pPr>
              <w:autoSpaceDE w:val="0"/>
              <w:autoSpaceDN w:val="0"/>
              <w:adjustRightInd w:val="0"/>
              <w:spacing w:before="20" w:after="20"/>
              <w:jc w:val="center"/>
              <w:rPr>
                <w:color w:val="000000"/>
                <w:sz w:val="20"/>
                <w:lang w:val="sr-Cyrl-RS"/>
              </w:rPr>
            </w:pPr>
            <w:r w:rsidRPr="00CF77C1">
              <w:rPr>
                <w:color w:val="000000"/>
                <w:sz w:val="20"/>
                <w:lang w:val="sr-Cyrl-RS"/>
              </w:rPr>
              <w:t>53</w:t>
            </w:r>
          </w:p>
        </w:tc>
        <w:tc>
          <w:tcPr>
            <w:tcW w:w="8363" w:type="dxa"/>
            <w:vAlign w:val="center"/>
          </w:tcPr>
          <w:p w14:paraId="349E8E19" w14:textId="27A7A7F9" w:rsidR="00F17E96" w:rsidRPr="00CF77C1" w:rsidRDefault="00F17E96" w:rsidP="003E39B4">
            <w:pPr>
              <w:pStyle w:val="ListParagraph"/>
              <w:numPr>
                <w:ilvl w:val="0"/>
                <w:numId w:val="79"/>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ЈП Транснафта</w:t>
            </w:r>
          </w:p>
          <w:p w14:paraId="41BE263B" w14:textId="77777777" w:rsidR="00F17E96" w:rsidRPr="00CF77C1" w:rsidRDefault="00F17E96" w:rsidP="003E39B4">
            <w:pPr>
              <w:pStyle w:val="ListParagraph"/>
              <w:numPr>
                <w:ilvl w:val="0"/>
                <w:numId w:val="7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0DBDE9EC" w14:textId="1ECAA22A" w:rsidR="00F17E96" w:rsidRPr="00CF77C1" w:rsidRDefault="00F17E96" w:rsidP="00F12665">
            <w:pPr>
              <w:autoSpaceDE w:val="0"/>
              <w:autoSpaceDN w:val="0"/>
              <w:adjustRightInd w:val="0"/>
              <w:spacing w:before="20" w:after="20"/>
              <w:jc w:val="left"/>
              <w:rPr>
                <w:color w:val="000000"/>
                <w:sz w:val="20"/>
                <w:lang w:val="sr-Cyrl-RS"/>
              </w:rPr>
            </w:pPr>
            <w:r w:rsidRPr="00CF77C1">
              <w:rPr>
                <w:color w:val="000000"/>
                <w:sz w:val="20"/>
                <w:lang w:val="sr-Cyrl-RS"/>
              </w:rPr>
              <w:t>Изградња Првог објекта система продуктовода предвиђена је у три фазе: изградња продуктовода који повезују Рафинерију нафте Панчево и постојеће складишне резервоаре у Смедереву и Новом Саду, изградња нових резервоара у Панчеву и Смедереву и обезбеђење услова за даљи транспорт. Полазна тачка је од терминала у Панчеву, од кога се гранају два правца: јужни - према Смедереву (26,9 km) и северни - према Новом Саду (90,3 km). Циљ изградње система продуктовода кроз Србију је обезбеђивање економичног, ефикасног и са аспекта заштите животне средине повољнијег начина транспорта нафтних деривата произведених у рафинерији нафте Панчево.</w:t>
            </w:r>
          </w:p>
          <w:p w14:paraId="02F7A4DC" w14:textId="77777777" w:rsidR="00F17E96" w:rsidRPr="00CF77C1" w:rsidRDefault="00F17E96" w:rsidP="003E39B4">
            <w:pPr>
              <w:pStyle w:val="ListParagraph"/>
              <w:numPr>
                <w:ilvl w:val="0"/>
                <w:numId w:val="7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717C2EB0" w14:textId="0D87A4A9" w:rsidR="00F17E96" w:rsidRPr="00CF77C1" w:rsidRDefault="00F17E96" w:rsidP="00F12665">
            <w:pPr>
              <w:autoSpaceDE w:val="0"/>
              <w:autoSpaceDN w:val="0"/>
              <w:adjustRightInd w:val="0"/>
              <w:spacing w:before="20" w:after="20"/>
              <w:jc w:val="left"/>
              <w:rPr>
                <w:color w:val="000000"/>
                <w:sz w:val="20"/>
                <w:lang w:val="sr-Cyrl-RS"/>
              </w:rPr>
            </w:pPr>
            <w:r w:rsidRPr="00CF77C1">
              <w:rPr>
                <w:color w:val="000000"/>
                <w:sz w:val="20"/>
                <w:lang w:val="sr-Cyrl-RS"/>
              </w:rPr>
              <w:t xml:space="preserve">Пројекат доприноси обезбеђењу сигурности снабдевања </w:t>
            </w:r>
            <w:r w:rsidR="0019202F" w:rsidRPr="00CF77C1">
              <w:rPr>
                <w:color w:val="000000"/>
                <w:sz w:val="20"/>
                <w:lang w:val="sr-Cyrl-RS"/>
              </w:rPr>
              <w:t>нафтним дериватима</w:t>
            </w:r>
            <w:r w:rsidRPr="00CF77C1">
              <w:rPr>
                <w:color w:val="000000"/>
                <w:sz w:val="20"/>
                <w:lang w:val="sr-Cyrl-RS"/>
              </w:rPr>
              <w:t xml:space="preserve"> и транзицији ка одрживој енергетици.</w:t>
            </w:r>
          </w:p>
          <w:p w14:paraId="4417FA92" w14:textId="77777777" w:rsidR="00F17E96" w:rsidRPr="00CF77C1" w:rsidRDefault="00F17E96" w:rsidP="003E39B4">
            <w:pPr>
              <w:pStyle w:val="ListParagraph"/>
              <w:numPr>
                <w:ilvl w:val="0"/>
                <w:numId w:val="7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66F47B58" w14:textId="201AD46C" w:rsidR="00F17E96" w:rsidRPr="00CF77C1" w:rsidRDefault="00F17E96" w:rsidP="00F12665">
            <w:pPr>
              <w:autoSpaceDE w:val="0"/>
              <w:autoSpaceDN w:val="0"/>
              <w:adjustRightInd w:val="0"/>
              <w:spacing w:before="20" w:after="20"/>
              <w:jc w:val="left"/>
              <w:rPr>
                <w:color w:val="000000"/>
                <w:sz w:val="20"/>
                <w:lang w:val="sr-Cyrl-RS"/>
              </w:rPr>
            </w:pPr>
            <w:r w:rsidRPr="00CF77C1">
              <w:rPr>
                <w:color w:val="000000"/>
                <w:sz w:val="20"/>
                <w:lang w:val="sr-Cyrl-RS"/>
              </w:rPr>
              <w:t>Комплетна планска документација је завршена, док је од пројектно-техничке документације урађена Студија оправданости са Идејним пројектом и Студија о процени утицаја на животну средину за потребе изградње Првог објекта система продуктовода (деонице Панчево - Смедерево и Панчево - Нови Сад).</w:t>
            </w:r>
          </w:p>
          <w:p w14:paraId="4C2CC3AC" w14:textId="77777777" w:rsidR="00F17E96" w:rsidRPr="00CF77C1" w:rsidRDefault="00F17E96" w:rsidP="003E39B4">
            <w:pPr>
              <w:pStyle w:val="ListParagraph"/>
              <w:numPr>
                <w:ilvl w:val="0"/>
                <w:numId w:val="7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6022E1F4" w14:textId="7941E3FA" w:rsidR="00F17E96" w:rsidRPr="00CF77C1" w:rsidRDefault="00F17E96" w:rsidP="00C34093">
            <w:pPr>
              <w:autoSpaceDE w:val="0"/>
              <w:autoSpaceDN w:val="0"/>
              <w:adjustRightInd w:val="0"/>
              <w:spacing w:before="20" w:after="20"/>
              <w:jc w:val="left"/>
              <w:rPr>
                <w:color w:val="000000"/>
                <w:sz w:val="20"/>
                <w:lang w:val="sr-Cyrl-RS"/>
              </w:rPr>
            </w:pPr>
            <w:r w:rsidRPr="00CF77C1">
              <w:rPr>
                <w:color w:val="000000"/>
                <w:sz w:val="20"/>
                <w:lang w:val="sr-Cyrl-RS"/>
              </w:rPr>
              <w:t xml:space="preserve">Финансирање пројекта је обезбеђено из средстава </w:t>
            </w:r>
            <w:r w:rsidR="00EC6678">
              <w:rPr>
                <w:color w:val="000000"/>
                <w:sz w:val="20"/>
                <w:lang w:val="sr-Cyrl-RS"/>
              </w:rPr>
              <w:t>ЈП „Транснафта”</w:t>
            </w:r>
            <w:r w:rsidRPr="00CF77C1">
              <w:rPr>
                <w:color w:val="000000"/>
                <w:sz w:val="20"/>
                <w:lang w:val="sr-Cyrl-RS"/>
              </w:rPr>
              <w:t>.</w:t>
            </w:r>
          </w:p>
        </w:tc>
        <w:tc>
          <w:tcPr>
            <w:tcW w:w="1418" w:type="dxa"/>
            <w:vAlign w:val="center"/>
          </w:tcPr>
          <w:p w14:paraId="639F4724" w14:textId="5E8D48B8" w:rsidR="00F17E96" w:rsidRPr="00CF77C1" w:rsidRDefault="00F17E96" w:rsidP="003C278C">
            <w:pPr>
              <w:jc w:val="center"/>
              <w:rPr>
                <w:sz w:val="20"/>
                <w:lang w:val="sr-Cyrl-RS"/>
              </w:rPr>
            </w:pPr>
            <w:r w:rsidRPr="00CF77C1">
              <w:rPr>
                <w:sz w:val="20"/>
                <w:lang w:val="sr-Cyrl-RS"/>
              </w:rPr>
              <w:t>30 милиона €</w:t>
            </w:r>
          </w:p>
        </w:tc>
        <w:tc>
          <w:tcPr>
            <w:tcW w:w="1276" w:type="dxa"/>
            <w:vAlign w:val="center"/>
          </w:tcPr>
          <w:p w14:paraId="4F20E871" w14:textId="44784367" w:rsidR="00F17E96" w:rsidRPr="00CF77C1" w:rsidRDefault="00F17E96" w:rsidP="003C278C">
            <w:pPr>
              <w:jc w:val="center"/>
              <w:rPr>
                <w:sz w:val="20"/>
                <w:lang w:val="sr-Cyrl-RS"/>
              </w:rPr>
            </w:pPr>
            <w:r w:rsidRPr="00CF77C1">
              <w:rPr>
                <w:sz w:val="20"/>
                <w:lang w:val="sr-Cyrl-RS"/>
              </w:rPr>
              <w:t>2017-2022.</w:t>
            </w:r>
          </w:p>
        </w:tc>
      </w:tr>
      <w:tr w:rsidR="00572939" w:rsidRPr="00CF77C1" w14:paraId="01697D4B" w14:textId="77777777" w:rsidTr="00FF1371">
        <w:trPr>
          <w:cantSplit/>
          <w:trHeight w:val="610"/>
        </w:trPr>
        <w:tc>
          <w:tcPr>
            <w:tcW w:w="456" w:type="dxa"/>
            <w:vAlign w:val="center"/>
          </w:tcPr>
          <w:p w14:paraId="579EA47E" w14:textId="46F8681C"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11</w:t>
            </w:r>
          </w:p>
        </w:tc>
        <w:tc>
          <w:tcPr>
            <w:tcW w:w="708" w:type="dxa"/>
            <w:vAlign w:val="center"/>
          </w:tcPr>
          <w:p w14:paraId="7C196A5C" w14:textId="48A00576" w:rsidR="00572939" w:rsidRPr="00CF77C1" w:rsidRDefault="00572939" w:rsidP="001D0517">
            <w:pPr>
              <w:autoSpaceDE w:val="0"/>
              <w:autoSpaceDN w:val="0"/>
              <w:adjustRightInd w:val="0"/>
              <w:spacing w:before="20" w:after="20"/>
              <w:jc w:val="center"/>
              <w:rPr>
                <w:sz w:val="20"/>
                <w:lang w:val="sr-Cyrl-RS"/>
              </w:rPr>
            </w:pPr>
            <w:r w:rsidRPr="00CF77C1">
              <w:rPr>
                <w:sz w:val="20"/>
                <w:lang w:val="sr-Cyrl-RS"/>
              </w:rPr>
              <w:fldChar w:fldCharType="begin"/>
            </w:r>
            <w:r w:rsidRPr="00CF77C1">
              <w:rPr>
                <w:sz w:val="20"/>
                <w:lang w:val="sr-Cyrl-RS"/>
              </w:rPr>
              <w:instrText xml:space="preserve"> REF _Ref479966482 \r \h  \* MERGEFORMAT </w:instrText>
            </w:r>
            <w:r w:rsidRPr="00CF77C1">
              <w:rPr>
                <w:sz w:val="20"/>
                <w:lang w:val="sr-Cyrl-RS"/>
              </w:rPr>
            </w:r>
            <w:r w:rsidRPr="00CF77C1">
              <w:rPr>
                <w:sz w:val="20"/>
                <w:lang w:val="sr-Cyrl-RS"/>
              </w:rPr>
              <w:fldChar w:fldCharType="separate"/>
            </w:r>
            <w:r w:rsidR="002D5918">
              <w:rPr>
                <w:sz w:val="20"/>
                <w:lang w:val="sr-Cyrl-RS"/>
              </w:rPr>
              <w:t>П.9</w:t>
            </w:r>
            <w:r w:rsidRPr="00CF77C1">
              <w:rPr>
                <w:sz w:val="20"/>
                <w:lang w:val="sr-Cyrl-RS"/>
              </w:rPr>
              <w:fldChar w:fldCharType="end"/>
            </w:r>
          </w:p>
        </w:tc>
        <w:tc>
          <w:tcPr>
            <w:tcW w:w="1985" w:type="dxa"/>
            <w:vAlign w:val="center"/>
          </w:tcPr>
          <w:p w14:paraId="76123D89" w14:textId="1E8AA886"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заштите животне средине у области производње електри</w:t>
            </w:r>
            <w:r w:rsidR="001741AC" w:rsidRPr="00CF77C1">
              <w:rPr>
                <w:color w:val="000000"/>
                <w:sz w:val="20"/>
                <w:lang w:val="sr-Cyrl-RS"/>
              </w:rPr>
              <w:t>чне енергије из електрана ЕПС</w:t>
            </w:r>
            <w:r w:rsidRPr="00CF77C1">
              <w:rPr>
                <w:color w:val="000000"/>
                <w:sz w:val="20"/>
                <w:lang w:val="sr-Cyrl-RS"/>
              </w:rPr>
              <w:t xml:space="preserve"> (</w:t>
            </w:r>
            <w:r w:rsidRPr="00CF77C1">
              <w:rPr>
                <w:sz w:val="20"/>
                <w:lang w:val="sr-Cyrl-RS"/>
              </w:rPr>
              <w:t>ЈЛИП-Е</w:t>
            </w:r>
            <w:r w:rsidRPr="00CF77C1">
              <w:rPr>
                <w:color w:val="000000"/>
                <w:sz w:val="20"/>
                <w:lang w:val="sr-Cyrl-RS"/>
              </w:rPr>
              <w:t>)</w:t>
            </w:r>
          </w:p>
        </w:tc>
        <w:tc>
          <w:tcPr>
            <w:tcW w:w="425" w:type="dxa"/>
            <w:vAlign w:val="center"/>
          </w:tcPr>
          <w:p w14:paraId="34CFA330" w14:textId="5E5F4E80"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51</w:t>
            </w:r>
          </w:p>
        </w:tc>
        <w:tc>
          <w:tcPr>
            <w:tcW w:w="8363" w:type="dxa"/>
            <w:vAlign w:val="center"/>
          </w:tcPr>
          <w:p w14:paraId="38842C63" w14:textId="60CECD73" w:rsidR="00572939" w:rsidRPr="00CF77C1" w:rsidRDefault="00572939" w:rsidP="003E39B4">
            <w:pPr>
              <w:pStyle w:val="ListParagraph"/>
              <w:numPr>
                <w:ilvl w:val="0"/>
                <w:numId w:val="81"/>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41A7A4D6" w14:textId="77777777" w:rsidR="00572939" w:rsidRPr="00CF77C1" w:rsidRDefault="00572939" w:rsidP="003E39B4">
            <w:pPr>
              <w:pStyle w:val="ListParagraph"/>
              <w:numPr>
                <w:ilvl w:val="0"/>
                <w:numId w:val="8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576B7B89" w14:textId="28486436" w:rsidR="00572939" w:rsidRPr="00CF77C1" w:rsidRDefault="00572939" w:rsidP="00572939">
            <w:pPr>
              <w:autoSpaceDE w:val="0"/>
              <w:autoSpaceDN w:val="0"/>
              <w:adjustRightInd w:val="0"/>
              <w:spacing w:before="20" w:after="20"/>
              <w:jc w:val="left"/>
              <w:rPr>
                <w:color w:val="000000"/>
                <w:sz w:val="20"/>
                <w:lang w:val="sr-Cyrl-RS"/>
              </w:rPr>
            </w:pPr>
            <w:r w:rsidRPr="00CF77C1">
              <w:rPr>
                <w:color w:val="000000"/>
                <w:sz w:val="20"/>
                <w:lang w:val="sr-Cyrl-RS"/>
              </w:rPr>
              <w:t xml:space="preserve">Пројекат обухвата тринаест потпројеката чија је намена смањење емисије </w:t>
            </w:r>
            <w:r w:rsidR="00E2227A" w:rsidRPr="00CF77C1">
              <w:rPr>
                <w:color w:val="000000"/>
                <w:sz w:val="20"/>
                <w:lang w:val="sr-Cyrl-RS"/>
              </w:rPr>
              <w:t>штетних</w:t>
            </w:r>
            <w:r w:rsidRPr="00CF77C1">
              <w:rPr>
                <w:color w:val="000000"/>
                <w:sz w:val="20"/>
                <w:lang w:val="sr-Cyrl-RS"/>
              </w:rPr>
              <w:t xml:space="preserve"> гасова SO</w:t>
            </w:r>
            <w:r w:rsidRPr="00CF77C1">
              <w:rPr>
                <w:color w:val="000000"/>
                <w:sz w:val="20"/>
                <w:vertAlign w:val="subscript"/>
                <w:lang w:val="sr-Cyrl-RS"/>
              </w:rPr>
              <w:t>2</w:t>
            </w:r>
            <w:r w:rsidRPr="00CF77C1">
              <w:rPr>
                <w:color w:val="000000"/>
                <w:sz w:val="20"/>
                <w:lang w:val="sr-Cyrl-RS"/>
              </w:rPr>
              <w:t xml:space="preserve"> и NO</w:t>
            </w:r>
            <w:r w:rsidRPr="00CF77C1">
              <w:rPr>
                <w:color w:val="000000"/>
                <w:sz w:val="20"/>
                <w:vertAlign w:val="subscript"/>
                <w:lang w:val="sr-Cyrl-RS"/>
              </w:rPr>
              <w:t>x</w:t>
            </w:r>
            <w:r w:rsidRPr="00CF77C1">
              <w:rPr>
                <w:color w:val="000000"/>
                <w:sz w:val="20"/>
                <w:lang w:val="sr-Cyrl-RS"/>
              </w:rPr>
              <w:t xml:space="preserve"> и њихово свођење у дозвољене границе и решавање проблема отпепељавања, складиштења отпада и пречишћавања отпадних вода на локацијама поједини</w:t>
            </w:r>
            <w:r w:rsidR="001741AC" w:rsidRPr="00CF77C1">
              <w:rPr>
                <w:color w:val="000000"/>
                <w:sz w:val="20"/>
                <w:lang w:val="sr-Cyrl-RS"/>
              </w:rPr>
              <w:t>х производних капацитета у ЕПС</w:t>
            </w:r>
            <w:r w:rsidRPr="00CF77C1">
              <w:rPr>
                <w:color w:val="000000"/>
                <w:sz w:val="20"/>
                <w:lang w:val="sr-Cyrl-RS"/>
              </w:rPr>
              <w:t>.</w:t>
            </w:r>
          </w:p>
          <w:p w14:paraId="516F0FC9" w14:textId="77777777" w:rsidR="00572939" w:rsidRPr="00CF77C1" w:rsidRDefault="00572939" w:rsidP="003E39B4">
            <w:pPr>
              <w:pStyle w:val="ListParagraph"/>
              <w:numPr>
                <w:ilvl w:val="0"/>
                <w:numId w:val="8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2CBD63C5" w14:textId="6FD38FC8" w:rsidR="00572939" w:rsidRPr="00CF77C1" w:rsidRDefault="00572939" w:rsidP="00572939">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развоју тржишта електричне енергије и транзицији ка одрживој енергетици.</w:t>
            </w:r>
          </w:p>
          <w:p w14:paraId="78A9368F" w14:textId="77777777" w:rsidR="00572939" w:rsidRPr="00CF77C1" w:rsidRDefault="00572939" w:rsidP="003E39B4">
            <w:pPr>
              <w:pStyle w:val="ListParagraph"/>
              <w:numPr>
                <w:ilvl w:val="0"/>
                <w:numId w:val="8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0E9EFC6C" w14:textId="4662FD1F" w:rsidR="00572939" w:rsidRPr="00CF77C1" w:rsidRDefault="00FA1AD7" w:rsidP="00572939">
            <w:pPr>
              <w:autoSpaceDE w:val="0"/>
              <w:autoSpaceDN w:val="0"/>
              <w:adjustRightInd w:val="0"/>
              <w:spacing w:before="20" w:after="20"/>
              <w:jc w:val="left"/>
              <w:rPr>
                <w:color w:val="000000"/>
                <w:sz w:val="20"/>
                <w:lang w:val="sr-Cyrl-RS"/>
              </w:rPr>
            </w:pPr>
            <w:r w:rsidRPr="00CF77C1">
              <w:rPr>
                <w:color w:val="000000"/>
                <w:sz w:val="20"/>
                <w:lang w:val="sr-Cyrl-RS"/>
              </w:rPr>
              <w:t>За поједине потпројекте планска и техничка документација је припремљена, док је за поједине у фази припреме.</w:t>
            </w:r>
          </w:p>
          <w:p w14:paraId="04466114" w14:textId="77777777" w:rsidR="00572939" w:rsidRPr="00CF77C1" w:rsidRDefault="00572939" w:rsidP="003E39B4">
            <w:pPr>
              <w:pStyle w:val="ListParagraph"/>
              <w:numPr>
                <w:ilvl w:val="0"/>
                <w:numId w:val="8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1CB42A01" w14:textId="1113F9CE" w:rsidR="00572939" w:rsidRPr="00CF77C1" w:rsidRDefault="00572939" w:rsidP="00FA1AD7">
            <w:pPr>
              <w:tabs>
                <w:tab w:val="right" w:pos="6838"/>
              </w:tabs>
              <w:autoSpaceDE w:val="0"/>
              <w:autoSpaceDN w:val="0"/>
              <w:adjustRightInd w:val="0"/>
              <w:spacing w:before="20" w:after="20"/>
              <w:jc w:val="left"/>
              <w:rPr>
                <w:color w:val="000000"/>
                <w:sz w:val="20"/>
                <w:lang w:val="sr-Cyrl-RS"/>
              </w:rPr>
            </w:pPr>
            <w:r w:rsidRPr="00CF77C1">
              <w:rPr>
                <w:color w:val="000000"/>
                <w:sz w:val="20"/>
                <w:lang w:val="sr-Cyrl-RS"/>
              </w:rPr>
              <w:t xml:space="preserve">Финансирање пројекта </w:t>
            </w:r>
            <w:r w:rsidR="00FA1AD7" w:rsidRPr="00CF77C1">
              <w:rPr>
                <w:color w:val="000000"/>
                <w:sz w:val="20"/>
                <w:lang w:val="sr-Cyrl-RS"/>
              </w:rPr>
              <w:t>ни</w:t>
            </w:r>
            <w:r w:rsidRPr="00CF77C1">
              <w:rPr>
                <w:color w:val="000000"/>
                <w:sz w:val="20"/>
                <w:lang w:val="sr-Cyrl-RS"/>
              </w:rPr>
              <w:t>је обезбеђено.</w:t>
            </w:r>
          </w:p>
        </w:tc>
        <w:tc>
          <w:tcPr>
            <w:tcW w:w="1418" w:type="dxa"/>
            <w:vAlign w:val="center"/>
          </w:tcPr>
          <w:p w14:paraId="46BC195E" w14:textId="63A1229B" w:rsidR="00572939" w:rsidRPr="00CF77C1" w:rsidRDefault="00572939" w:rsidP="00BA558D">
            <w:pPr>
              <w:jc w:val="center"/>
              <w:rPr>
                <w:sz w:val="20"/>
                <w:lang w:val="sr-Cyrl-RS"/>
              </w:rPr>
            </w:pPr>
            <w:r w:rsidRPr="00CF77C1">
              <w:rPr>
                <w:sz w:val="20"/>
                <w:lang w:val="sr-Cyrl-RS"/>
              </w:rPr>
              <w:t>484,5 милиона €</w:t>
            </w:r>
          </w:p>
        </w:tc>
        <w:tc>
          <w:tcPr>
            <w:tcW w:w="1276" w:type="dxa"/>
            <w:vAlign w:val="center"/>
          </w:tcPr>
          <w:p w14:paraId="3925FD0C" w14:textId="5E956B52" w:rsidR="00572939" w:rsidRPr="00CF77C1" w:rsidRDefault="00FA1AD7" w:rsidP="003C278C">
            <w:pPr>
              <w:jc w:val="center"/>
              <w:rPr>
                <w:sz w:val="20"/>
                <w:lang w:val="sr-Cyrl-RS"/>
              </w:rPr>
            </w:pPr>
            <w:r w:rsidRPr="00CF77C1">
              <w:rPr>
                <w:sz w:val="20"/>
                <w:lang w:val="sr-Cyrl-RS"/>
              </w:rPr>
              <w:t>2018-2023.</w:t>
            </w:r>
          </w:p>
        </w:tc>
      </w:tr>
      <w:tr w:rsidR="00572939" w:rsidRPr="00CF77C1" w14:paraId="27D01468" w14:textId="6ECC5F45" w:rsidTr="00FF1371">
        <w:trPr>
          <w:cantSplit/>
          <w:trHeight w:val="610"/>
        </w:trPr>
        <w:tc>
          <w:tcPr>
            <w:tcW w:w="456" w:type="dxa"/>
            <w:vAlign w:val="center"/>
          </w:tcPr>
          <w:p w14:paraId="57D26E60" w14:textId="10D4AE8C"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12</w:t>
            </w:r>
          </w:p>
        </w:tc>
        <w:tc>
          <w:tcPr>
            <w:tcW w:w="708" w:type="dxa"/>
            <w:vAlign w:val="center"/>
          </w:tcPr>
          <w:p w14:paraId="688E0052" w14:textId="45385366" w:rsidR="00572939" w:rsidRPr="00CF77C1" w:rsidRDefault="004E3B6F" w:rsidP="001D0517">
            <w:pPr>
              <w:autoSpaceDE w:val="0"/>
              <w:autoSpaceDN w:val="0"/>
              <w:adjustRightInd w:val="0"/>
              <w:spacing w:before="20" w:after="20"/>
              <w:jc w:val="center"/>
              <w:rPr>
                <w:color w:val="000000"/>
                <w:sz w:val="20"/>
                <w:lang w:val="sr-Cyrl-RS"/>
              </w:rPr>
            </w:pPr>
            <w:r>
              <w:rPr>
                <w:sz w:val="20"/>
                <w:lang w:val="sr-Cyrl-RS"/>
              </w:rPr>
              <w:t>П.30</w:t>
            </w:r>
          </w:p>
        </w:tc>
        <w:tc>
          <w:tcPr>
            <w:tcW w:w="1985" w:type="dxa"/>
            <w:vAlign w:val="center"/>
          </w:tcPr>
          <w:p w14:paraId="2AAF4A98" w14:textId="4A8507FF"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Увођење нове организаци</w:t>
            </w:r>
            <w:r w:rsidR="001741AC" w:rsidRPr="00CF77C1">
              <w:rPr>
                <w:color w:val="000000"/>
                <w:sz w:val="20"/>
                <w:lang w:val="sr-Cyrl-RS"/>
              </w:rPr>
              <w:t>је на површинским коповима ЕПС</w:t>
            </w:r>
            <w:r w:rsidRPr="00CF77C1">
              <w:rPr>
                <w:color w:val="000000"/>
                <w:sz w:val="20"/>
                <w:lang w:val="sr-Cyrl-RS"/>
              </w:rPr>
              <w:t xml:space="preserve"> у циљу унапређења рада и повећања ефикас</w:t>
            </w:r>
            <w:r w:rsidR="001741AC" w:rsidRPr="00CF77C1">
              <w:rPr>
                <w:color w:val="000000"/>
                <w:sz w:val="20"/>
                <w:lang w:val="sr-Cyrl-RS"/>
              </w:rPr>
              <w:t>ности површинских копова у ЕПС</w:t>
            </w:r>
          </w:p>
        </w:tc>
        <w:tc>
          <w:tcPr>
            <w:tcW w:w="425" w:type="dxa"/>
            <w:vAlign w:val="center"/>
          </w:tcPr>
          <w:p w14:paraId="21CD65EA"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51</w:t>
            </w:r>
          </w:p>
        </w:tc>
        <w:tc>
          <w:tcPr>
            <w:tcW w:w="8363" w:type="dxa"/>
            <w:vAlign w:val="center"/>
          </w:tcPr>
          <w:p w14:paraId="25F3B183" w14:textId="1354FB66" w:rsidR="00572939" w:rsidRPr="00CF77C1" w:rsidRDefault="00572939" w:rsidP="003E39B4">
            <w:pPr>
              <w:pStyle w:val="ListParagraph"/>
              <w:numPr>
                <w:ilvl w:val="0"/>
                <w:numId w:val="10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10EDBFBE" w14:textId="77777777" w:rsidR="00572939" w:rsidRPr="00CF77C1" w:rsidRDefault="00572939" w:rsidP="003E39B4">
            <w:pPr>
              <w:pStyle w:val="ListParagraph"/>
              <w:numPr>
                <w:ilvl w:val="0"/>
                <w:numId w:val="10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0BE184A3" w14:textId="26B80F1D"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ЕПС је са консултантском кућом Boston Consulting Group дефинисао сет неопходних мера како би производња угља била ефикасна и профитабилна, а цена произведене енергије конкуретна на светском тржишту и како би се смањили трошкови пословања, а све у циљу сигурног снабдевања термоелектрана угљем одговарајућег квалитета. Дефинисано је девет потпројеката које би требало реализовати у оквиру пројекта.</w:t>
            </w:r>
          </w:p>
          <w:p w14:paraId="65AA25EC" w14:textId="77777777" w:rsidR="00572939" w:rsidRPr="00CF77C1" w:rsidRDefault="00572939" w:rsidP="003E39B4">
            <w:pPr>
              <w:pStyle w:val="ListParagraph"/>
              <w:numPr>
                <w:ilvl w:val="0"/>
                <w:numId w:val="10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4B7DBE3A" w14:textId="7A38FBF4"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и угљем и транзицији ка одрживој енергетици.</w:t>
            </w:r>
          </w:p>
          <w:p w14:paraId="31F79BB3" w14:textId="77777777" w:rsidR="00572939" w:rsidRPr="00CF77C1" w:rsidRDefault="00572939" w:rsidP="003E39B4">
            <w:pPr>
              <w:pStyle w:val="ListParagraph"/>
              <w:numPr>
                <w:ilvl w:val="0"/>
                <w:numId w:val="10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031CF9B3" w14:textId="2E4B161C"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Овај пројекат је у почетној фази реализације.</w:t>
            </w:r>
          </w:p>
          <w:p w14:paraId="09A3E913" w14:textId="77777777" w:rsidR="00572939" w:rsidRPr="00CF77C1" w:rsidRDefault="00572939" w:rsidP="003E39B4">
            <w:pPr>
              <w:pStyle w:val="ListParagraph"/>
              <w:numPr>
                <w:ilvl w:val="0"/>
                <w:numId w:val="10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43FBA404" w14:textId="42305680"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Средства за финансирање ће се обезбеди</w:t>
            </w:r>
            <w:r w:rsidR="001741AC" w:rsidRPr="00CF77C1">
              <w:rPr>
                <w:color w:val="000000"/>
                <w:sz w:val="20"/>
                <w:lang w:val="sr-Cyrl-RS"/>
              </w:rPr>
              <w:t>ти из сопствених средстава ЕПС</w:t>
            </w:r>
            <w:r w:rsidRPr="00CF77C1">
              <w:rPr>
                <w:color w:val="000000"/>
                <w:sz w:val="20"/>
                <w:lang w:val="sr-Cyrl-RS"/>
              </w:rPr>
              <w:t>.</w:t>
            </w:r>
          </w:p>
        </w:tc>
        <w:tc>
          <w:tcPr>
            <w:tcW w:w="1418" w:type="dxa"/>
            <w:vAlign w:val="center"/>
          </w:tcPr>
          <w:p w14:paraId="48327490" w14:textId="4B337941" w:rsidR="00572939" w:rsidRPr="00CF77C1" w:rsidRDefault="00C03EF0" w:rsidP="00BA558D">
            <w:pPr>
              <w:jc w:val="center"/>
              <w:rPr>
                <w:sz w:val="20"/>
                <w:lang w:val="sr-Cyrl-RS"/>
              </w:rPr>
            </w:pPr>
            <w:r w:rsidRPr="00CF77C1">
              <w:rPr>
                <w:sz w:val="20"/>
                <w:lang w:val="sr-Cyrl-RS"/>
              </w:rPr>
              <w:t xml:space="preserve">81 </w:t>
            </w:r>
            <w:r w:rsidRPr="00151ABB">
              <w:rPr>
                <w:sz w:val="20"/>
                <w:lang w:val="sr-Cyrl-RS"/>
              </w:rPr>
              <w:t>милион</w:t>
            </w:r>
            <w:r w:rsidR="00AF0C51" w:rsidRPr="00151ABB">
              <w:rPr>
                <w:sz w:val="20"/>
                <w:lang w:val="sr-Cyrl-RS"/>
              </w:rPr>
              <w:t xml:space="preserve"> </w:t>
            </w:r>
            <w:r w:rsidR="00AF0C51" w:rsidRPr="00151ABB">
              <w:rPr>
                <w:lang w:val="sr-Cyrl-RS"/>
              </w:rPr>
              <w:t>€</w:t>
            </w:r>
          </w:p>
        </w:tc>
        <w:tc>
          <w:tcPr>
            <w:tcW w:w="1276" w:type="dxa"/>
            <w:vAlign w:val="center"/>
          </w:tcPr>
          <w:p w14:paraId="316FDFD1" w14:textId="6DEF8A52" w:rsidR="00572939" w:rsidRPr="00CF77C1" w:rsidRDefault="00572939" w:rsidP="003C278C">
            <w:pPr>
              <w:jc w:val="center"/>
              <w:rPr>
                <w:sz w:val="20"/>
                <w:lang w:val="sr-Cyrl-RS"/>
              </w:rPr>
            </w:pPr>
            <w:r w:rsidRPr="00CF77C1">
              <w:rPr>
                <w:sz w:val="20"/>
                <w:lang w:val="sr-Cyrl-RS"/>
              </w:rPr>
              <w:t>2017-2020.</w:t>
            </w:r>
          </w:p>
        </w:tc>
      </w:tr>
      <w:tr w:rsidR="00572939" w:rsidRPr="00CF77C1" w14:paraId="3A0DBB24" w14:textId="2BEA113F" w:rsidTr="00FF1371">
        <w:trPr>
          <w:cantSplit/>
          <w:trHeight w:val="305"/>
        </w:trPr>
        <w:tc>
          <w:tcPr>
            <w:tcW w:w="456" w:type="dxa"/>
            <w:vAlign w:val="center"/>
          </w:tcPr>
          <w:p w14:paraId="5FA5B0B0" w14:textId="03744ABB"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13</w:t>
            </w:r>
          </w:p>
        </w:tc>
        <w:tc>
          <w:tcPr>
            <w:tcW w:w="708" w:type="dxa"/>
            <w:vAlign w:val="center"/>
          </w:tcPr>
          <w:p w14:paraId="74ABA348" w14:textId="605736D9" w:rsidR="00572939" w:rsidRPr="00CF77C1" w:rsidRDefault="00572939"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_Ref476805948 \r \h  \* MERGEFORMAT </w:instrText>
            </w:r>
            <w:r w:rsidRPr="00CF77C1">
              <w:rPr>
                <w:sz w:val="20"/>
                <w:lang w:val="sr-Cyrl-RS"/>
              </w:rPr>
            </w:r>
            <w:r w:rsidRPr="00CF77C1">
              <w:rPr>
                <w:sz w:val="20"/>
                <w:lang w:val="sr-Cyrl-RS"/>
              </w:rPr>
              <w:fldChar w:fldCharType="separate"/>
            </w:r>
            <w:r w:rsidR="002D5918">
              <w:rPr>
                <w:sz w:val="20"/>
                <w:lang w:val="sr-Cyrl-RS"/>
              </w:rPr>
              <w:t>П.1</w:t>
            </w:r>
            <w:r w:rsidRPr="00CF77C1">
              <w:rPr>
                <w:sz w:val="20"/>
                <w:lang w:val="sr-Cyrl-RS"/>
              </w:rPr>
              <w:fldChar w:fldCharType="end"/>
            </w:r>
          </w:p>
        </w:tc>
        <w:tc>
          <w:tcPr>
            <w:tcW w:w="1985" w:type="dxa"/>
            <w:vAlign w:val="center"/>
          </w:tcPr>
          <w:p w14:paraId="77A408A0"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изградње новог блока у ТЕ Костолац Б3</w:t>
            </w:r>
          </w:p>
        </w:tc>
        <w:tc>
          <w:tcPr>
            <w:tcW w:w="425" w:type="dxa"/>
            <w:vAlign w:val="center"/>
          </w:tcPr>
          <w:p w14:paraId="6AEBCB8C"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49</w:t>
            </w:r>
          </w:p>
        </w:tc>
        <w:tc>
          <w:tcPr>
            <w:tcW w:w="8363" w:type="dxa"/>
            <w:vAlign w:val="center"/>
          </w:tcPr>
          <w:p w14:paraId="22F6818F" w14:textId="77777777" w:rsidR="00572939" w:rsidRPr="00CF77C1" w:rsidRDefault="00572939" w:rsidP="003E39B4">
            <w:pPr>
              <w:pStyle w:val="ListParagraph"/>
              <w:numPr>
                <w:ilvl w:val="0"/>
                <w:numId w:val="82"/>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65D501CB" w14:textId="77777777" w:rsidR="00572939" w:rsidRPr="00CF77C1" w:rsidRDefault="00572939" w:rsidP="003E39B4">
            <w:pPr>
              <w:pStyle w:val="ListParagraph"/>
              <w:numPr>
                <w:ilvl w:val="0"/>
                <w:numId w:val="8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37B2C773" w14:textId="3E9501A6"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Пројекат изградње новог блока у ТЕ Костолац Б3 обухвата изградњу трећег блока снаге 350 MW у ТЕ Костолац Б, чија ће годишња производња бити 2200 GWh и проширење површинског копа Дрмно, односно повећање производње угља са 9 на 12 милиона тона годишње.</w:t>
            </w:r>
          </w:p>
          <w:p w14:paraId="609A6689" w14:textId="77777777" w:rsidR="00572939" w:rsidRPr="00CF77C1" w:rsidRDefault="00572939" w:rsidP="003E39B4">
            <w:pPr>
              <w:pStyle w:val="ListParagraph"/>
              <w:numPr>
                <w:ilvl w:val="0"/>
                <w:numId w:val="8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1E5C74DB" w14:textId="77777777"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енергијом и транзицији ка одрживој енергетици.</w:t>
            </w:r>
          </w:p>
          <w:p w14:paraId="5BFBBC4A" w14:textId="77777777" w:rsidR="00572939" w:rsidRPr="00CF77C1" w:rsidRDefault="00572939" w:rsidP="003E39B4">
            <w:pPr>
              <w:pStyle w:val="ListParagraph"/>
              <w:numPr>
                <w:ilvl w:val="0"/>
                <w:numId w:val="8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63734EB4" w14:textId="241ED025"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Завршен је Идejни прojeкат и дoбиjeнa je сaглaснoст Држaвнe рeвизиoнe кoмисиje 2014. гoдине, у току је измeна и дoпуна Идejнoг прojeктa, услeд измeњених услова од стране кинeског партнера. У току је изрaдa и прeглeд Прojeктa зa грaђeвинску дoзвoлу.</w:t>
            </w:r>
          </w:p>
          <w:p w14:paraId="599F37D7" w14:textId="77777777" w:rsidR="00572939" w:rsidRPr="00CF77C1" w:rsidRDefault="00572939" w:rsidP="003E39B4">
            <w:pPr>
              <w:pStyle w:val="ListParagraph"/>
              <w:numPr>
                <w:ilvl w:val="0"/>
                <w:numId w:val="8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34805370" w14:textId="2DA55892"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За овај пројекат извор финансирања је обезбеђен: 85% из кредита кинеске ЕКСИМ банке, а 1</w:t>
            </w:r>
            <w:r w:rsidR="001741AC" w:rsidRPr="00CF77C1">
              <w:rPr>
                <w:color w:val="000000"/>
                <w:sz w:val="20"/>
                <w:lang w:val="sr-Cyrl-RS"/>
              </w:rPr>
              <w:t>5% из сопствених средстава ЕПС</w:t>
            </w:r>
            <w:r w:rsidRPr="00CF77C1">
              <w:rPr>
                <w:color w:val="000000"/>
                <w:sz w:val="20"/>
                <w:lang w:val="sr-Cyrl-RS"/>
              </w:rPr>
              <w:t>.</w:t>
            </w:r>
          </w:p>
        </w:tc>
        <w:tc>
          <w:tcPr>
            <w:tcW w:w="1418" w:type="dxa"/>
            <w:vAlign w:val="center"/>
          </w:tcPr>
          <w:p w14:paraId="10E9F428" w14:textId="7101E3C7" w:rsidR="00572939" w:rsidRPr="00CF77C1" w:rsidRDefault="00572939" w:rsidP="00BA558D">
            <w:pPr>
              <w:jc w:val="center"/>
              <w:rPr>
                <w:sz w:val="20"/>
                <w:lang w:val="sr-Cyrl-RS"/>
              </w:rPr>
            </w:pPr>
            <w:r w:rsidRPr="00CF77C1">
              <w:rPr>
                <w:sz w:val="20"/>
                <w:lang w:val="sr-Cyrl-RS"/>
              </w:rPr>
              <w:t>715,6 милиона $</w:t>
            </w:r>
          </w:p>
        </w:tc>
        <w:tc>
          <w:tcPr>
            <w:tcW w:w="1276" w:type="dxa"/>
            <w:vAlign w:val="center"/>
          </w:tcPr>
          <w:p w14:paraId="4DA459D4" w14:textId="3A563258" w:rsidR="00572939" w:rsidRPr="00CF77C1" w:rsidRDefault="00572939" w:rsidP="003C278C">
            <w:pPr>
              <w:jc w:val="center"/>
              <w:rPr>
                <w:sz w:val="20"/>
                <w:lang w:val="sr-Cyrl-RS"/>
              </w:rPr>
            </w:pPr>
            <w:r w:rsidRPr="00CF77C1">
              <w:rPr>
                <w:sz w:val="20"/>
                <w:lang w:val="sr-Cyrl-RS"/>
              </w:rPr>
              <w:t>2017-2020.</w:t>
            </w:r>
          </w:p>
        </w:tc>
      </w:tr>
      <w:tr w:rsidR="00572939" w:rsidRPr="00CF77C1" w14:paraId="027C48C7" w14:textId="3516FFD8" w:rsidTr="00FF1371">
        <w:trPr>
          <w:cantSplit/>
          <w:trHeight w:val="305"/>
        </w:trPr>
        <w:tc>
          <w:tcPr>
            <w:tcW w:w="456" w:type="dxa"/>
            <w:vAlign w:val="center"/>
          </w:tcPr>
          <w:p w14:paraId="075A83CC" w14:textId="48627E71"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14</w:t>
            </w:r>
          </w:p>
        </w:tc>
        <w:tc>
          <w:tcPr>
            <w:tcW w:w="708" w:type="dxa"/>
            <w:vAlign w:val="center"/>
          </w:tcPr>
          <w:p w14:paraId="3BD12A8C" w14:textId="6DA15612" w:rsidR="00572939" w:rsidRPr="00CF77C1" w:rsidRDefault="004E3B6F" w:rsidP="001D0517">
            <w:pPr>
              <w:autoSpaceDE w:val="0"/>
              <w:autoSpaceDN w:val="0"/>
              <w:adjustRightInd w:val="0"/>
              <w:spacing w:before="20" w:after="20"/>
              <w:jc w:val="center"/>
              <w:rPr>
                <w:color w:val="000000"/>
                <w:sz w:val="20"/>
                <w:lang w:val="sr-Cyrl-RS"/>
              </w:rPr>
            </w:pPr>
            <w:r>
              <w:rPr>
                <w:sz w:val="20"/>
                <w:lang w:val="sr-Cyrl-RS"/>
              </w:rPr>
              <w:t>П.24</w:t>
            </w:r>
          </w:p>
        </w:tc>
        <w:tc>
          <w:tcPr>
            <w:tcW w:w="1985" w:type="dxa"/>
            <w:vAlign w:val="center"/>
          </w:tcPr>
          <w:p w14:paraId="625A07DC"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Пројекaт проширења капацитета подземног складишта гаса Банатски Двор</w:t>
            </w:r>
          </w:p>
        </w:tc>
        <w:tc>
          <w:tcPr>
            <w:tcW w:w="425" w:type="dxa"/>
            <w:vAlign w:val="center"/>
          </w:tcPr>
          <w:p w14:paraId="32EC7C4F"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47</w:t>
            </w:r>
          </w:p>
        </w:tc>
        <w:tc>
          <w:tcPr>
            <w:tcW w:w="8363" w:type="dxa"/>
            <w:vAlign w:val="center"/>
          </w:tcPr>
          <w:p w14:paraId="50F99589" w14:textId="786F84CB" w:rsidR="00572939" w:rsidRPr="00CF77C1" w:rsidRDefault="00572939" w:rsidP="003E39B4">
            <w:pPr>
              <w:pStyle w:val="ListParagraph"/>
              <w:numPr>
                <w:ilvl w:val="0"/>
                <w:numId w:val="8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Оператор складишта природног гаса</w:t>
            </w:r>
            <w:r w:rsidRPr="00CF77C1">
              <w:rPr>
                <w:color w:val="000000"/>
                <w:sz w:val="20"/>
                <w:szCs w:val="20"/>
                <w:lang w:val="sr-Cyrl-RS"/>
              </w:rPr>
              <w:br/>
            </w:r>
            <w:r w:rsidRPr="00CF77C1">
              <w:rPr>
                <w:color w:val="000000"/>
                <w:sz w:val="20"/>
                <w:szCs w:val="20"/>
                <w:lang w:val="sr-Cyrl-RS"/>
              </w:rPr>
              <w:tab/>
              <w:t>(Подземно складиште гаса „Банатски Двор” д</w:t>
            </w:r>
            <w:r w:rsidR="005B0DE9">
              <w:rPr>
                <w:color w:val="000000"/>
                <w:sz w:val="20"/>
                <w:szCs w:val="20"/>
                <w:lang w:val="sr-Cyrl-RS"/>
              </w:rPr>
              <w:t>.</w:t>
            </w:r>
            <w:r w:rsidRPr="00CF77C1">
              <w:rPr>
                <w:color w:val="000000"/>
                <w:sz w:val="20"/>
                <w:szCs w:val="20"/>
                <w:lang w:val="sr-Cyrl-RS"/>
              </w:rPr>
              <w:t>о</w:t>
            </w:r>
            <w:r w:rsidR="005B0DE9">
              <w:rPr>
                <w:color w:val="000000"/>
                <w:sz w:val="20"/>
                <w:szCs w:val="20"/>
                <w:lang w:val="sr-Cyrl-RS"/>
              </w:rPr>
              <w:t>.</w:t>
            </w:r>
            <w:r w:rsidRPr="00CF77C1">
              <w:rPr>
                <w:color w:val="000000"/>
                <w:sz w:val="20"/>
                <w:szCs w:val="20"/>
                <w:lang w:val="sr-Cyrl-RS"/>
              </w:rPr>
              <w:t>о</w:t>
            </w:r>
            <w:r w:rsidR="005B0DE9">
              <w:rPr>
                <w:color w:val="000000"/>
                <w:sz w:val="20"/>
                <w:szCs w:val="20"/>
                <w:lang w:val="sr-Cyrl-RS"/>
              </w:rPr>
              <w:t>.</w:t>
            </w:r>
            <w:r w:rsidRPr="00CF77C1">
              <w:rPr>
                <w:color w:val="000000"/>
                <w:sz w:val="20"/>
                <w:szCs w:val="20"/>
                <w:lang w:val="sr-Cyrl-RS"/>
              </w:rPr>
              <w:t xml:space="preserve"> Нови Сад)</w:t>
            </w:r>
          </w:p>
          <w:p w14:paraId="11EA81DD" w14:textId="77777777" w:rsidR="00572939" w:rsidRPr="00CF77C1" w:rsidRDefault="00572939" w:rsidP="003E39B4">
            <w:pPr>
              <w:pStyle w:val="ListParagraph"/>
              <w:numPr>
                <w:ilvl w:val="0"/>
                <w:numId w:val="8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6C84ADA2" w14:textId="4156B4F9" w:rsidR="00572939" w:rsidRPr="00CF77C1" w:rsidRDefault="00572939" w:rsidP="001E7134">
            <w:pPr>
              <w:autoSpaceDE w:val="0"/>
              <w:autoSpaceDN w:val="0"/>
              <w:adjustRightInd w:val="0"/>
              <w:spacing w:before="20" w:after="20"/>
              <w:jc w:val="left"/>
              <w:rPr>
                <w:color w:val="000000"/>
                <w:sz w:val="20"/>
                <w:lang w:val="sr-Cyrl-RS"/>
              </w:rPr>
            </w:pPr>
            <w:r w:rsidRPr="00CF77C1">
              <w:rPr>
                <w:color w:val="000000"/>
                <w:sz w:val="20"/>
                <w:lang w:val="sr-Cyrl-RS"/>
              </w:rPr>
              <w:t>Пројекат обухвата проширење подземног складишта природног гаса у Банатском Двору са садашњег капацитета од 450 милиона m</w:t>
            </w:r>
            <w:r w:rsidRPr="00CF77C1">
              <w:rPr>
                <w:color w:val="000000"/>
                <w:sz w:val="20"/>
                <w:vertAlign w:val="superscript"/>
                <w:lang w:val="sr-Cyrl-RS"/>
              </w:rPr>
              <w:t>3</w:t>
            </w:r>
            <w:r w:rsidRPr="00CF77C1">
              <w:rPr>
                <w:color w:val="000000"/>
                <w:sz w:val="20"/>
                <w:lang w:val="sr-Cyrl-RS"/>
              </w:rPr>
              <w:t xml:space="preserve"> на капацитет од 800 милиона до 1 милијарде m</w:t>
            </w:r>
            <w:r w:rsidRPr="00CF77C1">
              <w:rPr>
                <w:color w:val="000000"/>
                <w:sz w:val="20"/>
                <w:vertAlign w:val="superscript"/>
                <w:lang w:val="sr-Cyrl-RS"/>
              </w:rPr>
              <w:t>3</w:t>
            </w:r>
            <w:r w:rsidRPr="00CF77C1">
              <w:rPr>
                <w:color w:val="000000"/>
                <w:sz w:val="20"/>
                <w:lang w:val="sr-Cyrl-RS"/>
              </w:rPr>
              <w:t xml:space="preserve"> са максималним техничким капацитетом производње од 9,96 милиона m</w:t>
            </w:r>
            <w:r w:rsidRPr="00CF77C1">
              <w:rPr>
                <w:color w:val="000000"/>
                <w:sz w:val="20"/>
                <w:vertAlign w:val="superscript"/>
                <w:lang w:val="sr-Cyrl-RS"/>
              </w:rPr>
              <w:t>3</w:t>
            </w:r>
            <w:r w:rsidRPr="00CF77C1">
              <w:rPr>
                <w:color w:val="000000"/>
                <w:sz w:val="20"/>
                <w:lang w:val="sr-Cyrl-RS"/>
              </w:rPr>
              <w:t>/дан (415.000 m</w:t>
            </w:r>
            <w:r w:rsidRPr="00CF77C1">
              <w:rPr>
                <w:color w:val="000000"/>
                <w:sz w:val="20"/>
                <w:vertAlign w:val="superscript"/>
                <w:lang w:val="sr-Cyrl-RS"/>
              </w:rPr>
              <w:t>3</w:t>
            </w:r>
            <w:r w:rsidRPr="00CF77C1">
              <w:rPr>
                <w:color w:val="000000"/>
                <w:sz w:val="20"/>
                <w:lang w:val="sr-Cyrl-RS"/>
              </w:rPr>
              <w:t>/h) и максималним техничким капацитетом утискивања од 5,52 милиона m</w:t>
            </w:r>
            <w:r w:rsidRPr="00CF77C1">
              <w:rPr>
                <w:color w:val="000000"/>
                <w:sz w:val="20"/>
                <w:vertAlign w:val="superscript"/>
                <w:lang w:val="sr-Cyrl-RS"/>
              </w:rPr>
              <w:t>3</w:t>
            </w:r>
            <w:r w:rsidRPr="00CF77C1">
              <w:rPr>
                <w:color w:val="000000"/>
                <w:sz w:val="20"/>
                <w:lang w:val="sr-Cyrl-RS"/>
              </w:rPr>
              <w:t>/дан (230.000 m</w:t>
            </w:r>
            <w:r w:rsidRPr="00CF77C1">
              <w:rPr>
                <w:color w:val="000000"/>
                <w:sz w:val="20"/>
                <w:vertAlign w:val="superscript"/>
                <w:lang w:val="sr-Cyrl-RS"/>
              </w:rPr>
              <w:t>3</w:t>
            </w:r>
            <w:r w:rsidRPr="00CF77C1">
              <w:rPr>
                <w:color w:val="000000"/>
                <w:sz w:val="20"/>
                <w:lang w:val="sr-Cyrl-RS"/>
              </w:rPr>
              <w:t>/h).</w:t>
            </w:r>
          </w:p>
          <w:p w14:paraId="39062274" w14:textId="77777777" w:rsidR="00572939" w:rsidRPr="00CF77C1" w:rsidRDefault="00572939" w:rsidP="003E39B4">
            <w:pPr>
              <w:pStyle w:val="ListParagraph"/>
              <w:numPr>
                <w:ilvl w:val="0"/>
                <w:numId w:val="8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3B6486B2" w14:textId="25200C66" w:rsidR="00572939" w:rsidRPr="00CF77C1" w:rsidRDefault="00572939" w:rsidP="001E7134">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природним гасом.</w:t>
            </w:r>
          </w:p>
          <w:p w14:paraId="1A902A3E" w14:textId="77777777" w:rsidR="00572939" w:rsidRPr="00CF77C1" w:rsidRDefault="00572939" w:rsidP="003E39B4">
            <w:pPr>
              <w:pStyle w:val="ListParagraph"/>
              <w:numPr>
                <w:ilvl w:val="0"/>
                <w:numId w:val="8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27B13C41" w14:textId="2E50C883" w:rsidR="00572939" w:rsidRPr="00CF77C1" w:rsidRDefault="00572939" w:rsidP="001E7134">
            <w:pPr>
              <w:autoSpaceDE w:val="0"/>
              <w:autoSpaceDN w:val="0"/>
              <w:adjustRightInd w:val="0"/>
              <w:spacing w:before="20" w:after="20"/>
              <w:jc w:val="left"/>
              <w:rPr>
                <w:color w:val="000000"/>
                <w:sz w:val="20"/>
                <w:lang w:val="sr-Cyrl-RS"/>
              </w:rPr>
            </w:pPr>
            <w:r w:rsidRPr="00CF77C1">
              <w:rPr>
                <w:color w:val="000000"/>
                <w:sz w:val="20"/>
                <w:lang w:val="sr-Cyrl-RS"/>
              </w:rPr>
              <w:t>Проширење капацитета подземног складишта је на нивоу генералног пројекта, што значи да планска и техничка документација за реализацију тек треба да се формира</w:t>
            </w:r>
          </w:p>
          <w:p w14:paraId="55615823" w14:textId="77777777" w:rsidR="00572939" w:rsidRPr="00CF77C1" w:rsidRDefault="00572939" w:rsidP="003E39B4">
            <w:pPr>
              <w:pStyle w:val="ListParagraph"/>
              <w:numPr>
                <w:ilvl w:val="0"/>
                <w:numId w:val="8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302E7CF3" w14:textId="5D47F969"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Нису обезбеђени извори финансирања за овај пројекат.</w:t>
            </w:r>
          </w:p>
        </w:tc>
        <w:tc>
          <w:tcPr>
            <w:tcW w:w="1418" w:type="dxa"/>
            <w:vAlign w:val="center"/>
          </w:tcPr>
          <w:p w14:paraId="47F2500A" w14:textId="101FD3E3" w:rsidR="00572939" w:rsidRPr="00CF77C1" w:rsidRDefault="00572939" w:rsidP="003C278C">
            <w:pPr>
              <w:jc w:val="center"/>
              <w:rPr>
                <w:sz w:val="20"/>
                <w:lang w:val="sr-Cyrl-RS"/>
              </w:rPr>
            </w:pPr>
            <w:r w:rsidRPr="00CF77C1">
              <w:rPr>
                <w:sz w:val="20"/>
                <w:lang w:val="sr-Cyrl-RS"/>
              </w:rPr>
              <w:t>65 милиона €</w:t>
            </w:r>
          </w:p>
        </w:tc>
        <w:tc>
          <w:tcPr>
            <w:tcW w:w="1276" w:type="dxa"/>
            <w:vAlign w:val="center"/>
          </w:tcPr>
          <w:p w14:paraId="4E61D58A" w14:textId="671F56D4" w:rsidR="00572939" w:rsidRPr="00CF77C1" w:rsidRDefault="00572939" w:rsidP="003C278C">
            <w:pPr>
              <w:jc w:val="center"/>
              <w:rPr>
                <w:sz w:val="20"/>
                <w:lang w:val="sr-Cyrl-RS"/>
              </w:rPr>
            </w:pPr>
            <w:r w:rsidRPr="00CF77C1">
              <w:rPr>
                <w:sz w:val="20"/>
                <w:lang w:val="sr-Cyrl-RS"/>
              </w:rPr>
              <w:t>2020-2023.</w:t>
            </w:r>
          </w:p>
        </w:tc>
      </w:tr>
      <w:tr w:rsidR="00572939" w:rsidRPr="00CF77C1" w14:paraId="7EBE15AE" w14:textId="1A49E155" w:rsidTr="00FF1371">
        <w:trPr>
          <w:cantSplit/>
          <w:trHeight w:val="305"/>
        </w:trPr>
        <w:tc>
          <w:tcPr>
            <w:tcW w:w="456" w:type="dxa"/>
            <w:vAlign w:val="center"/>
          </w:tcPr>
          <w:p w14:paraId="3A20CC57" w14:textId="6E92D7EE"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15</w:t>
            </w:r>
          </w:p>
        </w:tc>
        <w:tc>
          <w:tcPr>
            <w:tcW w:w="708" w:type="dxa"/>
            <w:vAlign w:val="center"/>
          </w:tcPr>
          <w:p w14:paraId="7500AD3E" w14:textId="69D52ECA" w:rsidR="00572939" w:rsidRPr="00CF77C1" w:rsidRDefault="004E3B6F" w:rsidP="001D0517">
            <w:pPr>
              <w:autoSpaceDE w:val="0"/>
              <w:autoSpaceDN w:val="0"/>
              <w:adjustRightInd w:val="0"/>
              <w:spacing w:before="20" w:after="20"/>
              <w:jc w:val="center"/>
              <w:rPr>
                <w:color w:val="000000"/>
                <w:sz w:val="20"/>
                <w:lang w:val="sr-Cyrl-RS"/>
              </w:rPr>
            </w:pPr>
            <w:r>
              <w:rPr>
                <w:sz w:val="20"/>
                <w:lang w:val="sr-Cyrl-RS"/>
              </w:rPr>
              <w:t>П.26</w:t>
            </w:r>
          </w:p>
        </w:tc>
        <w:tc>
          <w:tcPr>
            <w:tcW w:w="1985" w:type="dxa"/>
            <w:vAlign w:val="center"/>
          </w:tcPr>
          <w:p w14:paraId="36031126"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Интензивирање истраживања лежишта угља на целој територији Републике Србије</w:t>
            </w:r>
          </w:p>
        </w:tc>
        <w:tc>
          <w:tcPr>
            <w:tcW w:w="425" w:type="dxa"/>
            <w:vAlign w:val="center"/>
          </w:tcPr>
          <w:p w14:paraId="2EB59F52"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45</w:t>
            </w:r>
          </w:p>
        </w:tc>
        <w:tc>
          <w:tcPr>
            <w:tcW w:w="8363" w:type="dxa"/>
            <w:vAlign w:val="center"/>
          </w:tcPr>
          <w:p w14:paraId="2DF2A564" w14:textId="77777777" w:rsidR="00572939" w:rsidRPr="00CF77C1" w:rsidRDefault="00572939" w:rsidP="003E39B4">
            <w:pPr>
              <w:pStyle w:val="ListParagraph"/>
              <w:numPr>
                <w:ilvl w:val="0"/>
                <w:numId w:val="84"/>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50BFB914" w14:textId="77777777" w:rsidR="00572939" w:rsidRPr="00CF77C1" w:rsidRDefault="00572939" w:rsidP="003E39B4">
            <w:pPr>
              <w:pStyle w:val="ListParagraph"/>
              <w:numPr>
                <w:ilvl w:val="0"/>
                <w:numId w:val="8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662C269B" w14:textId="5A977800" w:rsidR="00572939" w:rsidRPr="00CF77C1" w:rsidRDefault="00572939" w:rsidP="00C703F7">
            <w:pPr>
              <w:autoSpaceDE w:val="0"/>
              <w:autoSpaceDN w:val="0"/>
              <w:adjustRightInd w:val="0"/>
              <w:spacing w:before="20" w:after="20"/>
              <w:jc w:val="left"/>
              <w:rPr>
                <w:color w:val="000000"/>
                <w:sz w:val="20"/>
                <w:lang w:val="sr-Cyrl-RS"/>
              </w:rPr>
            </w:pPr>
            <w:r w:rsidRPr="00CF77C1">
              <w:rPr>
                <w:color w:val="000000"/>
                <w:sz w:val="20"/>
                <w:lang w:val="sr-Cyrl-RS"/>
              </w:rPr>
              <w:t>Пројекат обухвата истраживање лежишта угља којима ће се у будућности обезбедити заменски капацитет за експлоатацију. Интезивирањем истраживања лежишта обезбеђују се сигурни подаци за даље планирање експлоатације угља и планирање термоенергетских капацитета.</w:t>
            </w:r>
          </w:p>
          <w:p w14:paraId="46D1E931" w14:textId="77777777" w:rsidR="00572939" w:rsidRPr="00CF77C1" w:rsidRDefault="00572939" w:rsidP="003E39B4">
            <w:pPr>
              <w:pStyle w:val="ListParagraph"/>
              <w:numPr>
                <w:ilvl w:val="0"/>
                <w:numId w:val="8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7DEBD151" w14:textId="77777777" w:rsidR="00572939" w:rsidRPr="00CF77C1" w:rsidRDefault="00572939" w:rsidP="00C703F7">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енергијом.</w:t>
            </w:r>
          </w:p>
          <w:p w14:paraId="5ACA0C6E" w14:textId="77777777" w:rsidR="00572939" w:rsidRPr="00CF77C1" w:rsidRDefault="00572939" w:rsidP="003E39B4">
            <w:pPr>
              <w:pStyle w:val="ListParagraph"/>
              <w:numPr>
                <w:ilvl w:val="0"/>
                <w:numId w:val="8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144BC97B" w14:textId="628E6B28" w:rsidR="00572939" w:rsidRPr="00CF77C1" w:rsidRDefault="00572939" w:rsidP="00C703F7">
            <w:pPr>
              <w:autoSpaceDE w:val="0"/>
              <w:autoSpaceDN w:val="0"/>
              <w:adjustRightInd w:val="0"/>
              <w:spacing w:before="20" w:after="20"/>
              <w:jc w:val="left"/>
              <w:rPr>
                <w:color w:val="000000"/>
                <w:sz w:val="20"/>
                <w:lang w:val="sr-Cyrl-RS"/>
              </w:rPr>
            </w:pPr>
            <w:r w:rsidRPr="00CF77C1">
              <w:rPr>
                <w:color w:val="000000"/>
                <w:sz w:val="20"/>
                <w:lang w:val="sr-Cyrl-RS"/>
              </w:rPr>
              <w:t>Овај пројекат је у зрелој фази реализације, и потребно је само интензивирати даље активности. Средства су планирана према постојећој документацији.</w:t>
            </w:r>
          </w:p>
          <w:p w14:paraId="3A7D2E47" w14:textId="77777777" w:rsidR="00572939" w:rsidRPr="00CF77C1" w:rsidRDefault="00572939" w:rsidP="003E39B4">
            <w:pPr>
              <w:pStyle w:val="ListParagraph"/>
              <w:numPr>
                <w:ilvl w:val="0"/>
                <w:numId w:val="84"/>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4937DA4A" w14:textId="5418E85C"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За поједине фазе обезбеђени су извори финансирања, а за остале су у фази планирања. Пројекат се финансира</w:t>
            </w:r>
            <w:r w:rsidR="001741AC" w:rsidRPr="00CF77C1">
              <w:rPr>
                <w:color w:val="000000"/>
                <w:sz w:val="20"/>
                <w:lang w:val="sr-Cyrl-RS"/>
              </w:rPr>
              <w:t xml:space="preserve"> из сопствених средстава ЕПС</w:t>
            </w:r>
            <w:r w:rsidRPr="00CF77C1">
              <w:rPr>
                <w:color w:val="000000"/>
                <w:sz w:val="20"/>
                <w:lang w:val="sr-Cyrl-RS"/>
              </w:rPr>
              <w:t>.</w:t>
            </w:r>
          </w:p>
        </w:tc>
        <w:tc>
          <w:tcPr>
            <w:tcW w:w="1418" w:type="dxa"/>
            <w:vAlign w:val="center"/>
          </w:tcPr>
          <w:p w14:paraId="23B0CF10" w14:textId="76340041" w:rsidR="00572939" w:rsidRPr="00CF77C1" w:rsidRDefault="00572939" w:rsidP="003C278C">
            <w:pPr>
              <w:jc w:val="center"/>
              <w:rPr>
                <w:sz w:val="20"/>
                <w:lang w:val="sr-Cyrl-RS"/>
              </w:rPr>
            </w:pPr>
            <w:r w:rsidRPr="00CF77C1">
              <w:rPr>
                <w:sz w:val="20"/>
                <w:lang w:val="sr-Cyrl-RS"/>
              </w:rPr>
              <w:t>12,6 милиона €</w:t>
            </w:r>
          </w:p>
        </w:tc>
        <w:tc>
          <w:tcPr>
            <w:tcW w:w="1276" w:type="dxa"/>
            <w:vAlign w:val="center"/>
          </w:tcPr>
          <w:p w14:paraId="1F563753" w14:textId="74EF9F41" w:rsidR="00572939" w:rsidRPr="00CF77C1" w:rsidRDefault="00572939" w:rsidP="003C278C">
            <w:pPr>
              <w:jc w:val="center"/>
              <w:rPr>
                <w:sz w:val="20"/>
                <w:lang w:val="sr-Cyrl-RS"/>
              </w:rPr>
            </w:pPr>
            <w:r w:rsidRPr="00CF77C1">
              <w:rPr>
                <w:sz w:val="20"/>
                <w:lang w:val="sr-Cyrl-RS"/>
              </w:rPr>
              <w:t>2017-2023.</w:t>
            </w:r>
          </w:p>
        </w:tc>
      </w:tr>
      <w:tr w:rsidR="00572939" w:rsidRPr="00CF77C1" w14:paraId="651894F6" w14:textId="49951C88" w:rsidTr="00FF1371">
        <w:trPr>
          <w:cantSplit/>
          <w:trHeight w:val="914"/>
        </w:trPr>
        <w:tc>
          <w:tcPr>
            <w:tcW w:w="456" w:type="dxa"/>
            <w:vAlign w:val="center"/>
          </w:tcPr>
          <w:p w14:paraId="581DDAE6" w14:textId="5535FD9C"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16</w:t>
            </w:r>
          </w:p>
        </w:tc>
        <w:tc>
          <w:tcPr>
            <w:tcW w:w="708" w:type="dxa"/>
            <w:vAlign w:val="center"/>
          </w:tcPr>
          <w:p w14:paraId="5D52BB61" w14:textId="0B8D9A63" w:rsidR="00572939" w:rsidRPr="00CF77C1" w:rsidRDefault="00572939"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_Ref476806007 \r \h  \* MERGEFORMAT </w:instrText>
            </w:r>
            <w:r w:rsidRPr="00CF77C1">
              <w:rPr>
                <w:sz w:val="20"/>
                <w:lang w:val="sr-Cyrl-RS"/>
              </w:rPr>
            </w:r>
            <w:r w:rsidRPr="00CF77C1">
              <w:rPr>
                <w:sz w:val="20"/>
                <w:lang w:val="sr-Cyrl-RS"/>
              </w:rPr>
              <w:fldChar w:fldCharType="separate"/>
            </w:r>
            <w:r w:rsidR="002D5918">
              <w:rPr>
                <w:sz w:val="20"/>
                <w:lang w:val="sr-Cyrl-RS"/>
              </w:rPr>
              <w:t>П.7</w:t>
            </w:r>
            <w:r w:rsidRPr="00CF77C1">
              <w:rPr>
                <w:sz w:val="20"/>
                <w:lang w:val="sr-Cyrl-RS"/>
              </w:rPr>
              <w:fldChar w:fldCharType="end"/>
            </w:r>
          </w:p>
        </w:tc>
        <w:tc>
          <w:tcPr>
            <w:tcW w:w="1985" w:type="dxa"/>
            <w:vAlign w:val="center"/>
          </w:tcPr>
          <w:p w14:paraId="49EB6C27"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реконструкције ТС 110/X kV на крају експлоатационог века у циљу повећања безбедности рада и сигурности напајања и повећања ефикасности дистрибуције електричне енергије на напонском нивоу 110 kV.</w:t>
            </w:r>
          </w:p>
        </w:tc>
        <w:tc>
          <w:tcPr>
            <w:tcW w:w="425" w:type="dxa"/>
            <w:vAlign w:val="center"/>
          </w:tcPr>
          <w:p w14:paraId="67A0EDEE"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42</w:t>
            </w:r>
          </w:p>
        </w:tc>
        <w:tc>
          <w:tcPr>
            <w:tcW w:w="8363" w:type="dxa"/>
            <w:vAlign w:val="center"/>
          </w:tcPr>
          <w:p w14:paraId="4543B853" w14:textId="77777777" w:rsidR="00572939" w:rsidRPr="00CF77C1" w:rsidRDefault="00572939" w:rsidP="003E39B4">
            <w:pPr>
              <w:pStyle w:val="ListParagraph"/>
              <w:numPr>
                <w:ilvl w:val="0"/>
                <w:numId w:val="85"/>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520317B0" w14:textId="77777777" w:rsidR="00572939" w:rsidRPr="00CF77C1" w:rsidRDefault="00572939" w:rsidP="003E39B4">
            <w:pPr>
              <w:pStyle w:val="ListParagraph"/>
              <w:numPr>
                <w:ilvl w:val="0"/>
                <w:numId w:val="8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5BB0A0C4" w14:textId="775C9E3F" w:rsidR="00572939" w:rsidRPr="00CF77C1" w:rsidRDefault="00572939" w:rsidP="00C703F7">
            <w:pPr>
              <w:autoSpaceDE w:val="0"/>
              <w:autoSpaceDN w:val="0"/>
              <w:adjustRightInd w:val="0"/>
              <w:spacing w:before="20" w:after="20"/>
              <w:jc w:val="left"/>
              <w:rPr>
                <w:color w:val="000000"/>
                <w:sz w:val="20"/>
                <w:lang w:val="sr-Cyrl-RS"/>
              </w:rPr>
            </w:pPr>
            <w:r w:rsidRPr="00CF77C1">
              <w:rPr>
                <w:color w:val="000000"/>
                <w:sz w:val="20"/>
                <w:lang w:val="sr-Cyrl-RS"/>
              </w:rPr>
              <w:t>Пројекат обухвата реконструкцију 34 ТС 110/X kV, које су на крају експлоатационог века, укупне инсталисане снаге у планском периоду 2.638 MVA, а која укључује замену дотрајале опреме и прилагођавање капацитета ТС постојећим и перспективним условима у дистрибутивној мрежи. Реч је углавном о објектима који су старији од 40 година чији је положај у мрежи значајно измењен у односу на тренутак њиховог уласка у погон.</w:t>
            </w:r>
          </w:p>
          <w:p w14:paraId="22145346" w14:textId="77777777" w:rsidR="00572939" w:rsidRPr="00CF77C1" w:rsidRDefault="00572939" w:rsidP="003E39B4">
            <w:pPr>
              <w:pStyle w:val="ListParagraph"/>
              <w:numPr>
                <w:ilvl w:val="0"/>
                <w:numId w:val="8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00CB76A1" w14:textId="6C35FFC8" w:rsidR="00572939" w:rsidRPr="00CF77C1" w:rsidRDefault="00572939" w:rsidP="00C703F7">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w:t>
            </w:r>
          </w:p>
          <w:p w14:paraId="1892BBEF" w14:textId="77777777" w:rsidR="00572939" w:rsidRPr="00CF77C1" w:rsidRDefault="00572939" w:rsidP="003E39B4">
            <w:pPr>
              <w:pStyle w:val="ListParagraph"/>
              <w:numPr>
                <w:ilvl w:val="0"/>
                <w:numId w:val="8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50407134" w14:textId="5DB6FAF5" w:rsidR="00572939" w:rsidRPr="00CF77C1" w:rsidRDefault="00572939" w:rsidP="00C703F7">
            <w:pPr>
              <w:autoSpaceDE w:val="0"/>
              <w:autoSpaceDN w:val="0"/>
              <w:adjustRightInd w:val="0"/>
              <w:spacing w:before="20" w:after="20"/>
              <w:jc w:val="left"/>
              <w:rPr>
                <w:color w:val="000000"/>
                <w:sz w:val="20"/>
                <w:lang w:val="sr-Cyrl-RS"/>
              </w:rPr>
            </w:pPr>
            <w:r w:rsidRPr="00CF77C1">
              <w:rPr>
                <w:color w:val="000000"/>
                <w:sz w:val="20"/>
                <w:lang w:val="sr-Cyrl-RS"/>
              </w:rPr>
              <w:t>Пројекат се реализује фазно, при чему је припремљена документација за реализацију првих фаза. Преостала техничка документација ће се припремати током имплементације првих фаза, да би се у њену припрему уградила искуства стечена у имплементацији.</w:t>
            </w:r>
          </w:p>
          <w:p w14:paraId="5343B1C4" w14:textId="77777777" w:rsidR="00572939" w:rsidRPr="00CF77C1" w:rsidRDefault="00572939" w:rsidP="003E39B4">
            <w:pPr>
              <w:pStyle w:val="ListParagraph"/>
              <w:numPr>
                <w:ilvl w:val="0"/>
                <w:numId w:val="85"/>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569D216F" w14:textId="1F011A4A"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За прву фазу (пет ТС) обезбеђени су извори финансирања - кредит Светске банке, а за остале нису.</w:t>
            </w:r>
          </w:p>
        </w:tc>
        <w:tc>
          <w:tcPr>
            <w:tcW w:w="1418" w:type="dxa"/>
            <w:vAlign w:val="center"/>
          </w:tcPr>
          <w:p w14:paraId="2D2901F8" w14:textId="021BB155" w:rsidR="00572939" w:rsidRPr="00CF77C1" w:rsidRDefault="00572939" w:rsidP="003C278C">
            <w:pPr>
              <w:jc w:val="center"/>
              <w:rPr>
                <w:sz w:val="20"/>
                <w:lang w:val="sr-Cyrl-RS"/>
              </w:rPr>
            </w:pPr>
            <w:r w:rsidRPr="00CF77C1">
              <w:rPr>
                <w:sz w:val="20"/>
                <w:lang w:val="sr-Cyrl-RS"/>
              </w:rPr>
              <w:t>80,4 милиона €</w:t>
            </w:r>
          </w:p>
        </w:tc>
        <w:tc>
          <w:tcPr>
            <w:tcW w:w="1276" w:type="dxa"/>
            <w:vAlign w:val="center"/>
          </w:tcPr>
          <w:p w14:paraId="78745BC7" w14:textId="4521B615" w:rsidR="00572939" w:rsidRPr="00CF77C1" w:rsidRDefault="00572939" w:rsidP="003C278C">
            <w:pPr>
              <w:jc w:val="center"/>
              <w:rPr>
                <w:sz w:val="20"/>
                <w:lang w:val="sr-Cyrl-RS"/>
              </w:rPr>
            </w:pPr>
            <w:r w:rsidRPr="00CF77C1">
              <w:rPr>
                <w:sz w:val="20"/>
                <w:lang w:val="sr-Cyrl-RS"/>
              </w:rPr>
              <w:t>2017-2023.</w:t>
            </w:r>
          </w:p>
        </w:tc>
      </w:tr>
      <w:tr w:rsidR="00572939" w:rsidRPr="00CF77C1" w14:paraId="378D76A7" w14:textId="22F1E159" w:rsidTr="00FF1371">
        <w:trPr>
          <w:cantSplit/>
          <w:trHeight w:val="610"/>
        </w:trPr>
        <w:tc>
          <w:tcPr>
            <w:tcW w:w="456" w:type="dxa"/>
            <w:vAlign w:val="center"/>
          </w:tcPr>
          <w:p w14:paraId="606F8E77" w14:textId="61EC1DE7"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17</w:t>
            </w:r>
          </w:p>
        </w:tc>
        <w:tc>
          <w:tcPr>
            <w:tcW w:w="708" w:type="dxa"/>
            <w:vAlign w:val="center"/>
          </w:tcPr>
          <w:p w14:paraId="7B1781F2" w14:textId="57944545" w:rsidR="00572939" w:rsidRPr="00CF77C1" w:rsidRDefault="004E3B6F" w:rsidP="001D0517">
            <w:pPr>
              <w:autoSpaceDE w:val="0"/>
              <w:autoSpaceDN w:val="0"/>
              <w:adjustRightInd w:val="0"/>
              <w:spacing w:before="20" w:after="20"/>
              <w:jc w:val="center"/>
              <w:rPr>
                <w:color w:val="000000"/>
                <w:sz w:val="20"/>
                <w:lang w:val="sr-Cyrl-RS"/>
              </w:rPr>
            </w:pPr>
            <w:r>
              <w:rPr>
                <w:sz w:val="20"/>
                <w:lang w:val="sr-Cyrl-RS"/>
              </w:rPr>
              <w:t>П.23</w:t>
            </w:r>
          </w:p>
        </w:tc>
        <w:tc>
          <w:tcPr>
            <w:tcW w:w="1985" w:type="dxa"/>
            <w:vAlign w:val="center"/>
          </w:tcPr>
          <w:p w14:paraId="4FE12649"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Пројекaт гасне интерконекције Србија - Румунија, гасовод Мокрин - Арад (граница са Румунијом)</w:t>
            </w:r>
          </w:p>
        </w:tc>
        <w:tc>
          <w:tcPr>
            <w:tcW w:w="425" w:type="dxa"/>
            <w:vAlign w:val="center"/>
          </w:tcPr>
          <w:p w14:paraId="0B86A4A6"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42</w:t>
            </w:r>
          </w:p>
        </w:tc>
        <w:tc>
          <w:tcPr>
            <w:tcW w:w="8363" w:type="dxa"/>
            <w:vAlign w:val="center"/>
          </w:tcPr>
          <w:p w14:paraId="2FEE3A5F" w14:textId="0724E127" w:rsidR="00572939" w:rsidRPr="00CF77C1" w:rsidRDefault="00572939" w:rsidP="003E39B4">
            <w:pPr>
              <w:pStyle w:val="ListParagraph"/>
              <w:numPr>
                <w:ilvl w:val="0"/>
                <w:numId w:val="86"/>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r>
            <w:r w:rsidR="00205D28" w:rsidRPr="00CF77C1">
              <w:rPr>
                <w:color w:val="000000"/>
                <w:sz w:val="20"/>
                <w:szCs w:val="20"/>
                <w:lang w:val="sr-Cyrl-RS"/>
              </w:rPr>
              <w:t>Транспортгас Србија д.о.о</w:t>
            </w:r>
            <w:r w:rsidR="00205D28" w:rsidRPr="00CF77C1">
              <w:rPr>
                <w:lang w:val="sr-Cyrl-RS"/>
              </w:rPr>
              <w:t>.</w:t>
            </w:r>
          </w:p>
          <w:p w14:paraId="614228A6" w14:textId="77777777" w:rsidR="00572939" w:rsidRPr="00CF77C1" w:rsidRDefault="00572939" w:rsidP="003E39B4">
            <w:pPr>
              <w:pStyle w:val="ListParagraph"/>
              <w:numPr>
                <w:ilvl w:val="0"/>
                <w:numId w:val="8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421E615A" w14:textId="5B79EB3F" w:rsidR="00572939" w:rsidRPr="00CF77C1" w:rsidRDefault="00572939" w:rsidP="00B30718">
            <w:pPr>
              <w:autoSpaceDE w:val="0"/>
              <w:autoSpaceDN w:val="0"/>
              <w:adjustRightInd w:val="0"/>
              <w:spacing w:before="20" w:after="20"/>
              <w:jc w:val="left"/>
              <w:rPr>
                <w:color w:val="000000"/>
                <w:sz w:val="20"/>
                <w:lang w:val="sr-Cyrl-RS"/>
              </w:rPr>
            </w:pPr>
            <w:r w:rsidRPr="00CF77C1">
              <w:rPr>
                <w:color w:val="000000"/>
                <w:sz w:val="20"/>
                <w:lang w:val="sr-Cyrl-RS"/>
              </w:rPr>
              <w:t>Магистрални гасовод Мокрин - Арад представља инфраструктурну основу за успостављање гасне интерконекције са Румунијом. Примарни технички елементи гасовода су цевовод (једноцевни гасовод дужине 6 km, пречника DN 600, техничког капацитета 1,6 милијарди m</w:t>
            </w:r>
            <w:r w:rsidRPr="00CF77C1">
              <w:rPr>
                <w:color w:val="000000"/>
                <w:sz w:val="20"/>
                <w:vertAlign w:val="superscript"/>
                <w:lang w:val="sr-Cyrl-RS"/>
              </w:rPr>
              <w:t>3</w:t>
            </w:r>
            <w:r w:rsidRPr="00CF77C1">
              <w:rPr>
                <w:color w:val="000000"/>
                <w:sz w:val="20"/>
                <w:lang w:val="sr-Cyrl-RS"/>
              </w:rPr>
              <w:t>/годишње, максимални радни притисак 50 bar), објекти који су саставни део гасовода и пратећа инфраструктура.</w:t>
            </w:r>
          </w:p>
          <w:p w14:paraId="2289914A" w14:textId="77777777" w:rsidR="00572939" w:rsidRPr="00CF77C1" w:rsidRDefault="00572939" w:rsidP="003E39B4">
            <w:pPr>
              <w:pStyle w:val="ListParagraph"/>
              <w:numPr>
                <w:ilvl w:val="0"/>
                <w:numId w:val="8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12978453" w14:textId="025CC7CD" w:rsidR="00572939" w:rsidRPr="00CF77C1" w:rsidRDefault="00572939" w:rsidP="00B30718">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повећању сигурности снабдевања гасом и развоју тржишта гаса.</w:t>
            </w:r>
          </w:p>
          <w:p w14:paraId="59BC1FB8" w14:textId="77777777" w:rsidR="00572939" w:rsidRPr="00CF77C1" w:rsidRDefault="00572939" w:rsidP="003E39B4">
            <w:pPr>
              <w:pStyle w:val="ListParagraph"/>
              <w:numPr>
                <w:ilvl w:val="0"/>
                <w:numId w:val="8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2119BF32" w14:textId="77777777" w:rsidR="00572939" w:rsidRPr="00CF77C1" w:rsidRDefault="00572939" w:rsidP="00B30718">
            <w:pPr>
              <w:autoSpaceDE w:val="0"/>
              <w:autoSpaceDN w:val="0"/>
              <w:adjustRightInd w:val="0"/>
              <w:spacing w:before="20" w:after="20"/>
              <w:jc w:val="left"/>
              <w:rPr>
                <w:color w:val="000000"/>
                <w:sz w:val="20"/>
                <w:lang w:val="sr-Cyrl-RS"/>
              </w:rPr>
            </w:pPr>
            <w:r w:rsidRPr="00CF77C1">
              <w:rPr>
                <w:color w:val="000000"/>
                <w:sz w:val="20"/>
                <w:lang w:val="sr-Cyrl-RS"/>
              </w:rPr>
              <w:t>Планска и техничка документација за реализацију није у потпуности припремљена.</w:t>
            </w:r>
          </w:p>
          <w:p w14:paraId="73C8A379" w14:textId="77777777" w:rsidR="00572939" w:rsidRPr="00CF77C1" w:rsidRDefault="00572939" w:rsidP="003E39B4">
            <w:pPr>
              <w:pStyle w:val="ListParagraph"/>
              <w:numPr>
                <w:ilvl w:val="0"/>
                <w:numId w:val="86"/>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5EBDEF2D" w14:textId="094E94EE"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нису обезбеђени.</w:t>
            </w:r>
          </w:p>
        </w:tc>
        <w:tc>
          <w:tcPr>
            <w:tcW w:w="1418" w:type="dxa"/>
            <w:vAlign w:val="center"/>
          </w:tcPr>
          <w:p w14:paraId="61D0CD19" w14:textId="56789F92" w:rsidR="00572939" w:rsidRPr="00CF77C1" w:rsidRDefault="00572939" w:rsidP="003C278C">
            <w:pPr>
              <w:jc w:val="center"/>
              <w:rPr>
                <w:sz w:val="20"/>
                <w:lang w:val="sr-Cyrl-RS"/>
              </w:rPr>
            </w:pPr>
            <w:r w:rsidRPr="00CF77C1">
              <w:rPr>
                <w:sz w:val="20"/>
                <w:lang w:val="sr-Cyrl-RS"/>
              </w:rPr>
              <w:t>6 милиона €</w:t>
            </w:r>
          </w:p>
        </w:tc>
        <w:tc>
          <w:tcPr>
            <w:tcW w:w="1276" w:type="dxa"/>
            <w:vAlign w:val="center"/>
          </w:tcPr>
          <w:p w14:paraId="345ED725" w14:textId="04EFC932" w:rsidR="00572939" w:rsidRPr="00CF77C1" w:rsidRDefault="00572939" w:rsidP="003C278C">
            <w:pPr>
              <w:jc w:val="center"/>
              <w:rPr>
                <w:sz w:val="20"/>
                <w:lang w:val="sr-Cyrl-RS"/>
              </w:rPr>
            </w:pPr>
            <w:r w:rsidRPr="00CF77C1">
              <w:rPr>
                <w:sz w:val="20"/>
                <w:lang w:val="sr-Cyrl-RS"/>
              </w:rPr>
              <w:t>2022-2023.</w:t>
            </w:r>
          </w:p>
        </w:tc>
      </w:tr>
      <w:tr w:rsidR="00572939" w:rsidRPr="00CF77C1" w14:paraId="7F105790" w14:textId="357068AE" w:rsidTr="00FF1371">
        <w:trPr>
          <w:cantSplit/>
          <w:trHeight w:val="305"/>
        </w:trPr>
        <w:tc>
          <w:tcPr>
            <w:tcW w:w="456" w:type="dxa"/>
            <w:vAlign w:val="center"/>
          </w:tcPr>
          <w:p w14:paraId="0BDD2FB6" w14:textId="5EAFBAB5" w:rsidR="00572939" w:rsidRPr="00CF77C1" w:rsidRDefault="00572939" w:rsidP="00A0631B">
            <w:pPr>
              <w:autoSpaceDE w:val="0"/>
              <w:autoSpaceDN w:val="0"/>
              <w:adjustRightInd w:val="0"/>
              <w:spacing w:before="20" w:after="20"/>
              <w:jc w:val="center"/>
              <w:rPr>
                <w:sz w:val="20"/>
                <w:lang w:val="sr-Cyrl-RS"/>
              </w:rPr>
            </w:pPr>
            <w:r w:rsidRPr="00CF77C1">
              <w:rPr>
                <w:sz w:val="20"/>
                <w:lang w:val="sr-Cyrl-RS"/>
              </w:rPr>
              <w:t>18</w:t>
            </w:r>
          </w:p>
        </w:tc>
        <w:tc>
          <w:tcPr>
            <w:tcW w:w="708" w:type="dxa"/>
            <w:vAlign w:val="center"/>
          </w:tcPr>
          <w:p w14:paraId="490DAE52" w14:textId="637C1495" w:rsidR="00572939" w:rsidRPr="00CF77C1" w:rsidRDefault="004E3B6F" w:rsidP="001D0517">
            <w:pPr>
              <w:autoSpaceDE w:val="0"/>
              <w:autoSpaceDN w:val="0"/>
              <w:adjustRightInd w:val="0"/>
              <w:spacing w:before="20" w:after="20"/>
              <w:jc w:val="center"/>
              <w:rPr>
                <w:color w:val="000000"/>
                <w:sz w:val="20"/>
                <w:lang w:val="sr-Cyrl-RS"/>
              </w:rPr>
            </w:pPr>
            <w:r>
              <w:rPr>
                <w:sz w:val="20"/>
                <w:lang w:val="sr-Cyrl-RS"/>
              </w:rPr>
              <w:t>П.25</w:t>
            </w:r>
          </w:p>
        </w:tc>
        <w:tc>
          <w:tcPr>
            <w:tcW w:w="1985" w:type="dxa"/>
            <w:vAlign w:val="center"/>
          </w:tcPr>
          <w:p w14:paraId="2CE56ED6"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Изградња магистралних, разводних и дистрибутивних гасовода</w:t>
            </w:r>
          </w:p>
        </w:tc>
        <w:tc>
          <w:tcPr>
            <w:tcW w:w="425" w:type="dxa"/>
            <w:vAlign w:val="center"/>
          </w:tcPr>
          <w:p w14:paraId="78D9C28F"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42</w:t>
            </w:r>
          </w:p>
        </w:tc>
        <w:tc>
          <w:tcPr>
            <w:tcW w:w="8363" w:type="dxa"/>
            <w:vAlign w:val="center"/>
          </w:tcPr>
          <w:p w14:paraId="54B0D36D" w14:textId="74B04FD3" w:rsidR="00572939" w:rsidRPr="00CF77C1" w:rsidRDefault="00572939" w:rsidP="003E39B4">
            <w:pPr>
              <w:pStyle w:val="ListParagraph"/>
              <w:numPr>
                <w:ilvl w:val="0"/>
                <w:numId w:val="87"/>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субјекти:</w:t>
            </w:r>
            <w:r w:rsidRPr="00CF77C1">
              <w:rPr>
                <w:color w:val="000000"/>
                <w:sz w:val="20"/>
                <w:szCs w:val="20"/>
                <w:lang w:val="sr-Cyrl-RS"/>
              </w:rPr>
              <w:tab/>
            </w:r>
            <w:r w:rsidR="00361DD1" w:rsidRPr="00CF77C1">
              <w:rPr>
                <w:color w:val="000000"/>
                <w:sz w:val="20"/>
                <w:szCs w:val="20"/>
                <w:lang w:val="sr-Cyrl-RS"/>
              </w:rPr>
              <w:t>оператори транспортног система</w:t>
            </w:r>
            <w:r w:rsidRPr="00CF77C1">
              <w:rPr>
                <w:color w:val="000000"/>
                <w:sz w:val="20"/>
                <w:szCs w:val="20"/>
                <w:lang w:val="sr-Cyrl-RS"/>
              </w:rPr>
              <w:t>,</w:t>
            </w:r>
            <w:r w:rsidRPr="00CF77C1">
              <w:rPr>
                <w:color w:val="000000"/>
                <w:sz w:val="20"/>
                <w:szCs w:val="20"/>
                <w:lang w:val="sr-Cyrl-RS"/>
              </w:rPr>
              <w:br/>
            </w:r>
            <w:r w:rsidRPr="00CF77C1">
              <w:rPr>
                <w:color w:val="000000"/>
                <w:sz w:val="20"/>
                <w:szCs w:val="20"/>
                <w:lang w:val="sr-Cyrl-RS"/>
              </w:rPr>
              <w:tab/>
            </w:r>
            <w:r w:rsidR="00361DD1" w:rsidRPr="00CF77C1">
              <w:rPr>
                <w:color w:val="000000"/>
                <w:sz w:val="20"/>
                <w:szCs w:val="20"/>
                <w:lang w:val="sr-Cyrl-RS"/>
              </w:rPr>
              <w:t>о</w:t>
            </w:r>
            <w:r w:rsidRPr="00CF77C1">
              <w:rPr>
                <w:color w:val="000000"/>
                <w:sz w:val="20"/>
                <w:szCs w:val="20"/>
                <w:lang w:val="sr-Cyrl-RS"/>
              </w:rPr>
              <w:t>ператори дистрибутивних система</w:t>
            </w:r>
          </w:p>
          <w:p w14:paraId="1EABDA09" w14:textId="77777777" w:rsidR="00572939" w:rsidRPr="00CF77C1" w:rsidRDefault="00572939" w:rsidP="003E39B4">
            <w:pPr>
              <w:pStyle w:val="ListParagraph"/>
              <w:numPr>
                <w:ilvl w:val="0"/>
                <w:numId w:val="8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41D85227" w14:textId="1A6F4A71" w:rsidR="00572939" w:rsidRPr="00CF77C1" w:rsidRDefault="00572939" w:rsidP="008E01E8">
            <w:pPr>
              <w:autoSpaceDE w:val="0"/>
              <w:autoSpaceDN w:val="0"/>
              <w:adjustRightInd w:val="0"/>
              <w:spacing w:before="20" w:after="20"/>
              <w:jc w:val="left"/>
              <w:rPr>
                <w:color w:val="000000"/>
                <w:sz w:val="20"/>
                <w:lang w:val="sr-Cyrl-RS"/>
              </w:rPr>
            </w:pPr>
            <w:r w:rsidRPr="00CF77C1">
              <w:rPr>
                <w:color w:val="000000"/>
                <w:sz w:val="20"/>
                <w:lang w:val="sr-Cyrl-RS"/>
              </w:rPr>
              <w:t>У оквиру пројекта планирана је изградња два магистрална гасовода (</w:t>
            </w:r>
            <w:r w:rsidRPr="00CF77C1">
              <w:rPr>
                <w:sz w:val="20"/>
                <w:lang w:val="sr-Cyrl-RS"/>
              </w:rPr>
              <w:t>Лесковац - Владичин Хан - Врање, дужине 70,7 километара и Итебеј - Београд југ, дужине око 130 km) и једног разводног гасовода (Александровац - Тутин, дужине oко 121 km)) као и дистрибутивних гасовода у зависности од развоја тржишта гаса.</w:t>
            </w:r>
          </w:p>
          <w:p w14:paraId="22D47591" w14:textId="77777777" w:rsidR="00572939" w:rsidRPr="00CF77C1" w:rsidRDefault="00572939" w:rsidP="003E39B4">
            <w:pPr>
              <w:pStyle w:val="ListParagraph"/>
              <w:numPr>
                <w:ilvl w:val="0"/>
                <w:numId w:val="8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4BAEF585" w14:textId="77777777" w:rsidR="00572939" w:rsidRPr="00CF77C1" w:rsidRDefault="00572939" w:rsidP="008E01E8">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повећању сигурности снабдевања гасом и развоју тржишта гаса.</w:t>
            </w:r>
          </w:p>
          <w:p w14:paraId="120DD1DA" w14:textId="77777777" w:rsidR="00572939" w:rsidRPr="00CF77C1" w:rsidRDefault="00572939" w:rsidP="003E39B4">
            <w:pPr>
              <w:pStyle w:val="ListParagraph"/>
              <w:numPr>
                <w:ilvl w:val="0"/>
                <w:numId w:val="8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37384634" w14:textId="1B226194" w:rsidR="00572939" w:rsidRPr="00CF77C1" w:rsidRDefault="00572939" w:rsidP="008E01E8">
            <w:pPr>
              <w:autoSpaceDE w:val="0"/>
              <w:autoSpaceDN w:val="0"/>
              <w:adjustRightInd w:val="0"/>
              <w:spacing w:before="20" w:after="20"/>
              <w:jc w:val="left"/>
              <w:rPr>
                <w:color w:val="000000"/>
                <w:sz w:val="20"/>
                <w:lang w:val="sr-Cyrl-RS"/>
              </w:rPr>
            </w:pPr>
            <w:r w:rsidRPr="00CF77C1">
              <w:rPr>
                <w:color w:val="000000"/>
                <w:sz w:val="20"/>
                <w:lang w:val="sr-Cyrl-RS"/>
              </w:rPr>
              <w:t>Планска и техничка д</w:t>
            </w:r>
            <w:r w:rsidR="00767AB7" w:rsidRPr="00CF77C1">
              <w:rPr>
                <w:color w:val="000000"/>
                <w:sz w:val="20"/>
                <w:lang w:val="sr-Cyrl-RS"/>
              </w:rPr>
              <w:t>окументација з</w:t>
            </w:r>
            <w:r w:rsidRPr="00CF77C1">
              <w:rPr>
                <w:color w:val="000000"/>
                <w:sz w:val="20"/>
                <w:lang w:val="sr-Cyrl-RS"/>
              </w:rPr>
              <w:t>а реализацију није у потпуности припремљена.</w:t>
            </w:r>
          </w:p>
          <w:p w14:paraId="04EA009A" w14:textId="77777777" w:rsidR="00572939" w:rsidRPr="00CF77C1" w:rsidRDefault="00572939" w:rsidP="003E39B4">
            <w:pPr>
              <w:pStyle w:val="ListParagraph"/>
              <w:numPr>
                <w:ilvl w:val="0"/>
                <w:numId w:val="87"/>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75BD6D20" w14:textId="1CCC3124"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нису обезбеђени.</w:t>
            </w:r>
          </w:p>
        </w:tc>
        <w:tc>
          <w:tcPr>
            <w:tcW w:w="1418" w:type="dxa"/>
            <w:vAlign w:val="center"/>
          </w:tcPr>
          <w:p w14:paraId="52A627A4" w14:textId="1FE81C59" w:rsidR="00572939" w:rsidRPr="00CF77C1" w:rsidRDefault="00572939" w:rsidP="003C278C">
            <w:pPr>
              <w:jc w:val="center"/>
              <w:rPr>
                <w:sz w:val="20"/>
                <w:lang w:val="sr-Cyrl-RS"/>
              </w:rPr>
            </w:pPr>
            <w:r w:rsidRPr="00CF77C1">
              <w:rPr>
                <w:sz w:val="20"/>
                <w:lang w:val="sr-Cyrl-RS"/>
              </w:rPr>
              <w:t>378 милиона €</w:t>
            </w:r>
          </w:p>
        </w:tc>
        <w:tc>
          <w:tcPr>
            <w:tcW w:w="1276" w:type="dxa"/>
            <w:vAlign w:val="center"/>
          </w:tcPr>
          <w:p w14:paraId="346CA491" w14:textId="647D9EB5" w:rsidR="00572939" w:rsidRPr="00CF77C1" w:rsidRDefault="00572939" w:rsidP="003C278C">
            <w:pPr>
              <w:jc w:val="center"/>
              <w:rPr>
                <w:sz w:val="20"/>
                <w:lang w:val="sr-Cyrl-RS"/>
              </w:rPr>
            </w:pPr>
            <w:r w:rsidRPr="00CF77C1">
              <w:rPr>
                <w:sz w:val="20"/>
                <w:lang w:val="sr-Cyrl-RS"/>
              </w:rPr>
              <w:t>2017-2023.</w:t>
            </w:r>
          </w:p>
        </w:tc>
      </w:tr>
      <w:tr w:rsidR="00572939" w:rsidRPr="00CF77C1" w14:paraId="64F77F6B" w14:textId="77777777" w:rsidTr="00373085">
        <w:trPr>
          <w:cantSplit/>
          <w:trHeight w:val="610"/>
        </w:trPr>
        <w:tc>
          <w:tcPr>
            <w:tcW w:w="456" w:type="dxa"/>
            <w:vAlign w:val="center"/>
          </w:tcPr>
          <w:p w14:paraId="0FFE399F" w14:textId="42C1AE31" w:rsidR="00572939" w:rsidRPr="00CF77C1" w:rsidRDefault="00572939" w:rsidP="00373085">
            <w:pPr>
              <w:autoSpaceDE w:val="0"/>
              <w:autoSpaceDN w:val="0"/>
              <w:adjustRightInd w:val="0"/>
              <w:spacing w:before="20" w:after="20"/>
              <w:jc w:val="center"/>
              <w:rPr>
                <w:sz w:val="20"/>
                <w:lang w:val="sr-Cyrl-RS"/>
              </w:rPr>
            </w:pPr>
            <w:r w:rsidRPr="00CF77C1">
              <w:rPr>
                <w:sz w:val="20"/>
                <w:lang w:val="sr-Cyrl-RS"/>
              </w:rPr>
              <w:t>19</w:t>
            </w:r>
          </w:p>
        </w:tc>
        <w:tc>
          <w:tcPr>
            <w:tcW w:w="708" w:type="dxa"/>
            <w:vAlign w:val="center"/>
          </w:tcPr>
          <w:p w14:paraId="26F5332C" w14:textId="2FBCBB01" w:rsidR="00572939" w:rsidRPr="00CF77C1" w:rsidRDefault="004E3B6F" w:rsidP="00373085">
            <w:pPr>
              <w:autoSpaceDE w:val="0"/>
              <w:autoSpaceDN w:val="0"/>
              <w:adjustRightInd w:val="0"/>
              <w:spacing w:before="20" w:after="20"/>
              <w:jc w:val="center"/>
              <w:rPr>
                <w:color w:val="000000"/>
                <w:sz w:val="20"/>
                <w:lang w:val="sr-Cyrl-RS"/>
              </w:rPr>
            </w:pPr>
            <w:r>
              <w:rPr>
                <w:sz w:val="20"/>
                <w:lang w:val="sr-Cyrl-RS"/>
              </w:rPr>
              <w:t>П.28</w:t>
            </w:r>
          </w:p>
        </w:tc>
        <w:tc>
          <w:tcPr>
            <w:tcW w:w="1985" w:type="dxa"/>
            <w:vAlign w:val="center"/>
          </w:tcPr>
          <w:p w14:paraId="27B8F17B" w14:textId="77777777"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Оптимизација и концентрација производње угља из подземне експлоатације</w:t>
            </w:r>
          </w:p>
        </w:tc>
        <w:tc>
          <w:tcPr>
            <w:tcW w:w="425" w:type="dxa"/>
            <w:vAlign w:val="center"/>
          </w:tcPr>
          <w:p w14:paraId="7D14D4FF" w14:textId="7E7026FA" w:rsidR="00572939" w:rsidRPr="00CF77C1" w:rsidRDefault="00572939" w:rsidP="00373085">
            <w:pPr>
              <w:autoSpaceDE w:val="0"/>
              <w:autoSpaceDN w:val="0"/>
              <w:adjustRightInd w:val="0"/>
              <w:spacing w:before="20" w:after="20"/>
              <w:jc w:val="center"/>
              <w:rPr>
                <w:color w:val="000000"/>
                <w:sz w:val="20"/>
                <w:lang w:val="sr-Cyrl-RS"/>
              </w:rPr>
            </w:pPr>
            <w:r w:rsidRPr="00CF77C1">
              <w:rPr>
                <w:color w:val="000000"/>
                <w:sz w:val="20"/>
                <w:lang w:val="sr-Cyrl-RS"/>
              </w:rPr>
              <w:t>41</w:t>
            </w:r>
          </w:p>
        </w:tc>
        <w:tc>
          <w:tcPr>
            <w:tcW w:w="8363" w:type="dxa"/>
            <w:vAlign w:val="center"/>
          </w:tcPr>
          <w:p w14:paraId="233C2842" w14:textId="278CE55C" w:rsidR="00572939" w:rsidRPr="00CF77C1" w:rsidRDefault="00572939" w:rsidP="003E39B4">
            <w:pPr>
              <w:pStyle w:val="ListParagraph"/>
              <w:numPr>
                <w:ilvl w:val="0"/>
                <w:numId w:val="80"/>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r>
            <w:r w:rsidRPr="00CF77C1">
              <w:rPr>
                <w:color w:val="000000"/>
                <w:sz w:val="20"/>
                <w:lang w:val="sr-Cyrl-RS"/>
              </w:rPr>
              <w:t>ЈП за подземну експлоатацију угља Ресавица</w:t>
            </w:r>
          </w:p>
          <w:p w14:paraId="55E13BED" w14:textId="77777777" w:rsidR="00572939" w:rsidRPr="00CF77C1" w:rsidRDefault="00572939" w:rsidP="003E39B4">
            <w:pPr>
              <w:pStyle w:val="ListParagraph"/>
              <w:numPr>
                <w:ilvl w:val="0"/>
                <w:numId w:val="8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3CC4C5AB" w14:textId="3AB0608E"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За Јавно предузеће за подземну експлоатацију угља Ресавица тренутно је у изради Програм реорганизације чија ће реализација започети одмах након усаглашавања и усвајања од стран</w:t>
            </w:r>
            <w:r w:rsidR="00C70DE1" w:rsidRPr="00CF77C1">
              <w:rPr>
                <w:color w:val="000000"/>
                <w:sz w:val="20"/>
                <w:lang w:val="sr-Cyrl-RS"/>
              </w:rPr>
              <w:t>е Владе Републике Србије. Овим п</w:t>
            </w:r>
            <w:r w:rsidRPr="00CF77C1">
              <w:rPr>
                <w:color w:val="000000"/>
                <w:sz w:val="20"/>
                <w:lang w:val="sr-Cyrl-RS"/>
              </w:rPr>
              <w:t>рограмом ће се ближе дефинисати који ће рудници ићи у затварање због резерви које су највећим делом на крају експлоатације и због економских показатеља који не показују тенда раста прихода. Такође ће се дефинисати и рудници који имају сировински потенцијал као и могућност да уз инвестиције остваре тренд раста прихода.</w:t>
            </w:r>
          </w:p>
          <w:p w14:paraId="63E01167" w14:textId="77777777" w:rsidR="00572939" w:rsidRPr="00CF77C1" w:rsidRDefault="00572939" w:rsidP="003E39B4">
            <w:pPr>
              <w:pStyle w:val="ListParagraph"/>
              <w:numPr>
                <w:ilvl w:val="0"/>
                <w:numId w:val="8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260885EB" w14:textId="6D180507"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угљем и електричном енергијом и транзицији ка одрживој енергетици.</w:t>
            </w:r>
          </w:p>
          <w:p w14:paraId="3006589F" w14:textId="77777777" w:rsidR="00572939" w:rsidRPr="00CF77C1" w:rsidRDefault="00572939" w:rsidP="003E39B4">
            <w:pPr>
              <w:pStyle w:val="ListParagraph"/>
              <w:numPr>
                <w:ilvl w:val="0"/>
                <w:numId w:val="8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7E8293D7" w14:textId="69E9F381" w:rsidR="00572939" w:rsidRPr="00CF77C1" w:rsidRDefault="00572939" w:rsidP="00373085">
            <w:pPr>
              <w:autoSpaceDE w:val="0"/>
              <w:autoSpaceDN w:val="0"/>
              <w:adjustRightInd w:val="0"/>
              <w:spacing w:before="20" w:after="20"/>
              <w:jc w:val="left"/>
              <w:rPr>
                <w:color w:val="000000"/>
                <w:sz w:val="20"/>
                <w:lang w:val="sr-Cyrl-RS"/>
              </w:rPr>
            </w:pPr>
            <w:r w:rsidRPr="00CF77C1">
              <w:rPr>
                <w:color w:val="000000"/>
                <w:sz w:val="20"/>
                <w:lang w:val="sr-Cyrl-RS"/>
              </w:rPr>
              <w:t>Овај пројекат је у почетној фази реализације са јасно дефинисаним терминима реализације појединих активности.</w:t>
            </w:r>
          </w:p>
          <w:p w14:paraId="726E9544" w14:textId="77777777" w:rsidR="00572939" w:rsidRPr="00CF77C1" w:rsidRDefault="00572939" w:rsidP="003E39B4">
            <w:pPr>
              <w:pStyle w:val="ListParagraph"/>
              <w:numPr>
                <w:ilvl w:val="0"/>
                <w:numId w:val="8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54464C8A" w14:textId="5C0BE91B"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Финансирање проје</w:t>
            </w:r>
            <w:r w:rsidR="00623EFC">
              <w:rPr>
                <w:color w:val="000000"/>
                <w:sz w:val="20"/>
                <w:lang w:val="sr-Cyrl-RS"/>
              </w:rPr>
              <w:t>кта је делимично обезбеђено из б</w:t>
            </w:r>
            <w:r w:rsidRPr="00CF77C1">
              <w:rPr>
                <w:color w:val="000000"/>
                <w:sz w:val="20"/>
                <w:lang w:val="sr-Cyrl-RS"/>
              </w:rPr>
              <w:t>уџета Републике Србије, делимично из средстава предузећа, а делимично још није обезбеђено.</w:t>
            </w:r>
          </w:p>
        </w:tc>
        <w:tc>
          <w:tcPr>
            <w:tcW w:w="1418" w:type="dxa"/>
            <w:vAlign w:val="center"/>
          </w:tcPr>
          <w:p w14:paraId="27F32AC1" w14:textId="2F79A042" w:rsidR="00572939" w:rsidRPr="00CF77C1" w:rsidRDefault="00572939" w:rsidP="00373085">
            <w:pPr>
              <w:jc w:val="center"/>
              <w:rPr>
                <w:sz w:val="20"/>
                <w:lang w:val="sr-Cyrl-RS"/>
              </w:rPr>
            </w:pPr>
            <w:r w:rsidRPr="00CF77C1">
              <w:rPr>
                <w:sz w:val="20"/>
                <w:lang w:val="sr-Cyrl-RS"/>
              </w:rPr>
              <w:t>није дефинисана</w:t>
            </w:r>
          </w:p>
        </w:tc>
        <w:tc>
          <w:tcPr>
            <w:tcW w:w="1276" w:type="dxa"/>
            <w:vAlign w:val="center"/>
          </w:tcPr>
          <w:p w14:paraId="36BBFD77" w14:textId="77777777" w:rsidR="00572939" w:rsidRPr="00CF77C1" w:rsidRDefault="00572939" w:rsidP="00373085">
            <w:pPr>
              <w:jc w:val="center"/>
              <w:rPr>
                <w:sz w:val="20"/>
                <w:lang w:val="sr-Cyrl-RS"/>
              </w:rPr>
            </w:pPr>
            <w:r w:rsidRPr="00CF77C1">
              <w:rPr>
                <w:sz w:val="20"/>
                <w:lang w:val="sr-Cyrl-RS"/>
              </w:rPr>
              <w:t>2017-2023.</w:t>
            </w:r>
          </w:p>
        </w:tc>
      </w:tr>
      <w:tr w:rsidR="00572939" w:rsidRPr="00CF77C1" w14:paraId="3691A2CB" w14:textId="46F221D9" w:rsidTr="00FF1371">
        <w:trPr>
          <w:cantSplit/>
          <w:trHeight w:val="305"/>
        </w:trPr>
        <w:tc>
          <w:tcPr>
            <w:tcW w:w="456" w:type="dxa"/>
            <w:vAlign w:val="center"/>
          </w:tcPr>
          <w:p w14:paraId="140A7FC2" w14:textId="29E434C7"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20</w:t>
            </w:r>
          </w:p>
        </w:tc>
        <w:tc>
          <w:tcPr>
            <w:tcW w:w="708" w:type="dxa"/>
            <w:vAlign w:val="center"/>
          </w:tcPr>
          <w:p w14:paraId="30FC21BB" w14:textId="1680163E" w:rsidR="00572939" w:rsidRPr="00CF77C1" w:rsidRDefault="004E3B6F" w:rsidP="001D0517">
            <w:pPr>
              <w:autoSpaceDE w:val="0"/>
              <w:autoSpaceDN w:val="0"/>
              <w:adjustRightInd w:val="0"/>
              <w:spacing w:before="20" w:after="20"/>
              <w:jc w:val="center"/>
              <w:rPr>
                <w:color w:val="000000"/>
                <w:sz w:val="20"/>
                <w:lang w:val="sr-Cyrl-RS"/>
              </w:rPr>
            </w:pPr>
            <w:r>
              <w:rPr>
                <w:sz w:val="20"/>
                <w:lang w:val="sr-Cyrl-RS"/>
              </w:rPr>
              <w:t>П.20</w:t>
            </w:r>
          </w:p>
        </w:tc>
        <w:tc>
          <w:tcPr>
            <w:tcW w:w="1985" w:type="dxa"/>
            <w:vAlign w:val="center"/>
          </w:tcPr>
          <w:p w14:paraId="53A6C47F"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Пројекaт „Формирање обавезних резерви”</w:t>
            </w:r>
          </w:p>
        </w:tc>
        <w:tc>
          <w:tcPr>
            <w:tcW w:w="425" w:type="dxa"/>
            <w:vAlign w:val="center"/>
          </w:tcPr>
          <w:p w14:paraId="3FCD1381"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40</w:t>
            </w:r>
          </w:p>
        </w:tc>
        <w:tc>
          <w:tcPr>
            <w:tcW w:w="8363" w:type="dxa"/>
            <w:vAlign w:val="center"/>
          </w:tcPr>
          <w:p w14:paraId="1DEDEA29" w14:textId="18A8DDE6" w:rsidR="00572939" w:rsidRPr="00CF77C1" w:rsidRDefault="00572939" w:rsidP="003E39B4">
            <w:pPr>
              <w:pStyle w:val="ListParagraph"/>
              <w:numPr>
                <w:ilvl w:val="0"/>
                <w:numId w:val="88"/>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r>
            <w:r w:rsidR="00AC627E" w:rsidRPr="00CF77C1">
              <w:rPr>
                <w:color w:val="000000"/>
                <w:sz w:val="20"/>
                <w:lang w:val="sr-Cyrl-RS"/>
              </w:rPr>
              <w:t>м</w:t>
            </w:r>
            <w:r w:rsidRPr="00CF77C1">
              <w:rPr>
                <w:color w:val="000000"/>
                <w:sz w:val="20"/>
                <w:lang w:val="sr-Cyrl-RS"/>
              </w:rPr>
              <w:t>инистарство надлежно за послове рударства и енергетике</w:t>
            </w:r>
          </w:p>
          <w:p w14:paraId="4B3CE310" w14:textId="77777777" w:rsidR="00572939" w:rsidRPr="00CF77C1" w:rsidRDefault="00572939" w:rsidP="003E39B4">
            <w:pPr>
              <w:pStyle w:val="ListParagraph"/>
              <w:numPr>
                <w:ilvl w:val="0"/>
                <w:numId w:val="8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79DFB12E" w14:textId="7BD872FC" w:rsidR="00572939" w:rsidRPr="00CF77C1" w:rsidRDefault="00572939" w:rsidP="004F4327">
            <w:pPr>
              <w:autoSpaceDE w:val="0"/>
              <w:autoSpaceDN w:val="0"/>
              <w:adjustRightInd w:val="0"/>
              <w:spacing w:before="20" w:after="20"/>
              <w:jc w:val="left"/>
              <w:rPr>
                <w:color w:val="000000"/>
                <w:sz w:val="20"/>
                <w:lang w:val="sr-Cyrl-RS"/>
              </w:rPr>
            </w:pPr>
            <w:r w:rsidRPr="00CF77C1">
              <w:rPr>
                <w:color w:val="000000"/>
                <w:sz w:val="20"/>
                <w:lang w:val="sr-Cyrl-RS"/>
              </w:rPr>
              <w:t>Пројекат је проистекао из потребе да се обавезне резерве нафте и нафтних деривата ф</w:t>
            </w:r>
            <w:r w:rsidR="00FA7F08" w:rsidRPr="00CF77C1">
              <w:rPr>
                <w:color w:val="000000"/>
                <w:sz w:val="20"/>
                <w:lang w:val="sr-Cyrl-RS"/>
              </w:rPr>
              <w:t>ормирају у периоду 2015 - 31.</w:t>
            </w:r>
            <w:r w:rsidR="000E0A72">
              <w:rPr>
                <w:color w:val="000000"/>
                <w:sz w:val="20"/>
                <w:lang w:val="sr-Cyrl-RS"/>
              </w:rPr>
              <w:t xml:space="preserve"> </w:t>
            </w:r>
            <w:r w:rsidR="00FA7F08" w:rsidRPr="00CF77C1">
              <w:rPr>
                <w:color w:val="000000"/>
                <w:sz w:val="20"/>
                <w:lang w:val="sr-Cyrl-RS"/>
              </w:rPr>
              <w:t xml:space="preserve">децембар </w:t>
            </w:r>
            <w:r w:rsidRPr="00CF77C1">
              <w:rPr>
                <w:color w:val="000000"/>
                <w:sz w:val="20"/>
                <w:lang w:val="sr-Cyrl-RS"/>
              </w:rPr>
              <w:t xml:space="preserve">2022. године, почевши од резерви за 9,5 дана у 2015. години у количини до количине од шездесетједнодневне просечне потрошње или у количини која је једнака деведесетодневном нето увозу (зависно од тога која од њих је већа). За сваку годину ће се утврђивати и структура обавезних резерви којом ће бити заступљени они деривати нафте чија је заједничка заступљеност, изражена у еквиваленту сирове нафте, једнака најмање 75% укупне домаће потрошње из претходне године. Пројекат обухвата ревитализацију и довођење у функционално стање одређеног бројa складишта деривата која припадају </w:t>
            </w:r>
            <w:r w:rsidR="000E0A72" w:rsidRPr="00CF77C1">
              <w:rPr>
                <w:color w:val="000000"/>
                <w:sz w:val="20"/>
                <w:lang w:val="sr-Cyrl-RS"/>
              </w:rPr>
              <w:t>Војсци</w:t>
            </w:r>
            <w:r w:rsidR="00B57AE3">
              <w:rPr>
                <w:color w:val="000000"/>
                <w:sz w:val="20"/>
                <w:lang w:val="sr-Cyrl-RS"/>
              </w:rPr>
              <w:t xml:space="preserve"> Србије</w:t>
            </w:r>
            <w:r w:rsidRPr="00CF77C1">
              <w:rPr>
                <w:color w:val="000000"/>
                <w:sz w:val="20"/>
                <w:lang w:val="sr-Cyrl-RS"/>
              </w:rPr>
              <w:t xml:space="preserve">, као и изградњу нових складишта од стране ЈП </w:t>
            </w:r>
            <w:r w:rsidR="000E0A72">
              <w:rPr>
                <w:color w:val="000000"/>
                <w:sz w:val="20"/>
                <w:lang w:val="sr-Cyrl-RS"/>
              </w:rPr>
              <w:t>„</w:t>
            </w:r>
            <w:r w:rsidRPr="00CF77C1">
              <w:rPr>
                <w:color w:val="000000"/>
                <w:sz w:val="20"/>
                <w:lang w:val="sr-Cyrl-RS"/>
              </w:rPr>
              <w:t>Транснафта</w:t>
            </w:r>
            <w:r w:rsidR="000E0A72">
              <w:rPr>
                <w:color w:val="000000"/>
                <w:sz w:val="20"/>
                <w:lang w:val="sr-Cyrl-RS"/>
              </w:rPr>
              <w:t>”</w:t>
            </w:r>
            <w:r w:rsidRPr="00CF77C1">
              <w:rPr>
                <w:color w:val="000000"/>
                <w:sz w:val="20"/>
                <w:lang w:val="sr-Cyrl-RS"/>
              </w:rPr>
              <w:t xml:space="preserve"> и Републичке дирекције за робне резерве.</w:t>
            </w:r>
          </w:p>
          <w:p w14:paraId="159D1FC9" w14:textId="77777777" w:rsidR="00572939" w:rsidRPr="00CF77C1" w:rsidRDefault="00572939" w:rsidP="003E39B4">
            <w:pPr>
              <w:pStyle w:val="ListParagraph"/>
              <w:numPr>
                <w:ilvl w:val="0"/>
                <w:numId w:val="8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47D90F0D" w14:textId="349731E7" w:rsidR="00572939" w:rsidRPr="00CF77C1" w:rsidRDefault="00572939" w:rsidP="004F4327">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нафтом и нафтним дериватима.</w:t>
            </w:r>
          </w:p>
          <w:p w14:paraId="6D2345EE" w14:textId="77777777" w:rsidR="00572939" w:rsidRPr="00CF77C1" w:rsidRDefault="00572939" w:rsidP="003E39B4">
            <w:pPr>
              <w:pStyle w:val="ListParagraph"/>
              <w:numPr>
                <w:ilvl w:val="0"/>
                <w:numId w:val="8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7D3E9DFD" w14:textId="77777777" w:rsidR="00572939" w:rsidRPr="00CF77C1" w:rsidRDefault="00572939" w:rsidP="004F4327">
            <w:pPr>
              <w:autoSpaceDE w:val="0"/>
              <w:autoSpaceDN w:val="0"/>
              <w:adjustRightInd w:val="0"/>
              <w:spacing w:before="20" w:after="20"/>
              <w:jc w:val="left"/>
              <w:rPr>
                <w:color w:val="000000"/>
                <w:sz w:val="20"/>
                <w:lang w:val="sr-Cyrl-RS"/>
              </w:rPr>
            </w:pPr>
            <w:r w:rsidRPr="00CF77C1">
              <w:rPr>
                <w:color w:val="000000"/>
                <w:sz w:val="20"/>
                <w:lang w:val="sr-Cyrl-RS"/>
              </w:rPr>
              <w:t>Овај пројекат је у почетној фази реализације са јасно дефинисаним терминима реализације појединих активности.</w:t>
            </w:r>
          </w:p>
          <w:p w14:paraId="663FEDB7" w14:textId="77777777" w:rsidR="00572939" w:rsidRPr="00CF77C1" w:rsidRDefault="00572939" w:rsidP="003E39B4">
            <w:pPr>
              <w:pStyle w:val="ListParagraph"/>
              <w:numPr>
                <w:ilvl w:val="0"/>
                <w:numId w:val="88"/>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6786B9C5" w14:textId="3004CD3D"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Финансирање проје</w:t>
            </w:r>
            <w:r w:rsidR="00623EFC">
              <w:rPr>
                <w:color w:val="000000"/>
                <w:sz w:val="20"/>
                <w:lang w:val="sr-Cyrl-RS"/>
              </w:rPr>
              <w:t>кта је делимично обезбеђено из б</w:t>
            </w:r>
            <w:r w:rsidRPr="00CF77C1">
              <w:rPr>
                <w:color w:val="000000"/>
                <w:sz w:val="20"/>
                <w:lang w:val="sr-Cyrl-RS"/>
              </w:rPr>
              <w:t xml:space="preserve">уџета Републике Србије, делимично из средстава ЈП </w:t>
            </w:r>
            <w:r w:rsidR="00391032">
              <w:rPr>
                <w:color w:val="000000"/>
                <w:sz w:val="20"/>
                <w:lang w:val="sr-Cyrl-RS"/>
              </w:rPr>
              <w:t>„</w:t>
            </w:r>
            <w:r w:rsidRPr="00CF77C1">
              <w:rPr>
                <w:color w:val="000000"/>
                <w:sz w:val="20"/>
                <w:lang w:val="sr-Cyrl-RS"/>
              </w:rPr>
              <w:t>Транснафта</w:t>
            </w:r>
            <w:r w:rsidR="00391032">
              <w:rPr>
                <w:color w:val="000000"/>
                <w:sz w:val="20"/>
                <w:lang w:val="sr-Cyrl-RS"/>
              </w:rPr>
              <w:t>”</w:t>
            </w:r>
            <w:r w:rsidRPr="00CF77C1">
              <w:rPr>
                <w:color w:val="000000"/>
                <w:sz w:val="20"/>
                <w:lang w:val="sr-Cyrl-RS"/>
              </w:rPr>
              <w:t xml:space="preserve"> и Републичке дирекције за робне резерве, а делимично још није обезбеђено</w:t>
            </w:r>
          </w:p>
        </w:tc>
        <w:tc>
          <w:tcPr>
            <w:tcW w:w="1418" w:type="dxa"/>
            <w:vAlign w:val="center"/>
          </w:tcPr>
          <w:p w14:paraId="2F0EC7F1" w14:textId="6F956202" w:rsidR="00572939" w:rsidRPr="00CF77C1" w:rsidRDefault="00572939" w:rsidP="003C278C">
            <w:pPr>
              <w:jc w:val="center"/>
              <w:rPr>
                <w:sz w:val="20"/>
                <w:lang w:val="sr-Cyrl-RS"/>
              </w:rPr>
            </w:pPr>
            <w:r w:rsidRPr="00CF77C1">
              <w:rPr>
                <w:sz w:val="20"/>
                <w:lang w:val="sr-Cyrl-RS"/>
              </w:rPr>
              <w:t>12 милиона €</w:t>
            </w:r>
          </w:p>
        </w:tc>
        <w:tc>
          <w:tcPr>
            <w:tcW w:w="1276" w:type="dxa"/>
            <w:vAlign w:val="center"/>
          </w:tcPr>
          <w:p w14:paraId="52094D22" w14:textId="453A5582" w:rsidR="00572939" w:rsidRPr="00CF77C1" w:rsidRDefault="00572939" w:rsidP="003C278C">
            <w:pPr>
              <w:jc w:val="center"/>
              <w:rPr>
                <w:sz w:val="20"/>
                <w:lang w:val="sr-Cyrl-RS"/>
              </w:rPr>
            </w:pPr>
            <w:r w:rsidRPr="00CF77C1">
              <w:rPr>
                <w:sz w:val="20"/>
                <w:lang w:val="sr-Cyrl-RS"/>
              </w:rPr>
              <w:t>2017-2022.</w:t>
            </w:r>
          </w:p>
        </w:tc>
      </w:tr>
      <w:tr w:rsidR="00572939" w:rsidRPr="00CF77C1" w14:paraId="12372410" w14:textId="49E1003F" w:rsidTr="00FF1371">
        <w:trPr>
          <w:cantSplit/>
          <w:trHeight w:val="610"/>
        </w:trPr>
        <w:tc>
          <w:tcPr>
            <w:tcW w:w="456" w:type="dxa"/>
            <w:vAlign w:val="center"/>
          </w:tcPr>
          <w:p w14:paraId="69ADE989" w14:textId="78386AB4"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21</w:t>
            </w:r>
          </w:p>
        </w:tc>
        <w:tc>
          <w:tcPr>
            <w:tcW w:w="708" w:type="dxa"/>
            <w:vAlign w:val="center"/>
          </w:tcPr>
          <w:p w14:paraId="0C1F12A0" w14:textId="12779284" w:rsidR="00572939" w:rsidRPr="00CF77C1" w:rsidRDefault="004E3B6F" w:rsidP="001D0517">
            <w:pPr>
              <w:autoSpaceDE w:val="0"/>
              <w:autoSpaceDN w:val="0"/>
              <w:adjustRightInd w:val="0"/>
              <w:spacing w:before="20" w:after="20"/>
              <w:jc w:val="center"/>
              <w:rPr>
                <w:color w:val="000000"/>
                <w:sz w:val="20"/>
                <w:lang w:val="sr-Cyrl-RS"/>
              </w:rPr>
            </w:pPr>
            <w:r>
              <w:rPr>
                <w:sz w:val="20"/>
                <w:lang w:val="sr-Cyrl-RS"/>
              </w:rPr>
              <w:t>П.22</w:t>
            </w:r>
          </w:p>
        </w:tc>
        <w:tc>
          <w:tcPr>
            <w:tcW w:w="1985" w:type="dxa"/>
            <w:vAlign w:val="center"/>
          </w:tcPr>
          <w:p w14:paraId="1F1A458A"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Пројекaт гасне интерконекције Србија - Хрватска, магистрални гасовод МГ- 08 Госпођинци (Футог) - Сотин (граница са Хрватском)</w:t>
            </w:r>
          </w:p>
        </w:tc>
        <w:tc>
          <w:tcPr>
            <w:tcW w:w="425" w:type="dxa"/>
            <w:vAlign w:val="center"/>
          </w:tcPr>
          <w:p w14:paraId="4DEA8890"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40</w:t>
            </w:r>
          </w:p>
        </w:tc>
        <w:tc>
          <w:tcPr>
            <w:tcW w:w="8363" w:type="dxa"/>
            <w:vAlign w:val="center"/>
          </w:tcPr>
          <w:p w14:paraId="5567EF3B" w14:textId="68B2DBD9" w:rsidR="00572939" w:rsidRPr="00CF77C1" w:rsidRDefault="00572939" w:rsidP="003E39B4">
            <w:pPr>
              <w:pStyle w:val="ListParagraph"/>
              <w:numPr>
                <w:ilvl w:val="0"/>
                <w:numId w:val="89"/>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r>
            <w:r w:rsidR="00205D28" w:rsidRPr="00CF77C1">
              <w:rPr>
                <w:color w:val="000000"/>
                <w:sz w:val="20"/>
                <w:szCs w:val="20"/>
                <w:lang w:val="sr-Cyrl-RS"/>
              </w:rPr>
              <w:t>Транспортгас Србија д.о.о</w:t>
            </w:r>
            <w:r w:rsidR="00205D28" w:rsidRPr="00CF77C1">
              <w:rPr>
                <w:lang w:val="sr-Cyrl-RS"/>
              </w:rPr>
              <w:t>.</w:t>
            </w:r>
          </w:p>
          <w:p w14:paraId="0F5188B2" w14:textId="77777777" w:rsidR="00572939" w:rsidRPr="00CF77C1" w:rsidRDefault="00572939" w:rsidP="003E39B4">
            <w:pPr>
              <w:pStyle w:val="ListParagraph"/>
              <w:numPr>
                <w:ilvl w:val="0"/>
                <w:numId w:val="8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45F5DB79" w14:textId="2DAC1B48" w:rsidR="00572939" w:rsidRPr="00CF77C1" w:rsidRDefault="00572939" w:rsidP="001F740D">
            <w:pPr>
              <w:autoSpaceDE w:val="0"/>
              <w:autoSpaceDN w:val="0"/>
              <w:adjustRightInd w:val="0"/>
              <w:spacing w:before="20" w:after="20"/>
              <w:jc w:val="left"/>
              <w:rPr>
                <w:color w:val="000000"/>
                <w:sz w:val="20"/>
                <w:lang w:val="sr-Cyrl-RS"/>
              </w:rPr>
            </w:pPr>
            <w:r w:rsidRPr="00CF77C1">
              <w:rPr>
                <w:color w:val="000000"/>
                <w:sz w:val="20"/>
                <w:lang w:val="sr-Cyrl-RS"/>
              </w:rPr>
              <w:t>Магистрални гасовод гасовод МГ-08 Госпођинци (Футог) - Сотин представља инфраструктурну основу за успостављање гасне интерконекције са Републиком Хрватском. Примарни технички елементи гасовода су цевовод (дужине 95 km, пречника DN600, капацитета 1,5 милијарди m</w:t>
            </w:r>
            <w:r w:rsidRPr="00CF77C1">
              <w:rPr>
                <w:color w:val="000000"/>
                <w:sz w:val="20"/>
                <w:vertAlign w:val="superscript"/>
                <w:lang w:val="sr-Cyrl-RS"/>
              </w:rPr>
              <w:t>3</w:t>
            </w:r>
            <w:r w:rsidRPr="00CF77C1">
              <w:rPr>
                <w:color w:val="000000"/>
                <w:sz w:val="20"/>
                <w:lang w:val="sr-Cyrl-RS"/>
              </w:rPr>
              <w:t>/годишње, максимални радни притисак 75 bar), објекти који су саставни део гасовода и пратећа инфраструктура.</w:t>
            </w:r>
          </w:p>
          <w:p w14:paraId="03F17D63" w14:textId="77777777" w:rsidR="00572939" w:rsidRPr="00CF77C1" w:rsidRDefault="00572939" w:rsidP="003E39B4">
            <w:pPr>
              <w:pStyle w:val="ListParagraph"/>
              <w:numPr>
                <w:ilvl w:val="0"/>
                <w:numId w:val="8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6263FCEE" w14:textId="77777777" w:rsidR="00572939" w:rsidRPr="00CF77C1" w:rsidRDefault="00572939" w:rsidP="001F740D">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повећању сигурности снабдевања гасом и развоју тржишта гаса.</w:t>
            </w:r>
          </w:p>
          <w:p w14:paraId="30EB189E" w14:textId="77777777" w:rsidR="00572939" w:rsidRPr="00CF77C1" w:rsidRDefault="00572939" w:rsidP="003E39B4">
            <w:pPr>
              <w:pStyle w:val="ListParagraph"/>
              <w:numPr>
                <w:ilvl w:val="0"/>
                <w:numId w:val="8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461C3D4A" w14:textId="77777777" w:rsidR="00572939" w:rsidRPr="00CF77C1" w:rsidRDefault="00572939" w:rsidP="001F740D">
            <w:pPr>
              <w:autoSpaceDE w:val="0"/>
              <w:autoSpaceDN w:val="0"/>
              <w:adjustRightInd w:val="0"/>
              <w:spacing w:before="20" w:after="20"/>
              <w:jc w:val="left"/>
              <w:rPr>
                <w:color w:val="000000"/>
                <w:sz w:val="20"/>
                <w:lang w:val="sr-Cyrl-RS"/>
              </w:rPr>
            </w:pPr>
            <w:r w:rsidRPr="00CF77C1">
              <w:rPr>
                <w:color w:val="000000"/>
                <w:sz w:val="20"/>
                <w:lang w:val="sr-Cyrl-RS"/>
              </w:rPr>
              <w:t>Планска и техничка документација за реализацију није у потпуности припремљена.</w:t>
            </w:r>
          </w:p>
          <w:p w14:paraId="44681C32" w14:textId="77777777" w:rsidR="00572939" w:rsidRPr="00CF77C1" w:rsidRDefault="00572939" w:rsidP="003E39B4">
            <w:pPr>
              <w:pStyle w:val="ListParagraph"/>
              <w:numPr>
                <w:ilvl w:val="0"/>
                <w:numId w:val="89"/>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5E80E752" w14:textId="5026BE48"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нису обезбеђени.</w:t>
            </w:r>
          </w:p>
        </w:tc>
        <w:tc>
          <w:tcPr>
            <w:tcW w:w="1418" w:type="dxa"/>
            <w:vAlign w:val="center"/>
          </w:tcPr>
          <w:p w14:paraId="4B31C0D5" w14:textId="75FA247D" w:rsidR="00572939" w:rsidRPr="00CF77C1" w:rsidRDefault="00572939" w:rsidP="00036F2C">
            <w:pPr>
              <w:jc w:val="center"/>
              <w:rPr>
                <w:sz w:val="20"/>
                <w:lang w:val="sr-Cyrl-RS"/>
              </w:rPr>
            </w:pPr>
            <w:r w:rsidRPr="00CF77C1">
              <w:rPr>
                <w:sz w:val="20"/>
                <w:lang w:val="sr-Cyrl-RS"/>
              </w:rPr>
              <w:t>32 милиона €</w:t>
            </w:r>
          </w:p>
          <w:p w14:paraId="105D7E52" w14:textId="268BA552" w:rsidR="00572939" w:rsidRPr="00CF77C1" w:rsidRDefault="00572939" w:rsidP="00036F2C">
            <w:pPr>
              <w:jc w:val="center"/>
              <w:rPr>
                <w:sz w:val="20"/>
                <w:lang w:val="sr-Cyrl-RS"/>
              </w:rPr>
            </w:pPr>
          </w:p>
        </w:tc>
        <w:tc>
          <w:tcPr>
            <w:tcW w:w="1276" w:type="dxa"/>
            <w:vAlign w:val="center"/>
          </w:tcPr>
          <w:p w14:paraId="57D34422" w14:textId="085A57D4" w:rsidR="00572939" w:rsidRPr="00CF77C1" w:rsidRDefault="00572939" w:rsidP="003C278C">
            <w:pPr>
              <w:jc w:val="center"/>
              <w:rPr>
                <w:sz w:val="20"/>
                <w:lang w:val="sr-Cyrl-RS"/>
              </w:rPr>
            </w:pPr>
            <w:r w:rsidRPr="00CF77C1">
              <w:rPr>
                <w:sz w:val="20"/>
                <w:lang w:val="sr-Cyrl-RS"/>
              </w:rPr>
              <w:t>2021-2023.</w:t>
            </w:r>
          </w:p>
        </w:tc>
      </w:tr>
      <w:tr w:rsidR="00572939" w:rsidRPr="00CF77C1" w14:paraId="3941A983" w14:textId="5EE99E9F" w:rsidTr="00FF1371">
        <w:trPr>
          <w:cantSplit/>
          <w:trHeight w:val="610"/>
        </w:trPr>
        <w:tc>
          <w:tcPr>
            <w:tcW w:w="456" w:type="dxa"/>
            <w:vAlign w:val="center"/>
          </w:tcPr>
          <w:p w14:paraId="22354996" w14:textId="0749321C"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22</w:t>
            </w:r>
          </w:p>
        </w:tc>
        <w:tc>
          <w:tcPr>
            <w:tcW w:w="708" w:type="dxa"/>
            <w:vAlign w:val="center"/>
          </w:tcPr>
          <w:p w14:paraId="686F232C" w14:textId="0F00BC75" w:rsidR="00572939" w:rsidRPr="00CF77C1" w:rsidRDefault="00572939"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_Ref476806012 \r \h  \* MERGEFORMAT </w:instrText>
            </w:r>
            <w:r w:rsidRPr="00CF77C1">
              <w:rPr>
                <w:sz w:val="20"/>
                <w:lang w:val="sr-Cyrl-RS"/>
              </w:rPr>
            </w:r>
            <w:r w:rsidRPr="00CF77C1">
              <w:rPr>
                <w:sz w:val="20"/>
                <w:lang w:val="sr-Cyrl-RS"/>
              </w:rPr>
              <w:fldChar w:fldCharType="separate"/>
            </w:r>
            <w:r w:rsidR="002D5918">
              <w:rPr>
                <w:sz w:val="20"/>
                <w:lang w:val="sr-Cyrl-RS"/>
              </w:rPr>
              <w:t>П.8</w:t>
            </w:r>
            <w:r w:rsidRPr="00CF77C1">
              <w:rPr>
                <w:sz w:val="20"/>
                <w:lang w:val="sr-Cyrl-RS"/>
              </w:rPr>
              <w:fldChar w:fldCharType="end"/>
            </w:r>
          </w:p>
        </w:tc>
        <w:tc>
          <w:tcPr>
            <w:tcW w:w="1985" w:type="dxa"/>
            <w:vAlign w:val="center"/>
          </w:tcPr>
          <w:p w14:paraId="0AA53304"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изградње нових ТС 110/X kV у циљу повећања сигурности напајања и повећања ефикасности дистрибуције електричне енергије</w:t>
            </w:r>
          </w:p>
        </w:tc>
        <w:tc>
          <w:tcPr>
            <w:tcW w:w="425" w:type="dxa"/>
            <w:vAlign w:val="center"/>
          </w:tcPr>
          <w:p w14:paraId="7EA2E6BB"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35</w:t>
            </w:r>
          </w:p>
        </w:tc>
        <w:tc>
          <w:tcPr>
            <w:tcW w:w="8363" w:type="dxa"/>
            <w:vAlign w:val="center"/>
          </w:tcPr>
          <w:p w14:paraId="675D37E2" w14:textId="77777777" w:rsidR="00572939" w:rsidRPr="00CF77C1" w:rsidRDefault="00572939" w:rsidP="003E39B4">
            <w:pPr>
              <w:pStyle w:val="ListParagraph"/>
              <w:numPr>
                <w:ilvl w:val="0"/>
                <w:numId w:val="90"/>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7E35C6B8" w14:textId="77777777" w:rsidR="00572939" w:rsidRPr="00CF77C1" w:rsidRDefault="00572939" w:rsidP="003E39B4">
            <w:pPr>
              <w:pStyle w:val="ListParagraph"/>
              <w:numPr>
                <w:ilvl w:val="0"/>
                <w:numId w:val="9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70157714" w14:textId="1F974B86" w:rsidR="00572939" w:rsidRPr="00CF77C1" w:rsidRDefault="00572939" w:rsidP="001F740D">
            <w:pPr>
              <w:autoSpaceDE w:val="0"/>
              <w:autoSpaceDN w:val="0"/>
              <w:adjustRightInd w:val="0"/>
              <w:spacing w:before="20" w:after="20"/>
              <w:jc w:val="left"/>
              <w:rPr>
                <w:color w:val="000000"/>
                <w:sz w:val="20"/>
                <w:lang w:val="sr-Cyrl-RS"/>
              </w:rPr>
            </w:pPr>
            <w:r w:rsidRPr="00CF77C1">
              <w:rPr>
                <w:color w:val="000000"/>
                <w:sz w:val="20"/>
                <w:lang w:val="sr-Cyrl-RS"/>
              </w:rPr>
              <w:t>Пројекат обухвата изградњу 35 нових ТС 110/X kV укупне инсталисане снаге у планском периоду 1.789 MVA, које преузимају функцију неекономично оптерећене средњенапонске мреже, решавају проблем несигурног напајања из постојећих ТС 110/X kV и ТС 35/X kV, високих губитака и лоших напонских прилика у мрежи средњег напона. Реализација пројеката изградње нових ТС 110/X kV је интензивирана у последњих 5-10 година.</w:t>
            </w:r>
          </w:p>
          <w:p w14:paraId="02862C3C" w14:textId="77777777" w:rsidR="00572939" w:rsidRPr="00CF77C1" w:rsidRDefault="00572939" w:rsidP="003E39B4">
            <w:pPr>
              <w:pStyle w:val="ListParagraph"/>
              <w:numPr>
                <w:ilvl w:val="0"/>
                <w:numId w:val="9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705BB7E9" w14:textId="6C5C7A08" w:rsidR="00572939" w:rsidRPr="00CF77C1" w:rsidRDefault="00572939" w:rsidP="001F740D">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и транзицији ка одрживој енергетици.</w:t>
            </w:r>
          </w:p>
          <w:p w14:paraId="09AB55BE" w14:textId="77777777" w:rsidR="00572939" w:rsidRPr="00CF77C1" w:rsidRDefault="00572939" w:rsidP="003E39B4">
            <w:pPr>
              <w:pStyle w:val="ListParagraph"/>
              <w:numPr>
                <w:ilvl w:val="0"/>
                <w:numId w:val="9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0D051A3E" w14:textId="77777777" w:rsidR="00572939" w:rsidRPr="00CF77C1" w:rsidRDefault="00572939" w:rsidP="001F740D">
            <w:pPr>
              <w:autoSpaceDE w:val="0"/>
              <w:autoSpaceDN w:val="0"/>
              <w:adjustRightInd w:val="0"/>
              <w:spacing w:before="20" w:after="20"/>
              <w:jc w:val="left"/>
              <w:rPr>
                <w:color w:val="000000"/>
                <w:sz w:val="20"/>
                <w:lang w:val="sr-Cyrl-RS"/>
              </w:rPr>
            </w:pPr>
            <w:r w:rsidRPr="00CF77C1">
              <w:rPr>
                <w:color w:val="000000"/>
                <w:sz w:val="20"/>
                <w:lang w:val="sr-Cyrl-RS"/>
              </w:rPr>
              <w:t>Пројекат се реализује фазно, при чему је припремљена документација за реализацију првих фаза. Преостала техничка документација ће се припремати током имплементације првих фаза, да би се у њену припрему уградила искуства стечена у имплементацији.</w:t>
            </w:r>
          </w:p>
          <w:p w14:paraId="17CC6330" w14:textId="77777777" w:rsidR="00572939" w:rsidRPr="00CF77C1" w:rsidRDefault="00572939" w:rsidP="003E39B4">
            <w:pPr>
              <w:pStyle w:val="ListParagraph"/>
              <w:numPr>
                <w:ilvl w:val="0"/>
                <w:numId w:val="90"/>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15ECD204" w14:textId="0ECA4332"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 xml:space="preserve">Извори финансирања су само делимично обезбеђени из сопствених </w:t>
            </w:r>
            <w:r w:rsidR="001741AC" w:rsidRPr="00CF77C1">
              <w:rPr>
                <w:color w:val="000000"/>
                <w:sz w:val="20"/>
                <w:lang w:val="sr-Cyrl-RS"/>
              </w:rPr>
              <w:t>средстава ЕПС</w:t>
            </w:r>
            <w:r w:rsidRPr="00CF77C1">
              <w:rPr>
                <w:color w:val="000000"/>
                <w:sz w:val="20"/>
                <w:lang w:val="sr-Cyrl-RS"/>
              </w:rPr>
              <w:t>.</w:t>
            </w:r>
          </w:p>
        </w:tc>
        <w:tc>
          <w:tcPr>
            <w:tcW w:w="1418" w:type="dxa"/>
            <w:vAlign w:val="center"/>
          </w:tcPr>
          <w:p w14:paraId="0AC21265" w14:textId="40A7BEC5" w:rsidR="00572939" w:rsidRPr="00CF77C1" w:rsidRDefault="00572939" w:rsidP="003C278C">
            <w:pPr>
              <w:jc w:val="center"/>
              <w:rPr>
                <w:sz w:val="20"/>
                <w:lang w:val="sr-Cyrl-RS"/>
              </w:rPr>
            </w:pPr>
            <w:r w:rsidRPr="00CF77C1">
              <w:rPr>
                <w:sz w:val="20"/>
                <w:lang w:val="sr-Cyrl-RS"/>
              </w:rPr>
              <w:t>115,1 милиона €</w:t>
            </w:r>
          </w:p>
        </w:tc>
        <w:tc>
          <w:tcPr>
            <w:tcW w:w="1276" w:type="dxa"/>
            <w:vAlign w:val="center"/>
          </w:tcPr>
          <w:p w14:paraId="43772489" w14:textId="12D7F3AF" w:rsidR="00572939" w:rsidRPr="00CF77C1" w:rsidRDefault="00572939" w:rsidP="003C278C">
            <w:pPr>
              <w:jc w:val="center"/>
              <w:rPr>
                <w:sz w:val="20"/>
                <w:lang w:val="sr-Cyrl-RS"/>
              </w:rPr>
            </w:pPr>
            <w:r w:rsidRPr="00CF77C1">
              <w:rPr>
                <w:sz w:val="20"/>
                <w:lang w:val="sr-Cyrl-RS"/>
              </w:rPr>
              <w:t>2017-2023.</w:t>
            </w:r>
          </w:p>
        </w:tc>
      </w:tr>
      <w:tr w:rsidR="00572939" w:rsidRPr="00CF77C1" w14:paraId="045AEFC1" w14:textId="4CC16F64" w:rsidTr="00FF1371">
        <w:trPr>
          <w:cantSplit/>
          <w:trHeight w:val="914"/>
        </w:trPr>
        <w:tc>
          <w:tcPr>
            <w:tcW w:w="456" w:type="dxa"/>
            <w:vAlign w:val="center"/>
          </w:tcPr>
          <w:p w14:paraId="59DB6055" w14:textId="0563A58E"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23</w:t>
            </w:r>
          </w:p>
        </w:tc>
        <w:tc>
          <w:tcPr>
            <w:tcW w:w="708" w:type="dxa"/>
            <w:vAlign w:val="center"/>
          </w:tcPr>
          <w:p w14:paraId="2710DA10" w14:textId="08359B06" w:rsidR="00572939" w:rsidRPr="00CF77C1" w:rsidRDefault="00572939"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_Ref476805994 \r \h  \* MERGEFORMAT </w:instrText>
            </w:r>
            <w:r w:rsidRPr="00CF77C1">
              <w:rPr>
                <w:sz w:val="20"/>
                <w:lang w:val="sr-Cyrl-RS"/>
              </w:rPr>
            </w:r>
            <w:r w:rsidRPr="00CF77C1">
              <w:rPr>
                <w:sz w:val="20"/>
                <w:lang w:val="sr-Cyrl-RS"/>
              </w:rPr>
              <w:fldChar w:fldCharType="separate"/>
            </w:r>
            <w:r w:rsidR="002D5918">
              <w:rPr>
                <w:sz w:val="20"/>
                <w:lang w:val="sr-Cyrl-RS"/>
              </w:rPr>
              <w:t>П.3</w:t>
            </w:r>
            <w:r w:rsidRPr="00CF77C1">
              <w:rPr>
                <w:sz w:val="20"/>
                <w:lang w:val="sr-Cyrl-RS"/>
              </w:rPr>
              <w:fldChar w:fldCharType="end"/>
            </w:r>
          </w:p>
        </w:tc>
        <w:tc>
          <w:tcPr>
            <w:tcW w:w="1985" w:type="dxa"/>
            <w:vAlign w:val="center"/>
          </w:tcPr>
          <w:p w14:paraId="4C8A58A0"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реконструкције електроенергетских водова 110 kV у циљу повећања сигурности напајања и повећања ефикасности преноса електричне енергије на напонском нивоу 110 kV.</w:t>
            </w:r>
          </w:p>
        </w:tc>
        <w:tc>
          <w:tcPr>
            <w:tcW w:w="425" w:type="dxa"/>
            <w:vAlign w:val="center"/>
          </w:tcPr>
          <w:p w14:paraId="7276D088"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34</w:t>
            </w:r>
          </w:p>
        </w:tc>
        <w:tc>
          <w:tcPr>
            <w:tcW w:w="8363" w:type="dxa"/>
            <w:vAlign w:val="center"/>
          </w:tcPr>
          <w:p w14:paraId="4A295E82" w14:textId="14B50B4F" w:rsidR="00572939" w:rsidRPr="00CF77C1" w:rsidRDefault="00572939" w:rsidP="003E39B4">
            <w:pPr>
              <w:pStyle w:val="ListParagraph"/>
              <w:numPr>
                <w:ilvl w:val="0"/>
                <w:numId w:val="91"/>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ЕМС</w:t>
            </w:r>
          </w:p>
          <w:p w14:paraId="301B7B24" w14:textId="77777777" w:rsidR="00572939" w:rsidRPr="00CF77C1" w:rsidRDefault="00572939" w:rsidP="003E39B4">
            <w:pPr>
              <w:pStyle w:val="ListParagraph"/>
              <w:numPr>
                <w:ilvl w:val="0"/>
                <w:numId w:val="9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294FECB8" w14:textId="3E02F0CA"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Преко 2000 km надземних електроенергетских водова 110 kV у преносној мрежи изграђено је пре више од 50 година. Пројекат обухвата постепену реконструкцију електроенергетских водова, полазећи од водова који су у посебно лошем стању, а при томе имају значајнију функцију у мрежи. Предвиђено је да се годишње реконструише 40 km водова.</w:t>
            </w:r>
          </w:p>
          <w:p w14:paraId="7A39241C" w14:textId="77777777" w:rsidR="00572939" w:rsidRPr="00CF77C1" w:rsidRDefault="00572939" w:rsidP="003E39B4">
            <w:pPr>
              <w:pStyle w:val="ListParagraph"/>
              <w:numPr>
                <w:ilvl w:val="0"/>
                <w:numId w:val="9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7D2B3B22" w14:textId="77777777"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и транзицији ка одрживој енергетици.</w:t>
            </w:r>
          </w:p>
          <w:p w14:paraId="7E887604" w14:textId="77777777" w:rsidR="00572939" w:rsidRPr="00CF77C1" w:rsidRDefault="00572939" w:rsidP="003E39B4">
            <w:pPr>
              <w:pStyle w:val="ListParagraph"/>
              <w:numPr>
                <w:ilvl w:val="0"/>
                <w:numId w:val="9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54248298" w14:textId="146F0FF4"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Пројекат се реализује фазно, при чему се поједине секције реконструишу, за поједине је у току обезбеђивање потребних дозвола, за поједине је у току израда просторно-планске и техничке документације, а за поједине ова израда тек треба да отпочне, што омогућује да се олакша могућност финансирања и сама реализација пројекта. Имајући у виду да се финанси</w:t>
            </w:r>
            <w:r w:rsidR="00787C42" w:rsidRPr="00CF77C1">
              <w:rPr>
                <w:color w:val="000000"/>
                <w:sz w:val="20"/>
                <w:lang w:val="sr-Cyrl-RS"/>
              </w:rPr>
              <w:t>ра из сопствених средстава ЕМС</w:t>
            </w:r>
            <w:r w:rsidRPr="00CF77C1">
              <w:rPr>
                <w:color w:val="000000"/>
                <w:sz w:val="20"/>
                <w:lang w:val="sr-Cyrl-RS"/>
              </w:rPr>
              <w:t>, пројекат не би требало да има проблема са финансирањем.</w:t>
            </w:r>
          </w:p>
          <w:p w14:paraId="17B2E6E6" w14:textId="77777777" w:rsidR="00572939" w:rsidRPr="00CF77C1" w:rsidRDefault="00572939" w:rsidP="003E39B4">
            <w:pPr>
              <w:pStyle w:val="ListParagraph"/>
              <w:numPr>
                <w:ilvl w:val="0"/>
                <w:numId w:val="91"/>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5B9F2BAA" w14:textId="56F64F85"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су обезбеђе</w:t>
            </w:r>
            <w:r w:rsidR="00787C42" w:rsidRPr="00CF77C1">
              <w:rPr>
                <w:color w:val="000000"/>
                <w:sz w:val="20"/>
                <w:lang w:val="sr-Cyrl-RS"/>
              </w:rPr>
              <w:t>ни из сопствених средстава ЕМС</w:t>
            </w:r>
            <w:r w:rsidRPr="00CF77C1">
              <w:rPr>
                <w:color w:val="000000"/>
                <w:sz w:val="20"/>
                <w:lang w:val="sr-Cyrl-RS"/>
              </w:rPr>
              <w:t>.</w:t>
            </w:r>
          </w:p>
        </w:tc>
        <w:tc>
          <w:tcPr>
            <w:tcW w:w="1418" w:type="dxa"/>
            <w:vAlign w:val="center"/>
          </w:tcPr>
          <w:p w14:paraId="3EB216E1" w14:textId="60BD3775" w:rsidR="00572939" w:rsidRPr="00CF77C1" w:rsidRDefault="00572939" w:rsidP="003C278C">
            <w:pPr>
              <w:jc w:val="center"/>
              <w:rPr>
                <w:sz w:val="20"/>
                <w:lang w:val="sr-Cyrl-RS"/>
              </w:rPr>
            </w:pPr>
            <w:r w:rsidRPr="00CF77C1">
              <w:rPr>
                <w:sz w:val="20"/>
                <w:lang w:val="sr-Cyrl-RS"/>
              </w:rPr>
              <w:t>28 милиона €</w:t>
            </w:r>
          </w:p>
        </w:tc>
        <w:tc>
          <w:tcPr>
            <w:tcW w:w="1276" w:type="dxa"/>
            <w:vAlign w:val="center"/>
          </w:tcPr>
          <w:p w14:paraId="33DB1E14" w14:textId="7ADB9A0C" w:rsidR="00572939" w:rsidRPr="00CF77C1" w:rsidRDefault="00572939" w:rsidP="003C278C">
            <w:pPr>
              <w:jc w:val="center"/>
              <w:rPr>
                <w:sz w:val="20"/>
                <w:lang w:val="sr-Cyrl-RS"/>
              </w:rPr>
            </w:pPr>
            <w:r w:rsidRPr="00CF77C1">
              <w:rPr>
                <w:sz w:val="20"/>
                <w:lang w:val="sr-Cyrl-RS"/>
              </w:rPr>
              <w:t>2017-2023.</w:t>
            </w:r>
          </w:p>
        </w:tc>
      </w:tr>
      <w:tr w:rsidR="00572939" w:rsidRPr="00CF77C1" w14:paraId="6F6F9FE0" w14:textId="781DBB6E" w:rsidTr="00FF1371">
        <w:trPr>
          <w:cantSplit/>
          <w:trHeight w:val="305"/>
        </w:trPr>
        <w:tc>
          <w:tcPr>
            <w:tcW w:w="456" w:type="dxa"/>
            <w:vAlign w:val="center"/>
          </w:tcPr>
          <w:p w14:paraId="6593A2F5" w14:textId="680D5B1D"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24</w:t>
            </w:r>
          </w:p>
        </w:tc>
        <w:tc>
          <w:tcPr>
            <w:tcW w:w="708" w:type="dxa"/>
            <w:vAlign w:val="center"/>
          </w:tcPr>
          <w:p w14:paraId="2FAC6E2B" w14:textId="1E1029AE" w:rsidR="00572939" w:rsidRPr="00CF77C1" w:rsidRDefault="00572939"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_Ref476806003 \r \h  \* MERGEFORMAT </w:instrText>
            </w:r>
            <w:r w:rsidRPr="00CF77C1">
              <w:rPr>
                <w:sz w:val="20"/>
                <w:lang w:val="sr-Cyrl-RS"/>
              </w:rPr>
            </w:r>
            <w:r w:rsidRPr="00CF77C1">
              <w:rPr>
                <w:sz w:val="20"/>
                <w:lang w:val="sr-Cyrl-RS"/>
              </w:rPr>
              <w:fldChar w:fldCharType="separate"/>
            </w:r>
            <w:r w:rsidR="002D5918">
              <w:rPr>
                <w:sz w:val="20"/>
                <w:lang w:val="sr-Cyrl-RS"/>
              </w:rPr>
              <w:t>П.6</w:t>
            </w:r>
            <w:r w:rsidRPr="00CF77C1">
              <w:rPr>
                <w:sz w:val="20"/>
                <w:lang w:val="sr-Cyrl-RS"/>
              </w:rPr>
              <w:fldChar w:fldCharType="end"/>
            </w:r>
          </w:p>
        </w:tc>
        <w:tc>
          <w:tcPr>
            <w:tcW w:w="1985" w:type="dxa"/>
            <w:vAlign w:val="center"/>
          </w:tcPr>
          <w:p w14:paraId="050B4429"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„Аутоматизацаја дистрибутивне мреже”</w:t>
            </w:r>
          </w:p>
        </w:tc>
        <w:tc>
          <w:tcPr>
            <w:tcW w:w="425" w:type="dxa"/>
            <w:vAlign w:val="center"/>
          </w:tcPr>
          <w:p w14:paraId="1C4298E3"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34</w:t>
            </w:r>
          </w:p>
        </w:tc>
        <w:tc>
          <w:tcPr>
            <w:tcW w:w="8363" w:type="dxa"/>
            <w:vAlign w:val="center"/>
          </w:tcPr>
          <w:p w14:paraId="2641D867" w14:textId="762F9048" w:rsidR="00572939" w:rsidRPr="00CF77C1" w:rsidRDefault="00572939" w:rsidP="003E39B4">
            <w:pPr>
              <w:pStyle w:val="ListParagraph"/>
              <w:numPr>
                <w:ilvl w:val="0"/>
                <w:numId w:val="92"/>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ЕПС</w:t>
            </w:r>
          </w:p>
          <w:p w14:paraId="4717BA24" w14:textId="77777777" w:rsidR="00572939" w:rsidRPr="00CF77C1" w:rsidRDefault="00572939" w:rsidP="003E39B4">
            <w:pPr>
              <w:pStyle w:val="ListParagraph"/>
              <w:numPr>
                <w:ilvl w:val="0"/>
                <w:numId w:val="9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744CBEEE" w14:textId="25859CB4"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Предмет пројекта је аутоматизација средњенапонске мреже кроз уградњу и опремање опремом за даљински надзор и управљање укупно 1.050 тачака у мрежи и аутоматизација ТС 35/X kV кроз уградњу SCADA система по ТС.</w:t>
            </w:r>
          </w:p>
          <w:p w14:paraId="3F45B815" w14:textId="77777777" w:rsidR="00572939" w:rsidRPr="00CF77C1" w:rsidRDefault="00572939" w:rsidP="003E39B4">
            <w:pPr>
              <w:pStyle w:val="ListParagraph"/>
              <w:numPr>
                <w:ilvl w:val="0"/>
                <w:numId w:val="9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70B3CEA0" w14:textId="7EF5DBB8"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w:t>
            </w:r>
          </w:p>
          <w:p w14:paraId="3D0AB787" w14:textId="77777777" w:rsidR="00572939" w:rsidRPr="00CF77C1" w:rsidRDefault="00572939" w:rsidP="003E39B4">
            <w:pPr>
              <w:pStyle w:val="ListParagraph"/>
              <w:numPr>
                <w:ilvl w:val="0"/>
                <w:numId w:val="9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5F2F82FE" w14:textId="22813AD6"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Пројекат се реализује фазно, при чему је припремљена документација за брзу реализацију првих фаза. Преостала техничка документација ће се припремати током имплементације првих фаза, да би се у њену припрему уградила искуства стечена у имплементацији.</w:t>
            </w:r>
          </w:p>
          <w:p w14:paraId="3CC13905" w14:textId="77777777" w:rsidR="00572939" w:rsidRPr="00CF77C1" w:rsidRDefault="00572939" w:rsidP="003E39B4">
            <w:pPr>
              <w:pStyle w:val="ListParagraph"/>
              <w:numPr>
                <w:ilvl w:val="0"/>
                <w:numId w:val="92"/>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2E398352" w14:textId="1FE0D2C9"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су обезбеђе</w:t>
            </w:r>
            <w:r w:rsidR="001741AC" w:rsidRPr="00CF77C1">
              <w:rPr>
                <w:color w:val="000000"/>
                <w:sz w:val="20"/>
                <w:lang w:val="sr-Cyrl-RS"/>
              </w:rPr>
              <w:t>ни из сопствених средстава ЕПС</w:t>
            </w:r>
            <w:r w:rsidRPr="00CF77C1">
              <w:rPr>
                <w:color w:val="000000"/>
                <w:sz w:val="20"/>
                <w:lang w:val="sr-Cyrl-RS"/>
              </w:rPr>
              <w:t>.</w:t>
            </w:r>
          </w:p>
        </w:tc>
        <w:tc>
          <w:tcPr>
            <w:tcW w:w="1418" w:type="dxa"/>
            <w:vAlign w:val="center"/>
          </w:tcPr>
          <w:p w14:paraId="00C7C7E9" w14:textId="42647F08" w:rsidR="00572939" w:rsidRPr="00CF77C1" w:rsidRDefault="00572939" w:rsidP="003C278C">
            <w:pPr>
              <w:jc w:val="center"/>
              <w:rPr>
                <w:sz w:val="20"/>
                <w:lang w:val="sr-Cyrl-RS"/>
              </w:rPr>
            </w:pPr>
            <w:r w:rsidRPr="00CF77C1">
              <w:rPr>
                <w:sz w:val="20"/>
                <w:lang w:val="sr-Cyrl-RS"/>
              </w:rPr>
              <w:t>10,5 милиона €</w:t>
            </w:r>
          </w:p>
        </w:tc>
        <w:tc>
          <w:tcPr>
            <w:tcW w:w="1276" w:type="dxa"/>
            <w:vAlign w:val="center"/>
          </w:tcPr>
          <w:p w14:paraId="27AC66D2" w14:textId="063EADDB" w:rsidR="00572939" w:rsidRPr="00CF77C1" w:rsidRDefault="00572939" w:rsidP="003C278C">
            <w:pPr>
              <w:jc w:val="center"/>
              <w:rPr>
                <w:sz w:val="20"/>
                <w:lang w:val="sr-Cyrl-RS"/>
              </w:rPr>
            </w:pPr>
            <w:r w:rsidRPr="00CF77C1">
              <w:rPr>
                <w:sz w:val="20"/>
                <w:lang w:val="sr-Cyrl-RS"/>
              </w:rPr>
              <w:t>2017-2023.</w:t>
            </w:r>
          </w:p>
        </w:tc>
      </w:tr>
      <w:tr w:rsidR="00572939" w:rsidRPr="00CF77C1" w14:paraId="2DC208B7" w14:textId="1BF14382" w:rsidTr="00FF1371">
        <w:trPr>
          <w:cantSplit/>
          <w:trHeight w:val="914"/>
        </w:trPr>
        <w:tc>
          <w:tcPr>
            <w:tcW w:w="456" w:type="dxa"/>
            <w:vAlign w:val="center"/>
          </w:tcPr>
          <w:p w14:paraId="798ABEAA" w14:textId="7351DBF2" w:rsidR="00572939" w:rsidRPr="00CF77C1" w:rsidRDefault="00572939" w:rsidP="00FB4DC4">
            <w:pPr>
              <w:autoSpaceDE w:val="0"/>
              <w:autoSpaceDN w:val="0"/>
              <w:adjustRightInd w:val="0"/>
              <w:spacing w:before="20" w:after="20"/>
              <w:jc w:val="center"/>
              <w:rPr>
                <w:sz w:val="20"/>
                <w:lang w:val="sr-Cyrl-RS"/>
              </w:rPr>
            </w:pPr>
            <w:r w:rsidRPr="00CF77C1">
              <w:rPr>
                <w:sz w:val="20"/>
                <w:lang w:val="sr-Cyrl-RS"/>
              </w:rPr>
              <w:t>25</w:t>
            </w:r>
          </w:p>
        </w:tc>
        <w:tc>
          <w:tcPr>
            <w:tcW w:w="708" w:type="dxa"/>
            <w:vAlign w:val="center"/>
          </w:tcPr>
          <w:p w14:paraId="28555255" w14:textId="5C39D237" w:rsidR="00572939" w:rsidRPr="00CF77C1" w:rsidRDefault="00572939" w:rsidP="001D0517">
            <w:pPr>
              <w:autoSpaceDE w:val="0"/>
              <w:autoSpaceDN w:val="0"/>
              <w:adjustRightInd w:val="0"/>
              <w:spacing w:before="20" w:after="20"/>
              <w:jc w:val="center"/>
              <w:rPr>
                <w:color w:val="000000"/>
                <w:sz w:val="20"/>
                <w:lang w:val="sr-Cyrl-RS"/>
              </w:rPr>
            </w:pPr>
            <w:r w:rsidRPr="00CF77C1">
              <w:rPr>
                <w:sz w:val="20"/>
                <w:lang w:val="sr-Cyrl-RS"/>
              </w:rPr>
              <w:fldChar w:fldCharType="begin"/>
            </w:r>
            <w:r w:rsidRPr="00CF77C1">
              <w:rPr>
                <w:sz w:val="20"/>
                <w:lang w:val="sr-Cyrl-RS"/>
              </w:rPr>
              <w:instrText xml:space="preserve"> REF _Ref476805996 \r \h  \* MERGEFORMAT </w:instrText>
            </w:r>
            <w:r w:rsidRPr="00CF77C1">
              <w:rPr>
                <w:sz w:val="20"/>
                <w:lang w:val="sr-Cyrl-RS"/>
              </w:rPr>
            </w:r>
            <w:r w:rsidRPr="00CF77C1">
              <w:rPr>
                <w:sz w:val="20"/>
                <w:lang w:val="sr-Cyrl-RS"/>
              </w:rPr>
              <w:fldChar w:fldCharType="separate"/>
            </w:r>
            <w:r w:rsidR="002D5918">
              <w:rPr>
                <w:sz w:val="20"/>
                <w:lang w:val="sr-Cyrl-RS"/>
              </w:rPr>
              <w:t>П.4</w:t>
            </w:r>
            <w:r w:rsidRPr="00CF77C1">
              <w:rPr>
                <w:sz w:val="20"/>
                <w:lang w:val="sr-Cyrl-RS"/>
              </w:rPr>
              <w:fldChar w:fldCharType="end"/>
            </w:r>
          </w:p>
        </w:tc>
        <w:tc>
          <w:tcPr>
            <w:tcW w:w="1985" w:type="dxa"/>
            <w:vAlign w:val="center"/>
          </w:tcPr>
          <w:p w14:paraId="6C444764" w14:textId="77777777" w:rsidR="00572939" w:rsidRPr="00CF77C1" w:rsidRDefault="00572939" w:rsidP="001D0517">
            <w:pPr>
              <w:autoSpaceDE w:val="0"/>
              <w:autoSpaceDN w:val="0"/>
              <w:adjustRightInd w:val="0"/>
              <w:spacing w:before="20" w:after="20"/>
              <w:jc w:val="left"/>
              <w:rPr>
                <w:color w:val="000000"/>
                <w:sz w:val="20"/>
                <w:lang w:val="sr-Cyrl-RS"/>
              </w:rPr>
            </w:pPr>
            <w:r w:rsidRPr="00CF77C1">
              <w:rPr>
                <w:color w:val="000000"/>
                <w:sz w:val="20"/>
                <w:lang w:val="sr-Cyrl-RS"/>
              </w:rPr>
              <w:t>Пројекат појачања надземних и подземних (кабловских) електроенергетских водова 110 kV у циљу повећања сигурности напајања и повећања ефикасности преноса електричне енергије на напонском нивоу 110 kV.</w:t>
            </w:r>
          </w:p>
        </w:tc>
        <w:tc>
          <w:tcPr>
            <w:tcW w:w="425" w:type="dxa"/>
            <w:vAlign w:val="center"/>
          </w:tcPr>
          <w:p w14:paraId="1273B03B" w14:textId="77777777" w:rsidR="00572939" w:rsidRPr="00CF77C1" w:rsidRDefault="00572939" w:rsidP="001D0517">
            <w:pPr>
              <w:autoSpaceDE w:val="0"/>
              <w:autoSpaceDN w:val="0"/>
              <w:adjustRightInd w:val="0"/>
              <w:spacing w:before="20" w:after="20"/>
              <w:jc w:val="center"/>
              <w:rPr>
                <w:color w:val="000000"/>
                <w:sz w:val="20"/>
                <w:lang w:val="sr-Cyrl-RS"/>
              </w:rPr>
            </w:pPr>
            <w:r w:rsidRPr="00CF77C1">
              <w:rPr>
                <w:color w:val="000000"/>
                <w:sz w:val="20"/>
                <w:lang w:val="sr-Cyrl-RS"/>
              </w:rPr>
              <w:t>33</w:t>
            </w:r>
          </w:p>
        </w:tc>
        <w:tc>
          <w:tcPr>
            <w:tcW w:w="8363" w:type="dxa"/>
            <w:vAlign w:val="center"/>
          </w:tcPr>
          <w:p w14:paraId="6A45C119" w14:textId="77777777" w:rsidR="00572939" w:rsidRPr="00CF77C1" w:rsidRDefault="00572939" w:rsidP="003E39B4">
            <w:pPr>
              <w:pStyle w:val="ListParagraph"/>
              <w:numPr>
                <w:ilvl w:val="0"/>
                <w:numId w:val="93"/>
              </w:numPr>
              <w:tabs>
                <w:tab w:val="right" w:pos="6838"/>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Одговорни субјекат:</w:t>
            </w:r>
            <w:r w:rsidRPr="00CF77C1">
              <w:rPr>
                <w:color w:val="000000"/>
                <w:sz w:val="20"/>
                <w:szCs w:val="20"/>
                <w:lang w:val="sr-Cyrl-RS"/>
              </w:rPr>
              <w:tab/>
              <w:t>ЕМС</w:t>
            </w:r>
          </w:p>
          <w:p w14:paraId="110DC549" w14:textId="77777777" w:rsidR="00572939" w:rsidRPr="00CF77C1" w:rsidRDefault="00572939" w:rsidP="003E39B4">
            <w:pPr>
              <w:pStyle w:val="ListParagraph"/>
              <w:numPr>
                <w:ilvl w:val="0"/>
                <w:numId w:val="9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Опис пројекта:</w:t>
            </w:r>
          </w:p>
          <w:p w14:paraId="585635E5" w14:textId="3645850D"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Пројекат обухвата реализацију шест потпројеката изградње нових далековода и кабловских водова 110 kV којима се обезбеђује двострано напајање до сада радијално напајаних ТС 110/X kV. Истовремено се обезбеђује економичност преноса снаге појединим 110 kV водовима.</w:t>
            </w:r>
          </w:p>
          <w:p w14:paraId="7E5E6AC1" w14:textId="77777777" w:rsidR="00572939" w:rsidRPr="00CF77C1" w:rsidRDefault="00572939" w:rsidP="003E39B4">
            <w:pPr>
              <w:pStyle w:val="ListParagraph"/>
              <w:numPr>
                <w:ilvl w:val="0"/>
                <w:numId w:val="9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Стратешка релевантност:</w:t>
            </w:r>
          </w:p>
          <w:p w14:paraId="073262C8" w14:textId="77777777"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Пројекат доприноси обезбеђењу сигурности снабдевања електричном енергијом и транзицији ка одрживој енергетици.</w:t>
            </w:r>
          </w:p>
          <w:p w14:paraId="33043F17" w14:textId="77777777" w:rsidR="00572939" w:rsidRPr="00CF77C1" w:rsidRDefault="00572939" w:rsidP="003E39B4">
            <w:pPr>
              <w:pStyle w:val="ListParagraph"/>
              <w:numPr>
                <w:ilvl w:val="0"/>
                <w:numId w:val="9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Припремљеност документације:</w:t>
            </w:r>
          </w:p>
          <w:p w14:paraId="44F5242E" w14:textId="23C8A232" w:rsidR="00572939" w:rsidRPr="00CF77C1" w:rsidRDefault="00572939" w:rsidP="00A8575D">
            <w:pPr>
              <w:autoSpaceDE w:val="0"/>
              <w:autoSpaceDN w:val="0"/>
              <w:adjustRightInd w:val="0"/>
              <w:spacing w:before="20" w:after="20"/>
              <w:jc w:val="left"/>
              <w:rPr>
                <w:color w:val="000000"/>
                <w:sz w:val="20"/>
                <w:lang w:val="sr-Cyrl-RS"/>
              </w:rPr>
            </w:pPr>
            <w:r w:rsidRPr="00CF77C1">
              <w:rPr>
                <w:color w:val="000000"/>
                <w:sz w:val="20"/>
                <w:lang w:val="sr-Cyrl-RS"/>
              </w:rPr>
              <w:t>Пројекат се реализује фазно, при чему је за поједине деонице у току обезбеђивање потребних дозвола, за поједине је у току израда просторно-планске и техничке документације, а за поједине ова израда тек треба да отпочне, што омогућује да се олакша могућност финансирања и сама реализација пројекта. Имајући у виду да се финанси</w:t>
            </w:r>
            <w:r w:rsidR="00787C42" w:rsidRPr="00CF77C1">
              <w:rPr>
                <w:color w:val="000000"/>
                <w:sz w:val="20"/>
                <w:lang w:val="sr-Cyrl-RS"/>
              </w:rPr>
              <w:t>ра из сопствених средстава ЕМС</w:t>
            </w:r>
            <w:r w:rsidRPr="00CF77C1">
              <w:rPr>
                <w:color w:val="000000"/>
                <w:sz w:val="20"/>
                <w:lang w:val="sr-Cyrl-RS"/>
              </w:rPr>
              <w:t>, пројекат не би требало да има проблема са финансирањем.</w:t>
            </w:r>
          </w:p>
          <w:p w14:paraId="0B79D5DA" w14:textId="77777777" w:rsidR="00572939" w:rsidRPr="00CF77C1" w:rsidRDefault="00572939" w:rsidP="003E39B4">
            <w:pPr>
              <w:pStyle w:val="ListParagraph"/>
              <w:numPr>
                <w:ilvl w:val="0"/>
                <w:numId w:val="93"/>
              </w:numPr>
              <w:tabs>
                <w:tab w:val="right" w:pos="5106"/>
              </w:tabs>
              <w:autoSpaceDE w:val="0"/>
              <w:autoSpaceDN w:val="0"/>
              <w:adjustRightInd w:val="0"/>
              <w:spacing w:before="20" w:after="20"/>
              <w:ind w:left="360"/>
              <w:jc w:val="left"/>
              <w:rPr>
                <w:color w:val="000000"/>
                <w:sz w:val="20"/>
                <w:szCs w:val="20"/>
                <w:lang w:val="sr-Cyrl-RS"/>
              </w:rPr>
            </w:pPr>
            <w:r w:rsidRPr="00CF77C1">
              <w:rPr>
                <w:color w:val="000000"/>
                <w:sz w:val="20"/>
                <w:szCs w:val="20"/>
                <w:lang w:val="sr-Cyrl-RS"/>
              </w:rPr>
              <w:t>Извори финансирања:</w:t>
            </w:r>
          </w:p>
          <w:p w14:paraId="79B4F258" w14:textId="57C89E2A" w:rsidR="00572939" w:rsidRPr="00CF77C1" w:rsidRDefault="00572939" w:rsidP="00C34093">
            <w:pPr>
              <w:autoSpaceDE w:val="0"/>
              <w:autoSpaceDN w:val="0"/>
              <w:adjustRightInd w:val="0"/>
              <w:spacing w:before="20" w:after="20"/>
              <w:jc w:val="left"/>
              <w:rPr>
                <w:color w:val="000000"/>
                <w:sz w:val="20"/>
                <w:lang w:val="sr-Cyrl-RS"/>
              </w:rPr>
            </w:pPr>
            <w:r w:rsidRPr="00CF77C1">
              <w:rPr>
                <w:color w:val="000000"/>
                <w:sz w:val="20"/>
                <w:lang w:val="sr-Cyrl-RS"/>
              </w:rPr>
              <w:t>Извори финансирања су обезбеђе</w:t>
            </w:r>
            <w:r w:rsidR="00787C42" w:rsidRPr="00CF77C1">
              <w:rPr>
                <w:color w:val="000000"/>
                <w:sz w:val="20"/>
                <w:lang w:val="sr-Cyrl-RS"/>
              </w:rPr>
              <w:t>ни из сопствених средстава ЕМС</w:t>
            </w:r>
            <w:r w:rsidRPr="00CF77C1">
              <w:rPr>
                <w:color w:val="000000"/>
                <w:sz w:val="20"/>
                <w:lang w:val="sr-Cyrl-RS"/>
              </w:rPr>
              <w:t>.</w:t>
            </w:r>
          </w:p>
        </w:tc>
        <w:tc>
          <w:tcPr>
            <w:tcW w:w="1418" w:type="dxa"/>
            <w:vAlign w:val="center"/>
          </w:tcPr>
          <w:p w14:paraId="1F8FA7D6" w14:textId="40A5DBBF" w:rsidR="00572939" w:rsidRPr="00CF77C1" w:rsidRDefault="00572939" w:rsidP="003C278C">
            <w:pPr>
              <w:jc w:val="center"/>
              <w:rPr>
                <w:sz w:val="20"/>
                <w:lang w:val="sr-Cyrl-RS"/>
              </w:rPr>
            </w:pPr>
            <w:r w:rsidRPr="00CF77C1">
              <w:rPr>
                <w:sz w:val="20"/>
                <w:lang w:val="sr-Cyrl-RS"/>
              </w:rPr>
              <w:t>20,9 милиона €</w:t>
            </w:r>
          </w:p>
        </w:tc>
        <w:tc>
          <w:tcPr>
            <w:tcW w:w="1276" w:type="dxa"/>
            <w:vAlign w:val="center"/>
          </w:tcPr>
          <w:p w14:paraId="11B79511" w14:textId="3CF2D480" w:rsidR="00572939" w:rsidRPr="00CF77C1" w:rsidRDefault="00572939" w:rsidP="003C278C">
            <w:pPr>
              <w:jc w:val="center"/>
              <w:rPr>
                <w:sz w:val="20"/>
                <w:lang w:val="sr-Cyrl-RS"/>
              </w:rPr>
            </w:pPr>
            <w:r w:rsidRPr="00CF77C1">
              <w:rPr>
                <w:sz w:val="20"/>
                <w:lang w:val="sr-Cyrl-RS"/>
              </w:rPr>
              <w:t>2017-2021.</w:t>
            </w:r>
          </w:p>
        </w:tc>
      </w:tr>
    </w:tbl>
    <w:p w14:paraId="0DA6F87B" w14:textId="46C93900" w:rsidR="002500F1" w:rsidRPr="00CF77C1" w:rsidRDefault="002500F1" w:rsidP="0039217F">
      <w:pPr>
        <w:pStyle w:val="Literatura"/>
        <w:numPr>
          <w:ilvl w:val="0"/>
          <w:numId w:val="0"/>
        </w:numPr>
        <w:rPr>
          <w:lang w:val="sr-Cyrl-RS"/>
        </w:rPr>
      </w:pPr>
      <w:bookmarkStart w:id="201" w:name="Kraj"/>
      <w:bookmarkEnd w:id="193"/>
      <w:bookmarkEnd w:id="194"/>
      <w:bookmarkEnd w:id="195"/>
      <w:bookmarkEnd w:id="196"/>
      <w:bookmarkEnd w:id="201"/>
    </w:p>
    <w:sectPr w:rsidR="002500F1" w:rsidRPr="00CF77C1" w:rsidSect="0039217F">
      <w:headerReference w:type="default" r:id="rId149"/>
      <w:footerReference w:type="default" r:id="rId150"/>
      <w:pgSz w:w="16839" w:h="11907" w:orient="landscape" w:code="9"/>
      <w:pgMar w:top="1418" w:right="1134" w:bottom="128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7B2ED" w14:textId="77777777" w:rsidR="00B15C8A" w:rsidRDefault="00B15C8A">
      <w:pPr>
        <w:spacing w:before="0" w:after="0"/>
      </w:pPr>
      <w:r>
        <w:separator/>
      </w:r>
    </w:p>
  </w:endnote>
  <w:endnote w:type="continuationSeparator" w:id="0">
    <w:p w14:paraId="3533DEB9" w14:textId="77777777" w:rsidR="00B15C8A" w:rsidRDefault="00B15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Myriad Pro">
    <w:altName w:val="Arial"/>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EUAlbertina">
    <w:altName w:val="EU Albertina"/>
    <w:panose1 w:val="00000000000000000000"/>
    <w:charset w:val="00"/>
    <w:family w:val="roman"/>
    <w:notTrueType/>
    <w:pitch w:val="default"/>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libri,Bold">
    <w:altName w:val="MS Gothic"/>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00"/>
    <w:family w:val="roman"/>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759631"/>
      <w:docPartObj>
        <w:docPartGallery w:val="Page Numbers (Bottom of Page)"/>
        <w:docPartUnique/>
      </w:docPartObj>
    </w:sdtPr>
    <w:sdtEndPr>
      <w:rPr>
        <w:noProof/>
      </w:rPr>
    </w:sdtEndPr>
    <w:sdtContent>
      <w:p w14:paraId="021170FE" w14:textId="122A3E3E" w:rsidR="002D5918" w:rsidRDefault="002D5918">
        <w:pPr>
          <w:pStyle w:val="Footer"/>
          <w:jc w:val="right"/>
        </w:pPr>
        <w:r>
          <w:fldChar w:fldCharType="begin"/>
        </w:r>
        <w:r>
          <w:instrText xml:space="preserve"> PAGE   \* MERGEFORMAT </w:instrText>
        </w:r>
        <w:r>
          <w:fldChar w:fldCharType="separate"/>
        </w:r>
        <w:r w:rsidR="008B08BE">
          <w:rPr>
            <w:noProof/>
          </w:rPr>
          <w:t>23</w:t>
        </w:r>
        <w:r>
          <w:rPr>
            <w:noProof/>
          </w:rPr>
          <w:fldChar w:fldCharType="end"/>
        </w:r>
      </w:p>
    </w:sdtContent>
  </w:sdt>
  <w:p w14:paraId="38AF12DE" w14:textId="77777777" w:rsidR="002D5918" w:rsidRDefault="002D5918" w:rsidP="001F5B55">
    <w:pPr>
      <w:pStyle w:val="Footer"/>
      <w:ind w:right="360"/>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573804"/>
      <w:docPartObj>
        <w:docPartGallery w:val="Page Numbers (Bottom of Page)"/>
        <w:docPartUnique/>
      </w:docPartObj>
    </w:sdtPr>
    <w:sdtEndPr>
      <w:rPr>
        <w:noProof/>
      </w:rPr>
    </w:sdtEndPr>
    <w:sdtContent>
      <w:p w14:paraId="3B098734" w14:textId="1E6E4760" w:rsidR="002D5918" w:rsidRDefault="002D5918">
        <w:pPr>
          <w:pStyle w:val="Footer"/>
          <w:jc w:val="right"/>
        </w:pPr>
        <w:r>
          <w:fldChar w:fldCharType="begin"/>
        </w:r>
        <w:r>
          <w:instrText xml:space="preserve"> PAGE   \* MERGEFORMAT </w:instrText>
        </w:r>
        <w:r>
          <w:fldChar w:fldCharType="separate"/>
        </w:r>
        <w:r w:rsidR="008B08BE">
          <w:rPr>
            <w:noProof/>
          </w:rPr>
          <w:t>34</w:t>
        </w:r>
        <w:r>
          <w:rPr>
            <w:noProof/>
          </w:rPr>
          <w:fldChar w:fldCharType="end"/>
        </w:r>
      </w:p>
    </w:sdtContent>
  </w:sdt>
  <w:p w14:paraId="10BFC220" w14:textId="77777777" w:rsidR="002D5918" w:rsidRDefault="002D5918" w:rsidP="00096A0D">
    <w:pPr>
      <w:pStyle w:val="Footer"/>
      <w:ind w:right="360"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B279D"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35BB191" w14:textId="77777777" w:rsidR="002D5918" w:rsidRDefault="002D5918" w:rsidP="00096A0D">
    <w:pPr>
      <w:pStyle w:val="Footer"/>
      <w:ind w:right="360"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868806"/>
      <w:docPartObj>
        <w:docPartGallery w:val="Page Numbers (Bottom of Page)"/>
        <w:docPartUnique/>
      </w:docPartObj>
    </w:sdtPr>
    <w:sdtEndPr>
      <w:rPr>
        <w:noProof/>
      </w:rPr>
    </w:sdtEndPr>
    <w:sdtContent>
      <w:p w14:paraId="0447757C" w14:textId="03EEBCBE" w:rsidR="002D5918" w:rsidRDefault="002D5918">
        <w:pPr>
          <w:pStyle w:val="Footer"/>
          <w:jc w:val="right"/>
        </w:pPr>
        <w:r>
          <w:fldChar w:fldCharType="begin"/>
        </w:r>
        <w:r>
          <w:instrText xml:space="preserve"> PAGE   \* MERGEFORMAT </w:instrText>
        </w:r>
        <w:r>
          <w:fldChar w:fldCharType="separate"/>
        </w:r>
        <w:r w:rsidR="008B08BE">
          <w:rPr>
            <w:noProof/>
          </w:rPr>
          <w:t>37</w:t>
        </w:r>
        <w:r>
          <w:rPr>
            <w:noProof/>
          </w:rPr>
          <w:fldChar w:fldCharType="end"/>
        </w:r>
      </w:p>
    </w:sdtContent>
  </w:sdt>
  <w:p w14:paraId="5D5C60BF" w14:textId="77777777" w:rsidR="002D5918" w:rsidRDefault="002D5918" w:rsidP="00096A0D">
    <w:pPr>
      <w:pStyle w:val="Footer"/>
      <w:ind w:right="360"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449282"/>
      <w:docPartObj>
        <w:docPartGallery w:val="Page Numbers (Bottom of Page)"/>
        <w:docPartUnique/>
      </w:docPartObj>
    </w:sdtPr>
    <w:sdtEndPr>
      <w:rPr>
        <w:noProof/>
      </w:rPr>
    </w:sdtEndPr>
    <w:sdtContent>
      <w:p w14:paraId="21DECFDF" w14:textId="5BD2D1AD" w:rsidR="002D5918" w:rsidRDefault="002D5918">
        <w:pPr>
          <w:pStyle w:val="Footer"/>
          <w:jc w:val="right"/>
        </w:pPr>
        <w:r>
          <w:fldChar w:fldCharType="begin"/>
        </w:r>
        <w:r>
          <w:instrText xml:space="preserve"> PAGE   \* MERGEFORMAT </w:instrText>
        </w:r>
        <w:r>
          <w:fldChar w:fldCharType="separate"/>
        </w:r>
        <w:r w:rsidR="008B08BE">
          <w:rPr>
            <w:noProof/>
          </w:rPr>
          <w:t>38</w:t>
        </w:r>
        <w:r>
          <w:rPr>
            <w:noProof/>
          </w:rPr>
          <w:fldChar w:fldCharType="end"/>
        </w:r>
      </w:p>
    </w:sdtContent>
  </w:sdt>
  <w:p w14:paraId="0E299A75" w14:textId="77777777" w:rsidR="002D5918" w:rsidRDefault="002D5918" w:rsidP="00096A0D">
    <w:pPr>
      <w:pStyle w:val="Footer"/>
      <w:ind w:right="360"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B7E1D"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441DA41" w14:textId="77777777" w:rsidR="002D5918" w:rsidRDefault="002D5918" w:rsidP="00096A0D">
    <w:pPr>
      <w:pStyle w:val="Footer"/>
      <w:ind w:right="360" w:firstLine="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070904"/>
      <w:docPartObj>
        <w:docPartGallery w:val="Page Numbers (Bottom of Page)"/>
        <w:docPartUnique/>
      </w:docPartObj>
    </w:sdtPr>
    <w:sdtEndPr>
      <w:rPr>
        <w:noProof/>
      </w:rPr>
    </w:sdtEndPr>
    <w:sdtContent>
      <w:p w14:paraId="5098950D" w14:textId="3ABDDD4E" w:rsidR="002D5918" w:rsidRDefault="002D5918">
        <w:pPr>
          <w:pStyle w:val="Footer"/>
          <w:jc w:val="right"/>
        </w:pPr>
        <w:r>
          <w:fldChar w:fldCharType="begin"/>
        </w:r>
        <w:r>
          <w:instrText xml:space="preserve"> PAGE   \* MERGEFORMAT </w:instrText>
        </w:r>
        <w:r>
          <w:fldChar w:fldCharType="separate"/>
        </w:r>
        <w:r w:rsidR="008B08BE">
          <w:rPr>
            <w:noProof/>
          </w:rPr>
          <w:t>40</w:t>
        </w:r>
        <w:r>
          <w:rPr>
            <w:noProof/>
          </w:rPr>
          <w:fldChar w:fldCharType="end"/>
        </w:r>
      </w:p>
    </w:sdtContent>
  </w:sdt>
  <w:p w14:paraId="3ECC23F7" w14:textId="77777777" w:rsidR="002D5918" w:rsidRDefault="002D5918" w:rsidP="00096A0D">
    <w:pPr>
      <w:pStyle w:val="Footer"/>
      <w:ind w:right="360" w:firstLine="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1A233" w14:textId="246476FE"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08BE">
      <w:rPr>
        <w:rStyle w:val="PageNumber"/>
        <w:noProof/>
      </w:rPr>
      <w:t>41</w:t>
    </w:r>
    <w:r>
      <w:rPr>
        <w:rStyle w:val="PageNumber"/>
      </w:rPr>
      <w:fldChar w:fldCharType="end"/>
    </w:r>
  </w:p>
  <w:p w14:paraId="3C982993" w14:textId="77777777" w:rsidR="002D5918" w:rsidRDefault="002D5918" w:rsidP="00096A0D">
    <w:pPr>
      <w:pStyle w:val="Footer"/>
      <w:ind w:right="360" w:firstLine="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11991"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F4E93EF" w14:textId="77777777" w:rsidR="002D5918" w:rsidRDefault="002D5918" w:rsidP="00096A0D">
    <w:pPr>
      <w:pStyle w:val="Footer"/>
      <w:ind w:right="360" w:firstLine="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46374"/>
      <w:docPartObj>
        <w:docPartGallery w:val="Page Numbers (Bottom of Page)"/>
        <w:docPartUnique/>
      </w:docPartObj>
    </w:sdtPr>
    <w:sdtEndPr>
      <w:rPr>
        <w:noProof/>
      </w:rPr>
    </w:sdtEndPr>
    <w:sdtContent>
      <w:p w14:paraId="4C90210F" w14:textId="4FD6FD51" w:rsidR="002D5918" w:rsidRDefault="002D5918">
        <w:pPr>
          <w:pStyle w:val="Footer"/>
          <w:jc w:val="right"/>
        </w:pPr>
        <w:r>
          <w:fldChar w:fldCharType="begin"/>
        </w:r>
        <w:r>
          <w:instrText xml:space="preserve"> PAGE   \* MERGEFORMAT </w:instrText>
        </w:r>
        <w:r>
          <w:fldChar w:fldCharType="separate"/>
        </w:r>
        <w:r w:rsidR="008B08BE">
          <w:rPr>
            <w:noProof/>
          </w:rPr>
          <w:t>42</w:t>
        </w:r>
        <w:r>
          <w:rPr>
            <w:noProof/>
          </w:rPr>
          <w:fldChar w:fldCharType="end"/>
        </w:r>
      </w:p>
    </w:sdtContent>
  </w:sdt>
  <w:p w14:paraId="591770C8" w14:textId="77777777" w:rsidR="002D5918" w:rsidRDefault="002D5918" w:rsidP="00096A0D">
    <w:pPr>
      <w:pStyle w:val="Footer"/>
      <w:ind w:right="360" w:firstLine="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892371"/>
      <w:docPartObj>
        <w:docPartGallery w:val="Page Numbers (Bottom of Page)"/>
        <w:docPartUnique/>
      </w:docPartObj>
    </w:sdtPr>
    <w:sdtEndPr>
      <w:rPr>
        <w:noProof/>
      </w:rPr>
    </w:sdtEndPr>
    <w:sdtContent>
      <w:p w14:paraId="222B362C" w14:textId="54083A49" w:rsidR="002D5918" w:rsidRDefault="002D5918">
        <w:pPr>
          <w:pStyle w:val="Footer"/>
          <w:jc w:val="right"/>
        </w:pPr>
        <w:r>
          <w:fldChar w:fldCharType="begin"/>
        </w:r>
        <w:r>
          <w:instrText xml:space="preserve"> PAGE   \* MERGEFORMAT </w:instrText>
        </w:r>
        <w:r>
          <w:fldChar w:fldCharType="separate"/>
        </w:r>
        <w:r w:rsidR="008B08BE">
          <w:rPr>
            <w:noProof/>
          </w:rPr>
          <w:t>43</w:t>
        </w:r>
        <w:r>
          <w:rPr>
            <w:noProof/>
          </w:rPr>
          <w:fldChar w:fldCharType="end"/>
        </w:r>
      </w:p>
    </w:sdtContent>
  </w:sdt>
  <w:p w14:paraId="1C790E73" w14:textId="77777777" w:rsidR="002D5918" w:rsidRDefault="002D5918" w:rsidP="00096A0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80AA"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33B866" w14:textId="77777777" w:rsidR="002D5918" w:rsidRDefault="002D5918" w:rsidP="00096A0D">
    <w:pPr>
      <w:pStyle w:val="Footer"/>
      <w:ind w:right="360"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9AF32"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9F2F989" w14:textId="77777777" w:rsidR="002D5918" w:rsidRDefault="002D5918" w:rsidP="00096A0D">
    <w:pPr>
      <w:pStyle w:val="Footer"/>
      <w:ind w:right="360" w:firstLine="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676733"/>
      <w:docPartObj>
        <w:docPartGallery w:val="Page Numbers (Bottom of Page)"/>
        <w:docPartUnique/>
      </w:docPartObj>
    </w:sdtPr>
    <w:sdtEndPr>
      <w:rPr>
        <w:noProof/>
      </w:rPr>
    </w:sdtEndPr>
    <w:sdtContent>
      <w:p w14:paraId="78C9FD06" w14:textId="3836D9BA" w:rsidR="002D5918" w:rsidRDefault="002D5918">
        <w:pPr>
          <w:pStyle w:val="Footer"/>
          <w:jc w:val="right"/>
        </w:pPr>
        <w:r>
          <w:fldChar w:fldCharType="begin"/>
        </w:r>
        <w:r>
          <w:instrText xml:space="preserve"> PAGE   \* MERGEFORMAT </w:instrText>
        </w:r>
        <w:r>
          <w:fldChar w:fldCharType="separate"/>
        </w:r>
        <w:r w:rsidR="008B08BE">
          <w:rPr>
            <w:noProof/>
          </w:rPr>
          <w:t>51</w:t>
        </w:r>
        <w:r>
          <w:rPr>
            <w:noProof/>
          </w:rPr>
          <w:fldChar w:fldCharType="end"/>
        </w:r>
      </w:p>
    </w:sdtContent>
  </w:sdt>
  <w:p w14:paraId="6D2C61F4" w14:textId="77777777" w:rsidR="002D5918" w:rsidRDefault="002D5918" w:rsidP="00096A0D">
    <w:pPr>
      <w:pStyle w:val="Footer"/>
      <w:ind w:right="360" w:firstLine="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014666"/>
      <w:docPartObj>
        <w:docPartGallery w:val="Page Numbers (Bottom of Page)"/>
        <w:docPartUnique/>
      </w:docPartObj>
    </w:sdtPr>
    <w:sdtEndPr>
      <w:rPr>
        <w:noProof/>
      </w:rPr>
    </w:sdtEndPr>
    <w:sdtContent>
      <w:p w14:paraId="6BCB7063" w14:textId="7A6A70D9" w:rsidR="002D5918" w:rsidRDefault="002D5918">
        <w:pPr>
          <w:pStyle w:val="Footer"/>
          <w:jc w:val="right"/>
        </w:pPr>
        <w:r>
          <w:fldChar w:fldCharType="begin"/>
        </w:r>
        <w:r>
          <w:instrText xml:space="preserve"> PAGE   \* MERGEFORMAT </w:instrText>
        </w:r>
        <w:r>
          <w:fldChar w:fldCharType="separate"/>
        </w:r>
        <w:r w:rsidR="008B08BE">
          <w:rPr>
            <w:noProof/>
          </w:rPr>
          <w:t>61</w:t>
        </w:r>
        <w:r>
          <w:rPr>
            <w:noProof/>
          </w:rPr>
          <w:fldChar w:fldCharType="end"/>
        </w:r>
      </w:p>
    </w:sdtContent>
  </w:sdt>
  <w:p w14:paraId="5224DD09" w14:textId="77777777" w:rsidR="002D5918" w:rsidRDefault="002D5918" w:rsidP="00096A0D">
    <w:pPr>
      <w:pStyle w:val="Footer"/>
      <w:ind w:right="360" w:firstLine="36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DBC89"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CC69CAD" w14:textId="77777777" w:rsidR="002D5918" w:rsidRDefault="002D5918" w:rsidP="00096A0D">
    <w:pPr>
      <w:pStyle w:val="Footer"/>
      <w:ind w:right="360" w:firstLine="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445493"/>
      <w:docPartObj>
        <w:docPartGallery w:val="Page Numbers (Bottom of Page)"/>
        <w:docPartUnique/>
      </w:docPartObj>
    </w:sdtPr>
    <w:sdtEndPr>
      <w:rPr>
        <w:noProof/>
      </w:rPr>
    </w:sdtEndPr>
    <w:sdtContent>
      <w:p w14:paraId="35C91C3F" w14:textId="55D13D48" w:rsidR="002D5918" w:rsidRDefault="002D5918">
        <w:pPr>
          <w:pStyle w:val="Footer"/>
          <w:jc w:val="right"/>
        </w:pPr>
        <w:r>
          <w:fldChar w:fldCharType="begin"/>
        </w:r>
        <w:r>
          <w:instrText xml:space="preserve"> PAGE   \* MERGEFORMAT </w:instrText>
        </w:r>
        <w:r>
          <w:fldChar w:fldCharType="separate"/>
        </w:r>
        <w:r w:rsidR="008B08BE">
          <w:rPr>
            <w:noProof/>
          </w:rPr>
          <w:t>67</w:t>
        </w:r>
        <w:r>
          <w:rPr>
            <w:noProof/>
          </w:rPr>
          <w:fldChar w:fldCharType="end"/>
        </w:r>
      </w:p>
    </w:sdtContent>
  </w:sdt>
  <w:p w14:paraId="3BE5B1D3" w14:textId="77777777" w:rsidR="002D5918" w:rsidRDefault="002D5918" w:rsidP="00096A0D">
    <w:pPr>
      <w:pStyle w:val="Footer"/>
      <w:ind w:right="360" w:firstLine="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9662859"/>
      <w:docPartObj>
        <w:docPartGallery w:val="Page Numbers (Bottom of Page)"/>
        <w:docPartUnique/>
      </w:docPartObj>
    </w:sdtPr>
    <w:sdtEndPr>
      <w:rPr>
        <w:noProof/>
      </w:rPr>
    </w:sdtEndPr>
    <w:sdtContent>
      <w:p w14:paraId="027866F9" w14:textId="55E3382A" w:rsidR="002D5918" w:rsidRDefault="002D5918">
        <w:pPr>
          <w:pStyle w:val="Footer"/>
          <w:jc w:val="right"/>
        </w:pPr>
        <w:r>
          <w:fldChar w:fldCharType="begin"/>
        </w:r>
        <w:r>
          <w:instrText xml:space="preserve"> PAGE   \* MERGEFORMAT </w:instrText>
        </w:r>
        <w:r>
          <w:fldChar w:fldCharType="separate"/>
        </w:r>
        <w:r w:rsidR="008B08BE">
          <w:rPr>
            <w:noProof/>
          </w:rPr>
          <w:t>78</w:t>
        </w:r>
        <w:r>
          <w:rPr>
            <w:noProof/>
          </w:rPr>
          <w:fldChar w:fldCharType="end"/>
        </w:r>
      </w:p>
    </w:sdtContent>
  </w:sdt>
  <w:p w14:paraId="708137BE" w14:textId="77777777" w:rsidR="002D5918" w:rsidRDefault="002D5918" w:rsidP="00096A0D">
    <w:pPr>
      <w:pStyle w:val="Footer"/>
      <w:ind w:right="360" w:firstLine="36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820DD" w14:textId="77777777" w:rsidR="002D5918" w:rsidRDefault="002D5918" w:rsidP="007C74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5186D0" w14:textId="77777777" w:rsidR="002D5918" w:rsidRDefault="002D5918" w:rsidP="00096A0D">
    <w:pPr>
      <w:pStyle w:val="Footer"/>
      <w:ind w:right="360" w:firstLine="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817511"/>
      <w:docPartObj>
        <w:docPartGallery w:val="Page Numbers (Bottom of Page)"/>
        <w:docPartUnique/>
      </w:docPartObj>
    </w:sdtPr>
    <w:sdtEndPr>
      <w:rPr>
        <w:noProof/>
      </w:rPr>
    </w:sdtEndPr>
    <w:sdtContent>
      <w:p w14:paraId="5BD5BA87" w14:textId="0DE0F486" w:rsidR="002D5918" w:rsidRDefault="002D5918">
        <w:pPr>
          <w:pStyle w:val="Footer"/>
          <w:jc w:val="right"/>
        </w:pPr>
        <w:r>
          <w:fldChar w:fldCharType="begin"/>
        </w:r>
        <w:r>
          <w:instrText xml:space="preserve"> PAGE   \* MERGEFORMAT </w:instrText>
        </w:r>
        <w:r>
          <w:fldChar w:fldCharType="separate"/>
        </w:r>
        <w:r w:rsidR="008B08BE">
          <w:rPr>
            <w:noProof/>
          </w:rPr>
          <w:t>90</w:t>
        </w:r>
        <w:r>
          <w:rPr>
            <w:noProof/>
          </w:rPr>
          <w:fldChar w:fldCharType="end"/>
        </w:r>
      </w:p>
    </w:sdtContent>
  </w:sdt>
  <w:p w14:paraId="5224B542" w14:textId="77777777" w:rsidR="002D5918" w:rsidRDefault="002D5918" w:rsidP="00096A0D">
    <w:pPr>
      <w:pStyle w:val="Footer"/>
      <w:ind w:right="360" w:firstLine="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328551"/>
      <w:docPartObj>
        <w:docPartGallery w:val="Page Numbers (Bottom of Page)"/>
        <w:docPartUnique/>
      </w:docPartObj>
    </w:sdtPr>
    <w:sdtEndPr>
      <w:rPr>
        <w:noProof/>
      </w:rPr>
    </w:sdtEndPr>
    <w:sdtContent>
      <w:p w14:paraId="662B3824" w14:textId="1402A538" w:rsidR="002D5918" w:rsidRDefault="002D5918">
        <w:pPr>
          <w:pStyle w:val="Footer"/>
          <w:jc w:val="right"/>
        </w:pPr>
        <w:r>
          <w:fldChar w:fldCharType="begin"/>
        </w:r>
        <w:r>
          <w:instrText xml:space="preserve"> PAGE   \* MERGEFORMAT </w:instrText>
        </w:r>
        <w:r>
          <w:fldChar w:fldCharType="separate"/>
        </w:r>
        <w:r w:rsidR="008B08BE">
          <w:rPr>
            <w:noProof/>
          </w:rPr>
          <w:t>93</w:t>
        </w:r>
        <w:r>
          <w:rPr>
            <w:noProof/>
          </w:rPr>
          <w:fldChar w:fldCharType="end"/>
        </w:r>
      </w:p>
    </w:sdtContent>
  </w:sdt>
  <w:p w14:paraId="131AB547" w14:textId="77777777" w:rsidR="002D5918" w:rsidRDefault="002D5918" w:rsidP="00096A0D">
    <w:pPr>
      <w:pStyle w:val="Footer"/>
      <w:ind w:right="360" w:firstLine="36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057AE" w14:textId="77777777" w:rsidR="002D5918" w:rsidRDefault="002D5918" w:rsidP="007C74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05793" w14:textId="77777777" w:rsidR="002D5918" w:rsidRDefault="002D5918" w:rsidP="00096A0D">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790823"/>
      <w:docPartObj>
        <w:docPartGallery w:val="Page Numbers (Bottom of Page)"/>
        <w:docPartUnique/>
      </w:docPartObj>
    </w:sdtPr>
    <w:sdtEndPr>
      <w:rPr>
        <w:noProof/>
      </w:rPr>
    </w:sdtEndPr>
    <w:sdtContent>
      <w:p w14:paraId="07F1EA92" w14:textId="06F62523" w:rsidR="002D5918" w:rsidRDefault="002D5918">
        <w:pPr>
          <w:pStyle w:val="Footer"/>
          <w:jc w:val="right"/>
        </w:pPr>
        <w:r>
          <w:fldChar w:fldCharType="begin"/>
        </w:r>
        <w:r>
          <w:instrText xml:space="preserve"> PAGE   \* MERGEFORMAT </w:instrText>
        </w:r>
        <w:r>
          <w:fldChar w:fldCharType="separate"/>
        </w:r>
        <w:r w:rsidR="008B08BE">
          <w:rPr>
            <w:noProof/>
          </w:rPr>
          <w:t>25</w:t>
        </w:r>
        <w:r>
          <w:rPr>
            <w:noProof/>
          </w:rPr>
          <w:fldChar w:fldCharType="end"/>
        </w:r>
      </w:p>
    </w:sdtContent>
  </w:sdt>
  <w:p w14:paraId="4F1CF832" w14:textId="77777777" w:rsidR="002D5918" w:rsidRDefault="002D5918" w:rsidP="00096A0D">
    <w:pPr>
      <w:pStyle w:val="Footer"/>
      <w:ind w:right="360" w:firstLine="36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336070"/>
      <w:docPartObj>
        <w:docPartGallery w:val="Page Numbers (Bottom of Page)"/>
        <w:docPartUnique/>
      </w:docPartObj>
    </w:sdtPr>
    <w:sdtEndPr>
      <w:rPr>
        <w:noProof/>
      </w:rPr>
    </w:sdtEndPr>
    <w:sdtContent>
      <w:p w14:paraId="7D59485E" w14:textId="07E6C3E4" w:rsidR="002D5918" w:rsidRDefault="002D5918">
        <w:pPr>
          <w:pStyle w:val="Footer"/>
          <w:jc w:val="right"/>
        </w:pPr>
        <w:r>
          <w:fldChar w:fldCharType="begin"/>
        </w:r>
        <w:r>
          <w:instrText xml:space="preserve"> PAGE   \* MERGEFORMAT </w:instrText>
        </w:r>
        <w:r>
          <w:fldChar w:fldCharType="separate"/>
        </w:r>
        <w:r w:rsidR="008B08BE">
          <w:rPr>
            <w:noProof/>
          </w:rPr>
          <w:t>94</w:t>
        </w:r>
        <w:r>
          <w:rPr>
            <w:noProof/>
          </w:rPr>
          <w:fldChar w:fldCharType="end"/>
        </w:r>
      </w:p>
    </w:sdtContent>
  </w:sdt>
  <w:p w14:paraId="512258AA" w14:textId="77777777" w:rsidR="002D5918" w:rsidRDefault="002D5918" w:rsidP="00096A0D">
    <w:pPr>
      <w:pStyle w:val="Footer"/>
      <w:ind w:right="360" w:firstLine="36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916781"/>
      <w:docPartObj>
        <w:docPartGallery w:val="Page Numbers (Bottom of Page)"/>
        <w:docPartUnique/>
      </w:docPartObj>
    </w:sdtPr>
    <w:sdtEndPr>
      <w:rPr>
        <w:noProof/>
      </w:rPr>
    </w:sdtEndPr>
    <w:sdtContent>
      <w:p w14:paraId="6FEF6B9B" w14:textId="50B4A153" w:rsidR="002D5918" w:rsidRDefault="002D5918">
        <w:pPr>
          <w:pStyle w:val="Footer"/>
          <w:jc w:val="right"/>
        </w:pPr>
        <w:r>
          <w:fldChar w:fldCharType="begin"/>
        </w:r>
        <w:r>
          <w:instrText xml:space="preserve"> PAGE   \* MERGEFORMAT </w:instrText>
        </w:r>
        <w:r>
          <w:fldChar w:fldCharType="separate"/>
        </w:r>
        <w:r w:rsidR="008B08BE">
          <w:rPr>
            <w:noProof/>
          </w:rPr>
          <w:t>96</w:t>
        </w:r>
        <w:r>
          <w:rPr>
            <w:noProof/>
          </w:rPr>
          <w:fldChar w:fldCharType="end"/>
        </w:r>
      </w:p>
    </w:sdtContent>
  </w:sdt>
  <w:p w14:paraId="50185CC6" w14:textId="77777777" w:rsidR="002D5918" w:rsidRDefault="002D5918" w:rsidP="00096A0D">
    <w:pPr>
      <w:pStyle w:val="Footer"/>
      <w:ind w:right="360" w:firstLine="36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8F8D2"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36E450A" w14:textId="77777777" w:rsidR="002D5918" w:rsidRDefault="002D5918" w:rsidP="00096A0D">
    <w:pPr>
      <w:pStyle w:val="Footer"/>
      <w:ind w:right="360" w:firstLine="36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040728"/>
      <w:docPartObj>
        <w:docPartGallery w:val="Page Numbers (Bottom of Page)"/>
        <w:docPartUnique/>
      </w:docPartObj>
    </w:sdtPr>
    <w:sdtEndPr>
      <w:rPr>
        <w:noProof/>
      </w:rPr>
    </w:sdtEndPr>
    <w:sdtContent>
      <w:p w14:paraId="3169E8B4" w14:textId="721B6878" w:rsidR="002D5918" w:rsidRDefault="002D5918">
        <w:pPr>
          <w:pStyle w:val="Footer"/>
          <w:jc w:val="right"/>
        </w:pPr>
        <w:r>
          <w:fldChar w:fldCharType="begin"/>
        </w:r>
        <w:r>
          <w:instrText xml:space="preserve"> PAGE   \* MERGEFORMAT </w:instrText>
        </w:r>
        <w:r>
          <w:fldChar w:fldCharType="separate"/>
        </w:r>
        <w:r w:rsidR="008B08BE">
          <w:rPr>
            <w:noProof/>
          </w:rPr>
          <w:t>109</w:t>
        </w:r>
        <w:r>
          <w:rPr>
            <w:noProof/>
          </w:rPr>
          <w:fldChar w:fldCharType="end"/>
        </w:r>
      </w:p>
    </w:sdtContent>
  </w:sdt>
  <w:p w14:paraId="6EE301DF" w14:textId="77777777" w:rsidR="002D5918" w:rsidRDefault="002D5918" w:rsidP="00096A0D">
    <w:pPr>
      <w:pStyle w:val="Footer"/>
      <w:ind w:right="360" w:firstLine="36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226738"/>
      <w:docPartObj>
        <w:docPartGallery w:val="Page Numbers (Bottom of Page)"/>
        <w:docPartUnique/>
      </w:docPartObj>
    </w:sdtPr>
    <w:sdtEndPr>
      <w:rPr>
        <w:noProof/>
      </w:rPr>
    </w:sdtEndPr>
    <w:sdtContent>
      <w:p w14:paraId="717D9858" w14:textId="10FBCF38" w:rsidR="002D5918" w:rsidRDefault="002D5918">
        <w:pPr>
          <w:pStyle w:val="Footer"/>
          <w:jc w:val="right"/>
        </w:pPr>
        <w:r>
          <w:fldChar w:fldCharType="begin"/>
        </w:r>
        <w:r>
          <w:instrText xml:space="preserve"> PAGE   \* MERGEFORMAT </w:instrText>
        </w:r>
        <w:r>
          <w:fldChar w:fldCharType="separate"/>
        </w:r>
        <w:r w:rsidR="008B08BE">
          <w:rPr>
            <w:noProof/>
          </w:rPr>
          <w:t>115</w:t>
        </w:r>
        <w:r>
          <w:rPr>
            <w:noProof/>
          </w:rPr>
          <w:fldChar w:fldCharType="end"/>
        </w:r>
      </w:p>
    </w:sdtContent>
  </w:sdt>
  <w:p w14:paraId="28E00541" w14:textId="77777777" w:rsidR="002D5918" w:rsidRDefault="002D5918" w:rsidP="003F3DB8">
    <w:pPr>
      <w:pStyle w:val="Footer"/>
      <w:ind w:right="360" w:firstLine="36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4D89" w14:textId="77777777" w:rsidR="002D5918" w:rsidRDefault="002D5918" w:rsidP="003F3DB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2E16421" w14:textId="77777777" w:rsidR="002D5918" w:rsidRDefault="002D5918" w:rsidP="003F3DB8">
    <w:pPr>
      <w:pStyle w:val="Footer"/>
      <w:ind w:right="360" w:firstLine="36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388579"/>
      <w:docPartObj>
        <w:docPartGallery w:val="Page Numbers (Bottom of Page)"/>
        <w:docPartUnique/>
      </w:docPartObj>
    </w:sdtPr>
    <w:sdtEndPr>
      <w:rPr>
        <w:noProof/>
      </w:rPr>
    </w:sdtEndPr>
    <w:sdtContent>
      <w:p w14:paraId="2CCFF895" w14:textId="7122EB99" w:rsidR="002D5918" w:rsidRDefault="002D5918">
        <w:pPr>
          <w:pStyle w:val="Footer"/>
          <w:jc w:val="right"/>
        </w:pPr>
        <w:r>
          <w:fldChar w:fldCharType="begin"/>
        </w:r>
        <w:r>
          <w:instrText xml:space="preserve"> PAGE   \* MERGEFORMAT </w:instrText>
        </w:r>
        <w:r>
          <w:fldChar w:fldCharType="separate"/>
        </w:r>
        <w:r w:rsidR="008B08BE">
          <w:rPr>
            <w:noProof/>
          </w:rPr>
          <w:t>121</w:t>
        </w:r>
        <w:r>
          <w:rPr>
            <w:noProof/>
          </w:rPr>
          <w:fldChar w:fldCharType="end"/>
        </w:r>
      </w:p>
    </w:sdtContent>
  </w:sdt>
  <w:p w14:paraId="14CDC167" w14:textId="77777777" w:rsidR="002D5918" w:rsidRDefault="002D5918" w:rsidP="003F3DB8">
    <w:pPr>
      <w:pStyle w:val="Footer"/>
      <w:ind w:right="360" w:firstLine="360"/>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47901"/>
      <w:docPartObj>
        <w:docPartGallery w:val="Page Numbers (Bottom of Page)"/>
        <w:docPartUnique/>
      </w:docPartObj>
    </w:sdtPr>
    <w:sdtEndPr>
      <w:rPr>
        <w:noProof/>
      </w:rPr>
    </w:sdtEndPr>
    <w:sdtContent>
      <w:p w14:paraId="6CE1883A" w14:textId="1E5EBF56" w:rsidR="002D5918" w:rsidRDefault="002D5918">
        <w:pPr>
          <w:pStyle w:val="Footer"/>
          <w:jc w:val="right"/>
        </w:pPr>
        <w:r>
          <w:fldChar w:fldCharType="begin"/>
        </w:r>
        <w:r>
          <w:instrText xml:space="preserve"> PAGE   \* MERGEFORMAT </w:instrText>
        </w:r>
        <w:r>
          <w:fldChar w:fldCharType="separate"/>
        </w:r>
        <w:r w:rsidR="008B08BE">
          <w:rPr>
            <w:noProof/>
          </w:rPr>
          <w:t>125</w:t>
        </w:r>
        <w:r>
          <w:rPr>
            <w:noProof/>
          </w:rPr>
          <w:fldChar w:fldCharType="end"/>
        </w:r>
      </w:p>
    </w:sdtContent>
  </w:sdt>
  <w:p w14:paraId="2F2C9D49" w14:textId="77777777" w:rsidR="002D5918" w:rsidRDefault="002D5918" w:rsidP="003F3DB8">
    <w:pPr>
      <w:pStyle w:val="Footer"/>
      <w:ind w:right="360" w:firstLine="360"/>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729C2" w14:textId="77777777" w:rsidR="002D5918" w:rsidRDefault="002D5918" w:rsidP="003F3DB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A19F103" w14:textId="77777777" w:rsidR="002D5918" w:rsidRDefault="002D5918" w:rsidP="003F3DB8">
    <w:pPr>
      <w:pStyle w:val="Footer"/>
      <w:ind w:right="360" w:firstLine="360"/>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791525"/>
      <w:docPartObj>
        <w:docPartGallery w:val="Page Numbers (Bottom of Page)"/>
        <w:docPartUnique/>
      </w:docPartObj>
    </w:sdtPr>
    <w:sdtEndPr>
      <w:rPr>
        <w:noProof/>
      </w:rPr>
    </w:sdtEndPr>
    <w:sdtContent>
      <w:p w14:paraId="4323BF8F" w14:textId="2B31028E" w:rsidR="002D5918" w:rsidRDefault="002D5918">
        <w:pPr>
          <w:pStyle w:val="Footer"/>
          <w:jc w:val="right"/>
        </w:pPr>
        <w:r>
          <w:fldChar w:fldCharType="begin"/>
        </w:r>
        <w:r>
          <w:instrText xml:space="preserve"> PAGE   \* MERGEFORMAT </w:instrText>
        </w:r>
        <w:r>
          <w:fldChar w:fldCharType="separate"/>
        </w:r>
        <w:r w:rsidR="008B08BE">
          <w:rPr>
            <w:noProof/>
          </w:rPr>
          <w:t>137</w:t>
        </w:r>
        <w:r>
          <w:rPr>
            <w:noProof/>
          </w:rPr>
          <w:fldChar w:fldCharType="end"/>
        </w:r>
      </w:p>
    </w:sdtContent>
  </w:sdt>
  <w:p w14:paraId="459DF3BC" w14:textId="77777777" w:rsidR="002D5918" w:rsidRDefault="002D5918" w:rsidP="003F3DB8">
    <w:pPr>
      <w:pStyle w:val="Footer"/>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74113"/>
      <w:docPartObj>
        <w:docPartGallery w:val="Page Numbers (Bottom of Page)"/>
        <w:docPartUnique/>
      </w:docPartObj>
    </w:sdtPr>
    <w:sdtEndPr>
      <w:rPr>
        <w:noProof/>
      </w:rPr>
    </w:sdtEndPr>
    <w:sdtContent>
      <w:p w14:paraId="26769A3B" w14:textId="52185139" w:rsidR="002D5918" w:rsidRDefault="002D5918">
        <w:pPr>
          <w:pStyle w:val="Footer"/>
          <w:jc w:val="right"/>
        </w:pPr>
        <w:r>
          <w:fldChar w:fldCharType="begin"/>
        </w:r>
        <w:r>
          <w:instrText xml:space="preserve"> PAGE   \* MERGEFORMAT </w:instrText>
        </w:r>
        <w:r>
          <w:fldChar w:fldCharType="separate"/>
        </w:r>
        <w:r w:rsidR="008B08BE">
          <w:rPr>
            <w:noProof/>
          </w:rPr>
          <w:t>27</w:t>
        </w:r>
        <w:r>
          <w:rPr>
            <w:noProof/>
          </w:rPr>
          <w:fldChar w:fldCharType="end"/>
        </w:r>
      </w:p>
    </w:sdtContent>
  </w:sdt>
  <w:p w14:paraId="084BB469" w14:textId="77777777" w:rsidR="002D5918" w:rsidRDefault="002D5918" w:rsidP="00096A0D">
    <w:pPr>
      <w:pStyle w:val="Footer"/>
      <w:ind w:right="360" w:firstLine="360"/>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920268"/>
      <w:docPartObj>
        <w:docPartGallery w:val="Page Numbers (Bottom of Page)"/>
        <w:docPartUnique/>
      </w:docPartObj>
    </w:sdtPr>
    <w:sdtEndPr>
      <w:rPr>
        <w:noProof/>
      </w:rPr>
    </w:sdtEndPr>
    <w:sdtContent>
      <w:p w14:paraId="1C2165D2" w14:textId="226C70DA" w:rsidR="002D5918" w:rsidRDefault="002D5918">
        <w:pPr>
          <w:pStyle w:val="Footer"/>
          <w:jc w:val="right"/>
        </w:pPr>
        <w:r>
          <w:fldChar w:fldCharType="begin"/>
        </w:r>
        <w:r>
          <w:instrText xml:space="preserve"> PAGE   \* MERGEFORMAT </w:instrText>
        </w:r>
        <w:r>
          <w:fldChar w:fldCharType="separate"/>
        </w:r>
        <w:r w:rsidR="008B08BE">
          <w:rPr>
            <w:noProof/>
          </w:rPr>
          <w:t>138</w:t>
        </w:r>
        <w:r>
          <w:rPr>
            <w:noProof/>
          </w:rPr>
          <w:fldChar w:fldCharType="end"/>
        </w:r>
      </w:p>
    </w:sdtContent>
  </w:sdt>
  <w:p w14:paraId="3959F9FD" w14:textId="77777777" w:rsidR="002D5918" w:rsidRDefault="002D5918" w:rsidP="003F3DB8">
    <w:pPr>
      <w:pStyle w:val="Footer"/>
      <w:ind w:right="360" w:firstLine="360"/>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C1F72" w14:textId="77777777" w:rsidR="002D5918" w:rsidRDefault="002D5918" w:rsidP="003F3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2F1410" w14:textId="77777777" w:rsidR="002D5918" w:rsidRDefault="002D5918" w:rsidP="003F3DB8">
    <w:pPr>
      <w:pStyle w:val="Footer"/>
      <w:ind w:right="360" w:firstLine="360"/>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26399"/>
      <w:docPartObj>
        <w:docPartGallery w:val="Page Numbers (Bottom of Page)"/>
        <w:docPartUnique/>
      </w:docPartObj>
    </w:sdtPr>
    <w:sdtEndPr>
      <w:rPr>
        <w:noProof/>
      </w:rPr>
    </w:sdtEndPr>
    <w:sdtContent>
      <w:p w14:paraId="6F04A407" w14:textId="76F8A5D3" w:rsidR="002D5918" w:rsidRDefault="002D5918">
        <w:pPr>
          <w:pStyle w:val="Footer"/>
          <w:jc w:val="right"/>
        </w:pPr>
        <w:r>
          <w:fldChar w:fldCharType="begin"/>
        </w:r>
        <w:r>
          <w:instrText xml:space="preserve"> PAGE   \* MERGEFORMAT </w:instrText>
        </w:r>
        <w:r>
          <w:fldChar w:fldCharType="separate"/>
        </w:r>
        <w:r w:rsidR="008B08BE">
          <w:rPr>
            <w:noProof/>
          </w:rPr>
          <w:t>139</w:t>
        </w:r>
        <w:r>
          <w:rPr>
            <w:noProof/>
          </w:rPr>
          <w:fldChar w:fldCharType="end"/>
        </w:r>
      </w:p>
    </w:sdtContent>
  </w:sdt>
  <w:p w14:paraId="7CCCCB8A" w14:textId="77777777" w:rsidR="002D5918" w:rsidRDefault="002D5918" w:rsidP="003F3DB8">
    <w:pPr>
      <w:pStyle w:val="Footer"/>
      <w:ind w:right="360" w:firstLine="360"/>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748147"/>
      <w:docPartObj>
        <w:docPartGallery w:val="Page Numbers (Bottom of Page)"/>
        <w:docPartUnique/>
      </w:docPartObj>
    </w:sdtPr>
    <w:sdtEndPr>
      <w:rPr>
        <w:noProof/>
      </w:rPr>
    </w:sdtEndPr>
    <w:sdtContent>
      <w:p w14:paraId="43D4D889" w14:textId="79CCB57E" w:rsidR="002D5918" w:rsidRDefault="002D5918">
        <w:pPr>
          <w:pStyle w:val="Footer"/>
          <w:jc w:val="right"/>
        </w:pPr>
        <w:r>
          <w:fldChar w:fldCharType="begin"/>
        </w:r>
        <w:r>
          <w:instrText xml:space="preserve"> PAGE   \* MERGEFORMAT </w:instrText>
        </w:r>
        <w:r>
          <w:fldChar w:fldCharType="separate"/>
        </w:r>
        <w:r w:rsidR="008B08BE">
          <w:rPr>
            <w:noProof/>
          </w:rPr>
          <w:t>140</w:t>
        </w:r>
        <w:r>
          <w:rPr>
            <w:noProof/>
          </w:rPr>
          <w:fldChar w:fldCharType="end"/>
        </w:r>
      </w:p>
    </w:sdtContent>
  </w:sdt>
  <w:p w14:paraId="6852CDCD" w14:textId="77777777" w:rsidR="002D5918" w:rsidRDefault="002D5918" w:rsidP="003F3DB8">
    <w:pPr>
      <w:pStyle w:val="Footer"/>
      <w:ind w:right="360" w:firstLine="360"/>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F2F51" w14:textId="77777777" w:rsidR="002D5918" w:rsidRDefault="002D5918" w:rsidP="003F3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870061" w14:textId="77777777" w:rsidR="002D5918" w:rsidRDefault="002D5918" w:rsidP="003F3DB8">
    <w:pPr>
      <w:pStyle w:val="Footer"/>
      <w:ind w:right="360" w:firstLine="360"/>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03899"/>
      <w:docPartObj>
        <w:docPartGallery w:val="Page Numbers (Bottom of Page)"/>
        <w:docPartUnique/>
      </w:docPartObj>
    </w:sdtPr>
    <w:sdtEndPr>
      <w:rPr>
        <w:noProof/>
      </w:rPr>
    </w:sdtEndPr>
    <w:sdtContent>
      <w:p w14:paraId="53BDB3D9" w14:textId="1309F977" w:rsidR="002D5918" w:rsidRDefault="002D5918">
        <w:pPr>
          <w:pStyle w:val="Footer"/>
          <w:jc w:val="right"/>
        </w:pPr>
        <w:r>
          <w:fldChar w:fldCharType="begin"/>
        </w:r>
        <w:r>
          <w:instrText xml:space="preserve"> PAGE   \* MERGEFORMAT </w:instrText>
        </w:r>
        <w:r>
          <w:fldChar w:fldCharType="separate"/>
        </w:r>
        <w:r w:rsidR="008B08BE">
          <w:rPr>
            <w:noProof/>
          </w:rPr>
          <w:t>142</w:t>
        </w:r>
        <w:r>
          <w:rPr>
            <w:noProof/>
          </w:rPr>
          <w:fldChar w:fldCharType="end"/>
        </w:r>
      </w:p>
    </w:sdtContent>
  </w:sdt>
  <w:p w14:paraId="606501AE" w14:textId="77777777" w:rsidR="002D5918" w:rsidRDefault="002D5918" w:rsidP="003F3DB8">
    <w:pPr>
      <w:pStyle w:val="Footer"/>
      <w:ind w:right="360" w:firstLine="360"/>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691742"/>
      <w:docPartObj>
        <w:docPartGallery w:val="Page Numbers (Bottom of Page)"/>
        <w:docPartUnique/>
      </w:docPartObj>
    </w:sdtPr>
    <w:sdtEndPr>
      <w:rPr>
        <w:noProof/>
      </w:rPr>
    </w:sdtEndPr>
    <w:sdtContent>
      <w:p w14:paraId="10810BA3" w14:textId="6B220BF8" w:rsidR="002D5918" w:rsidRDefault="002D5918">
        <w:pPr>
          <w:pStyle w:val="Footer"/>
          <w:jc w:val="right"/>
        </w:pPr>
        <w:r>
          <w:fldChar w:fldCharType="begin"/>
        </w:r>
        <w:r>
          <w:instrText xml:space="preserve"> PAGE   \* MERGEFORMAT </w:instrText>
        </w:r>
        <w:r>
          <w:fldChar w:fldCharType="separate"/>
        </w:r>
        <w:r w:rsidR="008B08BE">
          <w:rPr>
            <w:noProof/>
          </w:rPr>
          <w:t>143</w:t>
        </w:r>
        <w:r>
          <w:rPr>
            <w:noProof/>
          </w:rPr>
          <w:fldChar w:fldCharType="end"/>
        </w:r>
      </w:p>
    </w:sdtContent>
  </w:sdt>
  <w:p w14:paraId="20D64119" w14:textId="77777777" w:rsidR="002D5918" w:rsidRDefault="002D5918" w:rsidP="003F3DB8">
    <w:pPr>
      <w:pStyle w:val="Footer"/>
      <w:ind w:right="360" w:firstLine="360"/>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D0B38" w14:textId="77777777" w:rsidR="002D5918" w:rsidRDefault="002D5918" w:rsidP="003F3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43BFC" w14:textId="77777777" w:rsidR="002D5918" w:rsidRDefault="002D5918" w:rsidP="003F3DB8">
    <w:pPr>
      <w:pStyle w:val="Footer"/>
      <w:ind w:right="360" w:firstLine="360"/>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764801"/>
      <w:docPartObj>
        <w:docPartGallery w:val="Page Numbers (Bottom of Page)"/>
        <w:docPartUnique/>
      </w:docPartObj>
    </w:sdtPr>
    <w:sdtEndPr>
      <w:rPr>
        <w:noProof/>
      </w:rPr>
    </w:sdtEndPr>
    <w:sdtContent>
      <w:p w14:paraId="45951EA2" w14:textId="16328F5A" w:rsidR="002D5918" w:rsidRDefault="002D5918">
        <w:pPr>
          <w:pStyle w:val="Footer"/>
          <w:jc w:val="right"/>
        </w:pPr>
        <w:r>
          <w:fldChar w:fldCharType="begin"/>
        </w:r>
        <w:r>
          <w:instrText xml:space="preserve"> PAGE   \* MERGEFORMAT </w:instrText>
        </w:r>
        <w:r>
          <w:fldChar w:fldCharType="separate"/>
        </w:r>
        <w:r w:rsidR="008B08BE">
          <w:rPr>
            <w:noProof/>
          </w:rPr>
          <w:t>144</w:t>
        </w:r>
        <w:r>
          <w:rPr>
            <w:noProof/>
          </w:rPr>
          <w:fldChar w:fldCharType="end"/>
        </w:r>
      </w:p>
    </w:sdtContent>
  </w:sdt>
  <w:p w14:paraId="42272246" w14:textId="77777777" w:rsidR="002D5918" w:rsidRDefault="002D5918" w:rsidP="003F3DB8">
    <w:pPr>
      <w:pStyle w:val="Footer"/>
      <w:ind w:right="360" w:firstLine="360"/>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385676"/>
      <w:docPartObj>
        <w:docPartGallery w:val="Page Numbers (Bottom of Page)"/>
        <w:docPartUnique/>
      </w:docPartObj>
    </w:sdtPr>
    <w:sdtEndPr>
      <w:rPr>
        <w:noProof/>
      </w:rPr>
    </w:sdtEndPr>
    <w:sdtContent>
      <w:p w14:paraId="7F5FD599" w14:textId="7C1B8D36" w:rsidR="002D5918" w:rsidRDefault="002D5918">
        <w:pPr>
          <w:pStyle w:val="Footer"/>
          <w:jc w:val="right"/>
        </w:pPr>
        <w:r>
          <w:fldChar w:fldCharType="begin"/>
        </w:r>
        <w:r>
          <w:instrText xml:space="preserve"> PAGE   \* MERGEFORMAT </w:instrText>
        </w:r>
        <w:r>
          <w:fldChar w:fldCharType="separate"/>
        </w:r>
        <w:r w:rsidR="008B08BE">
          <w:rPr>
            <w:noProof/>
          </w:rPr>
          <w:t>147</w:t>
        </w:r>
        <w:r>
          <w:rPr>
            <w:noProof/>
          </w:rPr>
          <w:fldChar w:fldCharType="end"/>
        </w:r>
      </w:p>
    </w:sdtContent>
  </w:sdt>
  <w:p w14:paraId="720A5DFF" w14:textId="77777777" w:rsidR="002D5918" w:rsidRDefault="002D5918" w:rsidP="00096A0D">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E527"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C1EE901" w14:textId="77777777" w:rsidR="002D5918" w:rsidRDefault="002D5918" w:rsidP="00096A0D">
    <w:pPr>
      <w:pStyle w:val="Footer"/>
      <w:ind w:right="360" w:firstLine="360"/>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E60B6"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510E582" w14:textId="77777777" w:rsidR="002D5918" w:rsidRDefault="002D5918" w:rsidP="00096A0D">
    <w:pPr>
      <w:pStyle w:val="Footer"/>
      <w:ind w:right="360" w:firstLine="360"/>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90040"/>
      <w:docPartObj>
        <w:docPartGallery w:val="Page Numbers (Bottom of Page)"/>
        <w:docPartUnique/>
      </w:docPartObj>
    </w:sdtPr>
    <w:sdtEndPr>
      <w:rPr>
        <w:noProof/>
      </w:rPr>
    </w:sdtEndPr>
    <w:sdtContent>
      <w:p w14:paraId="3AB745BE" w14:textId="7EBA00E0" w:rsidR="002D5918" w:rsidRDefault="002D5918">
        <w:pPr>
          <w:pStyle w:val="Footer"/>
          <w:jc w:val="right"/>
        </w:pPr>
        <w:r>
          <w:fldChar w:fldCharType="begin"/>
        </w:r>
        <w:r>
          <w:instrText xml:space="preserve"> PAGE   \* MERGEFORMAT </w:instrText>
        </w:r>
        <w:r>
          <w:fldChar w:fldCharType="separate"/>
        </w:r>
        <w:r w:rsidR="008B08BE">
          <w:rPr>
            <w:noProof/>
          </w:rPr>
          <w:t>169</w:t>
        </w:r>
        <w:r>
          <w:rPr>
            <w:noProof/>
          </w:rPr>
          <w:fldChar w:fldCharType="end"/>
        </w:r>
      </w:p>
    </w:sdtContent>
  </w:sdt>
  <w:p w14:paraId="0E2E0BD0" w14:textId="77777777" w:rsidR="002D5918" w:rsidRDefault="002D5918" w:rsidP="00096A0D">
    <w:pPr>
      <w:pStyle w:val="Footer"/>
      <w:ind w:right="360" w:firstLine="360"/>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33122"/>
      <w:docPartObj>
        <w:docPartGallery w:val="Page Numbers (Bottom of Page)"/>
        <w:docPartUnique/>
      </w:docPartObj>
    </w:sdtPr>
    <w:sdtEndPr>
      <w:rPr>
        <w:noProof/>
      </w:rPr>
    </w:sdtEndPr>
    <w:sdtContent>
      <w:p w14:paraId="6FD8673A" w14:textId="149D845C" w:rsidR="002D5918" w:rsidRDefault="002D5918">
        <w:pPr>
          <w:pStyle w:val="Footer"/>
          <w:jc w:val="right"/>
        </w:pPr>
        <w:r>
          <w:fldChar w:fldCharType="begin"/>
        </w:r>
        <w:r>
          <w:instrText xml:space="preserve"> PAGE   \* MERGEFORMAT </w:instrText>
        </w:r>
        <w:r>
          <w:fldChar w:fldCharType="separate"/>
        </w:r>
        <w:r w:rsidR="008B08BE">
          <w:rPr>
            <w:noProof/>
          </w:rPr>
          <w:t>170</w:t>
        </w:r>
        <w:r>
          <w:rPr>
            <w:noProof/>
          </w:rPr>
          <w:fldChar w:fldCharType="end"/>
        </w:r>
      </w:p>
    </w:sdtContent>
  </w:sdt>
  <w:p w14:paraId="7D4963C1" w14:textId="77777777" w:rsidR="002D5918" w:rsidRDefault="002D5918" w:rsidP="003F3DB8">
    <w:pPr>
      <w:pStyle w:val="Footer"/>
      <w:ind w:right="360" w:firstLine="360"/>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13A1E" w14:textId="77777777" w:rsidR="002D5918" w:rsidRDefault="002D5918" w:rsidP="003F3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DF83B1" w14:textId="77777777" w:rsidR="002D5918" w:rsidRDefault="002D5918" w:rsidP="003F3DB8">
    <w:pPr>
      <w:pStyle w:val="Footer"/>
      <w:ind w:right="360" w:firstLine="360"/>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441967"/>
      <w:docPartObj>
        <w:docPartGallery w:val="Page Numbers (Bottom of Page)"/>
        <w:docPartUnique/>
      </w:docPartObj>
    </w:sdtPr>
    <w:sdtEndPr>
      <w:rPr>
        <w:noProof/>
      </w:rPr>
    </w:sdtEndPr>
    <w:sdtContent>
      <w:p w14:paraId="09AC2F37" w14:textId="564CA3B3" w:rsidR="002D5918" w:rsidRDefault="002D5918">
        <w:pPr>
          <w:pStyle w:val="Footer"/>
          <w:jc w:val="right"/>
        </w:pPr>
        <w:r>
          <w:fldChar w:fldCharType="begin"/>
        </w:r>
        <w:r>
          <w:instrText xml:space="preserve"> PAGE   \* MERGEFORMAT </w:instrText>
        </w:r>
        <w:r>
          <w:fldChar w:fldCharType="separate"/>
        </w:r>
        <w:r w:rsidR="008B08BE">
          <w:rPr>
            <w:noProof/>
          </w:rPr>
          <w:t>171</w:t>
        </w:r>
        <w:r>
          <w:rPr>
            <w:noProof/>
          </w:rPr>
          <w:fldChar w:fldCharType="end"/>
        </w:r>
      </w:p>
    </w:sdtContent>
  </w:sdt>
  <w:p w14:paraId="380E9616" w14:textId="77777777" w:rsidR="002D5918" w:rsidRDefault="002D5918" w:rsidP="003F3DB8">
    <w:pPr>
      <w:pStyle w:val="Footer"/>
      <w:ind w:right="360" w:firstLine="360"/>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4520"/>
      <w:docPartObj>
        <w:docPartGallery w:val="Page Numbers (Bottom of Page)"/>
        <w:docPartUnique/>
      </w:docPartObj>
    </w:sdtPr>
    <w:sdtEndPr>
      <w:rPr>
        <w:noProof/>
      </w:rPr>
    </w:sdtEndPr>
    <w:sdtContent>
      <w:p w14:paraId="7C832A1A" w14:textId="62085441" w:rsidR="002D5918" w:rsidRDefault="002D5918">
        <w:pPr>
          <w:pStyle w:val="Footer"/>
          <w:jc w:val="right"/>
        </w:pPr>
        <w:r>
          <w:fldChar w:fldCharType="begin"/>
        </w:r>
        <w:r>
          <w:instrText xml:space="preserve"> PAGE   \* MERGEFORMAT </w:instrText>
        </w:r>
        <w:r>
          <w:fldChar w:fldCharType="separate"/>
        </w:r>
        <w:r w:rsidR="008B08BE">
          <w:rPr>
            <w:noProof/>
          </w:rPr>
          <w:t>177</w:t>
        </w:r>
        <w:r>
          <w:rPr>
            <w:noProof/>
          </w:rPr>
          <w:fldChar w:fldCharType="end"/>
        </w:r>
      </w:p>
    </w:sdtContent>
  </w:sdt>
  <w:p w14:paraId="34C696E0" w14:textId="77777777" w:rsidR="002D5918" w:rsidRDefault="002D5918" w:rsidP="00096A0D">
    <w:pPr>
      <w:pStyle w:val="Footer"/>
      <w:ind w:right="360" w:firstLine="360"/>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4E6E0"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C89DC97" w14:textId="77777777" w:rsidR="002D5918" w:rsidRDefault="002D5918" w:rsidP="00096A0D">
    <w:pPr>
      <w:pStyle w:val="Footer"/>
      <w:ind w:right="360" w:firstLine="360"/>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573044"/>
      <w:docPartObj>
        <w:docPartGallery w:val="Page Numbers (Bottom of Page)"/>
        <w:docPartUnique/>
      </w:docPartObj>
    </w:sdtPr>
    <w:sdtEndPr>
      <w:rPr>
        <w:noProof/>
      </w:rPr>
    </w:sdtEndPr>
    <w:sdtContent>
      <w:p w14:paraId="39AD9FEB" w14:textId="35393F23" w:rsidR="002D5918" w:rsidRDefault="002D5918">
        <w:pPr>
          <w:pStyle w:val="Footer"/>
          <w:jc w:val="right"/>
        </w:pPr>
        <w:r>
          <w:fldChar w:fldCharType="begin"/>
        </w:r>
        <w:r>
          <w:instrText xml:space="preserve"> PAGE   \* MERGEFORMAT </w:instrText>
        </w:r>
        <w:r>
          <w:fldChar w:fldCharType="separate"/>
        </w:r>
        <w:r w:rsidR="008B08BE">
          <w:rPr>
            <w:noProof/>
          </w:rPr>
          <w:t>178</w:t>
        </w:r>
        <w:r>
          <w:rPr>
            <w:noProof/>
          </w:rPr>
          <w:fldChar w:fldCharType="end"/>
        </w:r>
      </w:p>
    </w:sdtContent>
  </w:sdt>
  <w:p w14:paraId="30076438" w14:textId="77777777" w:rsidR="002D5918" w:rsidRDefault="002D5918" w:rsidP="00096A0D">
    <w:pPr>
      <w:pStyle w:val="Footer"/>
      <w:ind w:right="360" w:firstLine="360"/>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390"/>
      <w:docPartObj>
        <w:docPartGallery w:val="Page Numbers (Bottom of Page)"/>
        <w:docPartUnique/>
      </w:docPartObj>
    </w:sdtPr>
    <w:sdtEndPr>
      <w:rPr>
        <w:noProof/>
      </w:rPr>
    </w:sdtEndPr>
    <w:sdtContent>
      <w:p w14:paraId="610B3003" w14:textId="2D3ADFFD" w:rsidR="002D5918" w:rsidRDefault="002D5918">
        <w:pPr>
          <w:pStyle w:val="Footer"/>
          <w:jc w:val="right"/>
        </w:pPr>
        <w:r>
          <w:fldChar w:fldCharType="begin"/>
        </w:r>
        <w:r>
          <w:instrText xml:space="preserve"> PAGE   \* MERGEFORMAT </w:instrText>
        </w:r>
        <w:r>
          <w:fldChar w:fldCharType="separate"/>
        </w:r>
        <w:r w:rsidR="008B08BE">
          <w:rPr>
            <w:noProof/>
          </w:rPr>
          <w:t>190</w:t>
        </w:r>
        <w:r>
          <w:rPr>
            <w:noProof/>
          </w:rPr>
          <w:fldChar w:fldCharType="end"/>
        </w:r>
      </w:p>
    </w:sdtContent>
  </w:sdt>
  <w:p w14:paraId="6D97013E" w14:textId="77777777" w:rsidR="002D5918" w:rsidRDefault="002D5918" w:rsidP="00096A0D">
    <w:pPr>
      <w:pStyle w:val="Footer"/>
      <w:ind w:right="360" w:firstLine="360"/>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1F1E"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F699C69" w14:textId="77777777" w:rsidR="002D5918" w:rsidRDefault="002D5918" w:rsidP="00096A0D">
    <w:pPr>
      <w:pStyle w:val="Footer"/>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262690"/>
      <w:docPartObj>
        <w:docPartGallery w:val="Page Numbers (Bottom of Page)"/>
        <w:docPartUnique/>
      </w:docPartObj>
    </w:sdtPr>
    <w:sdtEndPr>
      <w:rPr>
        <w:noProof/>
      </w:rPr>
    </w:sdtEndPr>
    <w:sdtContent>
      <w:p w14:paraId="46868FD8" w14:textId="1BA189C2" w:rsidR="002D5918" w:rsidRDefault="002D5918">
        <w:pPr>
          <w:pStyle w:val="Footer"/>
          <w:jc w:val="right"/>
        </w:pPr>
        <w:r>
          <w:fldChar w:fldCharType="begin"/>
        </w:r>
        <w:r>
          <w:instrText xml:space="preserve"> PAGE   \* MERGEFORMAT </w:instrText>
        </w:r>
        <w:r>
          <w:fldChar w:fldCharType="separate"/>
        </w:r>
        <w:r w:rsidR="008B08BE">
          <w:rPr>
            <w:noProof/>
          </w:rPr>
          <w:t>29</w:t>
        </w:r>
        <w:r>
          <w:rPr>
            <w:noProof/>
          </w:rPr>
          <w:fldChar w:fldCharType="end"/>
        </w:r>
      </w:p>
    </w:sdtContent>
  </w:sdt>
  <w:p w14:paraId="6EA04ADC" w14:textId="77777777" w:rsidR="002D5918" w:rsidRDefault="002D5918" w:rsidP="00096A0D">
    <w:pPr>
      <w:pStyle w:val="Footer"/>
      <w:ind w:right="360" w:firstLine="360"/>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63165"/>
      <w:docPartObj>
        <w:docPartGallery w:val="Page Numbers (Bottom of Page)"/>
        <w:docPartUnique/>
      </w:docPartObj>
    </w:sdtPr>
    <w:sdtEndPr>
      <w:rPr>
        <w:noProof/>
      </w:rPr>
    </w:sdtEndPr>
    <w:sdtContent>
      <w:p w14:paraId="45144F40" w14:textId="721D2537" w:rsidR="002D5918" w:rsidRDefault="002D5918">
        <w:pPr>
          <w:pStyle w:val="Footer"/>
          <w:jc w:val="right"/>
        </w:pPr>
        <w:r>
          <w:fldChar w:fldCharType="begin"/>
        </w:r>
        <w:r>
          <w:instrText xml:space="preserve"> PAGE   \* MERGEFORMAT </w:instrText>
        </w:r>
        <w:r>
          <w:fldChar w:fldCharType="separate"/>
        </w:r>
        <w:r w:rsidR="008B08BE">
          <w:rPr>
            <w:noProof/>
          </w:rPr>
          <w:t>192</w:t>
        </w:r>
        <w:r>
          <w:rPr>
            <w:noProof/>
          </w:rPr>
          <w:fldChar w:fldCharType="end"/>
        </w:r>
      </w:p>
    </w:sdtContent>
  </w:sdt>
  <w:p w14:paraId="3B5EC01E" w14:textId="77777777" w:rsidR="002D5918" w:rsidRDefault="002D5918" w:rsidP="00096A0D">
    <w:pPr>
      <w:pStyle w:val="Footer"/>
      <w:ind w:right="360" w:firstLine="360"/>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987876"/>
      <w:docPartObj>
        <w:docPartGallery w:val="Page Numbers (Bottom of Page)"/>
        <w:docPartUnique/>
      </w:docPartObj>
    </w:sdtPr>
    <w:sdtEndPr>
      <w:rPr>
        <w:noProof/>
      </w:rPr>
    </w:sdtEndPr>
    <w:sdtContent>
      <w:p w14:paraId="319EF645" w14:textId="3BD6523C" w:rsidR="002D5918" w:rsidRDefault="002D5918">
        <w:pPr>
          <w:pStyle w:val="Footer"/>
          <w:jc w:val="right"/>
        </w:pPr>
        <w:r>
          <w:fldChar w:fldCharType="begin"/>
        </w:r>
        <w:r>
          <w:instrText xml:space="preserve"> PAGE   \* MERGEFORMAT </w:instrText>
        </w:r>
        <w:r>
          <w:fldChar w:fldCharType="separate"/>
        </w:r>
        <w:r w:rsidR="008B08BE">
          <w:rPr>
            <w:noProof/>
          </w:rPr>
          <w:t>193</w:t>
        </w:r>
        <w:r>
          <w:rPr>
            <w:noProof/>
          </w:rPr>
          <w:fldChar w:fldCharType="end"/>
        </w:r>
      </w:p>
    </w:sdtContent>
  </w:sdt>
  <w:p w14:paraId="647719D6" w14:textId="77777777" w:rsidR="002D5918" w:rsidRDefault="002D5918" w:rsidP="00096A0D">
    <w:pPr>
      <w:pStyle w:val="Footer"/>
      <w:ind w:right="360" w:firstLine="360"/>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00159"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800A0A7" w14:textId="77777777" w:rsidR="002D5918" w:rsidRDefault="002D5918" w:rsidP="00096A0D">
    <w:pPr>
      <w:pStyle w:val="Footer"/>
      <w:ind w:right="360" w:firstLine="360"/>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205990"/>
      <w:docPartObj>
        <w:docPartGallery w:val="Page Numbers (Bottom of Page)"/>
        <w:docPartUnique/>
      </w:docPartObj>
    </w:sdtPr>
    <w:sdtEndPr>
      <w:rPr>
        <w:noProof/>
      </w:rPr>
    </w:sdtEndPr>
    <w:sdtContent>
      <w:p w14:paraId="4C6945C1" w14:textId="5DEF236A" w:rsidR="002D5918" w:rsidRDefault="002D5918">
        <w:pPr>
          <w:pStyle w:val="Footer"/>
          <w:jc w:val="right"/>
        </w:pPr>
        <w:r>
          <w:fldChar w:fldCharType="begin"/>
        </w:r>
        <w:r>
          <w:instrText xml:space="preserve"> PAGE   \* MERGEFORMAT </w:instrText>
        </w:r>
        <w:r>
          <w:fldChar w:fldCharType="separate"/>
        </w:r>
        <w:r w:rsidR="008B08BE">
          <w:rPr>
            <w:noProof/>
          </w:rPr>
          <w:t>195</w:t>
        </w:r>
        <w:r>
          <w:rPr>
            <w:noProof/>
          </w:rPr>
          <w:fldChar w:fldCharType="end"/>
        </w:r>
      </w:p>
    </w:sdtContent>
  </w:sdt>
  <w:p w14:paraId="3F863C12" w14:textId="77777777" w:rsidR="002D5918" w:rsidRDefault="002D5918" w:rsidP="00096A0D">
    <w:pPr>
      <w:pStyle w:val="Footer"/>
      <w:ind w:right="360" w:firstLine="360"/>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736498"/>
      <w:docPartObj>
        <w:docPartGallery w:val="Page Numbers (Bottom of Page)"/>
        <w:docPartUnique/>
      </w:docPartObj>
    </w:sdtPr>
    <w:sdtEndPr>
      <w:rPr>
        <w:noProof/>
      </w:rPr>
    </w:sdtEndPr>
    <w:sdtContent>
      <w:p w14:paraId="26E3F6CD" w14:textId="50EB21F7" w:rsidR="002D5918" w:rsidRDefault="002D5918">
        <w:pPr>
          <w:pStyle w:val="Footer"/>
          <w:jc w:val="right"/>
        </w:pPr>
        <w:r>
          <w:fldChar w:fldCharType="begin"/>
        </w:r>
        <w:r>
          <w:instrText xml:space="preserve"> PAGE   \* MERGEFORMAT </w:instrText>
        </w:r>
        <w:r>
          <w:fldChar w:fldCharType="separate"/>
        </w:r>
        <w:r w:rsidR="008B08BE">
          <w:rPr>
            <w:noProof/>
          </w:rPr>
          <w:t>196</w:t>
        </w:r>
        <w:r>
          <w:rPr>
            <w:noProof/>
          </w:rPr>
          <w:fldChar w:fldCharType="end"/>
        </w:r>
      </w:p>
    </w:sdtContent>
  </w:sdt>
  <w:p w14:paraId="7F3B7D31" w14:textId="77777777" w:rsidR="002D5918" w:rsidRDefault="002D5918" w:rsidP="00096A0D">
    <w:pPr>
      <w:pStyle w:val="Footer"/>
      <w:ind w:right="360" w:firstLine="360"/>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FE661"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0B609F5" w14:textId="77777777" w:rsidR="002D5918" w:rsidRDefault="002D5918" w:rsidP="00096A0D">
    <w:pPr>
      <w:pStyle w:val="Footer"/>
      <w:ind w:right="360" w:firstLine="360"/>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49085"/>
      <w:docPartObj>
        <w:docPartGallery w:val="Page Numbers (Bottom of Page)"/>
        <w:docPartUnique/>
      </w:docPartObj>
    </w:sdtPr>
    <w:sdtEndPr>
      <w:rPr>
        <w:noProof/>
      </w:rPr>
    </w:sdtEndPr>
    <w:sdtContent>
      <w:p w14:paraId="40C2A7C9" w14:textId="021BBC33" w:rsidR="002D5918" w:rsidRDefault="002D5918">
        <w:pPr>
          <w:pStyle w:val="Footer"/>
          <w:jc w:val="right"/>
        </w:pPr>
        <w:r>
          <w:fldChar w:fldCharType="begin"/>
        </w:r>
        <w:r>
          <w:instrText xml:space="preserve"> PAGE   \* MERGEFORMAT </w:instrText>
        </w:r>
        <w:r>
          <w:fldChar w:fldCharType="separate"/>
        </w:r>
        <w:r w:rsidR="008B08BE">
          <w:rPr>
            <w:noProof/>
          </w:rPr>
          <w:t>198</w:t>
        </w:r>
        <w:r>
          <w:rPr>
            <w:noProof/>
          </w:rPr>
          <w:fldChar w:fldCharType="end"/>
        </w:r>
      </w:p>
    </w:sdtContent>
  </w:sdt>
  <w:p w14:paraId="56CD09AA" w14:textId="77777777" w:rsidR="002D5918" w:rsidRDefault="002D5918" w:rsidP="00096A0D">
    <w:pPr>
      <w:pStyle w:val="Footer"/>
      <w:ind w:right="360" w:firstLine="360"/>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6139"/>
      <w:docPartObj>
        <w:docPartGallery w:val="Page Numbers (Bottom of Page)"/>
        <w:docPartUnique/>
      </w:docPartObj>
    </w:sdtPr>
    <w:sdtEndPr>
      <w:rPr>
        <w:noProof/>
      </w:rPr>
    </w:sdtEndPr>
    <w:sdtContent>
      <w:p w14:paraId="075A1B73" w14:textId="56FEF6B5" w:rsidR="002D5918" w:rsidRDefault="002D5918">
        <w:pPr>
          <w:pStyle w:val="Footer"/>
          <w:jc w:val="right"/>
        </w:pPr>
        <w:r>
          <w:fldChar w:fldCharType="begin"/>
        </w:r>
        <w:r>
          <w:instrText xml:space="preserve"> PAGE   \* MERGEFORMAT </w:instrText>
        </w:r>
        <w:r>
          <w:fldChar w:fldCharType="separate"/>
        </w:r>
        <w:r w:rsidR="008B08BE">
          <w:rPr>
            <w:noProof/>
          </w:rPr>
          <w:t>199</w:t>
        </w:r>
        <w:r>
          <w:rPr>
            <w:noProof/>
          </w:rPr>
          <w:fldChar w:fldCharType="end"/>
        </w:r>
      </w:p>
    </w:sdtContent>
  </w:sdt>
  <w:p w14:paraId="55BD9F3A" w14:textId="77777777" w:rsidR="002D5918" w:rsidRDefault="002D5918" w:rsidP="00096A0D">
    <w:pPr>
      <w:pStyle w:val="Footer"/>
      <w:ind w:right="360" w:firstLine="360"/>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E0B1"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142B5E0" w14:textId="77777777" w:rsidR="002D5918" w:rsidRDefault="002D5918" w:rsidP="00096A0D">
    <w:pPr>
      <w:pStyle w:val="Footer"/>
      <w:ind w:right="360" w:firstLine="360"/>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898963"/>
      <w:docPartObj>
        <w:docPartGallery w:val="Page Numbers (Bottom of Page)"/>
        <w:docPartUnique/>
      </w:docPartObj>
    </w:sdtPr>
    <w:sdtEndPr>
      <w:rPr>
        <w:noProof/>
      </w:rPr>
    </w:sdtEndPr>
    <w:sdtContent>
      <w:p w14:paraId="0C3F4AEF" w14:textId="3E7DB44E" w:rsidR="002D5918" w:rsidRDefault="002D5918">
        <w:pPr>
          <w:pStyle w:val="Footer"/>
          <w:jc w:val="right"/>
        </w:pPr>
        <w:r>
          <w:fldChar w:fldCharType="begin"/>
        </w:r>
        <w:r>
          <w:instrText xml:space="preserve"> PAGE   \* MERGEFORMAT </w:instrText>
        </w:r>
        <w:r>
          <w:fldChar w:fldCharType="separate"/>
        </w:r>
        <w:r w:rsidR="008B08BE">
          <w:rPr>
            <w:noProof/>
          </w:rPr>
          <w:t>201</w:t>
        </w:r>
        <w:r>
          <w:rPr>
            <w:noProof/>
          </w:rPr>
          <w:fldChar w:fldCharType="end"/>
        </w:r>
      </w:p>
    </w:sdtContent>
  </w:sdt>
  <w:p w14:paraId="5C6C3086" w14:textId="77777777" w:rsidR="002D5918" w:rsidRDefault="002D5918" w:rsidP="00096A0D">
    <w:pPr>
      <w:pStyle w:val="Footer"/>
      <w:ind w:right="36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200473"/>
      <w:docPartObj>
        <w:docPartGallery w:val="Page Numbers (Bottom of Page)"/>
        <w:docPartUnique/>
      </w:docPartObj>
    </w:sdtPr>
    <w:sdtEndPr>
      <w:rPr>
        <w:noProof/>
      </w:rPr>
    </w:sdtEndPr>
    <w:sdtContent>
      <w:p w14:paraId="3A6A1523" w14:textId="7A3E4C2F" w:rsidR="002D5918" w:rsidRDefault="002D5918">
        <w:pPr>
          <w:pStyle w:val="Footer"/>
          <w:jc w:val="right"/>
        </w:pPr>
        <w:r>
          <w:fldChar w:fldCharType="begin"/>
        </w:r>
        <w:r>
          <w:instrText xml:space="preserve"> PAGE   \* MERGEFORMAT </w:instrText>
        </w:r>
        <w:r>
          <w:fldChar w:fldCharType="separate"/>
        </w:r>
        <w:r w:rsidR="008B08BE">
          <w:rPr>
            <w:noProof/>
          </w:rPr>
          <w:t>32</w:t>
        </w:r>
        <w:r>
          <w:rPr>
            <w:noProof/>
          </w:rPr>
          <w:fldChar w:fldCharType="end"/>
        </w:r>
      </w:p>
    </w:sdtContent>
  </w:sdt>
  <w:p w14:paraId="670758C9" w14:textId="77777777" w:rsidR="002D5918" w:rsidRDefault="002D5918" w:rsidP="00096A0D">
    <w:pPr>
      <w:pStyle w:val="Footer"/>
      <w:ind w:right="360" w:firstLine="360"/>
    </w:pP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836674"/>
      <w:docPartObj>
        <w:docPartGallery w:val="Page Numbers (Bottom of Page)"/>
        <w:docPartUnique/>
      </w:docPartObj>
    </w:sdtPr>
    <w:sdtEndPr>
      <w:rPr>
        <w:noProof/>
      </w:rPr>
    </w:sdtEndPr>
    <w:sdtContent>
      <w:p w14:paraId="112C087D" w14:textId="17A41A67" w:rsidR="002D5918" w:rsidRDefault="002D5918">
        <w:pPr>
          <w:pStyle w:val="Footer"/>
          <w:jc w:val="right"/>
        </w:pPr>
        <w:r>
          <w:fldChar w:fldCharType="begin"/>
        </w:r>
        <w:r>
          <w:instrText xml:space="preserve"> PAGE   \* MERGEFORMAT </w:instrText>
        </w:r>
        <w:r>
          <w:fldChar w:fldCharType="separate"/>
        </w:r>
        <w:r w:rsidR="008B08BE">
          <w:rPr>
            <w:noProof/>
          </w:rPr>
          <w:t>202</w:t>
        </w:r>
        <w:r>
          <w:rPr>
            <w:noProof/>
          </w:rPr>
          <w:fldChar w:fldCharType="end"/>
        </w:r>
      </w:p>
    </w:sdtContent>
  </w:sdt>
  <w:p w14:paraId="0091D823" w14:textId="77777777" w:rsidR="002D5918" w:rsidRDefault="002D5918" w:rsidP="00096A0D">
    <w:pPr>
      <w:pStyle w:val="Footer"/>
      <w:ind w:right="360" w:firstLine="360"/>
    </w:pP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FEC31"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A94D404" w14:textId="77777777" w:rsidR="002D5918" w:rsidRDefault="002D5918" w:rsidP="00096A0D">
    <w:pPr>
      <w:pStyle w:val="Footer"/>
      <w:ind w:right="360" w:firstLine="360"/>
    </w:pP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571200"/>
      <w:docPartObj>
        <w:docPartGallery w:val="Page Numbers (Bottom of Page)"/>
        <w:docPartUnique/>
      </w:docPartObj>
    </w:sdtPr>
    <w:sdtEndPr>
      <w:rPr>
        <w:noProof/>
      </w:rPr>
    </w:sdtEndPr>
    <w:sdtContent>
      <w:p w14:paraId="5325FD74" w14:textId="08225327" w:rsidR="002D5918" w:rsidRDefault="002D5918">
        <w:pPr>
          <w:pStyle w:val="Footer"/>
          <w:jc w:val="right"/>
        </w:pPr>
        <w:r>
          <w:fldChar w:fldCharType="begin"/>
        </w:r>
        <w:r>
          <w:instrText xml:space="preserve"> PAGE   \* MERGEFORMAT </w:instrText>
        </w:r>
        <w:r>
          <w:fldChar w:fldCharType="separate"/>
        </w:r>
        <w:r w:rsidR="008B08BE">
          <w:rPr>
            <w:noProof/>
          </w:rPr>
          <w:t>204</w:t>
        </w:r>
        <w:r>
          <w:rPr>
            <w:noProof/>
          </w:rPr>
          <w:fldChar w:fldCharType="end"/>
        </w:r>
      </w:p>
    </w:sdtContent>
  </w:sdt>
  <w:p w14:paraId="7AF6DA87" w14:textId="77777777" w:rsidR="002D5918" w:rsidRDefault="002D5918" w:rsidP="00096A0D">
    <w:pPr>
      <w:pStyle w:val="Footer"/>
      <w:ind w:right="360" w:firstLine="360"/>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793097"/>
      <w:docPartObj>
        <w:docPartGallery w:val="Page Numbers (Bottom of Page)"/>
        <w:docPartUnique/>
      </w:docPartObj>
    </w:sdtPr>
    <w:sdtEndPr>
      <w:rPr>
        <w:noProof/>
      </w:rPr>
    </w:sdtEndPr>
    <w:sdtContent>
      <w:p w14:paraId="6A09F7E6" w14:textId="6D4B8DA1" w:rsidR="002D5918" w:rsidRDefault="002D5918">
        <w:pPr>
          <w:pStyle w:val="Footer"/>
          <w:jc w:val="right"/>
        </w:pPr>
        <w:r>
          <w:fldChar w:fldCharType="begin"/>
        </w:r>
        <w:r>
          <w:instrText xml:space="preserve"> PAGE   \* MERGEFORMAT </w:instrText>
        </w:r>
        <w:r>
          <w:fldChar w:fldCharType="separate"/>
        </w:r>
        <w:r w:rsidR="008B08BE">
          <w:rPr>
            <w:noProof/>
          </w:rPr>
          <w:t>206</w:t>
        </w:r>
        <w:r>
          <w:rPr>
            <w:noProof/>
          </w:rPr>
          <w:fldChar w:fldCharType="end"/>
        </w:r>
      </w:p>
    </w:sdtContent>
  </w:sdt>
  <w:p w14:paraId="1CB96E14" w14:textId="77777777" w:rsidR="002D5918" w:rsidRDefault="002D5918" w:rsidP="00096A0D">
    <w:pPr>
      <w:pStyle w:val="Footer"/>
      <w:ind w:right="360" w:firstLine="360"/>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3004A"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ECEEA80" w14:textId="77777777" w:rsidR="002D5918" w:rsidRDefault="002D5918" w:rsidP="00096A0D">
    <w:pPr>
      <w:pStyle w:val="Footer"/>
      <w:ind w:right="360" w:firstLine="360"/>
    </w:pP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311811"/>
      <w:docPartObj>
        <w:docPartGallery w:val="Page Numbers (Bottom of Page)"/>
        <w:docPartUnique/>
      </w:docPartObj>
    </w:sdtPr>
    <w:sdtEndPr>
      <w:rPr>
        <w:noProof/>
      </w:rPr>
    </w:sdtEndPr>
    <w:sdtContent>
      <w:p w14:paraId="692EF09F" w14:textId="36FB4570" w:rsidR="002D5918" w:rsidRDefault="002D5918">
        <w:pPr>
          <w:pStyle w:val="Footer"/>
          <w:jc w:val="right"/>
        </w:pPr>
        <w:r>
          <w:fldChar w:fldCharType="begin"/>
        </w:r>
        <w:r>
          <w:instrText xml:space="preserve"> PAGE   \* MERGEFORMAT </w:instrText>
        </w:r>
        <w:r>
          <w:fldChar w:fldCharType="separate"/>
        </w:r>
        <w:r w:rsidR="008B08BE">
          <w:rPr>
            <w:noProof/>
          </w:rPr>
          <w:t>209</w:t>
        </w:r>
        <w:r>
          <w:rPr>
            <w:noProof/>
          </w:rPr>
          <w:fldChar w:fldCharType="end"/>
        </w:r>
      </w:p>
    </w:sdtContent>
  </w:sdt>
  <w:p w14:paraId="5F057662" w14:textId="77777777" w:rsidR="002D5918" w:rsidRDefault="002D5918" w:rsidP="00096A0D">
    <w:pPr>
      <w:pStyle w:val="Footer"/>
      <w:ind w:right="360" w:firstLine="360"/>
    </w:pP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905033"/>
      <w:docPartObj>
        <w:docPartGallery w:val="Page Numbers (Bottom of Page)"/>
        <w:docPartUnique/>
      </w:docPartObj>
    </w:sdtPr>
    <w:sdtEndPr>
      <w:rPr>
        <w:noProof/>
      </w:rPr>
    </w:sdtEndPr>
    <w:sdtContent>
      <w:p w14:paraId="7FE1BB0B" w14:textId="2E502E8E" w:rsidR="002D5918" w:rsidRDefault="002D5918">
        <w:pPr>
          <w:pStyle w:val="Footer"/>
          <w:jc w:val="right"/>
        </w:pPr>
        <w:r>
          <w:fldChar w:fldCharType="begin"/>
        </w:r>
        <w:r>
          <w:instrText xml:space="preserve"> PAGE   \* MERGEFORMAT </w:instrText>
        </w:r>
        <w:r>
          <w:fldChar w:fldCharType="separate"/>
        </w:r>
        <w:r w:rsidR="008B08BE">
          <w:rPr>
            <w:noProof/>
          </w:rPr>
          <w:t>210</w:t>
        </w:r>
        <w:r>
          <w:rPr>
            <w:noProof/>
          </w:rPr>
          <w:fldChar w:fldCharType="end"/>
        </w:r>
      </w:p>
    </w:sdtContent>
  </w:sdt>
  <w:p w14:paraId="48C52971" w14:textId="77777777" w:rsidR="002D5918" w:rsidRDefault="002D5918" w:rsidP="00096A0D">
    <w:pPr>
      <w:pStyle w:val="Footer"/>
      <w:ind w:right="360" w:firstLine="360"/>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BB691"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ED7A519" w14:textId="77777777" w:rsidR="002D5918" w:rsidRDefault="002D5918" w:rsidP="00096A0D">
    <w:pPr>
      <w:pStyle w:val="Footer"/>
      <w:ind w:right="360" w:firstLine="360"/>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630165"/>
      <w:docPartObj>
        <w:docPartGallery w:val="Page Numbers (Bottom of Page)"/>
        <w:docPartUnique/>
      </w:docPartObj>
    </w:sdtPr>
    <w:sdtEndPr>
      <w:rPr>
        <w:noProof/>
      </w:rPr>
    </w:sdtEndPr>
    <w:sdtContent>
      <w:p w14:paraId="618B841E" w14:textId="17D23155" w:rsidR="002D5918" w:rsidRDefault="002D5918">
        <w:pPr>
          <w:pStyle w:val="Footer"/>
          <w:jc w:val="right"/>
        </w:pPr>
        <w:r>
          <w:fldChar w:fldCharType="begin"/>
        </w:r>
        <w:r>
          <w:instrText xml:space="preserve"> PAGE   \* MERGEFORMAT </w:instrText>
        </w:r>
        <w:r>
          <w:fldChar w:fldCharType="separate"/>
        </w:r>
        <w:r w:rsidR="008B08BE">
          <w:rPr>
            <w:noProof/>
          </w:rPr>
          <w:t>213</w:t>
        </w:r>
        <w:r>
          <w:rPr>
            <w:noProof/>
          </w:rPr>
          <w:fldChar w:fldCharType="end"/>
        </w:r>
      </w:p>
    </w:sdtContent>
  </w:sdt>
  <w:p w14:paraId="584DA3C1" w14:textId="77777777" w:rsidR="002D5918" w:rsidRDefault="002D5918" w:rsidP="00096A0D">
    <w:pPr>
      <w:pStyle w:val="Footer"/>
      <w:ind w:right="360" w:firstLine="360"/>
    </w:pP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479167"/>
      <w:docPartObj>
        <w:docPartGallery w:val="Page Numbers (Bottom of Page)"/>
        <w:docPartUnique/>
      </w:docPartObj>
    </w:sdtPr>
    <w:sdtEndPr>
      <w:rPr>
        <w:noProof/>
      </w:rPr>
    </w:sdtEndPr>
    <w:sdtContent>
      <w:p w14:paraId="5E4C96CD" w14:textId="7264289E" w:rsidR="002D5918" w:rsidRDefault="002D5918">
        <w:pPr>
          <w:pStyle w:val="Footer"/>
          <w:jc w:val="right"/>
        </w:pPr>
        <w:r>
          <w:fldChar w:fldCharType="begin"/>
        </w:r>
        <w:r>
          <w:instrText xml:space="preserve"> PAGE   \* MERGEFORMAT </w:instrText>
        </w:r>
        <w:r>
          <w:fldChar w:fldCharType="separate"/>
        </w:r>
        <w:r w:rsidR="008B08BE">
          <w:rPr>
            <w:noProof/>
          </w:rPr>
          <w:t>215</w:t>
        </w:r>
        <w:r>
          <w:rPr>
            <w:noProof/>
          </w:rPr>
          <w:fldChar w:fldCharType="end"/>
        </w:r>
      </w:p>
    </w:sdtContent>
  </w:sdt>
  <w:p w14:paraId="6B0DC01F" w14:textId="77777777" w:rsidR="002D5918" w:rsidRDefault="002D5918" w:rsidP="00096A0D">
    <w:pPr>
      <w:pStyle w:val="Footer"/>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CB86E" w14:textId="77777777"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A7C41F4" w14:textId="77777777" w:rsidR="002D5918" w:rsidRDefault="002D5918" w:rsidP="00096A0D">
    <w:pPr>
      <w:pStyle w:val="Footer"/>
      <w:ind w:right="360" w:firstLine="360"/>
    </w:pP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AFCC" w14:textId="77777777" w:rsidR="002D5918" w:rsidRDefault="002D5918" w:rsidP="003168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AC6D450" w14:textId="77777777" w:rsidR="002D5918" w:rsidRDefault="002D5918" w:rsidP="00096A0D">
    <w:pPr>
      <w:pStyle w:val="Footer"/>
      <w:ind w:right="360" w:firstLine="360"/>
    </w:pP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59904"/>
      <w:docPartObj>
        <w:docPartGallery w:val="Page Numbers (Bottom of Page)"/>
        <w:docPartUnique/>
      </w:docPartObj>
    </w:sdtPr>
    <w:sdtEndPr>
      <w:rPr>
        <w:noProof/>
      </w:rPr>
    </w:sdtEndPr>
    <w:sdtContent>
      <w:p w14:paraId="3543AC1C" w14:textId="12F405FA" w:rsidR="002D5918" w:rsidRDefault="002D5918">
        <w:pPr>
          <w:pStyle w:val="Footer"/>
          <w:jc w:val="right"/>
        </w:pPr>
        <w:r>
          <w:fldChar w:fldCharType="begin"/>
        </w:r>
        <w:r>
          <w:instrText xml:space="preserve"> PAGE   \* MERGEFORMAT </w:instrText>
        </w:r>
        <w:r>
          <w:fldChar w:fldCharType="separate"/>
        </w:r>
        <w:r w:rsidR="008B08BE">
          <w:rPr>
            <w:noProof/>
          </w:rPr>
          <w:t>226</w:t>
        </w:r>
        <w:r>
          <w:rPr>
            <w:noProof/>
          </w:rPr>
          <w:fldChar w:fldCharType="end"/>
        </w:r>
      </w:p>
    </w:sdtContent>
  </w:sdt>
  <w:p w14:paraId="66A656ED" w14:textId="77777777" w:rsidR="002D5918" w:rsidRDefault="002D5918" w:rsidP="00096A0D">
    <w:pPr>
      <w:pStyle w:val="Footer"/>
      <w:ind w:right="360" w:firstLine="360"/>
    </w:pP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93956" w14:textId="5A4FAD51" w:rsidR="002D5918" w:rsidRDefault="002D5918" w:rsidP="00096A0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08BE">
      <w:rPr>
        <w:rStyle w:val="PageNumber"/>
        <w:noProof/>
      </w:rPr>
      <w:t>227</w:t>
    </w:r>
    <w:r>
      <w:rPr>
        <w:rStyle w:val="PageNumber"/>
      </w:rPr>
      <w:fldChar w:fldCharType="end"/>
    </w:r>
  </w:p>
  <w:p w14:paraId="37798E1B" w14:textId="77777777" w:rsidR="002D5918" w:rsidRDefault="002D5918" w:rsidP="00096A0D">
    <w:pPr>
      <w:pStyle w:val="Footer"/>
      <w:ind w:right="360" w:firstLine="360"/>
    </w:pP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440232"/>
      <w:docPartObj>
        <w:docPartGallery w:val="Page Numbers (Bottom of Page)"/>
        <w:docPartUnique/>
      </w:docPartObj>
    </w:sdtPr>
    <w:sdtEndPr>
      <w:rPr>
        <w:noProof/>
      </w:rPr>
    </w:sdtEndPr>
    <w:sdtContent>
      <w:p w14:paraId="56DA0B9D" w14:textId="3EE85B2F" w:rsidR="002D5918" w:rsidRDefault="002D5918">
        <w:pPr>
          <w:pStyle w:val="Footer"/>
          <w:jc w:val="right"/>
        </w:pPr>
        <w:r>
          <w:fldChar w:fldCharType="begin"/>
        </w:r>
        <w:r>
          <w:instrText xml:space="preserve"> PAGE   \* MERGEFORMAT </w:instrText>
        </w:r>
        <w:r>
          <w:fldChar w:fldCharType="separate"/>
        </w:r>
        <w:r w:rsidR="008B08BE">
          <w:rPr>
            <w:noProof/>
          </w:rPr>
          <w:t>251</w:t>
        </w:r>
        <w:r>
          <w:rPr>
            <w:noProof/>
          </w:rPr>
          <w:fldChar w:fldCharType="end"/>
        </w:r>
      </w:p>
    </w:sdtContent>
  </w:sdt>
  <w:p w14:paraId="234B1007" w14:textId="77777777" w:rsidR="002D5918" w:rsidRDefault="002D5918"/>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47702"/>
      <w:docPartObj>
        <w:docPartGallery w:val="Page Numbers (Bottom of Page)"/>
        <w:docPartUnique/>
      </w:docPartObj>
    </w:sdtPr>
    <w:sdtEndPr>
      <w:rPr>
        <w:noProof/>
      </w:rPr>
    </w:sdtEndPr>
    <w:sdtContent>
      <w:p w14:paraId="35282100" w14:textId="5376C192" w:rsidR="002D5918" w:rsidRDefault="002D5918">
        <w:pPr>
          <w:pStyle w:val="Footer"/>
          <w:jc w:val="right"/>
        </w:pPr>
        <w:r>
          <w:fldChar w:fldCharType="begin"/>
        </w:r>
        <w:r>
          <w:instrText xml:space="preserve"> PAGE   \* MERGEFORMAT </w:instrText>
        </w:r>
        <w:r>
          <w:fldChar w:fldCharType="separate"/>
        </w:r>
        <w:r w:rsidR="008B08BE">
          <w:rPr>
            <w:noProof/>
          </w:rPr>
          <w:t>33</w:t>
        </w:r>
        <w:r>
          <w:rPr>
            <w:noProof/>
          </w:rPr>
          <w:fldChar w:fldCharType="end"/>
        </w:r>
      </w:p>
    </w:sdtContent>
  </w:sdt>
  <w:p w14:paraId="118C6F06" w14:textId="77777777" w:rsidR="002D5918" w:rsidRDefault="002D5918" w:rsidP="00096A0D">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DB09D" w14:textId="77777777" w:rsidR="00B15C8A" w:rsidRDefault="00B15C8A">
      <w:pPr>
        <w:spacing w:before="0" w:after="0"/>
      </w:pPr>
      <w:r>
        <w:separator/>
      </w:r>
    </w:p>
  </w:footnote>
  <w:footnote w:type="continuationSeparator" w:id="0">
    <w:p w14:paraId="654F33EF" w14:textId="77777777" w:rsidR="00B15C8A" w:rsidRDefault="00B15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91D58" w14:textId="4F04C3A4" w:rsidR="002D5918" w:rsidRPr="00335A05" w:rsidRDefault="002D5918" w:rsidP="00AE18B7">
    <w:pPr>
      <w:pStyle w:val="Header"/>
      <w:pBdr>
        <w:bottom w:val="none" w:sz="0" w:space="0" w:color="auto"/>
      </w:pBdr>
      <w:tabs>
        <w:tab w:val="right" w:pos="432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0C4C1" w14:textId="10D89A1E" w:rsidR="002D5918" w:rsidRPr="00335A05" w:rsidRDefault="002D5918" w:rsidP="00AE18B7">
    <w:pPr>
      <w:pStyle w:val="Header"/>
      <w:pBdr>
        <w:bottom w:val="none" w:sz="0" w:space="0" w:color="auto"/>
      </w:pBdr>
      <w:tabs>
        <w:tab w:val="clear" w:pos="9356"/>
        <w:tab w:val="right" w:pos="4320"/>
        <w:tab w:val="right" w:pos="14572"/>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0557F" w14:textId="609D3981" w:rsidR="002D5918" w:rsidRPr="00335A05" w:rsidRDefault="002D5918" w:rsidP="00AE18B7">
    <w:pPr>
      <w:pStyle w:val="Header"/>
      <w:pBdr>
        <w:bottom w:val="none" w:sz="0" w:space="0" w:color="auto"/>
      </w:pBdr>
      <w:tabs>
        <w:tab w:val="right" w:pos="432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C124F" w14:textId="0AB3E415" w:rsidR="002D5918" w:rsidRPr="00335A05" w:rsidRDefault="002D5918" w:rsidP="00AE18B7">
    <w:pPr>
      <w:pStyle w:val="Header"/>
      <w:pBdr>
        <w:bottom w:val="none" w:sz="0" w:space="0" w:color="auto"/>
      </w:pBdr>
      <w:tabs>
        <w:tab w:val="clear" w:pos="9356"/>
        <w:tab w:val="right" w:pos="4320"/>
        <w:tab w:val="right" w:pos="14572"/>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88F28" w14:textId="3241A16B" w:rsidR="002D5918" w:rsidRPr="00335A05" w:rsidRDefault="002D5918" w:rsidP="00AE18B7">
    <w:pPr>
      <w:pStyle w:val="Header"/>
      <w:pBdr>
        <w:bottom w:val="none" w:sz="0" w:space="0" w:color="auto"/>
      </w:pBdr>
      <w:tabs>
        <w:tab w:val="right" w:pos="432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CAAF3" w14:textId="1ADA4AA8" w:rsidR="002D5918" w:rsidRPr="00335A05" w:rsidRDefault="002D5918" w:rsidP="00AE18B7">
    <w:pPr>
      <w:pStyle w:val="Header"/>
      <w:pBdr>
        <w:bottom w:val="none" w:sz="0" w:space="0" w:color="auto"/>
      </w:pBdr>
      <w:tabs>
        <w:tab w:val="clear" w:pos="9356"/>
        <w:tab w:val="right" w:pos="4320"/>
        <w:tab w:val="right" w:pos="14572"/>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0F4DB" w14:textId="436EDF21" w:rsidR="002D5918" w:rsidRPr="00335A05" w:rsidRDefault="002D5918" w:rsidP="00AE18B7">
    <w:pPr>
      <w:pStyle w:val="Header"/>
      <w:pBdr>
        <w:bottom w:val="none" w:sz="0" w:space="0" w:color="auto"/>
      </w:pBdr>
      <w:tabs>
        <w:tab w:val="right" w:pos="432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51717" w14:textId="0F72D580" w:rsidR="002D5918" w:rsidRPr="00335A05" w:rsidRDefault="002D5918" w:rsidP="00AE18B7">
    <w:pPr>
      <w:pStyle w:val="Header"/>
      <w:pBdr>
        <w:bottom w:val="none" w:sz="0" w:space="0" w:color="auto"/>
      </w:pBdr>
      <w:tabs>
        <w:tab w:val="clear" w:pos="9356"/>
        <w:tab w:val="right" w:pos="4320"/>
        <w:tab w:val="right" w:pos="14572"/>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ED50" w14:textId="4375412D" w:rsidR="002D5918" w:rsidRPr="00335A05" w:rsidRDefault="002D5918" w:rsidP="00AE18B7">
    <w:pPr>
      <w:pStyle w:val="Header"/>
      <w:pBdr>
        <w:bottom w:val="none" w:sz="0" w:space="0" w:color="auto"/>
      </w:pBdr>
      <w:tabs>
        <w:tab w:val="right" w:pos="432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2F7A" w14:textId="0452459A" w:rsidR="002D5918" w:rsidRPr="00335A05" w:rsidRDefault="002D5918" w:rsidP="00AE18B7">
    <w:pPr>
      <w:pStyle w:val="Header"/>
      <w:pBdr>
        <w:bottom w:val="none" w:sz="0" w:space="0" w:color="auto"/>
      </w:pBdr>
      <w:tabs>
        <w:tab w:val="clear" w:pos="9356"/>
        <w:tab w:val="right" w:pos="4320"/>
        <w:tab w:val="right" w:pos="14572"/>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33B71" w14:textId="6344C7C9" w:rsidR="002D5918" w:rsidRPr="00335A05" w:rsidRDefault="002D5918" w:rsidP="00AE18B7">
    <w:pPr>
      <w:pStyle w:val="Header"/>
      <w:pBdr>
        <w:bottom w:val="none" w:sz="0" w:space="0" w:color="auto"/>
      </w:pBdr>
      <w:tabs>
        <w:tab w:val="right" w:pos="43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5DD9F" w14:textId="04D23DAD" w:rsidR="002D5918" w:rsidRPr="00335A05" w:rsidRDefault="002D5918" w:rsidP="00AE18B7">
    <w:pPr>
      <w:pStyle w:val="Header"/>
      <w:pBdr>
        <w:bottom w:val="none" w:sz="0" w:space="0" w:color="auto"/>
      </w:pBdr>
      <w:tabs>
        <w:tab w:val="clear" w:pos="9356"/>
        <w:tab w:val="right" w:pos="4320"/>
        <w:tab w:val="right" w:pos="14572"/>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4F58B" w14:textId="60B1559D" w:rsidR="002D5918" w:rsidRPr="00335A05" w:rsidRDefault="002D5918" w:rsidP="00AE18B7">
    <w:pPr>
      <w:pStyle w:val="Header"/>
      <w:pBdr>
        <w:bottom w:val="none" w:sz="0" w:space="0" w:color="auto"/>
      </w:pBdr>
      <w:tabs>
        <w:tab w:val="clear" w:pos="9356"/>
        <w:tab w:val="right" w:pos="4320"/>
        <w:tab w:val="right" w:pos="14572"/>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93C71" w14:textId="0E2E61F2" w:rsidR="002D5918" w:rsidRPr="00335A05" w:rsidRDefault="002D5918" w:rsidP="00AE18B7">
    <w:pPr>
      <w:pStyle w:val="Header"/>
      <w:pBdr>
        <w:bottom w:val="none" w:sz="0" w:space="0" w:color="auto"/>
      </w:pBdr>
      <w:tabs>
        <w:tab w:val="right" w:pos="432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63C59" w14:textId="247048B3" w:rsidR="002D5918" w:rsidRPr="00335A05" w:rsidRDefault="002D5918" w:rsidP="00AE18B7">
    <w:pPr>
      <w:pStyle w:val="Header"/>
      <w:pBdr>
        <w:bottom w:val="none" w:sz="0" w:space="0" w:color="auto"/>
      </w:pBdr>
      <w:tabs>
        <w:tab w:val="clear" w:pos="9356"/>
        <w:tab w:val="right" w:pos="4320"/>
        <w:tab w:val="right" w:pos="14572"/>
      </w:tab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712DE" w14:textId="02A1AEF5" w:rsidR="002D5918" w:rsidRPr="00335A05" w:rsidRDefault="002D5918" w:rsidP="00AE18B7">
    <w:pPr>
      <w:pStyle w:val="Header"/>
      <w:pBdr>
        <w:bottom w:val="none" w:sz="0" w:space="0" w:color="auto"/>
      </w:pBdr>
      <w:tabs>
        <w:tab w:val="right" w:pos="4320"/>
      </w:tabs>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90B56" w14:textId="0FC19BC3" w:rsidR="002D5918" w:rsidRPr="00335A05" w:rsidRDefault="002D5918" w:rsidP="00AE18B7">
    <w:pPr>
      <w:pStyle w:val="Header"/>
      <w:pBdr>
        <w:bottom w:val="none" w:sz="0" w:space="0" w:color="auto"/>
      </w:pBdr>
      <w:tabs>
        <w:tab w:val="clear" w:pos="9356"/>
        <w:tab w:val="right" w:pos="4320"/>
        <w:tab w:val="right" w:pos="14572"/>
      </w:tab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B94FA" w14:textId="11814882" w:rsidR="002D5918" w:rsidRPr="00335A05" w:rsidRDefault="002D5918" w:rsidP="00AE18B7">
    <w:pPr>
      <w:pStyle w:val="Header"/>
      <w:pBdr>
        <w:bottom w:val="none" w:sz="0" w:space="0" w:color="auto"/>
      </w:pBdr>
      <w:tabs>
        <w:tab w:val="right" w:pos="4320"/>
      </w:tab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5E3C7" w14:textId="27C76457" w:rsidR="002D5918" w:rsidRPr="00335A05" w:rsidRDefault="002D5918" w:rsidP="00AE18B7">
    <w:pPr>
      <w:pStyle w:val="Header"/>
      <w:pBdr>
        <w:bottom w:val="none" w:sz="0" w:space="0" w:color="auto"/>
      </w:pBdr>
      <w:tabs>
        <w:tab w:val="clear" w:pos="9356"/>
        <w:tab w:val="right" w:pos="4320"/>
        <w:tab w:val="right" w:pos="14572"/>
      </w:tabs>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4650C" w14:textId="27613187" w:rsidR="002D5918" w:rsidRPr="00335A05" w:rsidRDefault="002D5918" w:rsidP="00AE18B7">
    <w:pPr>
      <w:pStyle w:val="Header"/>
      <w:pBdr>
        <w:bottom w:val="none" w:sz="0" w:space="0" w:color="auto"/>
      </w:pBdr>
      <w:tabs>
        <w:tab w:val="right" w:pos="4320"/>
      </w:tab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D477" w14:textId="56B5CC4D" w:rsidR="002D5918" w:rsidRPr="00335A05" w:rsidRDefault="002D5918" w:rsidP="00AE18B7">
    <w:pPr>
      <w:pStyle w:val="Header"/>
      <w:pBdr>
        <w:bottom w:val="none" w:sz="0" w:space="0" w:color="auto"/>
      </w:pBdr>
      <w:tabs>
        <w:tab w:val="clear" w:pos="9356"/>
        <w:tab w:val="right" w:pos="4320"/>
        <w:tab w:val="right" w:pos="14572"/>
      </w:tab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155BE" w14:textId="176B9206" w:rsidR="002D5918" w:rsidRPr="00335A05" w:rsidRDefault="002D5918" w:rsidP="00AE18B7">
    <w:pPr>
      <w:pStyle w:val="Header"/>
      <w:pBdr>
        <w:bottom w:val="none" w:sz="0" w:space="0" w:color="auto"/>
      </w:pBdr>
      <w:tabs>
        <w:tab w:val="right" w:pos="43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A0561" w14:textId="1094DA2F" w:rsidR="002D5918" w:rsidRPr="00335A05" w:rsidRDefault="002D5918" w:rsidP="00AE18B7">
    <w:pPr>
      <w:pStyle w:val="Header"/>
      <w:pBdr>
        <w:bottom w:val="none" w:sz="0" w:space="0" w:color="auto"/>
      </w:pBdr>
      <w:tabs>
        <w:tab w:val="right" w:pos="4320"/>
      </w:tab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2E69E" w14:textId="14CDA0D0" w:rsidR="002D5918" w:rsidRPr="00335A05" w:rsidRDefault="002D5918" w:rsidP="00AE18B7">
    <w:pPr>
      <w:pStyle w:val="Header"/>
      <w:pBdr>
        <w:bottom w:val="none" w:sz="0" w:space="0" w:color="auto"/>
      </w:pBdr>
      <w:tabs>
        <w:tab w:val="clear" w:pos="9356"/>
        <w:tab w:val="right" w:pos="4320"/>
        <w:tab w:val="right" w:pos="14572"/>
      </w:tabs>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EEBF0" w14:textId="2F9EFA9E" w:rsidR="002D5918" w:rsidRPr="00335A05" w:rsidRDefault="002D5918" w:rsidP="00AE18B7">
    <w:pPr>
      <w:pStyle w:val="Header"/>
      <w:pBdr>
        <w:bottom w:val="none" w:sz="0" w:space="0" w:color="auto"/>
      </w:pBdr>
      <w:tabs>
        <w:tab w:val="right" w:pos="4320"/>
      </w:tabs>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71954" w14:textId="01015BF0" w:rsidR="002D5918" w:rsidRPr="00335A05" w:rsidRDefault="002D5918" w:rsidP="00AE18B7">
    <w:pPr>
      <w:pStyle w:val="Header"/>
      <w:pBdr>
        <w:bottom w:val="none" w:sz="0" w:space="0" w:color="auto"/>
      </w:pBdr>
      <w:tabs>
        <w:tab w:val="clear" w:pos="9356"/>
        <w:tab w:val="right" w:pos="4320"/>
        <w:tab w:val="right" w:pos="14572"/>
      </w:tabs>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4EF04" w14:textId="2C30C62E" w:rsidR="002D5918" w:rsidRPr="00335A05" w:rsidRDefault="002D5918" w:rsidP="00AE18B7">
    <w:pPr>
      <w:pStyle w:val="Header"/>
      <w:pBdr>
        <w:bottom w:val="none" w:sz="0" w:space="0" w:color="auto"/>
      </w:pBdr>
      <w:tabs>
        <w:tab w:val="right" w:pos="4320"/>
      </w:tabs>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AFEB3" w14:textId="662F8AD5" w:rsidR="002D5918" w:rsidRPr="00335A05" w:rsidRDefault="002D5918" w:rsidP="00AE18B7">
    <w:pPr>
      <w:pStyle w:val="Header"/>
      <w:pBdr>
        <w:bottom w:val="none" w:sz="0" w:space="0" w:color="auto"/>
      </w:pBdr>
      <w:tabs>
        <w:tab w:val="clear" w:pos="9356"/>
        <w:tab w:val="right" w:pos="4320"/>
        <w:tab w:val="right" w:pos="14572"/>
      </w:tabs>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A3319" w14:textId="48EDF498" w:rsidR="002D5918" w:rsidRPr="00335A05" w:rsidRDefault="002D5918" w:rsidP="00AE18B7">
    <w:pPr>
      <w:pStyle w:val="Header"/>
      <w:pBdr>
        <w:bottom w:val="none" w:sz="0" w:space="0" w:color="auto"/>
      </w:pBdr>
      <w:tabs>
        <w:tab w:val="right" w:pos="4320"/>
      </w:tabs>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4B3B2" w14:textId="6BCD39E4" w:rsidR="002D5918" w:rsidRPr="00335A05" w:rsidRDefault="002D5918" w:rsidP="00AE18B7">
    <w:pPr>
      <w:pStyle w:val="Header"/>
      <w:pBdr>
        <w:bottom w:val="none" w:sz="0" w:space="0" w:color="auto"/>
      </w:pBdr>
      <w:tabs>
        <w:tab w:val="clear" w:pos="9356"/>
        <w:tab w:val="right" w:pos="4320"/>
        <w:tab w:val="right" w:pos="14572"/>
      </w:tabs>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494D9" w14:textId="3B32D564" w:rsidR="002D5918" w:rsidRPr="00335A05" w:rsidRDefault="002D5918" w:rsidP="00AE18B7">
    <w:pPr>
      <w:pStyle w:val="Header"/>
      <w:pBdr>
        <w:bottom w:val="none" w:sz="0" w:space="0" w:color="auto"/>
      </w:pBdr>
      <w:tabs>
        <w:tab w:val="right" w:pos="4320"/>
      </w:tabs>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C1A28" w14:textId="28313705" w:rsidR="002D5918" w:rsidRPr="00335A05" w:rsidRDefault="002D5918" w:rsidP="00AE18B7">
    <w:pPr>
      <w:pStyle w:val="Header"/>
      <w:pBdr>
        <w:bottom w:val="none" w:sz="0" w:space="0" w:color="auto"/>
      </w:pBdr>
      <w:tabs>
        <w:tab w:val="clear" w:pos="9356"/>
        <w:tab w:val="right" w:pos="4320"/>
        <w:tab w:val="right" w:pos="14572"/>
      </w:tabs>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63AA9" w14:textId="03187E8E" w:rsidR="002D5918" w:rsidRPr="00335A05" w:rsidRDefault="002D5918" w:rsidP="00AE18B7">
    <w:pPr>
      <w:pStyle w:val="Header"/>
      <w:pBdr>
        <w:bottom w:val="none" w:sz="0" w:space="0" w:color="auto"/>
      </w:pBdr>
      <w:tabs>
        <w:tab w:val="right" w:pos="432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7EE2B" w14:textId="398309BA" w:rsidR="002D5918" w:rsidRPr="00335A05" w:rsidRDefault="002D5918" w:rsidP="00AE18B7">
    <w:pPr>
      <w:pStyle w:val="Header"/>
      <w:pBdr>
        <w:bottom w:val="none" w:sz="0" w:space="0" w:color="auto"/>
      </w:pBdr>
      <w:tabs>
        <w:tab w:val="clear" w:pos="9356"/>
        <w:tab w:val="right" w:pos="4320"/>
        <w:tab w:val="right" w:pos="14572"/>
      </w:tabs>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2E70E" w14:textId="5DBBC8DA" w:rsidR="002D5918" w:rsidRPr="00335A05" w:rsidRDefault="002D5918" w:rsidP="00AE18B7">
    <w:pPr>
      <w:pStyle w:val="Header"/>
      <w:pBdr>
        <w:bottom w:val="none" w:sz="0" w:space="0" w:color="auto"/>
      </w:pBdr>
      <w:tabs>
        <w:tab w:val="clear" w:pos="9356"/>
        <w:tab w:val="right" w:pos="4320"/>
        <w:tab w:val="right" w:pos="14572"/>
      </w:tabs>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12901" w14:textId="0815470A" w:rsidR="002D5918" w:rsidRPr="00335A05" w:rsidRDefault="002D5918" w:rsidP="00AE18B7">
    <w:pPr>
      <w:pStyle w:val="Header"/>
      <w:pBdr>
        <w:bottom w:val="none" w:sz="0" w:space="0" w:color="auto"/>
      </w:pBdr>
      <w:tabs>
        <w:tab w:val="right" w:pos="4320"/>
      </w:tabs>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5EBDD" w14:textId="33530E12" w:rsidR="002D5918" w:rsidRPr="00335A05" w:rsidRDefault="002D5918" w:rsidP="00AE18B7">
    <w:pPr>
      <w:pStyle w:val="Header"/>
      <w:pBdr>
        <w:bottom w:val="none" w:sz="0" w:space="0" w:color="auto"/>
      </w:pBdr>
      <w:tabs>
        <w:tab w:val="clear" w:pos="9356"/>
        <w:tab w:val="right" w:pos="4320"/>
        <w:tab w:val="right" w:pos="14572"/>
      </w:tabs>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FC1C7" w14:textId="144F8E4D" w:rsidR="002D5918" w:rsidRPr="00335A05" w:rsidRDefault="002D5918" w:rsidP="00AE18B7">
    <w:pPr>
      <w:pStyle w:val="Header"/>
      <w:pBdr>
        <w:bottom w:val="none" w:sz="0" w:space="0" w:color="auto"/>
      </w:pBdr>
      <w:tabs>
        <w:tab w:val="right" w:pos="4320"/>
      </w:tabs>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C871" w14:textId="4B12D792" w:rsidR="002D5918" w:rsidRPr="00335A05" w:rsidRDefault="002D5918" w:rsidP="00AE18B7">
    <w:pPr>
      <w:pStyle w:val="Header"/>
      <w:pBdr>
        <w:bottom w:val="none" w:sz="0" w:space="0" w:color="auto"/>
      </w:pBdr>
      <w:tabs>
        <w:tab w:val="clear" w:pos="9356"/>
        <w:tab w:val="right" w:pos="4320"/>
        <w:tab w:val="right" w:pos="14572"/>
      </w:tabs>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979D7" w14:textId="2CE4CD56" w:rsidR="002D5918" w:rsidRPr="00335A05" w:rsidRDefault="002D5918" w:rsidP="00AE18B7">
    <w:pPr>
      <w:pStyle w:val="Header"/>
      <w:pBdr>
        <w:bottom w:val="none" w:sz="0" w:space="0" w:color="auto"/>
      </w:pBdr>
      <w:tabs>
        <w:tab w:val="right" w:pos="4320"/>
      </w:tabs>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43C1A" w14:textId="60A63927" w:rsidR="002D5918" w:rsidRPr="00335A05" w:rsidRDefault="002D5918" w:rsidP="00AE18B7">
    <w:pPr>
      <w:pStyle w:val="Header"/>
      <w:pBdr>
        <w:bottom w:val="none" w:sz="0" w:space="0" w:color="auto"/>
      </w:pBdr>
      <w:tabs>
        <w:tab w:val="clear" w:pos="9356"/>
        <w:tab w:val="right" w:pos="4320"/>
        <w:tab w:val="right" w:pos="14572"/>
      </w:tabs>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35806" w14:textId="63EB6FFF" w:rsidR="002D5918" w:rsidRPr="00335A05" w:rsidRDefault="002D5918" w:rsidP="00AE18B7">
    <w:pPr>
      <w:pStyle w:val="Header"/>
      <w:pBdr>
        <w:bottom w:val="none" w:sz="0" w:space="0" w:color="auto"/>
      </w:pBdr>
      <w:tabs>
        <w:tab w:val="right" w:pos="4320"/>
      </w:tabs>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63EA" w14:textId="5A3479E1" w:rsidR="002D5918" w:rsidRPr="00335A05" w:rsidRDefault="002D5918" w:rsidP="00AE18B7">
    <w:pPr>
      <w:pStyle w:val="Header"/>
      <w:pBdr>
        <w:bottom w:val="none" w:sz="0" w:space="0" w:color="auto"/>
      </w:pBdr>
      <w:tabs>
        <w:tab w:val="clear" w:pos="9356"/>
        <w:tab w:val="right" w:pos="4320"/>
        <w:tab w:val="right" w:pos="14572"/>
      </w:tabs>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44DAA" w14:textId="2A348A53" w:rsidR="002D5918" w:rsidRPr="00335A05" w:rsidRDefault="002D5918" w:rsidP="00AE18B7">
    <w:pPr>
      <w:pStyle w:val="Header"/>
      <w:pBdr>
        <w:bottom w:val="none" w:sz="0" w:space="0" w:color="auto"/>
      </w:pBdr>
      <w:tabs>
        <w:tab w:val="right" w:pos="432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7E73" w14:textId="7318F770" w:rsidR="002D5918" w:rsidRPr="00335A05" w:rsidRDefault="002D5918" w:rsidP="00AE18B7">
    <w:pPr>
      <w:pStyle w:val="Header"/>
      <w:pBdr>
        <w:bottom w:val="none" w:sz="0" w:space="0" w:color="auto"/>
      </w:pBdr>
      <w:tabs>
        <w:tab w:val="right" w:pos="4320"/>
      </w:tabs>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E0E5B" w14:textId="3CAB66F9" w:rsidR="002D5918" w:rsidRPr="00335A05" w:rsidRDefault="002D5918" w:rsidP="00AE18B7">
    <w:pPr>
      <w:pStyle w:val="Header"/>
      <w:pBdr>
        <w:bottom w:val="none" w:sz="0" w:space="0" w:color="auto"/>
      </w:pBdr>
      <w:tabs>
        <w:tab w:val="clear" w:pos="9356"/>
        <w:tab w:val="right" w:pos="4320"/>
        <w:tab w:val="right" w:pos="14572"/>
      </w:tabs>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EFB0A" w14:textId="169A299D" w:rsidR="002D5918" w:rsidRPr="00335A05" w:rsidRDefault="002D5918" w:rsidP="00AE18B7">
    <w:pPr>
      <w:pStyle w:val="Header"/>
      <w:pBdr>
        <w:bottom w:val="none" w:sz="0" w:space="0" w:color="auto"/>
      </w:pBdr>
      <w:tabs>
        <w:tab w:val="right" w:pos="4320"/>
      </w:tabs>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69D94" w14:textId="333B26A1" w:rsidR="002D5918" w:rsidRPr="00335A05" w:rsidRDefault="002D5918" w:rsidP="00AE18B7">
    <w:pPr>
      <w:pStyle w:val="Header"/>
      <w:pBdr>
        <w:bottom w:val="none" w:sz="0" w:space="0" w:color="auto"/>
      </w:pBdr>
      <w:tabs>
        <w:tab w:val="clear" w:pos="9356"/>
        <w:tab w:val="right" w:pos="4320"/>
        <w:tab w:val="right" w:pos="14572"/>
      </w:tabs>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2A3C7" w14:textId="7F45C9F9" w:rsidR="002D5918" w:rsidRPr="00335A05" w:rsidRDefault="002D5918" w:rsidP="00AE18B7">
    <w:pPr>
      <w:pStyle w:val="Header"/>
      <w:pBdr>
        <w:bottom w:val="none" w:sz="0" w:space="0" w:color="auto"/>
      </w:pBdr>
      <w:tabs>
        <w:tab w:val="right" w:pos="4320"/>
      </w:tabs>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6A77" w14:textId="33624D58" w:rsidR="002D5918" w:rsidRPr="00335A05" w:rsidRDefault="002D5918" w:rsidP="00AE18B7">
    <w:pPr>
      <w:pStyle w:val="Header"/>
      <w:pBdr>
        <w:bottom w:val="none" w:sz="0" w:space="0" w:color="auto"/>
      </w:pBdr>
      <w:tabs>
        <w:tab w:val="clear" w:pos="9356"/>
        <w:tab w:val="right" w:pos="4320"/>
        <w:tab w:val="right" w:pos="14572"/>
      </w:tabs>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59D19" w14:textId="5D3DF46C" w:rsidR="002D5918" w:rsidRPr="00335A05" w:rsidRDefault="002D5918" w:rsidP="00AE18B7">
    <w:pPr>
      <w:pStyle w:val="Header"/>
      <w:pBdr>
        <w:bottom w:val="none" w:sz="0" w:space="0" w:color="auto"/>
      </w:pBdr>
      <w:tabs>
        <w:tab w:val="right" w:pos="4320"/>
      </w:tabs>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460A3" w14:textId="42392965" w:rsidR="002D5918" w:rsidRDefault="002D5918" w:rsidP="00AE18B7">
    <w:pPr>
      <w:pStyle w:val="Header"/>
      <w:pBdr>
        <w:bottom w:val="none" w:sz="0" w:space="0" w:color="auto"/>
      </w:pBdr>
      <w:tabs>
        <w:tab w:val="right" w:pos="4320"/>
      </w:tabs>
    </w:pPr>
  </w:p>
  <w:p w14:paraId="665C2494" w14:textId="77777777" w:rsidR="002D5918" w:rsidRDefault="002D591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1C9F2" w14:textId="1FD97FD9" w:rsidR="002D5918" w:rsidRPr="00335A05" w:rsidRDefault="002D5918" w:rsidP="00AE18B7">
    <w:pPr>
      <w:pStyle w:val="Header"/>
      <w:pBdr>
        <w:bottom w:val="none" w:sz="0" w:space="0" w:color="auto"/>
      </w:pBdr>
      <w:tabs>
        <w:tab w:val="clear" w:pos="9356"/>
        <w:tab w:val="right" w:pos="4320"/>
        <w:tab w:val="right" w:pos="14572"/>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B85D3" w14:textId="760A5A8E" w:rsidR="002D5918" w:rsidRPr="00335A05" w:rsidRDefault="002D5918" w:rsidP="00AE18B7">
    <w:pPr>
      <w:pStyle w:val="Header"/>
      <w:pBdr>
        <w:bottom w:val="none" w:sz="0" w:space="0" w:color="auto"/>
      </w:pBdr>
      <w:tabs>
        <w:tab w:val="right" w:pos="432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175D" w14:textId="0640F8AB" w:rsidR="002D5918" w:rsidRPr="00335A05" w:rsidRDefault="002D5918" w:rsidP="00AE18B7">
    <w:pPr>
      <w:pStyle w:val="Header"/>
      <w:pBdr>
        <w:bottom w:val="none" w:sz="0" w:space="0" w:color="auto"/>
      </w:pBdr>
      <w:tabs>
        <w:tab w:val="clear" w:pos="9356"/>
        <w:tab w:val="right" w:pos="4320"/>
        <w:tab w:val="right" w:pos="14572"/>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180F" w14:textId="05906E00" w:rsidR="002D5918" w:rsidRPr="00335A05" w:rsidRDefault="002D5918" w:rsidP="00AE18B7">
    <w:pPr>
      <w:pStyle w:val="Header"/>
      <w:pBdr>
        <w:bottom w:val="none" w:sz="0" w:space="0" w:color="auto"/>
      </w:pBdr>
      <w:tabs>
        <w:tab w:val="righ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54247C"/>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53AEA8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F2D84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56B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81E43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84A77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8456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58EF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5C180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847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0481C"/>
    <w:multiLevelType w:val="hybridMultilevel"/>
    <w:tmpl w:val="222C6896"/>
    <w:lvl w:ilvl="0" w:tplc="6DB2D5B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5A6B4F"/>
    <w:multiLevelType w:val="hybridMultilevel"/>
    <w:tmpl w:val="E2B4BB3C"/>
    <w:lvl w:ilvl="0" w:tplc="87F66E18">
      <w:start w:val="5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F7410E"/>
    <w:multiLevelType w:val="hybridMultilevel"/>
    <w:tmpl w:val="48DCA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985979"/>
    <w:multiLevelType w:val="hybridMultilevel"/>
    <w:tmpl w:val="14160DE8"/>
    <w:lvl w:ilvl="0" w:tplc="7338C132">
      <w:start w:val="1"/>
      <w:numFmt w:val="decimal"/>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6A51F85"/>
    <w:multiLevelType w:val="hybridMultilevel"/>
    <w:tmpl w:val="DB4C75BE"/>
    <w:lvl w:ilvl="0" w:tplc="DD10450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105D1"/>
    <w:multiLevelType w:val="hybridMultilevel"/>
    <w:tmpl w:val="B7F49F8E"/>
    <w:lvl w:ilvl="0" w:tplc="BA7E0B5E">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4C7632"/>
    <w:multiLevelType w:val="hybridMultilevel"/>
    <w:tmpl w:val="48A2EB7A"/>
    <w:lvl w:ilvl="0" w:tplc="C224796C">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F82ADF"/>
    <w:multiLevelType w:val="hybridMultilevel"/>
    <w:tmpl w:val="4EA8EB34"/>
    <w:lvl w:ilvl="0" w:tplc="87F66E18">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42B07"/>
    <w:multiLevelType w:val="hybridMultilevel"/>
    <w:tmpl w:val="DF6E1BFA"/>
    <w:lvl w:ilvl="0" w:tplc="BA7E0B5E">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835B0"/>
    <w:multiLevelType w:val="hybridMultilevel"/>
    <w:tmpl w:val="ECF063AA"/>
    <w:lvl w:ilvl="0" w:tplc="C224796C">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1A03AB"/>
    <w:multiLevelType w:val="hybridMultilevel"/>
    <w:tmpl w:val="AA8E93AE"/>
    <w:lvl w:ilvl="0" w:tplc="67080CF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820BA3"/>
    <w:multiLevelType w:val="hybridMultilevel"/>
    <w:tmpl w:val="F11674BC"/>
    <w:lvl w:ilvl="0" w:tplc="C224796C">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4541B7E"/>
    <w:multiLevelType w:val="hybridMultilevel"/>
    <w:tmpl w:val="334A23F0"/>
    <w:lvl w:ilvl="0" w:tplc="EDB87406">
      <w:start w:val="1"/>
      <w:numFmt w:val="decimal"/>
      <w:lvlText w:val="%1."/>
      <w:lvlJc w:val="left"/>
      <w:pPr>
        <w:ind w:left="720" w:hanging="360"/>
      </w:pPr>
      <w:rPr>
        <w:rFonts w:ascii="Times New Roman" w:hAnsi="Times New Roman" w:hint="default"/>
        <w:b w:val="0"/>
        <w:i w:val="0"/>
        <w:sz w:val="24"/>
      </w:rPr>
    </w:lvl>
    <w:lvl w:ilvl="1" w:tplc="4AE6CAD0">
      <w:start w:val="1"/>
      <w:numFmt w:val="decimal"/>
      <w:lvlText w:val="%2."/>
      <w:lvlJc w:val="center"/>
      <w:pPr>
        <w:ind w:left="1440" w:hanging="360"/>
      </w:pPr>
      <w:rPr>
        <w:rFonts w:hint="default"/>
        <w:b w:val="0"/>
        <w:i w:val="0"/>
        <w:sz w:val="24"/>
      </w:rPr>
    </w:lvl>
    <w:lvl w:ilvl="2" w:tplc="0C3C9870">
      <w:start w:val="1"/>
      <w:numFmt w:val="decimal"/>
      <w:lvlText w:val="%3."/>
      <w:lvlJc w:val="left"/>
      <w:pPr>
        <w:ind w:left="2160" w:hanging="180"/>
      </w:pPr>
      <w:rPr>
        <w:rFonts w:ascii="Times New Roman" w:hAnsi="Times New Roman" w:hint="default"/>
        <w:b w:val="0"/>
        <w:i w:val="0"/>
        <w:sz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791619"/>
    <w:multiLevelType w:val="hybridMultilevel"/>
    <w:tmpl w:val="CA222414"/>
    <w:lvl w:ilvl="0" w:tplc="7F3E136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0E3D91"/>
    <w:multiLevelType w:val="hybridMultilevel"/>
    <w:tmpl w:val="5FE09812"/>
    <w:lvl w:ilvl="0" w:tplc="C3AE74B0">
      <w:numFmt w:val="bullet"/>
      <w:lvlText w:val="-"/>
      <w:lvlJc w:val="left"/>
      <w:pPr>
        <w:ind w:left="720" w:hanging="360"/>
      </w:pPr>
      <w:rPr>
        <w:rFonts w:ascii="Arial Narrow" w:eastAsiaTheme="minorHAnsi" w:hAnsi="Arial Narrow"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890606"/>
    <w:multiLevelType w:val="hybridMultilevel"/>
    <w:tmpl w:val="85E29564"/>
    <w:lvl w:ilvl="0" w:tplc="BA7E0B5E">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E14363"/>
    <w:multiLevelType w:val="hybridMultilevel"/>
    <w:tmpl w:val="D85859E4"/>
    <w:lvl w:ilvl="0" w:tplc="AA864F84">
      <w:start w:val="1"/>
      <w:numFmt w:val="decimal"/>
      <w:lvlText w:val="%1)"/>
      <w:lvlJc w:val="left"/>
      <w:pPr>
        <w:ind w:left="360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F43B34"/>
    <w:multiLevelType w:val="hybridMultilevel"/>
    <w:tmpl w:val="D69C9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974AFB"/>
    <w:multiLevelType w:val="hybridMultilevel"/>
    <w:tmpl w:val="A81CCCCC"/>
    <w:lvl w:ilvl="0" w:tplc="A1282DD2">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064A38"/>
    <w:multiLevelType w:val="hybridMultilevel"/>
    <w:tmpl w:val="68EED922"/>
    <w:lvl w:ilvl="0" w:tplc="F4ACFC40">
      <w:start w:val="1"/>
      <w:numFmt w:val="decimal"/>
      <w:lvlText w:val="П.%1."/>
      <w:lvlJc w:val="left"/>
      <w:pPr>
        <w:ind w:left="2341" w:hanging="360"/>
      </w:pPr>
      <w:rPr>
        <w:rFonts w:ascii="Times New Roman" w:hAnsi="Times New Roman" w:cs="Times New Roman" w:hint="default"/>
      </w:rPr>
    </w:lvl>
    <w:lvl w:ilvl="1" w:tplc="04090019">
      <w:start w:val="1"/>
      <w:numFmt w:val="lowerLetter"/>
      <w:lvlText w:val="%2."/>
      <w:lvlJc w:val="left"/>
      <w:pPr>
        <w:ind w:left="3061" w:hanging="360"/>
      </w:pPr>
    </w:lvl>
    <w:lvl w:ilvl="2" w:tplc="0409001B">
      <w:start w:val="1"/>
      <w:numFmt w:val="lowerRoman"/>
      <w:lvlText w:val="%3."/>
      <w:lvlJc w:val="right"/>
      <w:pPr>
        <w:ind w:left="3781" w:hanging="180"/>
      </w:pPr>
    </w:lvl>
    <w:lvl w:ilvl="3" w:tplc="0409000F">
      <w:start w:val="1"/>
      <w:numFmt w:val="decimal"/>
      <w:lvlText w:val="%4."/>
      <w:lvlJc w:val="left"/>
      <w:pPr>
        <w:ind w:left="4501" w:hanging="360"/>
      </w:pPr>
    </w:lvl>
    <w:lvl w:ilvl="4" w:tplc="04090019">
      <w:start w:val="1"/>
      <w:numFmt w:val="lowerLetter"/>
      <w:lvlText w:val="%5."/>
      <w:lvlJc w:val="left"/>
      <w:pPr>
        <w:ind w:left="5221" w:hanging="360"/>
      </w:pPr>
    </w:lvl>
    <w:lvl w:ilvl="5" w:tplc="0409001B">
      <w:start w:val="1"/>
      <w:numFmt w:val="lowerRoman"/>
      <w:lvlText w:val="%6."/>
      <w:lvlJc w:val="right"/>
      <w:pPr>
        <w:ind w:left="5941" w:hanging="180"/>
      </w:pPr>
    </w:lvl>
    <w:lvl w:ilvl="6" w:tplc="0409000F">
      <w:start w:val="1"/>
      <w:numFmt w:val="decimal"/>
      <w:lvlText w:val="%7."/>
      <w:lvlJc w:val="left"/>
      <w:pPr>
        <w:ind w:left="6661" w:hanging="360"/>
      </w:pPr>
    </w:lvl>
    <w:lvl w:ilvl="7" w:tplc="04090019">
      <w:start w:val="1"/>
      <w:numFmt w:val="lowerLetter"/>
      <w:lvlText w:val="%8."/>
      <w:lvlJc w:val="left"/>
      <w:pPr>
        <w:ind w:left="7381" w:hanging="360"/>
      </w:pPr>
    </w:lvl>
    <w:lvl w:ilvl="8" w:tplc="0409001B">
      <w:start w:val="1"/>
      <w:numFmt w:val="lowerRoman"/>
      <w:lvlText w:val="%9."/>
      <w:lvlJc w:val="right"/>
      <w:pPr>
        <w:ind w:left="8101" w:hanging="180"/>
      </w:pPr>
    </w:lvl>
  </w:abstractNum>
  <w:abstractNum w:abstractNumId="30" w15:restartNumberingAfterBreak="0">
    <w:nsid w:val="260A0BBB"/>
    <w:multiLevelType w:val="hybridMultilevel"/>
    <w:tmpl w:val="77B6DBF4"/>
    <w:lvl w:ilvl="0" w:tplc="3DCC2C00">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2E5D26"/>
    <w:multiLevelType w:val="hybridMultilevel"/>
    <w:tmpl w:val="D4B0EF9C"/>
    <w:lvl w:ilvl="0" w:tplc="20ACCD76">
      <w:start w:val="8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71331CA"/>
    <w:multiLevelType w:val="hybridMultilevel"/>
    <w:tmpl w:val="B6F8F472"/>
    <w:lvl w:ilvl="0" w:tplc="4A2CCA7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69758C"/>
    <w:multiLevelType w:val="singleLevel"/>
    <w:tmpl w:val="B60EAB4E"/>
    <w:lvl w:ilvl="0">
      <w:start w:val="1"/>
      <w:numFmt w:val="decimal"/>
      <w:pStyle w:val="Literatura"/>
      <w:lvlText w:val="[%1]"/>
      <w:lvlJc w:val="left"/>
      <w:pPr>
        <w:tabs>
          <w:tab w:val="num" w:pos="720"/>
        </w:tabs>
        <w:ind w:left="720" w:hanging="720"/>
      </w:pPr>
      <w:rPr>
        <w:rFonts w:hint="default"/>
      </w:rPr>
    </w:lvl>
  </w:abstractNum>
  <w:abstractNum w:abstractNumId="34" w15:restartNumberingAfterBreak="0">
    <w:nsid w:val="28AA2CC7"/>
    <w:multiLevelType w:val="hybridMultilevel"/>
    <w:tmpl w:val="2626F52C"/>
    <w:lvl w:ilvl="0" w:tplc="C224796C">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7242B6"/>
    <w:multiLevelType w:val="hybridMultilevel"/>
    <w:tmpl w:val="1D8AA3E4"/>
    <w:lvl w:ilvl="0" w:tplc="C3AE74B0">
      <w:numFmt w:val="bullet"/>
      <w:lvlText w:val="-"/>
      <w:lvlJc w:val="left"/>
      <w:pPr>
        <w:ind w:left="720" w:hanging="360"/>
      </w:pPr>
      <w:rPr>
        <w:rFonts w:ascii="Arial Narrow" w:eastAsiaTheme="minorHAnsi" w:hAnsi="Arial Narrow"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E741FA"/>
    <w:multiLevelType w:val="hybridMultilevel"/>
    <w:tmpl w:val="8116B5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8145A9"/>
    <w:multiLevelType w:val="hybridMultilevel"/>
    <w:tmpl w:val="41EA367C"/>
    <w:lvl w:ilvl="0" w:tplc="CCEC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7D1421"/>
    <w:multiLevelType w:val="hybridMultilevel"/>
    <w:tmpl w:val="CC4C0256"/>
    <w:lvl w:ilvl="0" w:tplc="114A802A">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E05286"/>
    <w:multiLevelType w:val="hybridMultilevel"/>
    <w:tmpl w:val="61B60292"/>
    <w:lvl w:ilvl="0" w:tplc="54280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913E10"/>
    <w:multiLevelType w:val="hybridMultilevel"/>
    <w:tmpl w:val="602C0E06"/>
    <w:lvl w:ilvl="0" w:tplc="F7BEFF6C">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0A69DE"/>
    <w:multiLevelType w:val="hybridMultilevel"/>
    <w:tmpl w:val="8E90C9EC"/>
    <w:lvl w:ilvl="0" w:tplc="4B2C2A92">
      <w:start w:val="2"/>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C5616E"/>
    <w:multiLevelType w:val="hybridMultilevel"/>
    <w:tmpl w:val="9744A92C"/>
    <w:lvl w:ilvl="0" w:tplc="EDB87406">
      <w:start w:val="1"/>
      <w:numFmt w:val="decimal"/>
      <w:lvlText w:val="%1."/>
      <w:lvlJc w:val="left"/>
      <w:pPr>
        <w:ind w:left="720" w:hanging="360"/>
      </w:pPr>
      <w:rPr>
        <w:rFonts w:ascii="Times New Roman" w:hAnsi="Times New Roman" w:hint="default"/>
        <w:b w:val="0"/>
        <w:i w:val="0"/>
        <w:sz w:val="24"/>
      </w:rPr>
    </w:lvl>
    <w:lvl w:ilvl="1" w:tplc="830612AC">
      <w:start w:val="1"/>
      <w:numFmt w:val="lowerLetter"/>
      <w:lvlText w:val="%2."/>
      <w:lvlJc w:val="left"/>
      <w:pPr>
        <w:ind w:left="1440" w:hanging="360"/>
      </w:pPr>
      <w:rPr>
        <w:rFonts w:ascii="Times New Roman" w:hAnsi="Times New Roman" w:hint="default"/>
        <w:b w:val="0"/>
        <w:i w:val="0"/>
        <w:sz w:val="24"/>
      </w:rPr>
    </w:lvl>
    <w:lvl w:ilvl="2" w:tplc="0C3C9870">
      <w:start w:val="1"/>
      <w:numFmt w:val="decimal"/>
      <w:lvlText w:val="%3."/>
      <w:lvlJc w:val="left"/>
      <w:pPr>
        <w:ind w:left="2160" w:hanging="180"/>
      </w:pPr>
      <w:rPr>
        <w:rFonts w:ascii="Times New Roman" w:hAnsi="Times New Roman" w:hint="default"/>
        <w:b w:val="0"/>
        <w:i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561591"/>
    <w:multiLevelType w:val="hybridMultilevel"/>
    <w:tmpl w:val="297E34E6"/>
    <w:lvl w:ilvl="0" w:tplc="04FA3BBE">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2E4755"/>
    <w:multiLevelType w:val="hybridMultilevel"/>
    <w:tmpl w:val="7A2E9EC6"/>
    <w:lvl w:ilvl="0" w:tplc="3684D764">
      <w:start w:val="1"/>
      <w:numFmt w:val="decimal"/>
      <w:lvlText w:val="(%1)"/>
      <w:lvlJc w:val="left"/>
      <w:pPr>
        <w:ind w:left="4545" w:hanging="405"/>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32D7E16"/>
    <w:multiLevelType w:val="hybridMultilevel"/>
    <w:tmpl w:val="B1708BB8"/>
    <w:lvl w:ilvl="0" w:tplc="C224796C">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562DBE"/>
    <w:multiLevelType w:val="hybridMultilevel"/>
    <w:tmpl w:val="0BD2D8A6"/>
    <w:lvl w:ilvl="0" w:tplc="22E4FCDE">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A65ED6"/>
    <w:multiLevelType w:val="hybridMultilevel"/>
    <w:tmpl w:val="F3D8612E"/>
    <w:lvl w:ilvl="0" w:tplc="D24AFD98">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A7B43"/>
    <w:multiLevelType w:val="hybridMultilevel"/>
    <w:tmpl w:val="F46A481A"/>
    <w:lvl w:ilvl="0" w:tplc="46A23346">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372BCB"/>
    <w:multiLevelType w:val="hybridMultilevel"/>
    <w:tmpl w:val="6EDC7E38"/>
    <w:lvl w:ilvl="0" w:tplc="C224796C">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F4172A"/>
    <w:multiLevelType w:val="hybridMultilevel"/>
    <w:tmpl w:val="6B48FFBC"/>
    <w:lvl w:ilvl="0" w:tplc="4B2C2A9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8F70CAA"/>
    <w:multiLevelType w:val="hybridMultilevel"/>
    <w:tmpl w:val="55FE7A86"/>
    <w:lvl w:ilvl="0" w:tplc="FB9E8A3E">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DF52B6"/>
    <w:multiLevelType w:val="hybridMultilevel"/>
    <w:tmpl w:val="CDB65540"/>
    <w:lvl w:ilvl="0" w:tplc="6432702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114C00"/>
    <w:multiLevelType w:val="hybridMultilevel"/>
    <w:tmpl w:val="C850240A"/>
    <w:lvl w:ilvl="0" w:tplc="9836E8F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C43C3E"/>
    <w:multiLevelType w:val="hybridMultilevel"/>
    <w:tmpl w:val="BF3298E4"/>
    <w:lvl w:ilvl="0" w:tplc="347E0CE2">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2421F3"/>
    <w:multiLevelType w:val="hybridMultilevel"/>
    <w:tmpl w:val="3B964070"/>
    <w:lvl w:ilvl="0" w:tplc="C224796C">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B823774"/>
    <w:multiLevelType w:val="hybridMultilevel"/>
    <w:tmpl w:val="24B0BF3C"/>
    <w:lvl w:ilvl="0" w:tplc="224C44C4">
      <w:start w:val="1"/>
      <w:numFmt w:val="bullet"/>
      <w:lvlText w:val="-"/>
      <w:lvlJc w:val="left"/>
      <w:pPr>
        <w:ind w:left="720" w:hanging="360"/>
      </w:pPr>
      <w:rPr>
        <w:rFonts w:ascii="Times New Roman" w:eastAsia="Myriad Pro"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7" w15:restartNumberingAfterBreak="0">
    <w:nsid w:val="3C0E2C92"/>
    <w:multiLevelType w:val="hybridMultilevel"/>
    <w:tmpl w:val="255EFE0A"/>
    <w:lvl w:ilvl="0" w:tplc="E0BC1978">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8741F6"/>
    <w:multiLevelType w:val="hybridMultilevel"/>
    <w:tmpl w:val="61BCFC12"/>
    <w:lvl w:ilvl="0" w:tplc="A1269F2A">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A42C7B"/>
    <w:multiLevelType w:val="hybridMultilevel"/>
    <w:tmpl w:val="F1F86B98"/>
    <w:lvl w:ilvl="0" w:tplc="2DDA5D66">
      <w:start w:val="1"/>
      <w:numFmt w:val="decimal"/>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0816648"/>
    <w:multiLevelType w:val="hybridMultilevel"/>
    <w:tmpl w:val="8A9ADEC4"/>
    <w:lvl w:ilvl="0" w:tplc="F636FB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55C15BC"/>
    <w:multiLevelType w:val="hybridMultilevel"/>
    <w:tmpl w:val="0A547410"/>
    <w:lvl w:ilvl="0" w:tplc="87F66E18">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19409E"/>
    <w:multiLevelType w:val="hybridMultilevel"/>
    <w:tmpl w:val="462C5364"/>
    <w:lvl w:ilvl="0" w:tplc="87F66E18">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655119"/>
    <w:multiLevelType w:val="hybridMultilevel"/>
    <w:tmpl w:val="D72672EA"/>
    <w:lvl w:ilvl="0" w:tplc="0486057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F9B20C0"/>
    <w:multiLevelType w:val="hybridMultilevel"/>
    <w:tmpl w:val="4DE0EA1E"/>
    <w:lvl w:ilvl="0" w:tplc="C224796C">
      <w:start w:val="1"/>
      <w:numFmt w:val="decimal"/>
      <w:lvlText w:val="%1."/>
      <w:lvlJc w:val="left"/>
      <w:pPr>
        <w:ind w:left="720" w:hanging="360"/>
      </w:pPr>
      <w:rPr>
        <w:rFonts w:ascii="Times New Roman" w:hAnsi="Times New Roman" w:hint="default"/>
        <w:b w:val="0"/>
        <w:i w:val="0"/>
        <w:sz w:val="24"/>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C7083C5E">
      <w:start w:val="1"/>
      <w:numFmt w:val="decimal"/>
      <w:lvlText w:val="%5)"/>
      <w:lvlJc w:val="left"/>
      <w:pPr>
        <w:ind w:left="3600" w:hanging="360"/>
      </w:pPr>
      <w:rPr>
        <w:rFonts w:ascii="Times New Roman Bold" w:hAnsi="Times New Roman Bold" w:hint="default"/>
        <w:b/>
        <w:i w:val="0"/>
        <w:sz w:val="24"/>
      </w:rPr>
    </w:lvl>
    <w:lvl w:ilvl="5" w:tplc="3684D764">
      <w:start w:val="1"/>
      <w:numFmt w:val="decimal"/>
      <w:lvlText w:val="(%6)"/>
      <w:lvlJc w:val="left"/>
      <w:pPr>
        <w:ind w:left="4545" w:hanging="405"/>
      </w:pPr>
      <w:rPr>
        <w:rFonts w:ascii="Times New Roman Bold" w:hAnsi="Times New Roman Bold" w:hint="default"/>
        <w:b/>
        <w:i w:val="0"/>
        <w:sz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C5118C"/>
    <w:multiLevelType w:val="hybridMultilevel"/>
    <w:tmpl w:val="C630C776"/>
    <w:lvl w:ilvl="0" w:tplc="C224796C">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1003188"/>
    <w:multiLevelType w:val="hybridMultilevel"/>
    <w:tmpl w:val="C560A748"/>
    <w:lvl w:ilvl="0" w:tplc="6A385C2C">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23C063B"/>
    <w:multiLevelType w:val="hybridMultilevel"/>
    <w:tmpl w:val="78B88A9C"/>
    <w:lvl w:ilvl="0" w:tplc="A322C4E8">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967B41"/>
    <w:multiLevelType w:val="hybridMultilevel"/>
    <w:tmpl w:val="8F6E101A"/>
    <w:lvl w:ilvl="0" w:tplc="77102ADC">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2E7403C"/>
    <w:multiLevelType w:val="hybridMultilevel"/>
    <w:tmpl w:val="48DCA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EC49FD"/>
    <w:multiLevelType w:val="hybridMultilevel"/>
    <w:tmpl w:val="723827C4"/>
    <w:lvl w:ilvl="0" w:tplc="C224796C">
      <w:start w:val="1"/>
      <w:numFmt w:val="decimal"/>
      <w:lvlText w:val="%1."/>
      <w:lvlJc w:val="left"/>
      <w:pPr>
        <w:ind w:left="360"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500331C"/>
    <w:multiLevelType w:val="hybridMultilevel"/>
    <w:tmpl w:val="033667F2"/>
    <w:lvl w:ilvl="0" w:tplc="2AF07FC2">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750F96"/>
    <w:multiLevelType w:val="hybridMultilevel"/>
    <w:tmpl w:val="5046283A"/>
    <w:lvl w:ilvl="0" w:tplc="61E4DA2E">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8A872A4"/>
    <w:multiLevelType w:val="hybridMultilevel"/>
    <w:tmpl w:val="841484D6"/>
    <w:lvl w:ilvl="0" w:tplc="9E4E9C4C">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FB72FF"/>
    <w:multiLevelType w:val="hybridMultilevel"/>
    <w:tmpl w:val="48DCA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FA8774C"/>
    <w:multiLevelType w:val="hybridMultilevel"/>
    <w:tmpl w:val="FFEA7E32"/>
    <w:lvl w:ilvl="0" w:tplc="0409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6" w15:restartNumberingAfterBreak="0">
    <w:nsid w:val="602E152D"/>
    <w:multiLevelType w:val="hybridMultilevel"/>
    <w:tmpl w:val="46409CD0"/>
    <w:lvl w:ilvl="0" w:tplc="C3AE74B0">
      <w:numFmt w:val="bullet"/>
      <w:lvlText w:val="-"/>
      <w:lvlJc w:val="left"/>
      <w:pPr>
        <w:ind w:left="720" w:hanging="360"/>
      </w:pPr>
      <w:rPr>
        <w:rFonts w:ascii="Arial Narrow" w:eastAsiaTheme="minorHAnsi" w:hAnsi="Arial Narrow"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0724E0C"/>
    <w:multiLevelType w:val="hybridMultilevel"/>
    <w:tmpl w:val="DE5293D8"/>
    <w:lvl w:ilvl="0" w:tplc="BA7E0B5E">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2C31351"/>
    <w:multiLevelType w:val="hybridMultilevel"/>
    <w:tmpl w:val="72BC0C36"/>
    <w:lvl w:ilvl="0" w:tplc="C3AE74B0">
      <w:numFmt w:val="bullet"/>
      <w:lvlText w:val="-"/>
      <w:lvlJc w:val="left"/>
      <w:pPr>
        <w:ind w:left="720" w:hanging="360"/>
      </w:pPr>
      <w:rPr>
        <w:rFonts w:ascii="Arial Narrow" w:eastAsiaTheme="minorHAnsi" w:hAnsi="Arial Narrow" w:cs="Tahoma"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9" w15:restartNumberingAfterBreak="0">
    <w:nsid w:val="63270CA5"/>
    <w:multiLevelType w:val="hybridMultilevel"/>
    <w:tmpl w:val="A1584242"/>
    <w:lvl w:ilvl="0" w:tplc="58401E10">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3A02C38"/>
    <w:multiLevelType w:val="hybridMultilevel"/>
    <w:tmpl w:val="29448FE8"/>
    <w:lvl w:ilvl="0" w:tplc="19AE7C02">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4B36FDF"/>
    <w:multiLevelType w:val="hybridMultilevel"/>
    <w:tmpl w:val="D6F03F06"/>
    <w:lvl w:ilvl="0" w:tplc="3684D764">
      <w:start w:val="1"/>
      <w:numFmt w:val="decimal"/>
      <w:lvlText w:val="(%1)"/>
      <w:lvlJc w:val="left"/>
      <w:pPr>
        <w:ind w:left="4545" w:hanging="405"/>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50252AE"/>
    <w:multiLevelType w:val="hybridMultilevel"/>
    <w:tmpl w:val="064E3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3C479E"/>
    <w:multiLevelType w:val="hybridMultilevel"/>
    <w:tmpl w:val="8C785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8705925"/>
    <w:multiLevelType w:val="hybridMultilevel"/>
    <w:tmpl w:val="65F25312"/>
    <w:lvl w:ilvl="0" w:tplc="D4044BBC">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9DE4464"/>
    <w:multiLevelType w:val="hybridMultilevel"/>
    <w:tmpl w:val="F134FF1C"/>
    <w:lvl w:ilvl="0" w:tplc="C224796C">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A32606C"/>
    <w:multiLevelType w:val="hybridMultilevel"/>
    <w:tmpl w:val="B7780726"/>
    <w:lvl w:ilvl="0" w:tplc="7DD02318">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E747A9"/>
    <w:multiLevelType w:val="hybridMultilevel"/>
    <w:tmpl w:val="C30EA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C832EAE"/>
    <w:multiLevelType w:val="hybridMultilevel"/>
    <w:tmpl w:val="2484252C"/>
    <w:lvl w:ilvl="0" w:tplc="4A202EA4">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E3C4E54"/>
    <w:multiLevelType w:val="hybridMultilevel"/>
    <w:tmpl w:val="805CEC28"/>
    <w:lvl w:ilvl="0" w:tplc="402642C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463223"/>
    <w:multiLevelType w:val="hybridMultilevel"/>
    <w:tmpl w:val="0D583F20"/>
    <w:lvl w:ilvl="0" w:tplc="2584C702">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1" w15:restartNumberingAfterBreak="0">
    <w:nsid w:val="6F0C7A94"/>
    <w:multiLevelType w:val="hybridMultilevel"/>
    <w:tmpl w:val="A7BAF736"/>
    <w:lvl w:ilvl="0" w:tplc="BA7E0B5E">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0844E80"/>
    <w:multiLevelType w:val="hybridMultilevel"/>
    <w:tmpl w:val="64185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1E4B94"/>
    <w:multiLevelType w:val="hybridMultilevel"/>
    <w:tmpl w:val="51FC863E"/>
    <w:lvl w:ilvl="0" w:tplc="C224796C">
      <w:start w:val="1"/>
      <w:numFmt w:val="decimal"/>
      <w:lvlText w:val="%1."/>
      <w:lvlJc w:val="left"/>
      <w:pPr>
        <w:ind w:left="1077" w:hanging="360"/>
      </w:pPr>
      <w:rPr>
        <w:rFonts w:ascii="Times New Roman" w:hAnsi="Times New Roman" w:hint="default"/>
        <w:b w:val="0"/>
        <w:i w:val="0"/>
        <w:sz w:val="24"/>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4" w15:restartNumberingAfterBreak="0">
    <w:nsid w:val="740E19F0"/>
    <w:multiLevelType w:val="hybridMultilevel"/>
    <w:tmpl w:val="822EC2CA"/>
    <w:lvl w:ilvl="0" w:tplc="BA7E0B5E">
      <w:start w:val="5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5607B3"/>
    <w:multiLevelType w:val="hybridMultilevel"/>
    <w:tmpl w:val="8E003D3C"/>
    <w:lvl w:ilvl="0" w:tplc="5B3C7CC2">
      <w:start w:val="100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8175EAA"/>
    <w:multiLevelType w:val="hybridMultilevel"/>
    <w:tmpl w:val="D6CCDF60"/>
    <w:lvl w:ilvl="0" w:tplc="0BD09498">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1A2D8C"/>
    <w:multiLevelType w:val="hybridMultilevel"/>
    <w:tmpl w:val="193213BA"/>
    <w:lvl w:ilvl="0" w:tplc="10DAE6E2">
      <w:start w:val="1"/>
      <w:numFmt w:val="decimal"/>
      <w:lvlText w:val="%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71458A"/>
    <w:multiLevelType w:val="hybridMultilevel"/>
    <w:tmpl w:val="7A2E9EC6"/>
    <w:lvl w:ilvl="0" w:tplc="3684D764">
      <w:start w:val="1"/>
      <w:numFmt w:val="decimal"/>
      <w:lvlText w:val="(%1)"/>
      <w:lvlJc w:val="left"/>
      <w:pPr>
        <w:ind w:left="4545" w:hanging="405"/>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B374475"/>
    <w:multiLevelType w:val="hybridMultilevel"/>
    <w:tmpl w:val="34FC2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0A61CA"/>
    <w:multiLevelType w:val="multilevel"/>
    <w:tmpl w:val="D83E4658"/>
    <w:lvl w:ilvl="0">
      <w:start w:val="1"/>
      <w:numFmt w:val="decimal"/>
      <w:pStyle w:val="Heading1"/>
      <w:lvlText w:val="%1."/>
      <w:lvlJc w:val="left"/>
      <w:pPr>
        <w:tabs>
          <w:tab w:val="num" w:pos="357"/>
        </w:tabs>
        <w:ind w:left="357" w:hanging="357"/>
      </w:pPr>
      <w:rPr>
        <w:rFonts w:ascii="Times New Roman Bold" w:hAnsi="Times New Roman Bold"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1">
      <w:start w:val="1"/>
      <w:numFmt w:val="decimal"/>
      <w:pStyle w:val="Heading2"/>
      <w:lvlText w:val="%1.%2."/>
      <w:lvlJc w:val="left"/>
      <w:pPr>
        <w:tabs>
          <w:tab w:val="num" w:pos="720"/>
        </w:tabs>
        <w:ind w:left="720" w:hanging="720"/>
      </w:pPr>
      <w:rPr>
        <w:rFonts w:ascii="Times New Roman Bold" w:hAnsi="Times New Roman Bold" w:hint="default"/>
        <w:b/>
        <w:i w:val="0"/>
        <w:sz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98"/>
        </w:tabs>
        <w:ind w:left="998" w:hanging="998"/>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01" w15:restartNumberingAfterBreak="0">
    <w:nsid w:val="7CF10861"/>
    <w:multiLevelType w:val="hybridMultilevel"/>
    <w:tmpl w:val="5426C466"/>
    <w:lvl w:ilvl="0" w:tplc="C3AE74B0">
      <w:numFmt w:val="bullet"/>
      <w:lvlText w:val="-"/>
      <w:lvlJc w:val="left"/>
      <w:pPr>
        <w:ind w:left="720" w:hanging="360"/>
      </w:pPr>
      <w:rPr>
        <w:rFonts w:ascii="Arial Narrow" w:eastAsiaTheme="minorHAnsi" w:hAnsi="Arial Narrow"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DB448A4"/>
    <w:multiLevelType w:val="hybridMultilevel"/>
    <w:tmpl w:val="203E4828"/>
    <w:lvl w:ilvl="0" w:tplc="A1DA992E">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DBD187B"/>
    <w:multiLevelType w:val="hybridMultilevel"/>
    <w:tmpl w:val="0AF48A90"/>
    <w:lvl w:ilvl="0" w:tplc="72F244AC">
      <w:numFmt w:val="bullet"/>
      <w:lvlText w:val="-"/>
      <w:lvlJc w:val="left"/>
      <w:pPr>
        <w:ind w:left="643" w:hanging="360"/>
      </w:pPr>
      <w:rPr>
        <w:rFonts w:ascii="Times New Roman" w:eastAsia="Times New Roman" w:hAnsi="Times New Roman" w:cs="Times New Roman"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100"/>
  </w:num>
  <w:num w:numId="2">
    <w:abstractNumId w:val="3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3"/>
  </w:num>
  <w:num w:numId="14">
    <w:abstractNumId w:val="29"/>
  </w:num>
  <w:num w:numId="15">
    <w:abstractNumId w:val="18"/>
  </w:num>
  <w:num w:numId="16">
    <w:abstractNumId w:val="10"/>
  </w:num>
  <w:num w:numId="17">
    <w:abstractNumId w:val="51"/>
  </w:num>
  <w:num w:numId="18">
    <w:abstractNumId w:val="42"/>
  </w:num>
  <w:num w:numId="19">
    <w:abstractNumId w:val="59"/>
  </w:num>
  <w:num w:numId="20">
    <w:abstractNumId w:val="77"/>
  </w:num>
  <w:num w:numId="21">
    <w:abstractNumId w:val="14"/>
  </w:num>
  <w:num w:numId="22">
    <w:abstractNumId w:val="17"/>
  </w:num>
  <w:num w:numId="23">
    <w:abstractNumId w:val="91"/>
  </w:num>
  <w:num w:numId="24">
    <w:abstractNumId w:val="64"/>
  </w:num>
  <w:num w:numId="25">
    <w:abstractNumId w:val="19"/>
  </w:num>
  <w:num w:numId="26">
    <w:abstractNumId w:val="69"/>
  </w:num>
  <w:num w:numId="27">
    <w:abstractNumId w:val="74"/>
  </w:num>
  <w:num w:numId="28">
    <w:abstractNumId w:val="94"/>
  </w:num>
  <w:num w:numId="29">
    <w:abstractNumId w:val="12"/>
  </w:num>
  <w:num w:numId="30">
    <w:abstractNumId w:val="99"/>
  </w:num>
  <w:num w:numId="31">
    <w:abstractNumId w:val="16"/>
  </w:num>
  <w:num w:numId="32">
    <w:abstractNumId w:val="34"/>
  </w:num>
  <w:num w:numId="33">
    <w:abstractNumId w:val="93"/>
  </w:num>
  <w:num w:numId="34">
    <w:abstractNumId w:val="85"/>
  </w:num>
  <w:num w:numId="35">
    <w:abstractNumId w:val="55"/>
  </w:num>
  <w:num w:numId="36">
    <w:abstractNumId w:val="21"/>
  </w:num>
  <w:num w:numId="37">
    <w:abstractNumId w:val="65"/>
  </w:num>
  <w:num w:numId="38">
    <w:abstractNumId w:val="87"/>
  </w:num>
  <w:num w:numId="39">
    <w:abstractNumId w:val="56"/>
  </w:num>
  <w:num w:numId="40">
    <w:abstractNumId w:val="90"/>
  </w:num>
  <w:num w:numId="41">
    <w:abstractNumId w:val="20"/>
  </w:num>
  <w:num w:numId="42">
    <w:abstractNumId w:val="61"/>
  </w:num>
  <w:num w:numId="43">
    <w:abstractNumId w:val="11"/>
  </w:num>
  <w:num w:numId="44">
    <w:abstractNumId w:val="49"/>
  </w:num>
  <w:num w:numId="45">
    <w:abstractNumId w:val="45"/>
  </w:num>
  <w:num w:numId="46">
    <w:abstractNumId w:val="62"/>
  </w:num>
  <w:num w:numId="47">
    <w:abstractNumId w:val="83"/>
  </w:num>
  <w:num w:numId="48">
    <w:abstractNumId w:val="27"/>
  </w:num>
  <w:num w:numId="49">
    <w:abstractNumId w:val="103"/>
  </w:num>
  <w:num w:numId="5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7"/>
  </w:num>
  <w:num w:numId="52">
    <w:abstractNumId w:val="73"/>
  </w:num>
  <w:num w:numId="53">
    <w:abstractNumId w:val="43"/>
  </w:num>
  <w:num w:numId="54">
    <w:abstractNumId w:val="58"/>
  </w:num>
  <w:num w:numId="55">
    <w:abstractNumId w:val="37"/>
  </w:num>
  <w:num w:numId="56">
    <w:abstractNumId w:val="25"/>
  </w:num>
  <w:num w:numId="57">
    <w:abstractNumId w:val="88"/>
  </w:num>
  <w:num w:numId="58">
    <w:abstractNumId w:val="24"/>
  </w:num>
  <w:num w:numId="59">
    <w:abstractNumId w:val="39"/>
  </w:num>
  <w:num w:numId="60">
    <w:abstractNumId w:val="76"/>
  </w:num>
  <w:num w:numId="61">
    <w:abstractNumId w:val="35"/>
  </w:num>
  <w:num w:numId="62">
    <w:abstractNumId w:val="101"/>
  </w:num>
  <w:num w:numId="63">
    <w:abstractNumId w:val="50"/>
  </w:num>
  <w:num w:numId="64">
    <w:abstractNumId w:val="41"/>
  </w:num>
  <w:num w:numId="65">
    <w:abstractNumId w:val="22"/>
  </w:num>
  <w:num w:numId="66">
    <w:abstractNumId w:val="95"/>
  </w:num>
  <w:num w:numId="67">
    <w:abstractNumId w:val="100"/>
    <w:lvlOverride w:ilvl="0">
      <w:lvl w:ilvl="0">
        <w:start w:val="1"/>
        <w:numFmt w:val="decimal"/>
        <w:pStyle w:val="Heading1"/>
        <w:lvlText w:val="%1."/>
        <w:lvlJc w:val="left"/>
        <w:pPr>
          <w:tabs>
            <w:tab w:val="num" w:pos="357"/>
          </w:tabs>
          <w:ind w:left="357" w:hanging="357"/>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4"/>
          <w:u w:val="none"/>
          <w:effect w:val="none"/>
          <w:vertAlign w:val="baseline"/>
        </w:rPr>
      </w:lvl>
    </w:lvlOverride>
    <w:lvlOverride w:ilvl="1">
      <w:lvl w:ilvl="1">
        <w:start w:val="1"/>
        <w:numFmt w:val="decimal"/>
        <w:pStyle w:val="Heading2"/>
        <w:lvlText w:val="%1.%2."/>
        <w:lvlJc w:val="left"/>
        <w:pPr>
          <w:tabs>
            <w:tab w:val="num" w:pos="720"/>
          </w:tabs>
          <w:ind w:left="720" w:hanging="720"/>
        </w:pPr>
        <w:rPr>
          <w:rFonts w:ascii="Times New Roman Bold" w:hAnsi="Times New Roman Bold" w:cs="Times New Roman" w:hint="default"/>
          <w:b/>
          <w:i w:val="0"/>
          <w:sz w:val="24"/>
        </w:rPr>
      </w:lvl>
    </w:lvlOverride>
    <w:lvlOverride w:ilvl="2">
      <w:lvl w:ilvl="2">
        <w:start w:val="1"/>
        <w:numFmt w:val="decimal"/>
        <w:pStyle w:val="Heading3"/>
        <w:lvlText w:val="%1.%2.%3."/>
        <w:lvlJc w:val="left"/>
        <w:pPr>
          <w:tabs>
            <w:tab w:val="num" w:pos="9509"/>
          </w:tabs>
          <w:ind w:left="9509" w:hanging="720"/>
        </w:pPr>
        <w:rPr>
          <w:rFonts w:cs="Times New Roman" w:hint="default"/>
        </w:rPr>
      </w:lvl>
    </w:lvlOverride>
    <w:lvlOverride w:ilvl="3">
      <w:lvl w:ilvl="3">
        <w:start w:val="1"/>
        <w:numFmt w:val="decimal"/>
        <w:pStyle w:val="Heading4"/>
        <w:lvlText w:val="%1.%2.%3.%4."/>
        <w:lvlJc w:val="left"/>
        <w:pPr>
          <w:tabs>
            <w:tab w:val="num" w:pos="998"/>
          </w:tabs>
          <w:ind w:left="998" w:hanging="998"/>
        </w:pPr>
        <w:rPr>
          <w:rFonts w:cs="Times New Roman" w:hint="default"/>
        </w:rPr>
      </w:lvl>
    </w:lvlOverride>
    <w:lvlOverride w:ilvl="4">
      <w:lvl w:ilvl="4">
        <w:start w:val="1"/>
        <w:numFmt w:val="decimal"/>
        <w:pStyle w:val="Heading5"/>
        <w:lvlText w:val="%1.%2.%3.%4.%5"/>
        <w:lvlJc w:val="left"/>
        <w:pPr>
          <w:tabs>
            <w:tab w:val="num" w:pos="1368"/>
          </w:tabs>
          <w:ind w:left="1368" w:hanging="1008"/>
        </w:pPr>
        <w:rPr>
          <w:rFonts w:cs="Times New Roman" w:hint="default"/>
        </w:rPr>
      </w:lvl>
    </w:lvlOverride>
    <w:lvlOverride w:ilvl="5">
      <w:lvl w:ilvl="5">
        <w:start w:val="1"/>
        <w:numFmt w:val="decimal"/>
        <w:pStyle w:val="Heading6"/>
        <w:lvlText w:val="%1.%2.%3.%4.%5.%6"/>
        <w:lvlJc w:val="left"/>
        <w:pPr>
          <w:tabs>
            <w:tab w:val="num" w:pos="1512"/>
          </w:tabs>
          <w:ind w:left="1512" w:hanging="1152"/>
        </w:pPr>
        <w:rPr>
          <w:rFonts w:cs="Times New Roman" w:hint="default"/>
        </w:rPr>
      </w:lvl>
    </w:lvlOverride>
    <w:lvlOverride w:ilvl="6">
      <w:lvl w:ilvl="6">
        <w:start w:val="1"/>
        <w:numFmt w:val="decimal"/>
        <w:pStyle w:val="Heading7"/>
        <w:lvlText w:val="%1.%2.%3.%4.%5.%6.%7"/>
        <w:lvlJc w:val="left"/>
        <w:pPr>
          <w:tabs>
            <w:tab w:val="num" w:pos="1656"/>
          </w:tabs>
          <w:ind w:left="1656" w:hanging="1296"/>
        </w:pPr>
        <w:rPr>
          <w:rFonts w:cs="Times New Roman" w:hint="default"/>
        </w:rPr>
      </w:lvl>
    </w:lvlOverride>
    <w:lvlOverride w:ilvl="7">
      <w:lvl w:ilvl="7">
        <w:start w:val="1"/>
        <w:numFmt w:val="decimal"/>
        <w:pStyle w:val="Heading8"/>
        <w:lvlText w:val="%1.%2.%3.%4.%5.%6.%7.%8"/>
        <w:lvlJc w:val="left"/>
        <w:pPr>
          <w:tabs>
            <w:tab w:val="num" w:pos="1800"/>
          </w:tabs>
          <w:ind w:left="1800" w:hanging="1440"/>
        </w:pPr>
        <w:rPr>
          <w:rFonts w:cs="Times New Roman" w:hint="default"/>
        </w:rPr>
      </w:lvl>
    </w:lvlOverride>
    <w:lvlOverride w:ilvl="8">
      <w:lvl w:ilvl="8">
        <w:start w:val="1"/>
        <w:numFmt w:val="decimal"/>
        <w:pStyle w:val="Heading9"/>
        <w:lvlText w:val="%1.%2.%3.%4.%5.%6.%7.%8.%9"/>
        <w:lvlJc w:val="left"/>
        <w:pPr>
          <w:tabs>
            <w:tab w:val="num" w:pos="1944"/>
          </w:tabs>
          <w:ind w:left="1944" w:hanging="1584"/>
        </w:pPr>
        <w:rPr>
          <w:rFonts w:cs="Times New Roman" w:hint="default"/>
        </w:rPr>
      </w:lvl>
    </w:lvlOverride>
  </w:num>
  <w:num w:numId="68">
    <w:abstractNumId w:val="100"/>
    <w:lvlOverride w:ilvl="0">
      <w:lvl w:ilvl="0">
        <w:start w:val="2"/>
        <w:numFmt w:val="decimal"/>
        <w:pStyle w:val="Heading1"/>
        <w:lvlText w:val="%1."/>
        <w:lvlJc w:val="left"/>
        <w:pPr>
          <w:tabs>
            <w:tab w:val="num" w:pos="357"/>
          </w:tabs>
          <w:ind w:left="357" w:hanging="357"/>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4"/>
          <w:u w:val="none"/>
          <w:effect w:val="none"/>
          <w:vertAlign w:val="baseline"/>
        </w:rPr>
      </w:lvl>
    </w:lvlOverride>
    <w:lvlOverride w:ilvl="1">
      <w:lvl w:ilvl="1">
        <w:start w:val="4"/>
        <w:numFmt w:val="decimal"/>
        <w:pStyle w:val="Heading2"/>
        <w:lvlText w:val="%1.%2."/>
        <w:lvlJc w:val="left"/>
        <w:pPr>
          <w:tabs>
            <w:tab w:val="num" w:pos="720"/>
          </w:tabs>
          <w:ind w:left="720" w:hanging="720"/>
        </w:pPr>
        <w:rPr>
          <w:rFonts w:ascii="Times New Roman Bold" w:hAnsi="Times New Roman Bold" w:cs="Times New Roman" w:hint="default"/>
          <w:b/>
          <w:i w:val="0"/>
          <w:sz w:val="24"/>
        </w:rPr>
      </w:lvl>
    </w:lvlOverride>
    <w:lvlOverride w:ilvl="2">
      <w:lvl w:ilvl="2">
        <w:start w:val="1"/>
        <w:numFmt w:val="decimal"/>
        <w:pStyle w:val="Heading3"/>
        <w:lvlText w:val="%1.%2.%3."/>
        <w:lvlJc w:val="left"/>
        <w:pPr>
          <w:tabs>
            <w:tab w:val="num" w:pos="9509"/>
          </w:tabs>
          <w:ind w:left="9509" w:hanging="720"/>
        </w:pPr>
        <w:rPr>
          <w:rFonts w:cs="Times New Roman" w:hint="default"/>
        </w:rPr>
      </w:lvl>
    </w:lvlOverride>
    <w:lvlOverride w:ilvl="3">
      <w:lvl w:ilvl="3">
        <w:start w:val="1"/>
        <w:numFmt w:val="decimal"/>
        <w:pStyle w:val="Heading4"/>
        <w:lvlText w:val="%1.%2.%3.%4."/>
        <w:lvlJc w:val="left"/>
        <w:pPr>
          <w:tabs>
            <w:tab w:val="num" w:pos="998"/>
          </w:tabs>
          <w:ind w:left="998" w:hanging="998"/>
        </w:pPr>
        <w:rPr>
          <w:rFonts w:cs="Times New Roman" w:hint="default"/>
        </w:rPr>
      </w:lvl>
    </w:lvlOverride>
    <w:lvlOverride w:ilvl="4">
      <w:lvl w:ilvl="4">
        <w:start w:val="1"/>
        <w:numFmt w:val="decimal"/>
        <w:pStyle w:val="Heading5"/>
        <w:lvlText w:val="%1.%2.%3.%4.%5"/>
        <w:lvlJc w:val="left"/>
        <w:pPr>
          <w:tabs>
            <w:tab w:val="num" w:pos="1368"/>
          </w:tabs>
          <w:ind w:left="1368" w:hanging="1008"/>
        </w:pPr>
        <w:rPr>
          <w:rFonts w:cs="Times New Roman" w:hint="default"/>
        </w:rPr>
      </w:lvl>
    </w:lvlOverride>
    <w:lvlOverride w:ilvl="5">
      <w:lvl w:ilvl="5">
        <w:start w:val="1"/>
        <w:numFmt w:val="decimal"/>
        <w:pStyle w:val="Heading6"/>
        <w:lvlText w:val="%1.%2.%3.%4.%5.%6"/>
        <w:lvlJc w:val="left"/>
        <w:pPr>
          <w:tabs>
            <w:tab w:val="num" w:pos="1512"/>
          </w:tabs>
          <w:ind w:left="1512" w:hanging="1152"/>
        </w:pPr>
        <w:rPr>
          <w:rFonts w:cs="Times New Roman" w:hint="default"/>
        </w:rPr>
      </w:lvl>
    </w:lvlOverride>
    <w:lvlOverride w:ilvl="6">
      <w:lvl w:ilvl="6">
        <w:start w:val="1"/>
        <w:numFmt w:val="decimal"/>
        <w:pStyle w:val="Heading7"/>
        <w:lvlText w:val="%1.%2.%3.%4.%5.%6.%7"/>
        <w:lvlJc w:val="left"/>
        <w:pPr>
          <w:tabs>
            <w:tab w:val="num" w:pos="1656"/>
          </w:tabs>
          <w:ind w:left="1656" w:hanging="1296"/>
        </w:pPr>
        <w:rPr>
          <w:rFonts w:cs="Times New Roman" w:hint="default"/>
        </w:rPr>
      </w:lvl>
    </w:lvlOverride>
    <w:lvlOverride w:ilvl="7">
      <w:lvl w:ilvl="7">
        <w:start w:val="1"/>
        <w:numFmt w:val="decimal"/>
        <w:pStyle w:val="Heading8"/>
        <w:lvlText w:val="%1.%2.%3.%4.%5.%6.%7.%8"/>
        <w:lvlJc w:val="left"/>
        <w:pPr>
          <w:tabs>
            <w:tab w:val="num" w:pos="1800"/>
          </w:tabs>
          <w:ind w:left="1800" w:hanging="1440"/>
        </w:pPr>
        <w:rPr>
          <w:rFonts w:cs="Times New Roman" w:hint="default"/>
        </w:rPr>
      </w:lvl>
    </w:lvlOverride>
    <w:lvlOverride w:ilvl="8">
      <w:lvl w:ilvl="8">
        <w:start w:val="1"/>
        <w:numFmt w:val="decimal"/>
        <w:pStyle w:val="Heading9"/>
        <w:lvlText w:val="%1.%2.%3.%4.%5.%6.%7.%8.%9"/>
        <w:lvlJc w:val="left"/>
        <w:pPr>
          <w:tabs>
            <w:tab w:val="num" w:pos="1944"/>
          </w:tabs>
          <w:ind w:left="1944" w:hanging="1584"/>
        </w:pPr>
        <w:rPr>
          <w:rFonts w:cs="Times New Roman" w:hint="default"/>
        </w:rPr>
      </w:lvl>
    </w:lvlOverride>
  </w:num>
  <w:num w:numId="69">
    <w:abstractNumId w:val="36"/>
  </w:num>
  <w:num w:numId="70">
    <w:abstractNumId w:val="15"/>
  </w:num>
  <w:num w:numId="71">
    <w:abstractNumId w:val="78"/>
  </w:num>
  <w:num w:numId="72">
    <w:abstractNumId w:val="23"/>
  </w:num>
  <w:num w:numId="73">
    <w:abstractNumId w:val="71"/>
  </w:num>
  <w:num w:numId="74">
    <w:abstractNumId w:val="38"/>
  </w:num>
  <w:num w:numId="75">
    <w:abstractNumId w:val="63"/>
  </w:num>
  <w:num w:numId="76">
    <w:abstractNumId w:val="68"/>
  </w:num>
  <w:num w:numId="77">
    <w:abstractNumId w:val="72"/>
  </w:num>
  <w:num w:numId="78">
    <w:abstractNumId w:val="80"/>
  </w:num>
  <w:num w:numId="79">
    <w:abstractNumId w:val="66"/>
  </w:num>
  <w:num w:numId="80">
    <w:abstractNumId w:val="54"/>
  </w:num>
  <w:num w:numId="81">
    <w:abstractNumId w:val="40"/>
  </w:num>
  <w:num w:numId="82">
    <w:abstractNumId w:val="53"/>
  </w:num>
  <w:num w:numId="83">
    <w:abstractNumId w:val="57"/>
  </w:num>
  <w:num w:numId="84">
    <w:abstractNumId w:val="47"/>
  </w:num>
  <w:num w:numId="85">
    <w:abstractNumId w:val="96"/>
  </w:num>
  <w:num w:numId="86">
    <w:abstractNumId w:val="84"/>
  </w:num>
  <w:num w:numId="87">
    <w:abstractNumId w:val="52"/>
  </w:num>
  <w:num w:numId="88">
    <w:abstractNumId w:val="46"/>
  </w:num>
  <w:num w:numId="89">
    <w:abstractNumId w:val="102"/>
  </w:num>
  <w:num w:numId="90">
    <w:abstractNumId w:val="86"/>
  </w:num>
  <w:num w:numId="91">
    <w:abstractNumId w:val="89"/>
  </w:num>
  <w:num w:numId="92">
    <w:abstractNumId w:val="48"/>
  </w:num>
  <w:num w:numId="93">
    <w:abstractNumId w:val="79"/>
  </w:num>
  <w:num w:numId="94">
    <w:abstractNumId w:val="30"/>
  </w:num>
  <w:num w:numId="95">
    <w:abstractNumId w:val="32"/>
  </w:num>
  <w:num w:numId="96">
    <w:abstractNumId w:val="92"/>
  </w:num>
  <w:num w:numId="97">
    <w:abstractNumId w:val="82"/>
  </w:num>
  <w:num w:numId="98">
    <w:abstractNumId w:val="44"/>
  </w:num>
  <w:num w:numId="99">
    <w:abstractNumId w:val="98"/>
  </w:num>
  <w:num w:numId="100">
    <w:abstractNumId w:val="81"/>
  </w:num>
  <w:num w:numId="101">
    <w:abstractNumId w:val="60"/>
  </w:num>
  <w:num w:numId="102">
    <w:abstractNumId w:val="26"/>
  </w:num>
  <w:num w:numId="103">
    <w:abstractNumId w:val="67"/>
  </w:num>
  <w:num w:numId="104">
    <w:abstractNumId w:val="28"/>
  </w:num>
  <w:num w:numId="105">
    <w:abstractNumId w:val="13"/>
  </w:num>
  <w:num w:numId="106">
    <w:abstractNumId w:val="75"/>
  </w:num>
  <w:num w:numId="107">
    <w:abstractNumId w:val="33"/>
  </w:num>
  <w:num w:numId="108">
    <w:abstractNumId w:val="3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68"/>
    <w:rsid w:val="000069AB"/>
    <w:rsid w:val="00007E48"/>
    <w:rsid w:val="000107EA"/>
    <w:rsid w:val="000128E3"/>
    <w:rsid w:val="00012A19"/>
    <w:rsid w:val="00013A40"/>
    <w:rsid w:val="00014FC8"/>
    <w:rsid w:val="000162C9"/>
    <w:rsid w:val="00017454"/>
    <w:rsid w:val="000213E4"/>
    <w:rsid w:val="000220B2"/>
    <w:rsid w:val="000228AD"/>
    <w:rsid w:val="00024425"/>
    <w:rsid w:val="00024AE4"/>
    <w:rsid w:val="00024C4C"/>
    <w:rsid w:val="000253C4"/>
    <w:rsid w:val="00026908"/>
    <w:rsid w:val="00031885"/>
    <w:rsid w:val="00031E05"/>
    <w:rsid w:val="00033179"/>
    <w:rsid w:val="00035932"/>
    <w:rsid w:val="00036B44"/>
    <w:rsid w:val="00036F2C"/>
    <w:rsid w:val="00037AFC"/>
    <w:rsid w:val="00041F19"/>
    <w:rsid w:val="00042784"/>
    <w:rsid w:val="00045755"/>
    <w:rsid w:val="0005108C"/>
    <w:rsid w:val="0005232E"/>
    <w:rsid w:val="00052E00"/>
    <w:rsid w:val="0005504A"/>
    <w:rsid w:val="000556AD"/>
    <w:rsid w:val="00055C90"/>
    <w:rsid w:val="00055E67"/>
    <w:rsid w:val="0005727F"/>
    <w:rsid w:val="000574F1"/>
    <w:rsid w:val="00057516"/>
    <w:rsid w:val="00057FA9"/>
    <w:rsid w:val="0006141B"/>
    <w:rsid w:val="0006398E"/>
    <w:rsid w:val="000642D2"/>
    <w:rsid w:val="000656EB"/>
    <w:rsid w:val="00065987"/>
    <w:rsid w:val="0006614C"/>
    <w:rsid w:val="000662B0"/>
    <w:rsid w:val="000667D2"/>
    <w:rsid w:val="00067996"/>
    <w:rsid w:val="00071265"/>
    <w:rsid w:val="0007339E"/>
    <w:rsid w:val="00073C77"/>
    <w:rsid w:val="000750F5"/>
    <w:rsid w:val="000763D5"/>
    <w:rsid w:val="000776C9"/>
    <w:rsid w:val="00080112"/>
    <w:rsid w:val="00080C15"/>
    <w:rsid w:val="000818D0"/>
    <w:rsid w:val="0008224E"/>
    <w:rsid w:val="00083909"/>
    <w:rsid w:val="00083CA8"/>
    <w:rsid w:val="00083E98"/>
    <w:rsid w:val="00086290"/>
    <w:rsid w:val="00086A78"/>
    <w:rsid w:val="00086DE0"/>
    <w:rsid w:val="0008733F"/>
    <w:rsid w:val="00087F14"/>
    <w:rsid w:val="000908F5"/>
    <w:rsid w:val="00091B64"/>
    <w:rsid w:val="00092546"/>
    <w:rsid w:val="000947FE"/>
    <w:rsid w:val="00094C27"/>
    <w:rsid w:val="00095C23"/>
    <w:rsid w:val="00096171"/>
    <w:rsid w:val="00096A0D"/>
    <w:rsid w:val="00096A1D"/>
    <w:rsid w:val="00096E05"/>
    <w:rsid w:val="000972A3"/>
    <w:rsid w:val="00097D3E"/>
    <w:rsid w:val="000A0055"/>
    <w:rsid w:val="000A1268"/>
    <w:rsid w:val="000A2DA9"/>
    <w:rsid w:val="000A306B"/>
    <w:rsid w:val="000A4F26"/>
    <w:rsid w:val="000A4FD5"/>
    <w:rsid w:val="000A58D4"/>
    <w:rsid w:val="000A5914"/>
    <w:rsid w:val="000A72B2"/>
    <w:rsid w:val="000B094C"/>
    <w:rsid w:val="000B0B6A"/>
    <w:rsid w:val="000B1527"/>
    <w:rsid w:val="000B28E3"/>
    <w:rsid w:val="000B3752"/>
    <w:rsid w:val="000B3CB4"/>
    <w:rsid w:val="000B530F"/>
    <w:rsid w:val="000B5EDC"/>
    <w:rsid w:val="000B77FC"/>
    <w:rsid w:val="000C15D5"/>
    <w:rsid w:val="000C1C44"/>
    <w:rsid w:val="000C1D5C"/>
    <w:rsid w:val="000D05C1"/>
    <w:rsid w:val="000D142D"/>
    <w:rsid w:val="000D23D8"/>
    <w:rsid w:val="000D241F"/>
    <w:rsid w:val="000D353C"/>
    <w:rsid w:val="000D53CA"/>
    <w:rsid w:val="000D63E1"/>
    <w:rsid w:val="000D6EF0"/>
    <w:rsid w:val="000E0A3C"/>
    <w:rsid w:val="000E0A72"/>
    <w:rsid w:val="000E0D41"/>
    <w:rsid w:val="000E46B6"/>
    <w:rsid w:val="000E4F7E"/>
    <w:rsid w:val="000E4FF7"/>
    <w:rsid w:val="000E5BF7"/>
    <w:rsid w:val="000E6441"/>
    <w:rsid w:val="000E64D9"/>
    <w:rsid w:val="000E6ACA"/>
    <w:rsid w:val="000E6EE0"/>
    <w:rsid w:val="000E6F02"/>
    <w:rsid w:val="000E7301"/>
    <w:rsid w:val="000E7E9F"/>
    <w:rsid w:val="000F02A0"/>
    <w:rsid w:val="000F0412"/>
    <w:rsid w:val="000F0583"/>
    <w:rsid w:val="000F05CA"/>
    <w:rsid w:val="000F08BF"/>
    <w:rsid w:val="000F0F55"/>
    <w:rsid w:val="000F4ACF"/>
    <w:rsid w:val="000F7AFA"/>
    <w:rsid w:val="001000E0"/>
    <w:rsid w:val="00100C28"/>
    <w:rsid w:val="00102B76"/>
    <w:rsid w:val="001065CE"/>
    <w:rsid w:val="00107CB4"/>
    <w:rsid w:val="00115212"/>
    <w:rsid w:val="0011525E"/>
    <w:rsid w:val="0011648E"/>
    <w:rsid w:val="001169AD"/>
    <w:rsid w:val="00117D2E"/>
    <w:rsid w:val="001214E7"/>
    <w:rsid w:val="0012184E"/>
    <w:rsid w:val="00126EC4"/>
    <w:rsid w:val="00127230"/>
    <w:rsid w:val="00127AC9"/>
    <w:rsid w:val="00127E86"/>
    <w:rsid w:val="001304DE"/>
    <w:rsid w:val="001329A4"/>
    <w:rsid w:val="00132D06"/>
    <w:rsid w:val="0013305E"/>
    <w:rsid w:val="00133248"/>
    <w:rsid w:val="00134E5F"/>
    <w:rsid w:val="00136715"/>
    <w:rsid w:val="0013680E"/>
    <w:rsid w:val="00137B22"/>
    <w:rsid w:val="001401BE"/>
    <w:rsid w:val="0014156C"/>
    <w:rsid w:val="00141BA0"/>
    <w:rsid w:val="00141E72"/>
    <w:rsid w:val="00142D24"/>
    <w:rsid w:val="001431C0"/>
    <w:rsid w:val="00143755"/>
    <w:rsid w:val="0014443A"/>
    <w:rsid w:val="0014457B"/>
    <w:rsid w:val="00144736"/>
    <w:rsid w:val="00144CFB"/>
    <w:rsid w:val="00145E51"/>
    <w:rsid w:val="00146161"/>
    <w:rsid w:val="001466AE"/>
    <w:rsid w:val="00147A65"/>
    <w:rsid w:val="0015143F"/>
    <w:rsid w:val="00151ABB"/>
    <w:rsid w:val="00153820"/>
    <w:rsid w:val="0015676E"/>
    <w:rsid w:val="00157DA1"/>
    <w:rsid w:val="00163C9A"/>
    <w:rsid w:val="00163CB3"/>
    <w:rsid w:val="00164A2B"/>
    <w:rsid w:val="00164D6D"/>
    <w:rsid w:val="00165345"/>
    <w:rsid w:val="0016783D"/>
    <w:rsid w:val="001716F2"/>
    <w:rsid w:val="001717CA"/>
    <w:rsid w:val="001739E1"/>
    <w:rsid w:val="001741AC"/>
    <w:rsid w:val="001742B4"/>
    <w:rsid w:val="00176354"/>
    <w:rsid w:val="00176427"/>
    <w:rsid w:val="0018192E"/>
    <w:rsid w:val="00182E9F"/>
    <w:rsid w:val="00183A1A"/>
    <w:rsid w:val="00183BB8"/>
    <w:rsid w:val="00185AD8"/>
    <w:rsid w:val="00185B50"/>
    <w:rsid w:val="0018676C"/>
    <w:rsid w:val="00186981"/>
    <w:rsid w:val="0018754D"/>
    <w:rsid w:val="001877CE"/>
    <w:rsid w:val="0019202F"/>
    <w:rsid w:val="001925C3"/>
    <w:rsid w:val="00192730"/>
    <w:rsid w:val="00192A3F"/>
    <w:rsid w:val="00192B78"/>
    <w:rsid w:val="0019533A"/>
    <w:rsid w:val="001974B3"/>
    <w:rsid w:val="001A018D"/>
    <w:rsid w:val="001A4A8D"/>
    <w:rsid w:val="001A544F"/>
    <w:rsid w:val="001A6268"/>
    <w:rsid w:val="001A723F"/>
    <w:rsid w:val="001A764A"/>
    <w:rsid w:val="001B2408"/>
    <w:rsid w:val="001B30E9"/>
    <w:rsid w:val="001B621D"/>
    <w:rsid w:val="001B6C34"/>
    <w:rsid w:val="001B761F"/>
    <w:rsid w:val="001C0C8F"/>
    <w:rsid w:val="001C1467"/>
    <w:rsid w:val="001C20DE"/>
    <w:rsid w:val="001C40F5"/>
    <w:rsid w:val="001C4E4D"/>
    <w:rsid w:val="001C53F8"/>
    <w:rsid w:val="001D0517"/>
    <w:rsid w:val="001D0CA7"/>
    <w:rsid w:val="001D1156"/>
    <w:rsid w:val="001D7735"/>
    <w:rsid w:val="001E1BDA"/>
    <w:rsid w:val="001E2058"/>
    <w:rsid w:val="001E2407"/>
    <w:rsid w:val="001E2EC5"/>
    <w:rsid w:val="001E33CA"/>
    <w:rsid w:val="001E4172"/>
    <w:rsid w:val="001E44EE"/>
    <w:rsid w:val="001E610B"/>
    <w:rsid w:val="001E677D"/>
    <w:rsid w:val="001E6FE9"/>
    <w:rsid w:val="001E7103"/>
    <w:rsid w:val="001E7134"/>
    <w:rsid w:val="001E79F3"/>
    <w:rsid w:val="001E7E4C"/>
    <w:rsid w:val="001F2766"/>
    <w:rsid w:val="001F2A75"/>
    <w:rsid w:val="001F3598"/>
    <w:rsid w:val="001F59D5"/>
    <w:rsid w:val="001F5A45"/>
    <w:rsid w:val="001F5B55"/>
    <w:rsid w:val="001F740D"/>
    <w:rsid w:val="001F7DC0"/>
    <w:rsid w:val="002017DD"/>
    <w:rsid w:val="002021FC"/>
    <w:rsid w:val="002027F3"/>
    <w:rsid w:val="002033CB"/>
    <w:rsid w:val="002036BC"/>
    <w:rsid w:val="00203B77"/>
    <w:rsid w:val="002041FB"/>
    <w:rsid w:val="00205D28"/>
    <w:rsid w:val="00205ECE"/>
    <w:rsid w:val="00207FF3"/>
    <w:rsid w:val="00214A7B"/>
    <w:rsid w:val="002158C6"/>
    <w:rsid w:val="002159BB"/>
    <w:rsid w:val="00216767"/>
    <w:rsid w:val="00217867"/>
    <w:rsid w:val="00221656"/>
    <w:rsid w:val="00221BDC"/>
    <w:rsid w:val="00223A20"/>
    <w:rsid w:val="00225011"/>
    <w:rsid w:val="00225481"/>
    <w:rsid w:val="00225D52"/>
    <w:rsid w:val="00230A35"/>
    <w:rsid w:val="0023192A"/>
    <w:rsid w:val="00232B1E"/>
    <w:rsid w:val="00233EA6"/>
    <w:rsid w:val="002348E5"/>
    <w:rsid w:val="00234E78"/>
    <w:rsid w:val="002359DA"/>
    <w:rsid w:val="00235B71"/>
    <w:rsid w:val="00242883"/>
    <w:rsid w:val="0024482A"/>
    <w:rsid w:val="00244D1A"/>
    <w:rsid w:val="00245227"/>
    <w:rsid w:val="002457E1"/>
    <w:rsid w:val="00245A47"/>
    <w:rsid w:val="00246A98"/>
    <w:rsid w:val="00246C17"/>
    <w:rsid w:val="00246CF0"/>
    <w:rsid w:val="00247AAD"/>
    <w:rsid w:val="002500F1"/>
    <w:rsid w:val="0025119D"/>
    <w:rsid w:val="00251FB9"/>
    <w:rsid w:val="002524D0"/>
    <w:rsid w:val="002527BF"/>
    <w:rsid w:val="00254FE8"/>
    <w:rsid w:val="00255165"/>
    <w:rsid w:val="00256058"/>
    <w:rsid w:val="00256172"/>
    <w:rsid w:val="0025698B"/>
    <w:rsid w:val="00257539"/>
    <w:rsid w:val="00261247"/>
    <w:rsid w:val="002617A4"/>
    <w:rsid w:val="00262A4C"/>
    <w:rsid w:val="00262E96"/>
    <w:rsid w:val="002658F3"/>
    <w:rsid w:val="00267700"/>
    <w:rsid w:val="002716B0"/>
    <w:rsid w:val="00271FB2"/>
    <w:rsid w:val="002722EE"/>
    <w:rsid w:val="002727F1"/>
    <w:rsid w:val="00272C75"/>
    <w:rsid w:val="00272E09"/>
    <w:rsid w:val="00276B15"/>
    <w:rsid w:val="00277EFF"/>
    <w:rsid w:val="0028026D"/>
    <w:rsid w:val="0028059A"/>
    <w:rsid w:val="00281336"/>
    <w:rsid w:val="00283F23"/>
    <w:rsid w:val="0028406A"/>
    <w:rsid w:val="00285614"/>
    <w:rsid w:val="00285E1C"/>
    <w:rsid w:val="002862C5"/>
    <w:rsid w:val="00286317"/>
    <w:rsid w:val="0028747A"/>
    <w:rsid w:val="00290043"/>
    <w:rsid w:val="002905A0"/>
    <w:rsid w:val="002916D0"/>
    <w:rsid w:val="0029210C"/>
    <w:rsid w:val="00293B1E"/>
    <w:rsid w:val="00294AC7"/>
    <w:rsid w:val="00294D23"/>
    <w:rsid w:val="00294D88"/>
    <w:rsid w:val="002A2BE7"/>
    <w:rsid w:val="002A36AE"/>
    <w:rsid w:val="002A382B"/>
    <w:rsid w:val="002A4F65"/>
    <w:rsid w:val="002A5CF8"/>
    <w:rsid w:val="002A5FDD"/>
    <w:rsid w:val="002A662F"/>
    <w:rsid w:val="002B0568"/>
    <w:rsid w:val="002B38B6"/>
    <w:rsid w:val="002B3DF2"/>
    <w:rsid w:val="002B4537"/>
    <w:rsid w:val="002B58A6"/>
    <w:rsid w:val="002C09B9"/>
    <w:rsid w:val="002C16FB"/>
    <w:rsid w:val="002C1D28"/>
    <w:rsid w:val="002C2916"/>
    <w:rsid w:val="002C3DA9"/>
    <w:rsid w:val="002C640F"/>
    <w:rsid w:val="002C70B6"/>
    <w:rsid w:val="002D2AF6"/>
    <w:rsid w:val="002D370E"/>
    <w:rsid w:val="002D3D62"/>
    <w:rsid w:val="002D451D"/>
    <w:rsid w:val="002D4C16"/>
    <w:rsid w:val="002D5242"/>
    <w:rsid w:val="002D5918"/>
    <w:rsid w:val="002D61E3"/>
    <w:rsid w:val="002D7648"/>
    <w:rsid w:val="002D7D6C"/>
    <w:rsid w:val="002E08DF"/>
    <w:rsid w:val="002E0A68"/>
    <w:rsid w:val="002E3868"/>
    <w:rsid w:val="002E3E16"/>
    <w:rsid w:val="002E45C2"/>
    <w:rsid w:val="002E50F7"/>
    <w:rsid w:val="002E5A85"/>
    <w:rsid w:val="002E74D1"/>
    <w:rsid w:val="002F113E"/>
    <w:rsid w:val="002F211D"/>
    <w:rsid w:val="002F2733"/>
    <w:rsid w:val="002F3502"/>
    <w:rsid w:val="002F3734"/>
    <w:rsid w:val="002F3839"/>
    <w:rsid w:val="002F3851"/>
    <w:rsid w:val="00300E56"/>
    <w:rsid w:val="00301828"/>
    <w:rsid w:val="00301A7A"/>
    <w:rsid w:val="00302B30"/>
    <w:rsid w:val="003050CF"/>
    <w:rsid w:val="00305FD7"/>
    <w:rsid w:val="00306261"/>
    <w:rsid w:val="0030644C"/>
    <w:rsid w:val="003065EE"/>
    <w:rsid w:val="00306D41"/>
    <w:rsid w:val="00306EBC"/>
    <w:rsid w:val="0030729F"/>
    <w:rsid w:val="003077C0"/>
    <w:rsid w:val="00310B51"/>
    <w:rsid w:val="00312709"/>
    <w:rsid w:val="00315749"/>
    <w:rsid w:val="00316872"/>
    <w:rsid w:val="00317B23"/>
    <w:rsid w:val="00320657"/>
    <w:rsid w:val="0032090F"/>
    <w:rsid w:val="00321093"/>
    <w:rsid w:val="00323095"/>
    <w:rsid w:val="003252DB"/>
    <w:rsid w:val="00325850"/>
    <w:rsid w:val="003264DB"/>
    <w:rsid w:val="003304B6"/>
    <w:rsid w:val="00331048"/>
    <w:rsid w:val="00331229"/>
    <w:rsid w:val="0033190E"/>
    <w:rsid w:val="00332FF9"/>
    <w:rsid w:val="0033574C"/>
    <w:rsid w:val="003401B0"/>
    <w:rsid w:val="00341ABD"/>
    <w:rsid w:val="00341DA6"/>
    <w:rsid w:val="00341F16"/>
    <w:rsid w:val="00342C68"/>
    <w:rsid w:val="00346C53"/>
    <w:rsid w:val="0034721E"/>
    <w:rsid w:val="003509E3"/>
    <w:rsid w:val="003513BF"/>
    <w:rsid w:val="00352E48"/>
    <w:rsid w:val="00353DF5"/>
    <w:rsid w:val="00353EBD"/>
    <w:rsid w:val="00353EED"/>
    <w:rsid w:val="00354ADB"/>
    <w:rsid w:val="003565D2"/>
    <w:rsid w:val="00357A81"/>
    <w:rsid w:val="00361DD1"/>
    <w:rsid w:val="003631BD"/>
    <w:rsid w:val="00373085"/>
    <w:rsid w:val="00377ABF"/>
    <w:rsid w:val="00381EB3"/>
    <w:rsid w:val="00383AFB"/>
    <w:rsid w:val="00384382"/>
    <w:rsid w:val="0038478E"/>
    <w:rsid w:val="00386138"/>
    <w:rsid w:val="0038706B"/>
    <w:rsid w:val="003902E4"/>
    <w:rsid w:val="00391032"/>
    <w:rsid w:val="0039217F"/>
    <w:rsid w:val="0039233F"/>
    <w:rsid w:val="00392515"/>
    <w:rsid w:val="00393C98"/>
    <w:rsid w:val="00394402"/>
    <w:rsid w:val="003945FA"/>
    <w:rsid w:val="00394A69"/>
    <w:rsid w:val="00394BBB"/>
    <w:rsid w:val="003951ED"/>
    <w:rsid w:val="00395AE9"/>
    <w:rsid w:val="003966A2"/>
    <w:rsid w:val="003A2FC2"/>
    <w:rsid w:val="003A31B0"/>
    <w:rsid w:val="003A7289"/>
    <w:rsid w:val="003B01A7"/>
    <w:rsid w:val="003B174D"/>
    <w:rsid w:val="003B2A34"/>
    <w:rsid w:val="003C278C"/>
    <w:rsid w:val="003C2E45"/>
    <w:rsid w:val="003C421F"/>
    <w:rsid w:val="003C4DA3"/>
    <w:rsid w:val="003C695D"/>
    <w:rsid w:val="003C7D9E"/>
    <w:rsid w:val="003D0033"/>
    <w:rsid w:val="003D0E62"/>
    <w:rsid w:val="003D10AB"/>
    <w:rsid w:val="003D13C9"/>
    <w:rsid w:val="003D174E"/>
    <w:rsid w:val="003D1DC8"/>
    <w:rsid w:val="003D2A1F"/>
    <w:rsid w:val="003D3DD5"/>
    <w:rsid w:val="003D4855"/>
    <w:rsid w:val="003D5876"/>
    <w:rsid w:val="003D5BDA"/>
    <w:rsid w:val="003D7AE0"/>
    <w:rsid w:val="003E0237"/>
    <w:rsid w:val="003E136E"/>
    <w:rsid w:val="003E158A"/>
    <w:rsid w:val="003E23CB"/>
    <w:rsid w:val="003E39B4"/>
    <w:rsid w:val="003E493B"/>
    <w:rsid w:val="003E630A"/>
    <w:rsid w:val="003E69A1"/>
    <w:rsid w:val="003F0510"/>
    <w:rsid w:val="003F11C3"/>
    <w:rsid w:val="003F2EAB"/>
    <w:rsid w:val="003F34D7"/>
    <w:rsid w:val="003F3DB8"/>
    <w:rsid w:val="003F43C8"/>
    <w:rsid w:val="003F7187"/>
    <w:rsid w:val="003F77E4"/>
    <w:rsid w:val="00400B9A"/>
    <w:rsid w:val="0040133B"/>
    <w:rsid w:val="00401D12"/>
    <w:rsid w:val="00401E0B"/>
    <w:rsid w:val="00402472"/>
    <w:rsid w:val="00403208"/>
    <w:rsid w:val="00404996"/>
    <w:rsid w:val="004075D1"/>
    <w:rsid w:val="004077DA"/>
    <w:rsid w:val="00407863"/>
    <w:rsid w:val="00410E22"/>
    <w:rsid w:val="00410F62"/>
    <w:rsid w:val="004111F2"/>
    <w:rsid w:val="00411D7E"/>
    <w:rsid w:val="00412900"/>
    <w:rsid w:val="00412922"/>
    <w:rsid w:val="0041379B"/>
    <w:rsid w:val="00413DF3"/>
    <w:rsid w:val="004145CC"/>
    <w:rsid w:val="004146AE"/>
    <w:rsid w:val="004149D6"/>
    <w:rsid w:val="00415E6E"/>
    <w:rsid w:val="0041616A"/>
    <w:rsid w:val="004164A9"/>
    <w:rsid w:val="004170FA"/>
    <w:rsid w:val="00417CF1"/>
    <w:rsid w:val="00422136"/>
    <w:rsid w:val="004231D0"/>
    <w:rsid w:val="004255D0"/>
    <w:rsid w:val="0042604C"/>
    <w:rsid w:val="00430DE0"/>
    <w:rsid w:val="00430FA3"/>
    <w:rsid w:val="00432272"/>
    <w:rsid w:val="00432E30"/>
    <w:rsid w:val="00434622"/>
    <w:rsid w:val="00437C2E"/>
    <w:rsid w:val="00440E3A"/>
    <w:rsid w:val="00441307"/>
    <w:rsid w:val="00442196"/>
    <w:rsid w:val="0044377D"/>
    <w:rsid w:val="00444B51"/>
    <w:rsid w:val="00444D17"/>
    <w:rsid w:val="0044646A"/>
    <w:rsid w:val="00447268"/>
    <w:rsid w:val="00447F8C"/>
    <w:rsid w:val="00450111"/>
    <w:rsid w:val="00451A31"/>
    <w:rsid w:val="00455FC7"/>
    <w:rsid w:val="004572CC"/>
    <w:rsid w:val="00457DA6"/>
    <w:rsid w:val="004622A0"/>
    <w:rsid w:val="004626D2"/>
    <w:rsid w:val="0046275B"/>
    <w:rsid w:val="00464A56"/>
    <w:rsid w:val="0046521E"/>
    <w:rsid w:val="004653CD"/>
    <w:rsid w:val="0046774A"/>
    <w:rsid w:val="004709B4"/>
    <w:rsid w:val="00470B4A"/>
    <w:rsid w:val="0047109D"/>
    <w:rsid w:val="00471EBA"/>
    <w:rsid w:val="004734DB"/>
    <w:rsid w:val="00473838"/>
    <w:rsid w:val="004739C9"/>
    <w:rsid w:val="0047576D"/>
    <w:rsid w:val="004763B9"/>
    <w:rsid w:val="00476467"/>
    <w:rsid w:val="00476C25"/>
    <w:rsid w:val="004770AF"/>
    <w:rsid w:val="00477371"/>
    <w:rsid w:val="00480638"/>
    <w:rsid w:val="00481AC9"/>
    <w:rsid w:val="0048243D"/>
    <w:rsid w:val="00484F1E"/>
    <w:rsid w:val="004854EB"/>
    <w:rsid w:val="00485B73"/>
    <w:rsid w:val="00487043"/>
    <w:rsid w:val="0049024D"/>
    <w:rsid w:val="0049450C"/>
    <w:rsid w:val="00496284"/>
    <w:rsid w:val="004A16B9"/>
    <w:rsid w:val="004A3B5F"/>
    <w:rsid w:val="004A60DD"/>
    <w:rsid w:val="004A7252"/>
    <w:rsid w:val="004B03FF"/>
    <w:rsid w:val="004B14B5"/>
    <w:rsid w:val="004B179F"/>
    <w:rsid w:val="004B21C8"/>
    <w:rsid w:val="004B26DC"/>
    <w:rsid w:val="004B2962"/>
    <w:rsid w:val="004B3BD9"/>
    <w:rsid w:val="004B42BB"/>
    <w:rsid w:val="004B5144"/>
    <w:rsid w:val="004C04CC"/>
    <w:rsid w:val="004C1311"/>
    <w:rsid w:val="004C1526"/>
    <w:rsid w:val="004C168D"/>
    <w:rsid w:val="004C1784"/>
    <w:rsid w:val="004C196F"/>
    <w:rsid w:val="004C456A"/>
    <w:rsid w:val="004C47EA"/>
    <w:rsid w:val="004C5CE5"/>
    <w:rsid w:val="004C761C"/>
    <w:rsid w:val="004D1535"/>
    <w:rsid w:val="004D2D08"/>
    <w:rsid w:val="004D3667"/>
    <w:rsid w:val="004D5112"/>
    <w:rsid w:val="004D5F73"/>
    <w:rsid w:val="004D6043"/>
    <w:rsid w:val="004D7E5B"/>
    <w:rsid w:val="004E02A9"/>
    <w:rsid w:val="004E157F"/>
    <w:rsid w:val="004E2003"/>
    <w:rsid w:val="004E342B"/>
    <w:rsid w:val="004E3B6F"/>
    <w:rsid w:val="004E5BAF"/>
    <w:rsid w:val="004E5D7C"/>
    <w:rsid w:val="004E5E18"/>
    <w:rsid w:val="004E707F"/>
    <w:rsid w:val="004E7A5A"/>
    <w:rsid w:val="004E7F30"/>
    <w:rsid w:val="004F1407"/>
    <w:rsid w:val="004F1E04"/>
    <w:rsid w:val="004F2A90"/>
    <w:rsid w:val="004F4327"/>
    <w:rsid w:val="004F45A1"/>
    <w:rsid w:val="004F6656"/>
    <w:rsid w:val="004F70DF"/>
    <w:rsid w:val="004F7A55"/>
    <w:rsid w:val="005026C2"/>
    <w:rsid w:val="00506E73"/>
    <w:rsid w:val="00507115"/>
    <w:rsid w:val="00510658"/>
    <w:rsid w:val="00510825"/>
    <w:rsid w:val="00510ED3"/>
    <w:rsid w:val="00511CCF"/>
    <w:rsid w:val="005127FE"/>
    <w:rsid w:val="00513CDA"/>
    <w:rsid w:val="00516845"/>
    <w:rsid w:val="00520671"/>
    <w:rsid w:val="005238E5"/>
    <w:rsid w:val="00523BB7"/>
    <w:rsid w:val="0052492B"/>
    <w:rsid w:val="00524C73"/>
    <w:rsid w:val="00525290"/>
    <w:rsid w:val="005259F9"/>
    <w:rsid w:val="00526E54"/>
    <w:rsid w:val="005275CA"/>
    <w:rsid w:val="005304DE"/>
    <w:rsid w:val="00530641"/>
    <w:rsid w:val="00530975"/>
    <w:rsid w:val="00531C0A"/>
    <w:rsid w:val="005327B7"/>
    <w:rsid w:val="005331C2"/>
    <w:rsid w:val="005337E1"/>
    <w:rsid w:val="00534BF5"/>
    <w:rsid w:val="00534C3F"/>
    <w:rsid w:val="0053555E"/>
    <w:rsid w:val="005359FF"/>
    <w:rsid w:val="00536FD5"/>
    <w:rsid w:val="00537E82"/>
    <w:rsid w:val="00540125"/>
    <w:rsid w:val="00540836"/>
    <w:rsid w:val="00540BE9"/>
    <w:rsid w:val="00541376"/>
    <w:rsid w:val="005414FE"/>
    <w:rsid w:val="00541846"/>
    <w:rsid w:val="0054261B"/>
    <w:rsid w:val="0054293E"/>
    <w:rsid w:val="00542D34"/>
    <w:rsid w:val="00544477"/>
    <w:rsid w:val="0054506E"/>
    <w:rsid w:val="00546034"/>
    <w:rsid w:val="00547038"/>
    <w:rsid w:val="00547505"/>
    <w:rsid w:val="00547DC9"/>
    <w:rsid w:val="00547F6B"/>
    <w:rsid w:val="00552503"/>
    <w:rsid w:val="00553060"/>
    <w:rsid w:val="0055763F"/>
    <w:rsid w:val="005621E0"/>
    <w:rsid w:val="00562531"/>
    <w:rsid w:val="005643A5"/>
    <w:rsid w:val="005656B1"/>
    <w:rsid w:val="00570309"/>
    <w:rsid w:val="00572189"/>
    <w:rsid w:val="00572286"/>
    <w:rsid w:val="00572939"/>
    <w:rsid w:val="00572EA6"/>
    <w:rsid w:val="005747A4"/>
    <w:rsid w:val="00575898"/>
    <w:rsid w:val="00577022"/>
    <w:rsid w:val="00580637"/>
    <w:rsid w:val="0058161D"/>
    <w:rsid w:val="00581977"/>
    <w:rsid w:val="0058221F"/>
    <w:rsid w:val="00583950"/>
    <w:rsid w:val="00583D71"/>
    <w:rsid w:val="0058512D"/>
    <w:rsid w:val="00585E18"/>
    <w:rsid w:val="0059016D"/>
    <w:rsid w:val="00590B8C"/>
    <w:rsid w:val="00590F84"/>
    <w:rsid w:val="0059134E"/>
    <w:rsid w:val="00591BD9"/>
    <w:rsid w:val="005934B3"/>
    <w:rsid w:val="00594AE4"/>
    <w:rsid w:val="005950E9"/>
    <w:rsid w:val="005961BA"/>
    <w:rsid w:val="005965A6"/>
    <w:rsid w:val="00597C74"/>
    <w:rsid w:val="005A518A"/>
    <w:rsid w:val="005A664D"/>
    <w:rsid w:val="005B0DE9"/>
    <w:rsid w:val="005B20E7"/>
    <w:rsid w:val="005B3750"/>
    <w:rsid w:val="005B4954"/>
    <w:rsid w:val="005B668B"/>
    <w:rsid w:val="005B70F4"/>
    <w:rsid w:val="005C1238"/>
    <w:rsid w:val="005C1C23"/>
    <w:rsid w:val="005C25CE"/>
    <w:rsid w:val="005C33BF"/>
    <w:rsid w:val="005C3B01"/>
    <w:rsid w:val="005C576B"/>
    <w:rsid w:val="005C650D"/>
    <w:rsid w:val="005C6959"/>
    <w:rsid w:val="005D0A38"/>
    <w:rsid w:val="005D22D6"/>
    <w:rsid w:val="005D23BE"/>
    <w:rsid w:val="005D26FC"/>
    <w:rsid w:val="005D36CA"/>
    <w:rsid w:val="005D3787"/>
    <w:rsid w:val="005D3F45"/>
    <w:rsid w:val="005D798E"/>
    <w:rsid w:val="005E0737"/>
    <w:rsid w:val="005E0BD0"/>
    <w:rsid w:val="005E148F"/>
    <w:rsid w:val="005E1591"/>
    <w:rsid w:val="005E207D"/>
    <w:rsid w:val="005E2A87"/>
    <w:rsid w:val="005E57E9"/>
    <w:rsid w:val="005E675C"/>
    <w:rsid w:val="005E7F26"/>
    <w:rsid w:val="005F1FF7"/>
    <w:rsid w:val="005F3794"/>
    <w:rsid w:val="00601816"/>
    <w:rsid w:val="00603798"/>
    <w:rsid w:val="00604373"/>
    <w:rsid w:val="006052B6"/>
    <w:rsid w:val="006056C7"/>
    <w:rsid w:val="0060618C"/>
    <w:rsid w:val="0060660B"/>
    <w:rsid w:val="00607737"/>
    <w:rsid w:val="00607D00"/>
    <w:rsid w:val="006102B6"/>
    <w:rsid w:val="006104F8"/>
    <w:rsid w:val="0061267F"/>
    <w:rsid w:val="00615070"/>
    <w:rsid w:val="00615A4E"/>
    <w:rsid w:val="00615E29"/>
    <w:rsid w:val="00616BE4"/>
    <w:rsid w:val="00617163"/>
    <w:rsid w:val="006205A8"/>
    <w:rsid w:val="006225F1"/>
    <w:rsid w:val="006236B9"/>
    <w:rsid w:val="00623EFC"/>
    <w:rsid w:val="00624C44"/>
    <w:rsid w:val="0062534F"/>
    <w:rsid w:val="0062581E"/>
    <w:rsid w:val="00625A5F"/>
    <w:rsid w:val="0063311D"/>
    <w:rsid w:val="0063762E"/>
    <w:rsid w:val="006379E2"/>
    <w:rsid w:val="00644746"/>
    <w:rsid w:val="006468E3"/>
    <w:rsid w:val="00646D79"/>
    <w:rsid w:val="006470C5"/>
    <w:rsid w:val="00651021"/>
    <w:rsid w:val="00651092"/>
    <w:rsid w:val="006510C8"/>
    <w:rsid w:val="00651835"/>
    <w:rsid w:val="00652B8C"/>
    <w:rsid w:val="00653358"/>
    <w:rsid w:val="0065511A"/>
    <w:rsid w:val="00655D7B"/>
    <w:rsid w:val="0065695C"/>
    <w:rsid w:val="00656F74"/>
    <w:rsid w:val="00657C24"/>
    <w:rsid w:val="006607ED"/>
    <w:rsid w:val="00664B4B"/>
    <w:rsid w:val="00672C99"/>
    <w:rsid w:val="00672D8A"/>
    <w:rsid w:val="0067337D"/>
    <w:rsid w:val="00674437"/>
    <w:rsid w:val="00674A33"/>
    <w:rsid w:val="00674EB5"/>
    <w:rsid w:val="006760DE"/>
    <w:rsid w:val="00677F18"/>
    <w:rsid w:val="00680D6E"/>
    <w:rsid w:val="006827AF"/>
    <w:rsid w:val="00682A6D"/>
    <w:rsid w:val="00683F0B"/>
    <w:rsid w:val="00683F3A"/>
    <w:rsid w:val="0068624F"/>
    <w:rsid w:val="00686616"/>
    <w:rsid w:val="00692C99"/>
    <w:rsid w:val="006939C4"/>
    <w:rsid w:val="00694B78"/>
    <w:rsid w:val="0069696B"/>
    <w:rsid w:val="006A07AE"/>
    <w:rsid w:val="006A10A8"/>
    <w:rsid w:val="006A1D0E"/>
    <w:rsid w:val="006A2309"/>
    <w:rsid w:val="006A371E"/>
    <w:rsid w:val="006A5881"/>
    <w:rsid w:val="006A5C11"/>
    <w:rsid w:val="006A64DC"/>
    <w:rsid w:val="006A70A0"/>
    <w:rsid w:val="006A7107"/>
    <w:rsid w:val="006B062E"/>
    <w:rsid w:val="006B08F5"/>
    <w:rsid w:val="006B1098"/>
    <w:rsid w:val="006B2777"/>
    <w:rsid w:val="006B3650"/>
    <w:rsid w:val="006B56E6"/>
    <w:rsid w:val="006B5804"/>
    <w:rsid w:val="006B5886"/>
    <w:rsid w:val="006B61E6"/>
    <w:rsid w:val="006C027D"/>
    <w:rsid w:val="006C0864"/>
    <w:rsid w:val="006C11C7"/>
    <w:rsid w:val="006C1D9A"/>
    <w:rsid w:val="006C31BF"/>
    <w:rsid w:val="006C38BF"/>
    <w:rsid w:val="006C44D2"/>
    <w:rsid w:val="006C53AB"/>
    <w:rsid w:val="006C657E"/>
    <w:rsid w:val="006C6AE4"/>
    <w:rsid w:val="006C6D04"/>
    <w:rsid w:val="006C729D"/>
    <w:rsid w:val="006D03BB"/>
    <w:rsid w:val="006D062C"/>
    <w:rsid w:val="006D261A"/>
    <w:rsid w:val="006D3FBE"/>
    <w:rsid w:val="006D49B3"/>
    <w:rsid w:val="006D5279"/>
    <w:rsid w:val="006D5503"/>
    <w:rsid w:val="006D564C"/>
    <w:rsid w:val="006D58C5"/>
    <w:rsid w:val="006D5E47"/>
    <w:rsid w:val="006D60B6"/>
    <w:rsid w:val="006D7D2C"/>
    <w:rsid w:val="006D7DD0"/>
    <w:rsid w:val="006E1A12"/>
    <w:rsid w:val="006E1F61"/>
    <w:rsid w:val="006E264A"/>
    <w:rsid w:val="006E5A8A"/>
    <w:rsid w:val="006E6493"/>
    <w:rsid w:val="006F097E"/>
    <w:rsid w:val="006F0B1C"/>
    <w:rsid w:val="006F1ACB"/>
    <w:rsid w:val="006F2099"/>
    <w:rsid w:val="006F2D62"/>
    <w:rsid w:val="006F4CF2"/>
    <w:rsid w:val="006F517C"/>
    <w:rsid w:val="00701E3C"/>
    <w:rsid w:val="0070229E"/>
    <w:rsid w:val="00702CC8"/>
    <w:rsid w:val="00703044"/>
    <w:rsid w:val="00703D9A"/>
    <w:rsid w:val="0070663C"/>
    <w:rsid w:val="00706F20"/>
    <w:rsid w:val="00710C5E"/>
    <w:rsid w:val="007110EA"/>
    <w:rsid w:val="0071278E"/>
    <w:rsid w:val="00712AFA"/>
    <w:rsid w:val="007174B1"/>
    <w:rsid w:val="007202D0"/>
    <w:rsid w:val="007236D3"/>
    <w:rsid w:val="00724038"/>
    <w:rsid w:val="00724E1D"/>
    <w:rsid w:val="00725C61"/>
    <w:rsid w:val="00727517"/>
    <w:rsid w:val="00730A8E"/>
    <w:rsid w:val="007350EC"/>
    <w:rsid w:val="007362A5"/>
    <w:rsid w:val="00736529"/>
    <w:rsid w:val="007401E1"/>
    <w:rsid w:val="0074146B"/>
    <w:rsid w:val="00742189"/>
    <w:rsid w:val="00746EA7"/>
    <w:rsid w:val="00747A3E"/>
    <w:rsid w:val="007504D1"/>
    <w:rsid w:val="00751FD2"/>
    <w:rsid w:val="0075721A"/>
    <w:rsid w:val="00757635"/>
    <w:rsid w:val="007577D9"/>
    <w:rsid w:val="00760728"/>
    <w:rsid w:val="0076252E"/>
    <w:rsid w:val="00763028"/>
    <w:rsid w:val="007635CF"/>
    <w:rsid w:val="007641D2"/>
    <w:rsid w:val="0076559E"/>
    <w:rsid w:val="007657CC"/>
    <w:rsid w:val="007659B0"/>
    <w:rsid w:val="00765A75"/>
    <w:rsid w:val="00766B4E"/>
    <w:rsid w:val="00767AB7"/>
    <w:rsid w:val="00771C35"/>
    <w:rsid w:val="0077363A"/>
    <w:rsid w:val="007737F9"/>
    <w:rsid w:val="00773891"/>
    <w:rsid w:val="00775311"/>
    <w:rsid w:val="00776D71"/>
    <w:rsid w:val="007776D1"/>
    <w:rsid w:val="0078037B"/>
    <w:rsid w:val="00780E57"/>
    <w:rsid w:val="007810BD"/>
    <w:rsid w:val="00781EDC"/>
    <w:rsid w:val="007838AB"/>
    <w:rsid w:val="00784086"/>
    <w:rsid w:val="00784861"/>
    <w:rsid w:val="00785894"/>
    <w:rsid w:val="0078663B"/>
    <w:rsid w:val="007871C8"/>
    <w:rsid w:val="00787C42"/>
    <w:rsid w:val="007918CC"/>
    <w:rsid w:val="00792737"/>
    <w:rsid w:val="007938E0"/>
    <w:rsid w:val="0079434E"/>
    <w:rsid w:val="0079450A"/>
    <w:rsid w:val="00794C6A"/>
    <w:rsid w:val="00795146"/>
    <w:rsid w:val="0079516B"/>
    <w:rsid w:val="00796107"/>
    <w:rsid w:val="007A01CC"/>
    <w:rsid w:val="007A162B"/>
    <w:rsid w:val="007A175E"/>
    <w:rsid w:val="007A28AA"/>
    <w:rsid w:val="007A5AA4"/>
    <w:rsid w:val="007B127B"/>
    <w:rsid w:val="007B1D69"/>
    <w:rsid w:val="007B2243"/>
    <w:rsid w:val="007B2E14"/>
    <w:rsid w:val="007B3C55"/>
    <w:rsid w:val="007C0E74"/>
    <w:rsid w:val="007C1554"/>
    <w:rsid w:val="007C1939"/>
    <w:rsid w:val="007C2D27"/>
    <w:rsid w:val="007C5922"/>
    <w:rsid w:val="007C592D"/>
    <w:rsid w:val="007C6D0E"/>
    <w:rsid w:val="007C74F2"/>
    <w:rsid w:val="007C78D3"/>
    <w:rsid w:val="007D00C6"/>
    <w:rsid w:val="007D06BF"/>
    <w:rsid w:val="007D0991"/>
    <w:rsid w:val="007D1A88"/>
    <w:rsid w:val="007D2A2E"/>
    <w:rsid w:val="007D2CCF"/>
    <w:rsid w:val="007D4353"/>
    <w:rsid w:val="007D5164"/>
    <w:rsid w:val="007D72AC"/>
    <w:rsid w:val="007D730A"/>
    <w:rsid w:val="007D7CA9"/>
    <w:rsid w:val="007E2866"/>
    <w:rsid w:val="007E2916"/>
    <w:rsid w:val="007E3B19"/>
    <w:rsid w:val="007E415C"/>
    <w:rsid w:val="007E4221"/>
    <w:rsid w:val="007E447E"/>
    <w:rsid w:val="007E45A5"/>
    <w:rsid w:val="007E4AF4"/>
    <w:rsid w:val="007E5429"/>
    <w:rsid w:val="007E5886"/>
    <w:rsid w:val="007E7343"/>
    <w:rsid w:val="007E7A03"/>
    <w:rsid w:val="007E7A04"/>
    <w:rsid w:val="007F160C"/>
    <w:rsid w:val="007F186A"/>
    <w:rsid w:val="007F268C"/>
    <w:rsid w:val="007F26B7"/>
    <w:rsid w:val="007F2BD1"/>
    <w:rsid w:val="007F3076"/>
    <w:rsid w:val="007F6189"/>
    <w:rsid w:val="007F799F"/>
    <w:rsid w:val="0080009F"/>
    <w:rsid w:val="0080044B"/>
    <w:rsid w:val="00800450"/>
    <w:rsid w:val="008010F0"/>
    <w:rsid w:val="00801AE2"/>
    <w:rsid w:val="00801E46"/>
    <w:rsid w:val="00802190"/>
    <w:rsid w:val="0080515F"/>
    <w:rsid w:val="00805602"/>
    <w:rsid w:val="00805BA8"/>
    <w:rsid w:val="0080662C"/>
    <w:rsid w:val="0080761D"/>
    <w:rsid w:val="0081010E"/>
    <w:rsid w:val="00812208"/>
    <w:rsid w:val="0081518D"/>
    <w:rsid w:val="008151A2"/>
    <w:rsid w:val="00815B09"/>
    <w:rsid w:val="00815F6A"/>
    <w:rsid w:val="0082046E"/>
    <w:rsid w:val="008208D1"/>
    <w:rsid w:val="0082126B"/>
    <w:rsid w:val="008260DF"/>
    <w:rsid w:val="0082752B"/>
    <w:rsid w:val="00827CDE"/>
    <w:rsid w:val="00831BB2"/>
    <w:rsid w:val="00831CD6"/>
    <w:rsid w:val="00832072"/>
    <w:rsid w:val="008320CF"/>
    <w:rsid w:val="00834557"/>
    <w:rsid w:val="00837170"/>
    <w:rsid w:val="00837564"/>
    <w:rsid w:val="008410B5"/>
    <w:rsid w:val="00841316"/>
    <w:rsid w:val="008422D3"/>
    <w:rsid w:val="00842F5E"/>
    <w:rsid w:val="008436AE"/>
    <w:rsid w:val="0084475D"/>
    <w:rsid w:val="00844FA9"/>
    <w:rsid w:val="008454C3"/>
    <w:rsid w:val="00846443"/>
    <w:rsid w:val="008469C2"/>
    <w:rsid w:val="00850369"/>
    <w:rsid w:val="0085076D"/>
    <w:rsid w:val="0085136F"/>
    <w:rsid w:val="00851D9E"/>
    <w:rsid w:val="00852C89"/>
    <w:rsid w:val="008539F7"/>
    <w:rsid w:val="00853D99"/>
    <w:rsid w:val="00854274"/>
    <w:rsid w:val="00855954"/>
    <w:rsid w:val="00857C60"/>
    <w:rsid w:val="00861ABF"/>
    <w:rsid w:val="008626D7"/>
    <w:rsid w:val="00862DA0"/>
    <w:rsid w:val="008630D0"/>
    <w:rsid w:val="0086329B"/>
    <w:rsid w:val="0086358D"/>
    <w:rsid w:val="00863F66"/>
    <w:rsid w:val="00864AF3"/>
    <w:rsid w:val="00864E62"/>
    <w:rsid w:val="00873D82"/>
    <w:rsid w:val="00874658"/>
    <w:rsid w:val="00875CCB"/>
    <w:rsid w:val="00881D83"/>
    <w:rsid w:val="00882250"/>
    <w:rsid w:val="00882A54"/>
    <w:rsid w:val="0088654E"/>
    <w:rsid w:val="0089010D"/>
    <w:rsid w:val="00892212"/>
    <w:rsid w:val="00893C24"/>
    <w:rsid w:val="00894F83"/>
    <w:rsid w:val="00895F36"/>
    <w:rsid w:val="008978DA"/>
    <w:rsid w:val="008A1F01"/>
    <w:rsid w:val="008A4DFD"/>
    <w:rsid w:val="008B08BE"/>
    <w:rsid w:val="008B1C3D"/>
    <w:rsid w:val="008B2110"/>
    <w:rsid w:val="008B2B4F"/>
    <w:rsid w:val="008B507A"/>
    <w:rsid w:val="008B54AD"/>
    <w:rsid w:val="008B6069"/>
    <w:rsid w:val="008B7A00"/>
    <w:rsid w:val="008C1E23"/>
    <w:rsid w:val="008C2E90"/>
    <w:rsid w:val="008C4377"/>
    <w:rsid w:val="008C4AD2"/>
    <w:rsid w:val="008C6DCA"/>
    <w:rsid w:val="008D166E"/>
    <w:rsid w:val="008D1F4C"/>
    <w:rsid w:val="008D3E6E"/>
    <w:rsid w:val="008D464F"/>
    <w:rsid w:val="008D4E35"/>
    <w:rsid w:val="008E01E8"/>
    <w:rsid w:val="008E2980"/>
    <w:rsid w:val="008E3D5A"/>
    <w:rsid w:val="008E51B5"/>
    <w:rsid w:val="008E6096"/>
    <w:rsid w:val="008F051D"/>
    <w:rsid w:val="008F074E"/>
    <w:rsid w:val="008F19A6"/>
    <w:rsid w:val="008F2520"/>
    <w:rsid w:val="008F2F3B"/>
    <w:rsid w:val="008F2FC4"/>
    <w:rsid w:val="008F3945"/>
    <w:rsid w:val="008F56C7"/>
    <w:rsid w:val="008F586B"/>
    <w:rsid w:val="008F58E4"/>
    <w:rsid w:val="008F61C9"/>
    <w:rsid w:val="008F68D4"/>
    <w:rsid w:val="008F7E3A"/>
    <w:rsid w:val="00900628"/>
    <w:rsid w:val="00903A00"/>
    <w:rsid w:val="00904E6E"/>
    <w:rsid w:val="00904FF8"/>
    <w:rsid w:val="00905AE9"/>
    <w:rsid w:val="00905DEF"/>
    <w:rsid w:val="00906397"/>
    <w:rsid w:val="009063C6"/>
    <w:rsid w:val="009066EB"/>
    <w:rsid w:val="009116B0"/>
    <w:rsid w:val="009119B4"/>
    <w:rsid w:val="0091260E"/>
    <w:rsid w:val="00912DC5"/>
    <w:rsid w:val="0091402C"/>
    <w:rsid w:val="00914404"/>
    <w:rsid w:val="00915186"/>
    <w:rsid w:val="00915572"/>
    <w:rsid w:val="00916B9F"/>
    <w:rsid w:val="00920CDC"/>
    <w:rsid w:val="00921268"/>
    <w:rsid w:val="0092145E"/>
    <w:rsid w:val="00922B31"/>
    <w:rsid w:val="009232AE"/>
    <w:rsid w:val="00923434"/>
    <w:rsid w:val="0092486C"/>
    <w:rsid w:val="009250B7"/>
    <w:rsid w:val="00925E2E"/>
    <w:rsid w:val="00926052"/>
    <w:rsid w:val="00926C67"/>
    <w:rsid w:val="00927742"/>
    <w:rsid w:val="00931ADE"/>
    <w:rsid w:val="00932098"/>
    <w:rsid w:val="00935076"/>
    <w:rsid w:val="0093565A"/>
    <w:rsid w:val="0094179A"/>
    <w:rsid w:val="00941B5B"/>
    <w:rsid w:val="00942794"/>
    <w:rsid w:val="00942E03"/>
    <w:rsid w:val="00943281"/>
    <w:rsid w:val="00943519"/>
    <w:rsid w:val="00944CF6"/>
    <w:rsid w:val="00945D48"/>
    <w:rsid w:val="009460E8"/>
    <w:rsid w:val="00947503"/>
    <w:rsid w:val="009507C4"/>
    <w:rsid w:val="00950EE8"/>
    <w:rsid w:val="00951A89"/>
    <w:rsid w:val="00952666"/>
    <w:rsid w:val="00954DE5"/>
    <w:rsid w:val="00956106"/>
    <w:rsid w:val="00956749"/>
    <w:rsid w:val="00956EB9"/>
    <w:rsid w:val="00957124"/>
    <w:rsid w:val="00962DE8"/>
    <w:rsid w:val="00962F76"/>
    <w:rsid w:val="00963258"/>
    <w:rsid w:val="00965280"/>
    <w:rsid w:val="009657A3"/>
    <w:rsid w:val="00965EBA"/>
    <w:rsid w:val="00966609"/>
    <w:rsid w:val="009670F0"/>
    <w:rsid w:val="00973CBB"/>
    <w:rsid w:val="00974103"/>
    <w:rsid w:val="00974C4C"/>
    <w:rsid w:val="00977EF3"/>
    <w:rsid w:val="009813CB"/>
    <w:rsid w:val="00981A87"/>
    <w:rsid w:val="00982B3C"/>
    <w:rsid w:val="00983A69"/>
    <w:rsid w:val="00983BA8"/>
    <w:rsid w:val="00984997"/>
    <w:rsid w:val="00985863"/>
    <w:rsid w:val="0098793D"/>
    <w:rsid w:val="0099070F"/>
    <w:rsid w:val="0099089D"/>
    <w:rsid w:val="00991092"/>
    <w:rsid w:val="009910E1"/>
    <w:rsid w:val="0099187F"/>
    <w:rsid w:val="009927CD"/>
    <w:rsid w:val="009949A3"/>
    <w:rsid w:val="00996434"/>
    <w:rsid w:val="009970D5"/>
    <w:rsid w:val="00997D77"/>
    <w:rsid w:val="00997F7E"/>
    <w:rsid w:val="009A0002"/>
    <w:rsid w:val="009A0192"/>
    <w:rsid w:val="009A0B12"/>
    <w:rsid w:val="009A1B77"/>
    <w:rsid w:val="009A279C"/>
    <w:rsid w:val="009A310B"/>
    <w:rsid w:val="009A3761"/>
    <w:rsid w:val="009A4668"/>
    <w:rsid w:val="009A670A"/>
    <w:rsid w:val="009A7970"/>
    <w:rsid w:val="009B15AB"/>
    <w:rsid w:val="009B2A73"/>
    <w:rsid w:val="009B2E19"/>
    <w:rsid w:val="009B3EC5"/>
    <w:rsid w:val="009B3F9D"/>
    <w:rsid w:val="009B4337"/>
    <w:rsid w:val="009B46D0"/>
    <w:rsid w:val="009B497D"/>
    <w:rsid w:val="009B4C42"/>
    <w:rsid w:val="009B4D43"/>
    <w:rsid w:val="009B5A48"/>
    <w:rsid w:val="009B5DD7"/>
    <w:rsid w:val="009B7914"/>
    <w:rsid w:val="009C0DA7"/>
    <w:rsid w:val="009C283E"/>
    <w:rsid w:val="009C3876"/>
    <w:rsid w:val="009C5320"/>
    <w:rsid w:val="009C5509"/>
    <w:rsid w:val="009C5ABB"/>
    <w:rsid w:val="009C7879"/>
    <w:rsid w:val="009C78BD"/>
    <w:rsid w:val="009C79E6"/>
    <w:rsid w:val="009C7F41"/>
    <w:rsid w:val="009D2DD5"/>
    <w:rsid w:val="009D342F"/>
    <w:rsid w:val="009D4C2F"/>
    <w:rsid w:val="009D7893"/>
    <w:rsid w:val="009E1970"/>
    <w:rsid w:val="009E3465"/>
    <w:rsid w:val="009E4097"/>
    <w:rsid w:val="009E4135"/>
    <w:rsid w:val="009E54D9"/>
    <w:rsid w:val="009E7713"/>
    <w:rsid w:val="009F0667"/>
    <w:rsid w:val="009F1E8C"/>
    <w:rsid w:val="009F21CF"/>
    <w:rsid w:val="009F2CB0"/>
    <w:rsid w:val="009F4327"/>
    <w:rsid w:val="009F463C"/>
    <w:rsid w:val="00A01611"/>
    <w:rsid w:val="00A01B84"/>
    <w:rsid w:val="00A0550B"/>
    <w:rsid w:val="00A0631B"/>
    <w:rsid w:val="00A1249F"/>
    <w:rsid w:val="00A1292B"/>
    <w:rsid w:val="00A129B3"/>
    <w:rsid w:val="00A15795"/>
    <w:rsid w:val="00A159EA"/>
    <w:rsid w:val="00A1652C"/>
    <w:rsid w:val="00A2072D"/>
    <w:rsid w:val="00A21D93"/>
    <w:rsid w:val="00A22C5D"/>
    <w:rsid w:val="00A240CA"/>
    <w:rsid w:val="00A250C9"/>
    <w:rsid w:val="00A262F2"/>
    <w:rsid w:val="00A2638E"/>
    <w:rsid w:val="00A273F0"/>
    <w:rsid w:val="00A3013F"/>
    <w:rsid w:val="00A31994"/>
    <w:rsid w:val="00A4151C"/>
    <w:rsid w:val="00A41AF7"/>
    <w:rsid w:val="00A41C5D"/>
    <w:rsid w:val="00A42806"/>
    <w:rsid w:val="00A444E8"/>
    <w:rsid w:val="00A4476B"/>
    <w:rsid w:val="00A46B72"/>
    <w:rsid w:val="00A50699"/>
    <w:rsid w:val="00A5157E"/>
    <w:rsid w:val="00A54AD2"/>
    <w:rsid w:val="00A555ED"/>
    <w:rsid w:val="00A5732F"/>
    <w:rsid w:val="00A57791"/>
    <w:rsid w:val="00A5786B"/>
    <w:rsid w:val="00A57F11"/>
    <w:rsid w:val="00A627BB"/>
    <w:rsid w:val="00A64973"/>
    <w:rsid w:val="00A64B04"/>
    <w:rsid w:val="00A65890"/>
    <w:rsid w:val="00A70A84"/>
    <w:rsid w:val="00A70FCB"/>
    <w:rsid w:val="00A71236"/>
    <w:rsid w:val="00A71263"/>
    <w:rsid w:val="00A71326"/>
    <w:rsid w:val="00A72448"/>
    <w:rsid w:val="00A72B5B"/>
    <w:rsid w:val="00A731B0"/>
    <w:rsid w:val="00A735D5"/>
    <w:rsid w:val="00A74F0A"/>
    <w:rsid w:val="00A80017"/>
    <w:rsid w:val="00A80326"/>
    <w:rsid w:val="00A804F7"/>
    <w:rsid w:val="00A82859"/>
    <w:rsid w:val="00A84557"/>
    <w:rsid w:val="00A84605"/>
    <w:rsid w:val="00A84A74"/>
    <w:rsid w:val="00A8575D"/>
    <w:rsid w:val="00A86118"/>
    <w:rsid w:val="00A8674F"/>
    <w:rsid w:val="00A873DD"/>
    <w:rsid w:val="00A876FF"/>
    <w:rsid w:val="00A879FF"/>
    <w:rsid w:val="00A900E2"/>
    <w:rsid w:val="00A902A3"/>
    <w:rsid w:val="00A910D5"/>
    <w:rsid w:val="00A91C98"/>
    <w:rsid w:val="00A921C6"/>
    <w:rsid w:val="00A9356C"/>
    <w:rsid w:val="00A93946"/>
    <w:rsid w:val="00A93BF6"/>
    <w:rsid w:val="00A9565E"/>
    <w:rsid w:val="00A96754"/>
    <w:rsid w:val="00A968A2"/>
    <w:rsid w:val="00A96A47"/>
    <w:rsid w:val="00AA1F8B"/>
    <w:rsid w:val="00AA35A6"/>
    <w:rsid w:val="00AA4AA1"/>
    <w:rsid w:val="00AA4F63"/>
    <w:rsid w:val="00AA6FAD"/>
    <w:rsid w:val="00AA6FE4"/>
    <w:rsid w:val="00AA7DFA"/>
    <w:rsid w:val="00AB08CB"/>
    <w:rsid w:val="00AB398A"/>
    <w:rsid w:val="00AB3EA9"/>
    <w:rsid w:val="00AB5AC9"/>
    <w:rsid w:val="00AB68C9"/>
    <w:rsid w:val="00AB7B01"/>
    <w:rsid w:val="00AC0429"/>
    <w:rsid w:val="00AC047F"/>
    <w:rsid w:val="00AC1F50"/>
    <w:rsid w:val="00AC2DD1"/>
    <w:rsid w:val="00AC34E3"/>
    <w:rsid w:val="00AC3724"/>
    <w:rsid w:val="00AC4BD5"/>
    <w:rsid w:val="00AC627E"/>
    <w:rsid w:val="00AD2898"/>
    <w:rsid w:val="00AD45D9"/>
    <w:rsid w:val="00AD4928"/>
    <w:rsid w:val="00AD4F9B"/>
    <w:rsid w:val="00AD5740"/>
    <w:rsid w:val="00AD686E"/>
    <w:rsid w:val="00AD7DEA"/>
    <w:rsid w:val="00AE052F"/>
    <w:rsid w:val="00AE17CC"/>
    <w:rsid w:val="00AE18B7"/>
    <w:rsid w:val="00AE2D25"/>
    <w:rsid w:val="00AE310A"/>
    <w:rsid w:val="00AE546A"/>
    <w:rsid w:val="00AE5BE9"/>
    <w:rsid w:val="00AE7A03"/>
    <w:rsid w:val="00AF05C0"/>
    <w:rsid w:val="00AF0C51"/>
    <w:rsid w:val="00AF17D7"/>
    <w:rsid w:val="00AF2314"/>
    <w:rsid w:val="00AF2E80"/>
    <w:rsid w:val="00AF4AE3"/>
    <w:rsid w:val="00AF4B28"/>
    <w:rsid w:val="00AF65A7"/>
    <w:rsid w:val="00AF7043"/>
    <w:rsid w:val="00AF7173"/>
    <w:rsid w:val="00AF775A"/>
    <w:rsid w:val="00B013E4"/>
    <w:rsid w:val="00B029F9"/>
    <w:rsid w:val="00B04066"/>
    <w:rsid w:val="00B04939"/>
    <w:rsid w:val="00B061EF"/>
    <w:rsid w:val="00B065D1"/>
    <w:rsid w:val="00B07003"/>
    <w:rsid w:val="00B103F5"/>
    <w:rsid w:val="00B1286F"/>
    <w:rsid w:val="00B12A6E"/>
    <w:rsid w:val="00B158F0"/>
    <w:rsid w:val="00B15C8A"/>
    <w:rsid w:val="00B1663A"/>
    <w:rsid w:val="00B16C18"/>
    <w:rsid w:val="00B1737B"/>
    <w:rsid w:val="00B1778B"/>
    <w:rsid w:val="00B17AFE"/>
    <w:rsid w:val="00B20374"/>
    <w:rsid w:val="00B211C1"/>
    <w:rsid w:val="00B215A1"/>
    <w:rsid w:val="00B216F8"/>
    <w:rsid w:val="00B2343D"/>
    <w:rsid w:val="00B255A3"/>
    <w:rsid w:val="00B256E9"/>
    <w:rsid w:val="00B26122"/>
    <w:rsid w:val="00B26325"/>
    <w:rsid w:val="00B265C0"/>
    <w:rsid w:val="00B26683"/>
    <w:rsid w:val="00B2758B"/>
    <w:rsid w:val="00B27836"/>
    <w:rsid w:val="00B30718"/>
    <w:rsid w:val="00B30734"/>
    <w:rsid w:val="00B30BBD"/>
    <w:rsid w:val="00B31A43"/>
    <w:rsid w:val="00B329C4"/>
    <w:rsid w:val="00B3332E"/>
    <w:rsid w:val="00B339D7"/>
    <w:rsid w:val="00B342EC"/>
    <w:rsid w:val="00B350B9"/>
    <w:rsid w:val="00B36B9B"/>
    <w:rsid w:val="00B40BB1"/>
    <w:rsid w:val="00B42615"/>
    <w:rsid w:val="00B43383"/>
    <w:rsid w:val="00B45BCD"/>
    <w:rsid w:val="00B4633F"/>
    <w:rsid w:val="00B471D5"/>
    <w:rsid w:val="00B47B8C"/>
    <w:rsid w:val="00B51CB2"/>
    <w:rsid w:val="00B5219A"/>
    <w:rsid w:val="00B54D8B"/>
    <w:rsid w:val="00B57286"/>
    <w:rsid w:val="00B57AE3"/>
    <w:rsid w:val="00B62D08"/>
    <w:rsid w:val="00B63BD3"/>
    <w:rsid w:val="00B65C3A"/>
    <w:rsid w:val="00B66485"/>
    <w:rsid w:val="00B66529"/>
    <w:rsid w:val="00B67CD7"/>
    <w:rsid w:val="00B67F00"/>
    <w:rsid w:val="00B70044"/>
    <w:rsid w:val="00B701B9"/>
    <w:rsid w:val="00B719FF"/>
    <w:rsid w:val="00B71B24"/>
    <w:rsid w:val="00B732F7"/>
    <w:rsid w:val="00B73D71"/>
    <w:rsid w:val="00B746E8"/>
    <w:rsid w:val="00B75A91"/>
    <w:rsid w:val="00B76AA8"/>
    <w:rsid w:val="00B83E14"/>
    <w:rsid w:val="00B8482A"/>
    <w:rsid w:val="00B849A5"/>
    <w:rsid w:val="00B853D0"/>
    <w:rsid w:val="00B85B1E"/>
    <w:rsid w:val="00B90A1C"/>
    <w:rsid w:val="00B91F45"/>
    <w:rsid w:val="00B926EE"/>
    <w:rsid w:val="00B9557C"/>
    <w:rsid w:val="00B95CB5"/>
    <w:rsid w:val="00B9618D"/>
    <w:rsid w:val="00B96F2B"/>
    <w:rsid w:val="00B976B5"/>
    <w:rsid w:val="00BA0BBF"/>
    <w:rsid w:val="00BA108E"/>
    <w:rsid w:val="00BA321C"/>
    <w:rsid w:val="00BA424A"/>
    <w:rsid w:val="00BA48FC"/>
    <w:rsid w:val="00BA558D"/>
    <w:rsid w:val="00BA71A8"/>
    <w:rsid w:val="00BA724F"/>
    <w:rsid w:val="00BB183A"/>
    <w:rsid w:val="00BB3AC3"/>
    <w:rsid w:val="00BB61D7"/>
    <w:rsid w:val="00BC0A5E"/>
    <w:rsid w:val="00BC306F"/>
    <w:rsid w:val="00BC3ACE"/>
    <w:rsid w:val="00BC599B"/>
    <w:rsid w:val="00BD1C72"/>
    <w:rsid w:val="00BD1C73"/>
    <w:rsid w:val="00BD44C7"/>
    <w:rsid w:val="00BD4599"/>
    <w:rsid w:val="00BD472E"/>
    <w:rsid w:val="00BD4D63"/>
    <w:rsid w:val="00BD55DA"/>
    <w:rsid w:val="00BD5AFA"/>
    <w:rsid w:val="00BD75E2"/>
    <w:rsid w:val="00BD7E4A"/>
    <w:rsid w:val="00BE2617"/>
    <w:rsid w:val="00BE3C1F"/>
    <w:rsid w:val="00BE586B"/>
    <w:rsid w:val="00BE6094"/>
    <w:rsid w:val="00BE69AC"/>
    <w:rsid w:val="00BF052D"/>
    <w:rsid w:val="00BF07DF"/>
    <w:rsid w:val="00BF0D4E"/>
    <w:rsid w:val="00BF15D6"/>
    <w:rsid w:val="00BF18E8"/>
    <w:rsid w:val="00BF2FB6"/>
    <w:rsid w:val="00BF58F8"/>
    <w:rsid w:val="00BF642F"/>
    <w:rsid w:val="00BF771A"/>
    <w:rsid w:val="00C000A0"/>
    <w:rsid w:val="00C0247C"/>
    <w:rsid w:val="00C03EF0"/>
    <w:rsid w:val="00C049E0"/>
    <w:rsid w:val="00C0652E"/>
    <w:rsid w:val="00C101AC"/>
    <w:rsid w:val="00C101AE"/>
    <w:rsid w:val="00C109EA"/>
    <w:rsid w:val="00C10AA8"/>
    <w:rsid w:val="00C10F3F"/>
    <w:rsid w:val="00C119DB"/>
    <w:rsid w:val="00C12542"/>
    <w:rsid w:val="00C12555"/>
    <w:rsid w:val="00C132F2"/>
    <w:rsid w:val="00C13FB6"/>
    <w:rsid w:val="00C1478A"/>
    <w:rsid w:val="00C14D7A"/>
    <w:rsid w:val="00C15375"/>
    <w:rsid w:val="00C211B0"/>
    <w:rsid w:val="00C21665"/>
    <w:rsid w:val="00C22588"/>
    <w:rsid w:val="00C24610"/>
    <w:rsid w:val="00C24790"/>
    <w:rsid w:val="00C255D3"/>
    <w:rsid w:val="00C27F95"/>
    <w:rsid w:val="00C30A34"/>
    <w:rsid w:val="00C318D1"/>
    <w:rsid w:val="00C3241E"/>
    <w:rsid w:val="00C33062"/>
    <w:rsid w:val="00C336A0"/>
    <w:rsid w:val="00C34093"/>
    <w:rsid w:val="00C3571E"/>
    <w:rsid w:val="00C35FF9"/>
    <w:rsid w:val="00C367A7"/>
    <w:rsid w:val="00C36E9B"/>
    <w:rsid w:val="00C40567"/>
    <w:rsid w:val="00C40F07"/>
    <w:rsid w:val="00C41967"/>
    <w:rsid w:val="00C41F45"/>
    <w:rsid w:val="00C42B52"/>
    <w:rsid w:val="00C433FE"/>
    <w:rsid w:val="00C45078"/>
    <w:rsid w:val="00C4574B"/>
    <w:rsid w:val="00C45A22"/>
    <w:rsid w:val="00C50208"/>
    <w:rsid w:val="00C52F39"/>
    <w:rsid w:val="00C53827"/>
    <w:rsid w:val="00C54056"/>
    <w:rsid w:val="00C54668"/>
    <w:rsid w:val="00C54A36"/>
    <w:rsid w:val="00C560B5"/>
    <w:rsid w:val="00C56BE7"/>
    <w:rsid w:val="00C57FDF"/>
    <w:rsid w:val="00C6242C"/>
    <w:rsid w:val="00C62ABB"/>
    <w:rsid w:val="00C64494"/>
    <w:rsid w:val="00C64E23"/>
    <w:rsid w:val="00C666BB"/>
    <w:rsid w:val="00C66FDA"/>
    <w:rsid w:val="00C703F7"/>
    <w:rsid w:val="00C70DE1"/>
    <w:rsid w:val="00C72AF6"/>
    <w:rsid w:val="00C81490"/>
    <w:rsid w:val="00C859C0"/>
    <w:rsid w:val="00C85AC9"/>
    <w:rsid w:val="00C85E36"/>
    <w:rsid w:val="00C861B7"/>
    <w:rsid w:val="00C864E4"/>
    <w:rsid w:val="00C87A13"/>
    <w:rsid w:val="00C90888"/>
    <w:rsid w:val="00C90D09"/>
    <w:rsid w:val="00C91FF5"/>
    <w:rsid w:val="00C93C52"/>
    <w:rsid w:val="00C948E4"/>
    <w:rsid w:val="00C94D50"/>
    <w:rsid w:val="00C95040"/>
    <w:rsid w:val="00C95825"/>
    <w:rsid w:val="00C963C8"/>
    <w:rsid w:val="00CA0898"/>
    <w:rsid w:val="00CA292E"/>
    <w:rsid w:val="00CA4A3A"/>
    <w:rsid w:val="00CA4D20"/>
    <w:rsid w:val="00CA5BDB"/>
    <w:rsid w:val="00CB08AE"/>
    <w:rsid w:val="00CB2546"/>
    <w:rsid w:val="00CB3607"/>
    <w:rsid w:val="00CB46EE"/>
    <w:rsid w:val="00CB58DD"/>
    <w:rsid w:val="00CB594F"/>
    <w:rsid w:val="00CB6B1A"/>
    <w:rsid w:val="00CB6CD2"/>
    <w:rsid w:val="00CC0529"/>
    <w:rsid w:val="00CC25F9"/>
    <w:rsid w:val="00CC2D05"/>
    <w:rsid w:val="00CC5829"/>
    <w:rsid w:val="00CC5DE9"/>
    <w:rsid w:val="00CD10A7"/>
    <w:rsid w:val="00CD182C"/>
    <w:rsid w:val="00CD25F9"/>
    <w:rsid w:val="00CD44EE"/>
    <w:rsid w:val="00CD5119"/>
    <w:rsid w:val="00CD5708"/>
    <w:rsid w:val="00CD5727"/>
    <w:rsid w:val="00CE0314"/>
    <w:rsid w:val="00CE031B"/>
    <w:rsid w:val="00CE09D5"/>
    <w:rsid w:val="00CE108B"/>
    <w:rsid w:val="00CE1109"/>
    <w:rsid w:val="00CE2176"/>
    <w:rsid w:val="00CE75BE"/>
    <w:rsid w:val="00CF0B71"/>
    <w:rsid w:val="00CF3073"/>
    <w:rsid w:val="00CF5096"/>
    <w:rsid w:val="00CF5798"/>
    <w:rsid w:val="00CF6EC6"/>
    <w:rsid w:val="00CF77C1"/>
    <w:rsid w:val="00D00AF7"/>
    <w:rsid w:val="00D01190"/>
    <w:rsid w:val="00D01C22"/>
    <w:rsid w:val="00D02549"/>
    <w:rsid w:val="00D0348B"/>
    <w:rsid w:val="00D03E3E"/>
    <w:rsid w:val="00D042F5"/>
    <w:rsid w:val="00D04CF1"/>
    <w:rsid w:val="00D04F7B"/>
    <w:rsid w:val="00D05939"/>
    <w:rsid w:val="00D05EFF"/>
    <w:rsid w:val="00D11E10"/>
    <w:rsid w:val="00D12D5E"/>
    <w:rsid w:val="00D137F9"/>
    <w:rsid w:val="00D13F4F"/>
    <w:rsid w:val="00D15FFD"/>
    <w:rsid w:val="00D178E1"/>
    <w:rsid w:val="00D17FED"/>
    <w:rsid w:val="00D20077"/>
    <w:rsid w:val="00D209F3"/>
    <w:rsid w:val="00D20B93"/>
    <w:rsid w:val="00D218B9"/>
    <w:rsid w:val="00D22907"/>
    <w:rsid w:val="00D24347"/>
    <w:rsid w:val="00D24B62"/>
    <w:rsid w:val="00D24E38"/>
    <w:rsid w:val="00D25DC5"/>
    <w:rsid w:val="00D266A7"/>
    <w:rsid w:val="00D26B39"/>
    <w:rsid w:val="00D275F5"/>
    <w:rsid w:val="00D27CE2"/>
    <w:rsid w:val="00D3029C"/>
    <w:rsid w:val="00D3056E"/>
    <w:rsid w:val="00D31842"/>
    <w:rsid w:val="00D318E7"/>
    <w:rsid w:val="00D3244F"/>
    <w:rsid w:val="00D347DC"/>
    <w:rsid w:val="00D36D88"/>
    <w:rsid w:val="00D36F9E"/>
    <w:rsid w:val="00D379CD"/>
    <w:rsid w:val="00D40A41"/>
    <w:rsid w:val="00D40E0B"/>
    <w:rsid w:val="00D40F57"/>
    <w:rsid w:val="00D41B60"/>
    <w:rsid w:val="00D41EC7"/>
    <w:rsid w:val="00D432B4"/>
    <w:rsid w:val="00D448E6"/>
    <w:rsid w:val="00D44DD7"/>
    <w:rsid w:val="00D467F7"/>
    <w:rsid w:val="00D47859"/>
    <w:rsid w:val="00D5103C"/>
    <w:rsid w:val="00D52231"/>
    <w:rsid w:val="00D52E65"/>
    <w:rsid w:val="00D534CF"/>
    <w:rsid w:val="00D61BC9"/>
    <w:rsid w:val="00D61CDB"/>
    <w:rsid w:val="00D62AEB"/>
    <w:rsid w:val="00D63C31"/>
    <w:rsid w:val="00D640C0"/>
    <w:rsid w:val="00D640CD"/>
    <w:rsid w:val="00D643CB"/>
    <w:rsid w:val="00D66E85"/>
    <w:rsid w:val="00D67072"/>
    <w:rsid w:val="00D67236"/>
    <w:rsid w:val="00D75886"/>
    <w:rsid w:val="00D76889"/>
    <w:rsid w:val="00D77A15"/>
    <w:rsid w:val="00D802D8"/>
    <w:rsid w:val="00D809C7"/>
    <w:rsid w:val="00D81940"/>
    <w:rsid w:val="00D82E4A"/>
    <w:rsid w:val="00D83275"/>
    <w:rsid w:val="00D841F7"/>
    <w:rsid w:val="00D864CB"/>
    <w:rsid w:val="00D86870"/>
    <w:rsid w:val="00D86A7B"/>
    <w:rsid w:val="00D87962"/>
    <w:rsid w:val="00D90036"/>
    <w:rsid w:val="00D901DA"/>
    <w:rsid w:val="00D90483"/>
    <w:rsid w:val="00D91645"/>
    <w:rsid w:val="00D91EBD"/>
    <w:rsid w:val="00D9280A"/>
    <w:rsid w:val="00D92F28"/>
    <w:rsid w:val="00D93EB2"/>
    <w:rsid w:val="00D93ED4"/>
    <w:rsid w:val="00D940A3"/>
    <w:rsid w:val="00D97815"/>
    <w:rsid w:val="00D97D43"/>
    <w:rsid w:val="00DA2038"/>
    <w:rsid w:val="00DA32D0"/>
    <w:rsid w:val="00DA3345"/>
    <w:rsid w:val="00DA3CD8"/>
    <w:rsid w:val="00DA427C"/>
    <w:rsid w:val="00DA502D"/>
    <w:rsid w:val="00DA62A5"/>
    <w:rsid w:val="00DA6697"/>
    <w:rsid w:val="00DB045D"/>
    <w:rsid w:val="00DB12DA"/>
    <w:rsid w:val="00DB28A0"/>
    <w:rsid w:val="00DB371C"/>
    <w:rsid w:val="00DB6927"/>
    <w:rsid w:val="00DB6984"/>
    <w:rsid w:val="00DB7A85"/>
    <w:rsid w:val="00DC032B"/>
    <w:rsid w:val="00DC06B1"/>
    <w:rsid w:val="00DC0F55"/>
    <w:rsid w:val="00DC3336"/>
    <w:rsid w:val="00DC3D5E"/>
    <w:rsid w:val="00DC424A"/>
    <w:rsid w:val="00DC47EE"/>
    <w:rsid w:val="00DC48EB"/>
    <w:rsid w:val="00DC4E1D"/>
    <w:rsid w:val="00DC6250"/>
    <w:rsid w:val="00DC62FD"/>
    <w:rsid w:val="00DC744A"/>
    <w:rsid w:val="00DC752A"/>
    <w:rsid w:val="00DD1F0C"/>
    <w:rsid w:val="00DD33DE"/>
    <w:rsid w:val="00DD3BB4"/>
    <w:rsid w:val="00DD69C2"/>
    <w:rsid w:val="00DD70AC"/>
    <w:rsid w:val="00DD7B2C"/>
    <w:rsid w:val="00DE0456"/>
    <w:rsid w:val="00DE11F0"/>
    <w:rsid w:val="00DE2504"/>
    <w:rsid w:val="00DE3AA7"/>
    <w:rsid w:val="00DE4E75"/>
    <w:rsid w:val="00DE55ED"/>
    <w:rsid w:val="00DE64B5"/>
    <w:rsid w:val="00DE6ED8"/>
    <w:rsid w:val="00DE6F65"/>
    <w:rsid w:val="00DE7534"/>
    <w:rsid w:val="00DF21A6"/>
    <w:rsid w:val="00DF297A"/>
    <w:rsid w:val="00DF2CFA"/>
    <w:rsid w:val="00DF4326"/>
    <w:rsid w:val="00DF5BA0"/>
    <w:rsid w:val="00DF6871"/>
    <w:rsid w:val="00DF7EED"/>
    <w:rsid w:val="00E01452"/>
    <w:rsid w:val="00E03777"/>
    <w:rsid w:val="00E05915"/>
    <w:rsid w:val="00E05FA6"/>
    <w:rsid w:val="00E06DBF"/>
    <w:rsid w:val="00E06F39"/>
    <w:rsid w:val="00E07560"/>
    <w:rsid w:val="00E1023A"/>
    <w:rsid w:val="00E105E2"/>
    <w:rsid w:val="00E12169"/>
    <w:rsid w:val="00E1252F"/>
    <w:rsid w:val="00E127B0"/>
    <w:rsid w:val="00E12C37"/>
    <w:rsid w:val="00E15FA1"/>
    <w:rsid w:val="00E17CEA"/>
    <w:rsid w:val="00E209CF"/>
    <w:rsid w:val="00E21067"/>
    <w:rsid w:val="00E219C6"/>
    <w:rsid w:val="00E22176"/>
    <w:rsid w:val="00E2227A"/>
    <w:rsid w:val="00E26B1E"/>
    <w:rsid w:val="00E27FCD"/>
    <w:rsid w:val="00E325F2"/>
    <w:rsid w:val="00E3459D"/>
    <w:rsid w:val="00E355C5"/>
    <w:rsid w:val="00E37537"/>
    <w:rsid w:val="00E41D32"/>
    <w:rsid w:val="00E4370A"/>
    <w:rsid w:val="00E4636F"/>
    <w:rsid w:val="00E46C90"/>
    <w:rsid w:val="00E47B48"/>
    <w:rsid w:val="00E50EB6"/>
    <w:rsid w:val="00E51106"/>
    <w:rsid w:val="00E512E3"/>
    <w:rsid w:val="00E545F3"/>
    <w:rsid w:val="00E5469D"/>
    <w:rsid w:val="00E55C27"/>
    <w:rsid w:val="00E57EFE"/>
    <w:rsid w:val="00E6084A"/>
    <w:rsid w:val="00E60E2F"/>
    <w:rsid w:val="00E62843"/>
    <w:rsid w:val="00E62F92"/>
    <w:rsid w:val="00E67C92"/>
    <w:rsid w:val="00E70034"/>
    <w:rsid w:val="00E70123"/>
    <w:rsid w:val="00E701C6"/>
    <w:rsid w:val="00E70257"/>
    <w:rsid w:val="00E7054C"/>
    <w:rsid w:val="00E71B63"/>
    <w:rsid w:val="00E735E0"/>
    <w:rsid w:val="00E75CA8"/>
    <w:rsid w:val="00E775FA"/>
    <w:rsid w:val="00E808D3"/>
    <w:rsid w:val="00E814FB"/>
    <w:rsid w:val="00E83B42"/>
    <w:rsid w:val="00E84A17"/>
    <w:rsid w:val="00E85143"/>
    <w:rsid w:val="00E8543E"/>
    <w:rsid w:val="00E85B0C"/>
    <w:rsid w:val="00E91837"/>
    <w:rsid w:val="00E92AD5"/>
    <w:rsid w:val="00E93C99"/>
    <w:rsid w:val="00E94DD6"/>
    <w:rsid w:val="00E95F94"/>
    <w:rsid w:val="00EA0851"/>
    <w:rsid w:val="00EA087E"/>
    <w:rsid w:val="00EA0B45"/>
    <w:rsid w:val="00EA2D57"/>
    <w:rsid w:val="00EA6189"/>
    <w:rsid w:val="00EA742D"/>
    <w:rsid w:val="00EB087E"/>
    <w:rsid w:val="00EB1228"/>
    <w:rsid w:val="00EB26B9"/>
    <w:rsid w:val="00EB40BE"/>
    <w:rsid w:val="00EB74AD"/>
    <w:rsid w:val="00EC16A1"/>
    <w:rsid w:val="00EC19FE"/>
    <w:rsid w:val="00EC1FA0"/>
    <w:rsid w:val="00EC326F"/>
    <w:rsid w:val="00EC6678"/>
    <w:rsid w:val="00EC7E28"/>
    <w:rsid w:val="00ED143D"/>
    <w:rsid w:val="00ED2ECA"/>
    <w:rsid w:val="00ED3748"/>
    <w:rsid w:val="00ED5B1A"/>
    <w:rsid w:val="00ED5E96"/>
    <w:rsid w:val="00ED678B"/>
    <w:rsid w:val="00ED709D"/>
    <w:rsid w:val="00EE041A"/>
    <w:rsid w:val="00EE0855"/>
    <w:rsid w:val="00EE087C"/>
    <w:rsid w:val="00EE1346"/>
    <w:rsid w:val="00EE1E81"/>
    <w:rsid w:val="00EE36E7"/>
    <w:rsid w:val="00EE44A6"/>
    <w:rsid w:val="00EE6A43"/>
    <w:rsid w:val="00EE7C43"/>
    <w:rsid w:val="00EF0E1A"/>
    <w:rsid w:val="00EF3695"/>
    <w:rsid w:val="00EF3F2B"/>
    <w:rsid w:val="00EF4EA9"/>
    <w:rsid w:val="00F0139B"/>
    <w:rsid w:val="00F01A6D"/>
    <w:rsid w:val="00F03AD4"/>
    <w:rsid w:val="00F057A7"/>
    <w:rsid w:val="00F067CD"/>
    <w:rsid w:val="00F10D3F"/>
    <w:rsid w:val="00F12665"/>
    <w:rsid w:val="00F14866"/>
    <w:rsid w:val="00F1645E"/>
    <w:rsid w:val="00F1757E"/>
    <w:rsid w:val="00F17798"/>
    <w:rsid w:val="00F17E96"/>
    <w:rsid w:val="00F20393"/>
    <w:rsid w:val="00F22998"/>
    <w:rsid w:val="00F23030"/>
    <w:rsid w:val="00F2331D"/>
    <w:rsid w:val="00F25351"/>
    <w:rsid w:val="00F254C2"/>
    <w:rsid w:val="00F25764"/>
    <w:rsid w:val="00F2586B"/>
    <w:rsid w:val="00F25DD6"/>
    <w:rsid w:val="00F26660"/>
    <w:rsid w:val="00F2671D"/>
    <w:rsid w:val="00F26AEB"/>
    <w:rsid w:val="00F2795B"/>
    <w:rsid w:val="00F30092"/>
    <w:rsid w:val="00F30947"/>
    <w:rsid w:val="00F31BE8"/>
    <w:rsid w:val="00F3200C"/>
    <w:rsid w:val="00F327A5"/>
    <w:rsid w:val="00F350DF"/>
    <w:rsid w:val="00F36259"/>
    <w:rsid w:val="00F36456"/>
    <w:rsid w:val="00F36EC2"/>
    <w:rsid w:val="00F40F7C"/>
    <w:rsid w:val="00F42D23"/>
    <w:rsid w:val="00F43F66"/>
    <w:rsid w:val="00F510C6"/>
    <w:rsid w:val="00F51D54"/>
    <w:rsid w:val="00F52323"/>
    <w:rsid w:val="00F52DC8"/>
    <w:rsid w:val="00F54011"/>
    <w:rsid w:val="00F5440E"/>
    <w:rsid w:val="00F556CC"/>
    <w:rsid w:val="00F564F9"/>
    <w:rsid w:val="00F567C9"/>
    <w:rsid w:val="00F56EDC"/>
    <w:rsid w:val="00F57BE1"/>
    <w:rsid w:val="00F57CC4"/>
    <w:rsid w:val="00F60173"/>
    <w:rsid w:val="00F61B8B"/>
    <w:rsid w:val="00F6233E"/>
    <w:rsid w:val="00F627DF"/>
    <w:rsid w:val="00F65D87"/>
    <w:rsid w:val="00F667D4"/>
    <w:rsid w:val="00F676E7"/>
    <w:rsid w:val="00F70CE2"/>
    <w:rsid w:val="00F70DB7"/>
    <w:rsid w:val="00F71140"/>
    <w:rsid w:val="00F71943"/>
    <w:rsid w:val="00F72297"/>
    <w:rsid w:val="00F723C3"/>
    <w:rsid w:val="00F724A1"/>
    <w:rsid w:val="00F758FA"/>
    <w:rsid w:val="00F75B4B"/>
    <w:rsid w:val="00F76366"/>
    <w:rsid w:val="00F7697A"/>
    <w:rsid w:val="00F770A8"/>
    <w:rsid w:val="00F81820"/>
    <w:rsid w:val="00F831FB"/>
    <w:rsid w:val="00F83314"/>
    <w:rsid w:val="00F838F5"/>
    <w:rsid w:val="00F8419C"/>
    <w:rsid w:val="00F86F0A"/>
    <w:rsid w:val="00F87662"/>
    <w:rsid w:val="00F915E2"/>
    <w:rsid w:val="00F91CE8"/>
    <w:rsid w:val="00F956F3"/>
    <w:rsid w:val="00F95FBD"/>
    <w:rsid w:val="00F9639E"/>
    <w:rsid w:val="00F97410"/>
    <w:rsid w:val="00F9799F"/>
    <w:rsid w:val="00F97EF4"/>
    <w:rsid w:val="00FA1AD7"/>
    <w:rsid w:val="00FA2A63"/>
    <w:rsid w:val="00FA63AC"/>
    <w:rsid w:val="00FA74C2"/>
    <w:rsid w:val="00FA7F08"/>
    <w:rsid w:val="00FB00B3"/>
    <w:rsid w:val="00FB0260"/>
    <w:rsid w:val="00FB4DC4"/>
    <w:rsid w:val="00FB5FA5"/>
    <w:rsid w:val="00FB613F"/>
    <w:rsid w:val="00FB65BD"/>
    <w:rsid w:val="00FB6B35"/>
    <w:rsid w:val="00FB6D63"/>
    <w:rsid w:val="00FC0FEE"/>
    <w:rsid w:val="00FC1656"/>
    <w:rsid w:val="00FC1AD0"/>
    <w:rsid w:val="00FC2ED2"/>
    <w:rsid w:val="00FC5220"/>
    <w:rsid w:val="00FC5C2A"/>
    <w:rsid w:val="00FC673F"/>
    <w:rsid w:val="00FC6F6F"/>
    <w:rsid w:val="00FC7805"/>
    <w:rsid w:val="00FD066C"/>
    <w:rsid w:val="00FD0C56"/>
    <w:rsid w:val="00FD16D2"/>
    <w:rsid w:val="00FD1BC0"/>
    <w:rsid w:val="00FD2DEA"/>
    <w:rsid w:val="00FD4C4C"/>
    <w:rsid w:val="00FD4DC7"/>
    <w:rsid w:val="00FD5FC1"/>
    <w:rsid w:val="00FD6088"/>
    <w:rsid w:val="00FD6557"/>
    <w:rsid w:val="00FD7788"/>
    <w:rsid w:val="00FE0D9D"/>
    <w:rsid w:val="00FE27A8"/>
    <w:rsid w:val="00FE2F08"/>
    <w:rsid w:val="00FE3008"/>
    <w:rsid w:val="00FE350C"/>
    <w:rsid w:val="00FE5017"/>
    <w:rsid w:val="00FE6568"/>
    <w:rsid w:val="00FE6793"/>
    <w:rsid w:val="00FF0AFC"/>
    <w:rsid w:val="00FF0E37"/>
    <w:rsid w:val="00FF1371"/>
    <w:rsid w:val="00FF1A44"/>
    <w:rsid w:val="00FF2BF8"/>
    <w:rsid w:val="00FF3C12"/>
    <w:rsid w:val="00FF4818"/>
    <w:rsid w:val="00FF5047"/>
    <w:rsid w:val="00FF69EC"/>
    <w:rsid w:val="00FF6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757A1"/>
  <w15:docId w15:val="{45E9007F-EDB3-422A-A5C2-1544C18A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D5"/>
    <w:pPr>
      <w:spacing w:before="60" w:after="60"/>
      <w:jc w:val="both"/>
    </w:pPr>
    <w:rPr>
      <w:sz w:val="24"/>
    </w:rPr>
  </w:style>
  <w:style w:type="paragraph" w:styleId="Heading1">
    <w:name w:val="heading 1"/>
    <w:basedOn w:val="Normal"/>
    <w:next w:val="Normal"/>
    <w:link w:val="Heading1Char"/>
    <w:uiPriority w:val="9"/>
    <w:qFormat/>
    <w:rsid w:val="002E45C2"/>
    <w:pPr>
      <w:keepNext/>
      <w:keepLines/>
      <w:pageBreakBefore/>
      <w:numPr>
        <w:numId w:val="1"/>
      </w:numPr>
      <w:spacing w:before="120" w:after="120"/>
      <w:jc w:val="center"/>
      <w:outlineLvl w:val="0"/>
    </w:pPr>
    <w:rPr>
      <w:b/>
      <w:caps/>
      <w:kern w:val="28"/>
    </w:rPr>
  </w:style>
  <w:style w:type="paragraph" w:styleId="Heading2">
    <w:name w:val="heading 2"/>
    <w:basedOn w:val="Normal"/>
    <w:next w:val="Normal"/>
    <w:link w:val="Heading2Char"/>
    <w:uiPriority w:val="9"/>
    <w:qFormat/>
    <w:rsid w:val="00407863"/>
    <w:pPr>
      <w:keepNext/>
      <w:keepLines/>
      <w:pageBreakBefore/>
      <w:numPr>
        <w:ilvl w:val="1"/>
        <w:numId w:val="1"/>
      </w:numPr>
      <w:spacing w:before="120" w:after="120"/>
      <w:outlineLvl w:val="1"/>
    </w:pPr>
    <w:rPr>
      <w:rFonts w:ascii="Times New Roman Bold" w:hAnsi="Times New Roman Bold"/>
      <w:b/>
    </w:rPr>
  </w:style>
  <w:style w:type="paragraph" w:styleId="Heading3">
    <w:name w:val="heading 3"/>
    <w:basedOn w:val="Normal"/>
    <w:next w:val="Normal"/>
    <w:link w:val="Heading3Char"/>
    <w:uiPriority w:val="9"/>
    <w:qFormat/>
    <w:rsid w:val="003D2A1F"/>
    <w:pPr>
      <w:keepNext/>
      <w:keepLines/>
      <w:numPr>
        <w:ilvl w:val="2"/>
        <w:numId w:val="1"/>
      </w:numPr>
      <w:spacing w:before="240" w:after="120"/>
      <w:outlineLvl w:val="2"/>
    </w:pPr>
    <w:rPr>
      <w:b/>
    </w:rPr>
  </w:style>
  <w:style w:type="paragraph" w:styleId="Heading4">
    <w:name w:val="heading 4"/>
    <w:basedOn w:val="Normal"/>
    <w:next w:val="Normal"/>
    <w:link w:val="Heading4Char"/>
    <w:qFormat/>
    <w:rsid w:val="00E51106"/>
    <w:pPr>
      <w:keepNext/>
      <w:keepLines/>
      <w:numPr>
        <w:ilvl w:val="3"/>
        <w:numId w:val="1"/>
      </w:numPr>
      <w:spacing w:before="240" w:after="120"/>
      <w:outlineLvl w:val="3"/>
    </w:pPr>
    <w:rPr>
      <w:b/>
    </w:rPr>
  </w:style>
  <w:style w:type="paragraph" w:styleId="Heading5">
    <w:name w:val="heading 5"/>
    <w:basedOn w:val="Normal"/>
    <w:next w:val="Normal"/>
    <w:link w:val="Heading5Char"/>
    <w:qFormat/>
    <w:rsid w:val="003D2A1F"/>
    <w:pPr>
      <w:numPr>
        <w:ilvl w:val="4"/>
        <w:numId w:val="1"/>
      </w:numPr>
      <w:spacing w:before="240"/>
      <w:outlineLvl w:val="4"/>
    </w:pPr>
    <w:rPr>
      <w:rFonts w:ascii="Arial" w:hAnsi="Arial"/>
    </w:rPr>
  </w:style>
  <w:style w:type="paragraph" w:styleId="Heading6">
    <w:name w:val="heading 6"/>
    <w:basedOn w:val="Normal"/>
    <w:next w:val="Normal"/>
    <w:link w:val="Heading6Char"/>
    <w:qFormat/>
    <w:rsid w:val="003D2A1F"/>
    <w:pPr>
      <w:numPr>
        <w:ilvl w:val="5"/>
        <w:numId w:val="1"/>
      </w:numPr>
      <w:spacing w:before="240"/>
      <w:outlineLvl w:val="5"/>
    </w:pPr>
    <w:rPr>
      <w:i/>
    </w:rPr>
  </w:style>
  <w:style w:type="paragraph" w:styleId="Heading7">
    <w:name w:val="heading 7"/>
    <w:basedOn w:val="Normal"/>
    <w:next w:val="Normal"/>
    <w:link w:val="Heading7Char"/>
    <w:qFormat/>
    <w:rsid w:val="003D2A1F"/>
    <w:pPr>
      <w:numPr>
        <w:ilvl w:val="6"/>
        <w:numId w:val="1"/>
      </w:numPr>
      <w:spacing w:before="240"/>
      <w:outlineLvl w:val="6"/>
    </w:pPr>
    <w:rPr>
      <w:rFonts w:ascii="Arial" w:hAnsi="Arial"/>
    </w:rPr>
  </w:style>
  <w:style w:type="paragraph" w:styleId="Heading8">
    <w:name w:val="heading 8"/>
    <w:basedOn w:val="Normal"/>
    <w:next w:val="Normal"/>
    <w:link w:val="Heading8Char"/>
    <w:qFormat/>
    <w:rsid w:val="003D2A1F"/>
    <w:pPr>
      <w:numPr>
        <w:ilvl w:val="7"/>
        <w:numId w:val="1"/>
      </w:numPr>
      <w:spacing w:before="240"/>
      <w:outlineLvl w:val="7"/>
    </w:pPr>
    <w:rPr>
      <w:rFonts w:ascii="Arial" w:hAnsi="Arial"/>
      <w:i/>
    </w:rPr>
  </w:style>
  <w:style w:type="paragraph" w:styleId="Heading9">
    <w:name w:val="heading 9"/>
    <w:basedOn w:val="Normal"/>
    <w:next w:val="Normal"/>
    <w:link w:val="Heading9Char"/>
    <w:qFormat/>
    <w:rsid w:val="003D2A1F"/>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D2A1F"/>
    <w:rPr>
      <w:b/>
      <w:sz w:val="24"/>
    </w:rPr>
  </w:style>
  <w:style w:type="character" w:customStyle="1" w:styleId="Heading4Char">
    <w:name w:val="Heading 4 Char"/>
    <w:link w:val="Heading4"/>
    <w:rsid w:val="00E51106"/>
    <w:rPr>
      <w:b/>
      <w:sz w:val="24"/>
    </w:rPr>
  </w:style>
  <w:style w:type="character" w:customStyle="1" w:styleId="Heading5Char">
    <w:name w:val="Heading 5 Char"/>
    <w:link w:val="Heading5"/>
    <w:rsid w:val="003D2A1F"/>
    <w:rPr>
      <w:rFonts w:ascii="Arial" w:hAnsi="Arial"/>
      <w:sz w:val="24"/>
    </w:rPr>
  </w:style>
  <w:style w:type="character" w:customStyle="1" w:styleId="Heading6Char">
    <w:name w:val="Heading 6 Char"/>
    <w:link w:val="Heading6"/>
    <w:rsid w:val="003D2A1F"/>
    <w:rPr>
      <w:i/>
      <w:sz w:val="24"/>
    </w:rPr>
  </w:style>
  <w:style w:type="character" w:customStyle="1" w:styleId="Heading7Char">
    <w:name w:val="Heading 7 Char"/>
    <w:link w:val="Heading7"/>
    <w:rsid w:val="003D2A1F"/>
    <w:rPr>
      <w:rFonts w:ascii="Arial" w:hAnsi="Arial"/>
      <w:sz w:val="24"/>
    </w:rPr>
  </w:style>
  <w:style w:type="character" w:customStyle="1" w:styleId="Heading8Char">
    <w:name w:val="Heading 8 Char"/>
    <w:link w:val="Heading8"/>
    <w:rsid w:val="003D2A1F"/>
    <w:rPr>
      <w:rFonts w:ascii="Arial" w:hAnsi="Arial"/>
      <w:i/>
      <w:sz w:val="24"/>
    </w:rPr>
  </w:style>
  <w:style w:type="character" w:customStyle="1" w:styleId="Heading9Char">
    <w:name w:val="Heading 9 Char"/>
    <w:link w:val="Heading9"/>
    <w:rsid w:val="003D2A1F"/>
    <w:rPr>
      <w:rFonts w:ascii="Arial" w:hAnsi="Arial"/>
      <w:b/>
      <w:i/>
      <w:sz w:val="18"/>
    </w:rPr>
  </w:style>
  <w:style w:type="paragraph" w:styleId="BalloonText">
    <w:name w:val="Balloon Text"/>
    <w:basedOn w:val="Normal"/>
    <w:link w:val="BalloonTextChar"/>
    <w:uiPriority w:val="99"/>
    <w:semiHidden/>
    <w:rsid w:val="003D2A1F"/>
    <w:rPr>
      <w:rFonts w:ascii="Tahoma" w:hAnsi="Tahoma"/>
      <w:sz w:val="16"/>
      <w:szCs w:val="16"/>
    </w:rPr>
  </w:style>
  <w:style w:type="character" w:customStyle="1" w:styleId="BalloonTextChar">
    <w:name w:val="Balloon Text Char"/>
    <w:link w:val="BalloonText"/>
    <w:uiPriority w:val="99"/>
    <w:semiHidden/>
    <w:rsid w:val="003D2A1F"/>
    <w:rPr>
      <w:rFonts w:ascii="Tahoma" w:hAnsi="Tahoma"/>
      <w:sz w:val="16"/>
      <w:szCs w:val="16"/>
      <w:lang w:val="sr-Latn-CS"/>
    </w:rPr>
  </w:style>
  <w:style w:type="paragraph" w:styleId="BodyText">
    <w:name w:val="Body Text"/>
    <w:basedOn w:val="Normal"/>
    <w:link w:val="BodyTextChar"/>
    <w:rsid w:val="003D2A1F"/>
    <w:pPr>
      <w:spacing w:before="0" w:after="0"/>
    </w:pPr>
  </w:style>
  <w:style w:type="character" w:customStyle="1" w:styleId="BodyTextChar">
    <w:name w:val="Body Text Char"/>
    <w:link w:val="BodyText"/>
    <w:rsid w:val="003D2A1F"/>
    <w:rPr>
      <w:sz w:val="24"/>
      <w:lang w:val="sr-Latn-CS"/>
    </w:rPr>
  </w:style>
  <w:style w:type="character" w:customStyle="1" w:styleId="Heading1Char">
    <w:name w:val="Heading 1 Char"/>
    <w:link w:val="Heading1"/>
    <w:uiPriority w:val="9"/>
    <w:rsid w:val="002E45C2"/>
    <w:rPr>
      <w:b/>
      <w:caps/>
      <w:kern w:val="28"/>
      <w:sz w:val="24"/>
    </w:rPr>
  </w:style>
  <w:style w:type="paragraph" w:styleId="BodyTextIndent">
    <w:name w:val="Body Text Indent"/>
    <w:basedOn w:val="Normal"/>
    <w:link w:val="BodyTextIndentChar"/>
    <w:rsid w:val="003D2A1F"/>
  </w:style>
  <w:style w:type="character" w:customStyle="1" w:styleId="BodyTextIndentChar">
    <w:name w:val="Body Text Indent Char"/>
    <w:link w:val="BodyTextIndent"/>
    <w:rsid w:val="003D2A1F"/>
    <w:rPr>
      <w:sz w:val="24"/>
      <w:lang w:val="sr-Latn-CS"/>
    </w:rPr>
  </w:style>
  <w:style w:type="paragraph" w:customStyle="1" w:styleId="Brojstrana">
    <w:name w:val="Broj strana"/>
    <w:basedOn w:val="Normal"/>
    <w:rsid w:val="003D2A1F"/>
    <w:pPr>
      <w:tabs>
        <w:tab w:val="left" w:pos="2552"/>
      </w:tabs>
      <w:spacing w:before="120" w:after="120"/>
    </w:pPr>
    <w:rPr>
      <w:snapToGrid w:val="0"/>
    </w:rPr>
  </w:style>
  <w:style w:type="paragraph" w:styleId="Caption">
    <w:name w:val="caption"/>
    <w:basedOn w:val="Normal"/>
    <w:next w:val="Normal"/>
    <w:link w:val="CaptionChar"/>
    <w:qFormat/>
    <w:rsid w:val="003D2A1F"/>
    <w:pPr>
      <w:keepNext/>
      <w:spacing w:before="120"/>
    </w:pPr>
    <w:rPr>
      <w:b/>
    </w:rPr>
  </w:style>
  <w:style w:type="character" w:customStyle="1" w:styleId="CaptionChar">
    <w:name w:val="Caption Char"/>
    <w:link w:val="Caption"/>
    <w:rsid w:val="003D2A1F"/>
    <w:rPr>
      <w:b/>
      <w:sz w:val="24"/>
      <w:lang w:val="sr-Latn-CS"/>
    </w:rPr>
  </w:style>
  <w:style w:type="paragraph" w:styleId="Closing">
    <w:name w:val="Closing"/>
    <w:basedOn w:val="Normal"/>
    <w:link w:val="ClosingChar"/>
    <w:rsid w:val="003D2A1F"/>
    <w:pPr>
      <w:ind w:left="4252"/>
    </w:pPr>
  </w:style>
  <w:style w:type="character" w:customStyle="1" w:styleId="ClosingChar">
    <w:name w:val="Closing Char"/>
    <w:link w:val="Closing"/>
    <w:rsid w:val="003D2A1F"/>
    <w:rPr>
      <w:sz w:val="24"/>
      <w:lang w:val="sr-Latn-CS"/>
    </w:rPr>
  </w:style>
  <w:style w:type="character" w:styleId="CommentReference">
    <w:name w:val="annotation reference"/>
    <w:semiHidden/>
    <w:rsid w:val="003D2A1F"/>
    <w:rPr>
      <w:sz w:val="16"/>
      <w:szCs w:val="16"/>
    </w:rPr>
  </w:style>
  <w:style w:type="paragraph" w:styleId="CommentText">
    <w:name w:val="annotation text"/>
    <w:basedOn w:val="Normal"/>
    <w:link w:val="CommentTextChar"/>
    <w:semiHidden/>
    <w:rsid w:val="003D2A1F"/>
    <w:rPr>
      <w:sz w:val="22"/>
    </w:rPr>
  </w:style>
  <w:style w:type="character" w:customStyle="1" w:styleId="CommentTextChar">
    <w:name w:val="Comment Text Char"/>
    <w:link w:val="CommentText"/>
    <w:semiHidden/>
    <w:rsid w:val="003D2A1F"/>
    <w:rPr>
      <w:sz w:val="22"/>
      <w:lang w:val="sr-Latn-CS"/>
    </w:rPr>
  </w:style>
  <w:style w:type="paragraph" w:styleId="CommentSubject">
    <w:name w:val="annotation subject"/>
    <w:basedOn w:val="CommentText"/>
    <w:next w:val="CommentText"/>
    <w:link w:val="CommentSubjectChar"/>
    <w:semiHidden/>
    <w:rsid w:val="003D2A1F"/>
    <w:rPr>
      <w:b/>
      <w:bCs/>
      <w:sz w:val="24"/>
    </w:rPr>
  </w:style>
  <w:style w:type="character" w:customStyle="1" w:styleId="CommentSubjectChar">
    <w:name w:val="Comment Subject Char"/>
    <w:link w:val="CommentSubject"/>
    <w:semiHidden/>
    <w:rsid w:val="003D2A1F"/>
    <w:rPr>
      <w:b/>
      <w:bCs/>
      <w:sz w:val="24"/>
      <w:lang w:val="sr-Latn-CS"/>
    </w:rPr>
  </w:style>
  <w:style w:type="paragraph" w:styleId="Date">
    <w:name w:val="Date"/>
    <w:basedOn w:val="Normal"/>
    <w:next w:val="Normal"/>
    <w:link w:val="DateChar"/>
    <w:rsid w:val="003D2A1F"/>
  </w:style>
  <w:style w:type="character" w:customStyle="1" w:styleId="DateChar">
    <w:name w:val="Date Char"/>
    <w:link w:val="Date"/>
    <w:rsid w:val="003D2A1F"/>
    <w:rPr>
      <w:sz w:val="24"/>
      <w:lang w:val="sr-Latn-CS"/>
    </w:rPr>
  </w:style>
  <w:style w:type="paragraph" w:customStyle="1" w:styleId="Default">
    <w:name w:val="Default"/>
    <w:rsid w:val="003D2A1F"/>
    <w:pPr>
      <w:autoSpaceDE w:val="0"/>
      <w:autoSpaceDN w:val="0"/>
      <w:adjustRightInd w:val="0"/>
    </w:pPr>
    <w:rPr>
      <w:rFonts w:ascii="Arial" w:eastAsia="Calibri" w:hAnsi="Arial" w:cs="Arial"/>
      <w:color w:val="000000"/>
      <w:sz w:val="24"/>
      <w:szCs w:val="24"/>
    </w:rPr>
  </w:style>
  <w:style w:type="paragraph" w:customStyle="1" w:styleId="DirektorCentra">
    <w:name w:val="Direktor Centra"/>
    <w:basedOn w:val="Normal"/>
    <w:rsid w:val="003D2A1F"/>
    <w:pPr>
      <w:tabs>
        <w:tab w:val="center" w:pos="3969"/>
        <w:tab w:val="center" w:pos="7371"/>
      </w:tabs>
      <w:spacing w:before="1200"/>
    </w:pPr>
    <w:rPr>
      <w:b/>
      <w:bCs/>
      <w:snapToGrid w:val="0"/>
    </w:rPr>
  </w:style>
  <w:style w:type="paragraph" w:styleId="DocumentMap">
    <w:name w:val="Document Map"/>
    <w:basedOn w:val="Normal"/>
    <w:link w:val="DocumentMapChar"/>
    <w:semiHidden/>
    <w:rsid w:val="003D2A1F"/>
    <w:pPr>
      <w:shd w:val="clear" w:color="auto" w:fill="000080"/>
    </w:pPr>
    <w:rPr>
      <w:rFonts w:ascii="Tahoma" w:hAnsi="Tahoma"/>
    </w:rPr>
  </w:style>
  <w:style w:type="character" w:customStyle="1" w:styleId="DocumentMapChar">
    <w:name w:val="Document Map Char"/>
    <w:link w:val="DocumentMap"/>
    <w:semiHidden/>
    <w:rsid w:val="003D2A1F"/>
    <w:rPr>
      <w:rFonts w:ascii="Tahoma" w:hAnsi="Tahoma"/>
      <w:sz w:val="24"/>
      <w:shd w:val="clear" w:color="auto" w:fill="000080"/>
      <w:lang w:val="sr-Latn-CS"/>
    </w:rPr>
  </w:style>
  <w:style w:type="character" w:customStyle="1" w:styleId="Heading2Char">
    <w:name w:val="Heading 2 Char"/>
    <w:link w:val="Heading2"/>
    <w:uiPriority w:val="9"/>
    <w:rsid w:val="00407863"/>
    <w:rPr>
      <w:rFonts w:ascii="Times New Roman Bold" w:hAnsi="Times New Roman Bold"/>
      <w:b/>
      <w:sz w:val="24"/>
    </w:rPr>
  </w:style>
  <w:style w:type="paragraph" w:styleId="E-mailSignature">
    <w:name w:val="E-mail Signature"/>
    <w:basedOn w:val="Normal"/>
    <w:link w:val="E-mailSignatureChar"/>
    <w:rsid w:val="003D2A1F"/>
  </w:style>
  <w:style w:type="character" w:customStyle="1" w:styleId="E-mailSignatureChar">
    <w:name w:val="E-mail Signature Char"/>
    <w:link w:val="E-mailSignature"/>
    <w:rsid w:val="003D2A1F"/>
    <w:rPr>
      <w:sz w:val="24"/>
      <w:lang w:val="sr-Latn-CS"/>
    </w:rPr>
  </w:style>
  <w:style w:type="character" w:styleId="Emphasis">
    <w:name w:val="Emphasis"/>
    <w:uiPriority w:val="20"/>
    <w:qFormat/>
    <w:rsid w:val="003D2A1F"/>
    <w:rPr>
      <w:i/>
      <w:iCs/>
    </w:rPr>
  </w:style>
  <w:style w:type="paragraph" w:styleId="EndnoteText">
    <w:name w:val="endnote text"/>
    <w:basedOn w:val="Normal"/>
    <w:link w:val="EndnoteTextChar"/>
    <w:semiHidden/>
    <w:rsid w:val="003D2A1F"/>
    <w:rPr>
      <w:sz w:val="20"/>
    </w:rPr>
  </w:style>
  <w:style w:type="character" w:customStyle="1" w:styleId="EndnoteTextChar">
    <w:name w:val="Endnote Text Char"/>
    <w:link w:val="EndnoteText"/>
    <w:semiHidden/>
    <w:rsid w:val="003D2A1F"/>
    <w:rPr>
      <w:lang w:val="sr-Latn-CS"/>
    </w:rPr>
  </w:style>
  <w:style w:type="paragraph" w:styleId="EnvelopeAddress">
    <w:name w:val="envelope address"/>
    <w:basedOn w:val="Normal"/>
    <w:rsid w:val="003D2A1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3D2A1F"/>
    <w:rPr>
      <w:rFonts w:ascii="Arial" w:hAnsi="Arial" w:cs="Arial"/>
      <w:sz w:val="20"/>
    </w:rPr>
  </w:style>
  <w:style w:type="paragraph" w:customStyle="1" w:styleId="equation">
    <w:name w:val="equation"/>
    <w:basedOn w:val="Normal"/>
    <w:rsid w:val="003D2A1F"/>
    <w:pPr>
      <w:jc w:val="right"/>
    </w:pPr>
  </w:style>
  <w:style w:type="character" w:styleId="FollowedHyperlink">
    <w:name w:val="FollowedHyperlink"/>
    <w:rsid w:val="003D2A1F"/>
    <w:rPr>
      <w:color w:val="800080"/>
      <w:u w:val="single"/>
    </w:rPr>
  </w:style>
  <w:style w:type="paragraph" w:styleId="Footer">
    <w:name w:val="footer"/>
    <w:basedOn w:val="Normal"/>
    <w:link w:val="FooterChar"/>
    <w:uiPriority w:val="99"/>
    <w:rsid w:val="00991092"/>
    <w:pPr>
      <w:tabs>
        <w:tab w:val="center" w:pos="4320"/>
        <w:tab w:val="right" w:pos="8640"/>
      </w:tabs>
    </w:pPr>
    <w:rPr>
      <w:sz w:val="22"/>
      <w:lang w:val="sr-Cyrl-RS"/>
    </w:rPr>
  </w:style>
  <w:style w:type="character" w:customStyle="1" w:styleId="FooterChar">
    <w:name w:val="Footer Char"/>
    <w:link w:val="Footer"/>
    <w:uiPriority w:val="99"/>
    <w:rsid w:val="00991092"/>
    <w:rPr>
      <w:sz w:val="22"/>
      <w:lang w:val="sr-Cyrl-RS"/>
    </w:rPr>
  </w:style>
  <w:style w:type="character" w:styleId="FootnoteReference">
    <w:name w:val="footnote reference"/>
    <w:rsid w:val="003D2A1F"/>
    <w:rPr>
      <w:vertAlign w:val="superscript"/>
    </w:rPr>
  </w:style>
  <w:style w:type="paragraph" w:styleId="FootnoteText">
    <w:name w:val="footnote text"/>
    <w:basedOn w:val="Normal"/>
    <w:link w:val="FootnoteTextChar"/>
    <w:rsid w:val="003D2A1F"/>
    <w:rPr>
      <w:sz w:val="16"/>
    </w:rPr>
  </w:style>
  <w:style w:type="character" w:customStyle="1" w:styleId="FootnoteTextChar">
    <w:name w:val="Footnote Text Char"/>
    <w:link w:val="FootnoteText"/>
    <w:rsid w:val="003D2A1F"/>
    <w:rPr>
      <w:sz w:val="16"/>
      <w:lang w:val="sr-Latn-CS"/>
    </w:rPr>
  </w:style>
  <w:style w:type="paragraph" w:customStyle="1" w:styleId="Footnoterefernce">
    <w:name w:val="Footnote refernce"/>
    <w:basedOn w:val="FootnoteText"/>
    <w:rsid w:val="003D2A1F"/>
  </w:style>
  <w:style w:type="paragraph" w:styleId="Header">
    <w:name w:val="header"/>
    <w:basedOn w:val="Normal"/>
    <w:link w:val="HeaderChar"/>
    <w:uiPriority w:val="99"/>
    <w:rsid w:val="00991092"/>
    <w:pPr>
      <w:pBdr>
        <w:bottom w:val="single" w:sz="4" w:space="1" w:color="auto"/>
      </w:pBdr>
      <w:tabs>
        <w:tab w:val="center" w:pos="4320"/>
        <w:tab w:val="right" w:pos="9356"/>
      </w:tabs>
      <w:spacing w:before="0" w:after="0"/>
    </w:pPr>
    <w:rPr>
      <w:sz w:val="18"/>
      <w:lang w:val="sr-Cyrl-RS"/>
    </w:rPr>
  </w:style>
  <w:style w:type="character" w:customStyle="1" w:styleId="HeaderChar">
    <w:name w:val="Header Char"/>
    <w:link w:val="Header"/>
    <w:uiPriority w:val="99"/>
    <w:rsid w:val="00991092"/>
    <w:rPr>
      <w:sz w:val="18"/>
      <w:lang w:val="sr-Cyrl-RS"/>
    </w:rPr>
  </w:style>
  <w:style w:type="paragraph" w:styleId="HTMLAddress">
    <w:name w:val="HTML Address"/>
    <w:basedOn w:val="Normal"/>
    <w:link w:val="HTMLAddressChar"/>
    <w:rsid w:val="003D2A1F"/>
    <w:rPr>
      <w:i/>
      <w:iCs/>
    </w:rPr>
  </w:style>
  <w:style w:type="character" w:customStyle="1" w:styleId="HTMLAddressChar">
    <w:name w:val="HTML Address Char"/>
    <w:link w:val="HTMLAddress"/>
    <w:rsid w:val="003D2A1F"/>
    <w:rPr>
      <w:i/>
      <w:iCs/>
      <w:sz w:val="24"/>
      <w:lang w:val="sr-Latn-CS"/>
    </w:rPr>
  </w:style>
  <w:style w:type="paragraph" w:styleId="HTMLPreformatted">
    <w:name w:val="HTML Preformatted"/>
    <w:basedOn w:val="Normal"/>
    <w:link w:val="HTMLPreformattedChar"/>
    <w:rsid w:val="003D2A1F"/>
    <w:rPr>
      <w:rFonts w:ascii="Courier New" w:hAnsi="Courier New"/>
      <w:sz w:val="20"/>
    </w:rPr>
  </w:style>
  <w:style w:type="character" w:customStyle="1" w:styleId="HTMLPreformattedChar">
    <w:name w:val="HTML Preformatted Char"/>
    <w:link w:val="HTMLPreformatted"/>
    <w:rsid w:val="003D2A1F"/>
    <w:rPr>
      <w:rFonts w:ascii="Courier New" w:hAnsi="Courier New"/>
      <w:lang w:val="sr-Latn-CS"/>
    </w:rPr>
  </w:style>
  <w:style w:type="character" w:styleId="Hyperlink">
    <w:name w:val="Hyperlink"/>
    <w:uiPriority w:val="99"/>
    <w:rsid w:val="003D2A1F"/>
    <w:rPr>
      <w:color w:val="0000FF"/>
      <w:u w:val="single"/>
      <w:lang w:val="sr-Latn-CS"/>
    </w:rPr>
  </w:style>
  <w:style w:type="paragraph" w:styleId="Index1">
    <w:name w:val="index 1"/>
    <w:basedOn w:val="Normal"/>
    <w:next w:val="Normal"/>
    <w:autoRedefine/>
    <w:semiHidden/>
    <w:rsid w:val="003D2A1F"/>
    <w:pPr>
      <w:ind w:left="220" w:hanging="220"/>
    </w:pPr>
  </w:style>
  <w:style w:type="paragraph" w:styleId="Index2">
    <w:name w:val="index 2"/>
    <w:basedOn w:val="Normal"/>
    <w:next w:val="Normal"/>
    <w:autoRedefine/>
    <w:semiHidden/>
    <w:rsid w:val="003D2A1F"/>
    <w:pPr>
      <w:ind w:left="440" w:hanging="220"/>
    </w:pPr>
  </w:style>
  <w:style w:type="paragraph" w:styleId="Index3">
    <w:name w:val="index 3"/>
    <w:basedOn w:val="Normal"/>
    <w:next w:val="Normal"/>
    <w:autoRedefine/>
    <w:semiHidden/>
    <w:rsid w:val="003D2A1F"/>
    <w:pPr>
      <w:ind w:left="660" w:hanging="220"/>
    </w:pPr>
  </w:style>
  <w:style w:type="paragraph" w:styleId="Index4">
    <w:name w:val="index 4"/>
    <w:basedOn w:val="Normal"/>
    <w:next w:val="Normal"/>
    <w:autoRedefine/>
    <w:semiHidden/>
    <w:rsid w:val="003D2A1F"/>
    <w:pPr>
      <w:ind w:left="880" w:hanging="220"/>
    </w:pPr>
  </w:style>
  <w:style w:type="paragraph" w:styleId="Index5">
    <w:name w:val="index 5"/>
    <w:basedOn w:val="Normal"/>
    <w:next w:val="Normal"/>
    <w:autoRedefine/>
    <w:semiHidden/>
    <w:rsid w:val="003D2A1F"/>
    <w:pPr>
      <w:ind w:left="1100" w:hanging="220"/>
    </w:pPr>
  </w:style>
  <w:style w:type="paragraph" w:styleId="Index6">
    <w:name w:val="index 6"/>
    <w:basedOn w:val="Normal"/>
    <w:next w:val="Normal"/>
    <w:autoRedefine/>
    <w:semiHidden/>
    <w:rsid w:val="003D2A1F"/>
    <w:pPr>
      <w:ind w:left="1320" w:hanging="220"/>
    </w:pPr>
  </w:style>
  <w:style w:type="paragraph" w:styleId="Index7">
    <w:name w:val="index 7"/>
    <w:basedOn w:val="Normal"/>
    <w:next w:val="Normal"/>
    <w:autoRedefine/>
    <w:semiHidden/>
    <w:rsid w:val="003D2A1F"/>
    <w:pPr>
      <w:ind w:left="1540" w:hanging="220"/>
    </w:pPr>
  </w:style>
  <w:style w:type="paragraph" w:styleId="Index8">
    <w:name w:val="index 8"/>
    <w:basedOn w:val="Normal"/>
    <w:next w:val="Normal"/>
    <w:autoRedefine/>
    <w:semiHidden/>
    <w:rsid w:val="003D2A1F"/>
    <w:pPr>
      <w:ind w:left="1760" w:hanging="220"/>
    </w:pPr>
  </w:style>
  <w:style w:type="paragraph" w:styleId="Index9">
    <w:name w:val="index 9"/>
    <w:basedOn w:val="Normal"/>
    <w:next w:val="Normal"/>
    <w:autoRedefine/>
    <w:semiHidden/>
    <w:rsid w:val="003D2A1F"/>
    <w:pPr>
      <w:ind w:left="1980" w:hanging="220"/>
    </w:pPr>
  </w:style>
  <w:style w:type="paragraph" w:styleId="IndexHeading">
    <w:name w:val="index heading"/>
    <w:basedOn w:val="Normal"/>
    <w:next w:val="Index1"/>
    <w:semiHidden/>
    <w:rsid w:val="003D2A1F"/>
    <w:rPr>
      <w:rFonts w:ascii="Arial" w:hAnsi="Arial" w:cs="Arial"/>
      <w:b/>
      <w:bCs/>
    </w:rPr>
  </w:style>
  <w:style w:type="paragraph" w:customStyle="1" w:styleId="jednacine">
    <w:name w:val="jednacine"/>
    <w:basedOn w:val="Normal"/>
    <w:rsid w:val="003D2A1F"/>
    <w:pPr>
      <w:keepLines/>
      <w:tabs>
        <w:tab w:val="right" w:pos="9356"/>
      </w:tabs>
      <w:ind w:left="1134"/>
    </w:pPr>
  </w:style>
  <w:style w:type="paragraph" w:customStyle="1" w:styleId="Jednacine0">
    <w:name w:val="Jednacine"/>
    <w:basedOn w:val="Normal"/>
    <w:next w:val="Normal"/>
    <w:autoRedefine/>
    <w:rsid w:val="003D2A1F"/>
    <w:pPr>
      <w:pBdr>
        <w:top w:val="single" w:sz="2" w:space="6" w:color="FFFFFF"/>
        <w:left w:val="single" w:sz="2" w:space="4" w:color="FFFFFF"/>
        <w:bottom w:val="single" w:sz="2" w:space="6" w:color="FFFFFF"/>
        <w:right w:val="single" w:sz="2" w:space="4" w:color="FFFFFF"/>
      </w:pBdr>
      <w:tabs>
        <w:tab w:val="right" w:pos="9639"/>
      </w:tabs>
    </w:pPr>
    <w:rPr>
      <w:spacing w:val="-2"/>
    </w:rPr>
  </w:style>
  <w:style w:type="paragraph" w:customStyle="1" w:styleId="Korisnik">
    <w:name w:val="Korisnik"/>
    <w:basedOn w:val="Normal"/>
    <w:rsid w:val="003D2A1F"/>
    <w:pPr>
      <w:tabs>
        <w:tab w:val="left" w:pos="2552"/>
      </w:tabs>
      <w:spacing w:after="120"/>
    </w:pPr>
    <w:rPr>
      <w:b/>
      <w:bCs/>
      <w:snapToGrid w:val="0"/>
    </w:rPr>
  </w:style>
  <w:style w:type="paragraph" w:customStyle="1" w:styleId="Lendscape">
    <w:name w:val="Lendscape"/>
    <w:basedOn w:val="Normal"/>
    <w:rsid w:val="003D2A1F"/>
  </w:style>
  <w:style w:type="character" w:styleId="LineNumber">
    <w:name w:val="line number"/>
    <w:basedOn w:val="DefaultParagraphFont"/>
    <w:rsid w:val="003D2A1F"/>
  </w:style>
  <w:style w:type="paragraph" w:styleId="List">
    <w:name w:val="List"/>
    <w:basedOn w:val="Normal"/>
    <w:rsid w:val="003D2A1F"/>
    <w:pPr>
      <w:ind w:left="360" w:hanging="360"/>
    </w:pPr>
  </w:style>
  <w:style w:type="paragraph" w:styleId="List2">
    <w:name w:val="List 2"/>
    <w:basedOn w:val="Normal"/>
    <w:rsid w:val="003D2A1F"/>
    <w:pPr>
      <w:ind w:left="720" w:hanging="360"/>
    </w:pPr>
  </w:style>
  <w:style w:type="paragraph" w:styleId="List3">
    <w:name w:val="List 3"/>
    <w:basedOn w:val="Normal"/>
    <w:rsid w:val="003D2A1F"/>
    <w:pPr>
      <w:ind w:left="1080" w:hanging="360"/>
    </w:pPr>
  </w:style>
  <w:style w:type="paragraph" w:styleId="List4">
    <w:name w:val="List 4"/>
    <w:basedOn w:val="Normal"/>
    <w:rsid w:val="003D2A1F"/>
    <w:pPr>
      <w:ind w:left="1440" w:hanging="360"/>
    </w:pPr>
  </w:style>
  <w:style w:type="paragraph" w:styleId="List5">
    <w:name w:val="List 5"/>
    <w:basedOn w:val="Normal"/>
    <w:rsid w:val="003D2A1F"/>
    <w:pPr>
      <w:ind w:left="1800" w:hanging="360"/>
    </w:pPr>
  </w:style>
  <w:style w:type="paragraph" w:styleId="ListBullet">
    <w:name w:val="List Bullet"/>
    <w:basedOn w:val="Normal"/>
    <w:autoRedefine/>
    <w:rsid w:val="003D2A1F"/>
    <w:pPr>
      <w:numPr>
        <w:numId w:val="3"/>
      </w:numPr>
    </w:pPr>
  </w:style>
  <w:style w:type="paragraph" w:styleId="ListBullet2">
    <w:name w:val="List Bullet 2"/>
    <w:basedOn w:val="Normal"/>
    <w:rsid w:val="003D2A1F"/>
    <w:pPr>
      <w:numPr>
        <w:numId w:val="4"/>
      </w:numPr>
    </w:pPr>
  </w:style>
  <w:style w:type="paragraph" w:styleId="ListBullet3">
    <w:name w:val="List Bullet 3"/>
    <w:basedOn w:val="Normal"/>
    <w:rsid w:val="003D2A1F"/>
    <w:pPr>
      <w:numPr>
        <w:numId w:val="5"/>
      </w:numPr>
    </w:pPr>
  </w:style>
  <w:style w:type="paragraph" w:styleId="ListBullet4">
    <w:name w:val="List Bullet 4"/>
    <w:basedOn w:val="Normal"/>
    <w:rsid w:val="003D2A1F"/>
    <w:pPr>
      <w:numPr>
        <w:numId w:val="6"/>
      </w:numPr>
    </w:pPr>
  </w:style>
  <w:style w:type="paragraph" w:styleId="ListBullet5">
    <w:name w:val="List Bullet 5"/>
    <w:basedOn w:val="Normal"/>
    <w:rsid w:val="003D2A1F"/>
    <w:pPr>
      <w:numPr>
        <w:numId w:val="7"/>
      </w:numPr>
    </w:pPr>
  </w:style>
  <w:style w:type="paragraph" w:styleId="ListContinue">
    <w:name w:val="List Continue"/>
    <w:basedOn w:val="Normal"/>
    <w:rsid w:val="003D2A1F"/>
    <w:pPr>
      <w:spacing w:after="120"/>
      <w:ind w:left="360"/>
    </w:pPr>
  </w:style>
  <w:style w:type="paragraph" w:styleId="ListContinue2">
    <w:name w:val="List Continue 2"/>
    <w:basedOn w:val="Normal"/>
    <w:rsid w:val="003D2A1F"/>
    <w:pPr>
      <w:spacing w:after="120"/>
      <w:ind w:left="720"/>
    </w:pPr>
  </w:style>
  <w:style w:type="paragraph" w:styleId="ListContinue3">
    <w:name w:val="List Continue 3"/>
    <w:basedOn w:val="Normal"/>
    <w:rsid w:val="003D2A1F"/>
    <w:pPr>
      <w:spacing w:after="120"/>
      <w:ind w:left="1080"/>
    </w:pPr>
  </w:style>
  <w:style w:type="paragraph" w:styleId="ListContinue4">
    <w:name w:val="List Continue 4"/>
    <w:basedOn w:val="Normal"/>
    <w:rsid w:val="003D2A1F"/>
    <w:pPr>
      <w:spacing w:after="120"/>
      <w:ind w:left="1440"/>
    </w:pPr>
  </w:style>
  <w:style w:type="paragraph" w:styleId="ListContinue5">
    <w:name w:val="List Continue 5"/>
    <w:basedOn w:val="Normal"/>
    <w:rsid w:val="003D2A1F"/>
    <w:pPr>
      <w:spacing w:after="120"/>
      <w:ind w:left="1800"/>
    </w:pPr>
  </w:style>
  <w:style w:type="paragraph" w:styleId="ListNumber">
    <w:name w:val="List Number"/>
    <w:basedOn w:val="Normal"/>
    <w:rsid w:val="003D2A1F"/>
    <w:pPr>
      <w:numPr>
        <w:numId w:val="8"/>
      </w:numPr>
    </w:pPr>
  </w:style>
  <w:style w:type="paragraph" w:styleId="ListNumber2">
    <w:name w:val="List Number 2"/>
    <w:basedOn w:val="Normal"/>
    <w:rsid w:val="003D2A1F"/>
    <w:pPr>
      <w:numPr>
        <w:numId w:val="9"/>
      </w:numPr>
    </w:pPr>
  </w:style>
  <w:style w:type="paragraph" w:styleId="ListNumber3">
    <w:name w:val="List Number 3"/>
    <w:basedOn w:val="Normal"/>
    <w:rsid w:val="003D2A1F"/>
    <w:pPr>
      <w:numPr>
        <w:numId w:val="10"/>
      </w:numPr>
    </w:pPr>
  </w:style>
  <w:style w:type="paragraph" w:styleId="ListNumber4">
    <w:name w:val="List Number 4"/>
    <w:basedOn w:val="Normal"/>
    <w:rsid w:val="003D2A1F"/>
    <w:pPr>
      <w:numPr>
        <w:numId w:val="11"/>
      </w:numPr>
    </w:pPr>
  </w:style>
  <w:style w:type="paragraph" w:styleId="ListNumber5">
    <w:name w:val="List Number 5"/>
    <w:basedOn w:val="Normal"/>
    <w:rsid w:val="003D2A1F"/>
    <w:pPr>
      <w:numPr>
        <w:numId w:val="12"/>
      </w:numPr>
    </w:pPr>
  </w:style>
  <w:style w:type="paragraph" w:styleId="ListParagraph">
    <w:name w:val="List Paragraph"/>
    <w:basedOn w:val="Normal"/>
    <w:link w:val="ListParagraphChar"/>
    <w:uiPriority w:val="34"/>
    <w:qFormat/>
    <w:rsid w:val="00316872"/>
    <w:pPr>
      <w:spacing w:before="240" w:after="120"/>
      <w:ind w:left="720"/>
      <w:contextualSpacing/>
    </w:pPr>
    <w:rPr>
      <w:rFonts w:eastAsia="Calibri"/>
      <w:szCs w:val="22"/>
    </w:rPr>
  </w:style>
  <w:style w:type="paragraph" w:customStyle="1" w:styleId="Literatura">
    <w:name w:val="Literatura"/>
    <w:basedOn w:val="Normal"/>
    <w:rsid w:val="003D2A1F"/>
    <w:pPr>
      <w:keepLines/>
      <w:numPr>
        <w:numId w:val="13"/>
      </w:numPr>
    </w:pPr>
  </w:style>
  <w:style w:type="paragraph" w:styleId="MacroText">
    <w:name w:val="macro"/>
    <w:link w:val="MacroTextChar"/>
    <w:semiHidden/>
    <w:rsid w:val="003D2A1F"/>
    <w:pPr>
      <w:tabs>
        <w:tab w:val="left" w:pos="480"/>
        <w:tab w:val="left" w:pos="960"/>
        <w:tab w:val="left" w:pos="1440"/>
        <w:tab w:val="left" w:pos="1920"/>
        <w:tab w:val="left" w:pos="2400"/>
        <w:tab w:val="left" w:pos="2880"/>
        <w:tab w:val="left" w:pos="3360"/>
        <w:tab w:val="left" w:pos="3840"/>
        <w:tab w:val="left" w:pos="4320"/>
      </w:tabs>
      <w:spacing w:before="60" w:after="60"/>
      <w:jc w:val="both"/>
    </w:pPr>
    <w:rPr>
      <w:rFonts w:ascii="Courier New" w:hAnsi="Courier New" w:cs="Courier New"/>
      <w:lang w:val="sr-Latn-CS"/>
    </w:rPr>
  </w:style>
  <w:style w:type="character" w:customStyle="1" w:styleId="MacroTextChar">
    <w:name w:val="Macro Text Char"/>
    <w:link w:val="MacroText"/>
    <w:semiHidden/>
    <w:rsid w:val="003D2A1F"/>
    <w:rPr>
      <w:rFonts w:ascii="Courier New" w:hAnsi="Courier New" w:cs="Courier New"/>
      <w:lang w:val="sr-Latn-CS"/>
    </w:rPr>
  </w:style>
  <w:style w:type="paragraph" w:styleId="MessageHeader">
    <w:name w:val="Message Header"/>
    <w:basedOn w:val="Normal"/>
    <w:link w:val="MessageHeaderChar"/>
    <w:rsid w:val="003D2A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character" w:customStyle="1" w:styleId="MessageHeaderChar">
    <w:name w:val="Message Header Char"/>
    <w:link w:val="MessageHeader"/>
    <w:rsid w:val="003D2A1F"/>
    <w:rPr>
      <w:rFonts w:ascii="Arial" w:hAnsi="Arial"/>
      <w:sz w:val="24"/>
      <w:szCs w:val="24"/>
      <w:shd w:val="pct20" w:color="auto" w:fill="auto"/>
      <w:lang w:val="sr-Latn-CS"/>
    </w:rPr>
  </w:style>
  <w:style w:type="paragraph" w:customStyle="1" w:styleId="Mestozapotpis">
    <w:name w:val="Mesto za potpis"/>
    <w:basedOn w:val="Normal"/>
    <w:rsid w:val="003D2A1F"/>
    <w:pPr>
      <w:tabs>
        <w:tab w:val="center" w:pos="7371"/>
      </w:tabs>
    </w:pPr>
    <w:rPr>
      <w:snapToGrid w:val="0"/>
    </w:rPr>
  </w:style>
  <w:style w:type="paragraph" w:customStyle="1" w:styleId="MTDisplayEquation">
    <w:name w:val="MTDisplayEquation"/>
    <w:basedOn w:val="jednacine"/>
    <w:next w:val="Normal"/>
    <w:rsid w:val="003D2A1F"/>
    <w:pPr>
      <w:tabs>
        <w:tab w:val="clear" w:pos="9356"/>
        <w:tab w:val="center" w:pos="5240"/>
        <w:tab w:val="right" w:pos="9360"/>
      </w:tabs>
      <w:spacing w:before="120" w:after="120"/>
    </w:pPr>
    <w:rPr>
      <w:i/>
      <w:vertAlign w:val="subscript"/>
    </w:rPr>
  </w:style>
  <w:style w:type="character" w:customStyle="1" w:styleId="MTEquationSection">
    <w:name w:val="MTEquationSection"/>
    <w:rsid w:val="003D2A1F"/>
    <w:rPr>
      <w:vanish w:val="0"/>
      <w:color w:val="FF0000"/>
      <w:sz w:val="30"/>
    </w:rPr>
  </w:style>
  <w:style w:type="paragraph" w:customStyle="1" w:styleId="Naslovsadrzaja">
    <w:name w:val="Naslov sadrzaja"/>
    <w:basedOn w:val="Heading1"/>
    <w:next w:val="Normal"/>
    <w:rsid w:val="003D2A1F"/>
    <w:pPr>
      <w:numPr>
        <w:numId w:val="0"/>
      </w:numPr>
      <w:spacing w:before="600" w:after="480"/>
    </w:pPr>
  </w:style>
  <w:style w:type="paragraph" w:customStyle="1" w:styleId="Naslovstudije">
    <w:name w:val="Naslov studije"/>
    <w:basedOn w:val="Normal"/>
    <w:rsid w:val="003D2A1F"/>
    <w:pPr>
      <w:spacing w:before="240" w:after="0"/>
      <w:jc w:val="center"/>
    </w:pPr>
    <w:rPr>
      <w:b/>
      <w:bCs/>
      <w:caps/>
      <w:sz w:val="28"/>
    </w:rPr>
  </w:style>
  <w:style w:type="paragraph" w:styleId="NormalWeb">
    <w:name w:val="Normal (Web)"/>
    <w:basedOn w:val="Normal"/>
    <w:link w:val="NormalWebChar"/>
    <w:uiPriority w:val="99"/>
    <w:rsid w:val="003D2A1F"/>
    <w:rPr>
      <w:szCs w:val="24"/>
    </w:rPr>
  </w:style>
  <w:style w:type="paragraph" w:styleId="NormalIndent">
    <w:name w:val="Normal Indent"/>
    <w:basedOn w:val="Normal"/>
    <w:rsid w:val="003D2A1F"/>
    <w:pPr>
      <w:ind w:left="720"/>
    </w:pPr>
  </w:style>
  <w:style w:type="paragraph" w:customStyle="1" w:styleId="Normalzatabelu">
    <w:name w:val="Normal za tabelu"/>
    <w:basedOn w:val="Normal"/>
    <w:link w:val="NormalzatabeluChar"/>
    <w:rsid w:val="003D2A1F"/>
    <w:pPr>
      <w:ind w:right="34"/>
    </w:pPr>
    <w:rPr>
      <w:sz w:val="20"/>
    </w:rPr>
  </w:style>
  <w:style w:type="character" w:customStyle="1" w:styleId="NormalzatabeluChar">
    <w:name w:val="Normal za tabelu Char"/>
    <w:link w:val="Normalzatabelu"/>
    <w:rsid w:val="003D2A1F"/>
    <w:rPr>
      <w:lang w:val="sr-Latn-CS"/>
    </w:rPr>
  </w:style>
  <w:style w:type="paragraph" w:styleId="NoteHeading">
    <w:name w:val="Note Heading"/>
    <w:basedOn w:val="Normal"/>
    <w:next w:val="Normal"/>
    <w:link w:val="NoteHeadingChar"/>
    <w:rsid w:val="003D2A1F"/>
  </w:style>
  <w:style w:type="character" w:customStyle="1" w:styleId="NoteHeadingChar">
    <w:name w:val="Note Heading Char"/>
    <w:link w:val="NoteHeading"/>
    <w:rsid w:val="003D2A1F"/>
    <w:rPr>
      <w:sz w:val="24"/>
      <w:lang w:val="sr-Latn-CS"/>
    </w:rPr>
  </w:style>
  <w:style w:type="character" w:styleId="PageNumber">
    <w:name w:val="page number"/>
    <w:basedOn w:val="DefaultParagraphFont"/>
    <w:rsid w:val="003D2A1F"/>
  </w:style>
  <w:style w:type="paragraph" w:styleId="PlainText">
    <w:name w:val="Plain Text"/>
    <w:basedOn w:val="Normal"/>
    <w:link w:val="PlainTextChar"/>
    <w:rsid w:val="003D2A1F"/>
    <w:rPr>
      <w:rFonts w:ascii="Courier New" w:hAnsi="Courier New"/>
      <w:sz w:val="20"/>
    </w:rPr>
  </w:style>
  <w:style w:type="character" w:customStyle="1" w:styleId="PlainTextChar">
    <w:name w:val="Plain Text Char"/>
    <w:link w:val="PlainText"/>
    <w:rsid w:val="003D2A1F"/>
    <w:rPr>
      <w:rFonts w:ascii="Courier New" w:hAnsi="Courier New"/>
      <w:lang w:val="sr-Latn-CS"/>
    </w:rPr>
  </w:style>
  <w:style w:type="paragraph" w:styleId="Salutation">
    <w:name w:val="Salutation"/>
    <w:basedOn w:val="Normal"/>
    <w:next w:val="Normal"/>
    <w:link w:val="SalutationChar"/>
    <w:rsid w:val="003D2A1F"/>
  </w:style>
  <w:style w:type="character" w:customStyle="1" w:styleId="SalutationChar">
    <w:name w:val="Salutation Char"/>
    <w:link w:val="Salutation"/>
    <w:rsid w:val="003D2A1F"/>
    <w:rPr>
      <w:sz w:val="24"/>
      <w:lang w:val="sr-Latn-CS"/>
    </w:rPr>
  </w:style>
  <w:style w:type="paragraph" w:styleId="Signature">
    <w:name w:val="Signature"/>
    <w:basedOn w:val="Normal"/>
    <w:link w:val="SignatureChar"/>
    <w:rsid w:val="003D2A1F"/>
    <w:pPr>
      <w:ind w:left="4320"/>
    </w:pPr>
  </w:style>
  <w:style w:type="character" w:customStyle="1" w:styleId="SignatureChar">
    <w:name w:val="Signature Char"/>
    <w:link w:val="Signature"/>
    <w:rsid w:val="003D2A1F"/>
    <w:rPr>
      <w:sz w:val="24"/>
      <w:lang w:val="sr-Latn-CS"/>
    </w:rPr>
  </w:style>
  <w:style w:type="paragraph" w:styleId="Title">
    <w:name w:val="Title"/>
    <w:basedOn w:val="Heading1"/>
    <w:next w:val="Normal"/>
    <w:link w:val="TitleChar"/>
    <w:qFormat/>
    <w:rsid w:val="003D2A1F"/>
    <w:pPr>
      <w:numPr>
        <w:numId w:val="0"/>
      </w:numPr>
      <w:tabs>
        <w:tab w:val="num" w:pos="432"/>
      </w:tabs>
      <w:spacing w:before="240"/>
      <w:ind w:left="432" w:hanging="432"/>
    </w:pPr>
    <w:rPr>
      <w:rFonts w:ascii="Arial" w:hAnsi="Arial"/>
      <w:b w:val="0"/>
      <w:sz w:val="32"/>
    </w:rPr>
  </w:style>
  <w:style w:type="character" w:customStyle="1" w:styleId="TitleChar">
    <w:name w:val="Title Char"/>
    <w:link w:val="Title"/>
    <w:rsid w:val="003D2A1F"/>
    <w:rPr>
      <w:rFonts w:ascii="Arial" w:hAnsi="Arial"/>
      <w:caps/>
      <w:kern w:val="28"/>
      <w:sz w:val="32"/>
    </w:rPr>
  </w:style>
  <w:style w:type="paragraph" w:customStyle="1" w:styleId="Studijanaslov">
    <w:name w:val="Studija naslov"/>
    <w:basedOn w:val="Title"/>
    <w:rsid w:val="003D2A1F"/>
    <w:pPr>
      <w:keepNext w:val="0"/>
      <w:keepLines w:val="0"/>
      <w:tabs>
        <w:tab w:val="clear" w:pos="432"/>
      </w:tabs>
      <w:spacing w:before="3000" w:after="720"/>
      <w:ind w:left="0" w:firstLine="0"/>
    </w:pPr>
    <w:rPr>
      <w:rFonts w:ascii="Times New Roman" w:hAnsi="Times New Roman" w:cs="Arial"/>
      <w:b/>
      <w:bCs/>
      <w:snapToGrid w:val="0"/>
      <w:sz w:val="30"/>
      <w:szCs w:val="32"/>
    </w:rPr>
  </w:style>
  <w:style w:type="paragraph" w:customStyle="1" w:styleId="StylenormalBoldBefore114ptAfter0pt3">
    <w:name w:val="Style normal + Bold Before:  114 pt After:  0 pt3"/>
    <w:basedOn w:val="Normal"/>
    <w:rsid w:val="003D2A1F"/>
    <w:pPr>
      <w:spacing w:before="2160" w:after="0"/>
    </w:pPr>
    <w:rPr>
      <w:b/>
      <w:bCs/>
    </w:rPr>
  </w:style>
  <w:style w:type="paragraph" w:styleId="Subtitle">
    <w:name w:val="Subtitle"/>
    <w:basedOn w:val="Normal"/>
    <w:link w:val="SubtitleChar"/>
    <w:qFormat/>
    <w:rsid w:val="003D2A1F"/>
    <w:pPr>
      <w:jc w:val="center"/>
      <w:outlineLvl w:val="1"/>
    </w:pPr>
    <w:rPr>
      <w:rFonts w:ascii="Arial" w:hAnsi="Arial"/>
      <w:szCs w:val="24"/>
    </w:rPr>
  </w:style>
  <w:style w:type="character" w:customStyle="1" w:styleId="SubtitleChar">
    <w:name w:val="Subtitle Char"/>
    <w:link w:val="Subtitle"/>
    <w:rsid w:val="003D2A1F"/>
    <w:rPr>
      <w:rFonts w:ascii="Arial" w:hAnsi="Arial"/>
      <w:sz w:val="24"/>
      <w:szCs w:val="24"/>
      <w:lang w:val="sr-Latn-CS"/>
    </w:rPr>
  </w:style>
  <w:style w:type="paragraph" w:customStyle="1" w:styleId="Tabela">
    <w:name w:val="Tabela"/>
    <w:basedOn w:val="Normal"/>
    <w:link w:val="TabelaChar"/>
    <w:autoRedefine/>
    <w:qFormat/>
    <w:rsid w:val="003D2A1F"/>
    <w:pPr>
      <w:spacing w:before="0" w:after="0"/>
    </w:pPr>
    <w:rPr>
      <w:sz w:val="16"/>
    </w:rPr>
  </w:style>
  <w:style w:type="character" w:customStyle="1" w:styleId="TabelaChar">
    <w:name w:val="Tabela Char"/>
    <w:link w:val="Tabela"/>
    <w:rsid w:val="003D2A1F"/>
    <w:rPr>
      <w:sz w:val="16"/>
    </w:rPr>
  </w:style>
  <w:style w:type="table" w:styleId="TableGrid">
    <w:name w:val="Table Grid"/>
    <w:basedOn w:val="TableNormal"/>
    <w:uiPriority w:val="59"/>
    <w:rsid w:val="003D2A1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3D2A1F"/>
    <w:pPr>
      <w:ind w:left="220" w:hanging="220"/>
    </w:pPr>
  </w:style>
  <w:style w:type="paragraph" w:styleId="TableofFigures">
    <w:name w:val="table of figures"/>
    <w:basedOn w:val="Normal"/>
    <w:next w:val="Normal"/>
    <w:uiPriority w:val="99"/>
    <w:rsid w:val="003D2A1F"/>
  </w:style>
  <w:style w:type="paragraph" w:customStyle="1" w:styleId="Tekstinvesticija">
    <w:name w:val="Tekst investicija"/>
    <w:basedOn w:val="Normal"/>
    <w:autoRedefine/>
    <w:rsid w:val="003D2A1F"/>
    <w:pPr>
      <w:spacing w:before="20" w:after="20"/>
      <w:ind w:right="113"/>
      <w:jc w:val="center"/>
    </w:pPr>
    <w:rPr>
      <w:szCs w:val="22"/>
    </w:rPr>
  </w:style>
  <w:style w:type="paragraph" w:customStyle="1" w:styleId="Textbox">
    <w:name w:val="Text box"/>
    <w:basedOn w:val="Normal"/>
    <w:rsid w:val="003D2A1F"/>
    <w:pPr>
      <w:spacing w:before="0" w:after="0"/>
      <w:jc w:val="center"/>
    </w:pPr>
    <w:rPr>
      <w:sz w:val="18"/>
    </w:rPr>
  </w:style>
  <w:style w:type="paragraph" w:styleId="TOAHeading">
    <w:name w:val="toa heading"/>
    <w:basedOn w:val="Normal"/>
    <w:next w:val="Normal"/>
    <w:semiHidden/>
    <w:rsid w:val="003D2A1F"/>
    <w:pPr>
      <w:spacing w:before="120"/>
    </w:pPr>
    <w:rPr>
      <w:rFonts w:ascii="Arial" w:hAnsi="Arial" w:cs="Arial"/>
      <w:b/>
      <w:bCs/>
      <w:szCs w:val="24"/>
    </w:rPr>
  </w:style>
  <w:style w:type="paragraph" w:styleId="TOC1">
    <w:name w:val="toc 1"/>
    <w:basedOn w:val="Normal"/>
    <w:next w:val="Normal"/>
    <w:autoRedefine/>
    <w:uiPriority w:val="39"/>
    <w:rsid w:val="003D2A1F"/>
    <w:pPr>
      <w:tabs>
        <w:tab w:val="left" w:pos="400"/>
        <w:tab w:val="right" w:leader="dot" w:pos="9345"/>
      </w:tabs>
      <w:ind w:left="403" w:right="851" w:hanging="403"/>
    </w:pPr>
    <w:rPr>
      <w:rFonts w:ascii="Times New Roman Bold" w:hAnsi="Times New Roman Bold"/>
      <w:b/>
      <w:smallCaps/>
      <w:noProof/>
      <w:szCs w:val="22"/>
    </w:rPr>
  </w:style>
  <w:style w:type="paragraph" w:styleId="TOC2">
    <w:name w:val="toc 2"/>
    <w:basedOn w:val="Normal"/>
    <w:next w:val="Normal"/>
    <w:autoRedefine/>
    <w:uiPriority w:val="39"/>
    <w:rsid w:val="003D2A1F"/>
    <w:pPr>
      <w:tabs>
        <w:tab w:val="left" w:pos="970"/>
        <w:tab w:val="right" w:leader="dot" w:pos="9345"/>
      </w:tabs>
      <w:ind w:left="970" w:right="851" w:hanging="567"/>
    </w:pPr>
    <w:rPr>
      <w:smallCaps/>
      <w:noProof/>
      <w:sz w:val="20"/>
    </w:rPr>
  </w:style>
  <w:style w:type="paragraph" w:styleId="TOC3">
    <w:name w:val="toc 3"/>
    <w:basedOn w:val="Normal"/>
    <w:next w:val="Normal"/>
    <w:autoRedefine/>
    <w:uiPriority w:val="39"/>
    <w:rsid w:val="003D2A1F"/>
    <w:pPr>
      <w:tabs>
        <w:tab w:val="left" w:pos="1537"/>
        <w:tab w:val="right" w:leader="dot" w:pos="9345"/>
      </w:tabs>
      <w:ind w:left="1537" w:right="851" w:hanging="567"/>
    </w:pPr>
    <w:rPr>
      <w:i/>
      <w:sz w:val="20"/>
      <w:lang w:val="hr-HR"/>
    </w:rPr>
  </w:style>
  <w:style w:type="paragraph" w:styleId="TOC4">
    <w:name w:val="toc 4"/>
    <w:basedOn w:val="Normal"/>
    <w:next w:val="Normal"/>
    <w:autoRedefine/>
    <w:uiPriority w:val="39"/>
    <w:rsid w:val="003D2A1F"/>
    <w:pPr>
      <w:tabs>
        <w:tab w:val="left" w:pos="2274"/>
        <w:tab w:val="right" w:leader="dot" w:pos="9345"/>
      </w:tabs>
      <w:ind w:left="2274" w:right="851" w:hanging="737"/>
    </w:pPr>
    <w:rPr>
      <w:noProof/>
      <w:sz w:val="20"/>
      <w:szCs w:val="22"/>
    </w:rPr>
  </w:style>
  <w:style w:type="paragraph" w:styleId="TOC5">
    <w:name w:val="toc 5"/>
    <w:basedOn w:val="Normal"/>
    <w:next w:val="Normal"/>
    <w:autoRedefine/>
    <w:uiPriority w:val="39"/>
    <w:rsid w:val="003D2A1F"/>
    <w:pPr>
      <w:ind w:left="800"/>
    </w:pPr>
  </w:style>
  <w:style w:type="paragraph" w:styleId="TOC6">
    <w:name w:val="toc 6"/>
    <w:basedOn w:val="Normal"/>
    <w:next w:val="Normal"/>
    <w:autoRedefine/>
    <w:uiPriority w:val="39"/>
    <w:rsid w:val="003D2A1F"/>
    <w:pPr>
      <w:ind w:left="1000"/>
    </w:pPr>
  </w:style>
  <w:style w:type="paragraph" w:styleId="TOC7">
    <w:name w:val="toc 7"/>
    <w:basedOn w:val="Normal"/>
    <w:next w:val="Normal"/>
    <w:autoRedefine/>
    <w:uiPriority w:val="39"/>
    <w:rsid w:val="003D2A1F"/>
    <w:pPr>
      <w:ind w:left="1200"/>
    </w:pPr>
  </w:style>
  <w:style w:type="paragraph" w:styleId="TOC8">
    <w:name w:val="toc 8"/>
    <w:basedOn w:val="Normal"/>
    <w:next w:val="Normal"/>
    <w:autoRedefine/>
    <w:uiPriority w:val="39"/>
    <w:rsid w:val="003D2A1F"/>
    <w:pPr>
      <w:ind w:left="1400"/>
    </w:pPr>
  </w:style>
  <w:style w:type="paragraph" w:styleId="TOC9">
    <w:name w:val="toc 9"/>
    <w:basedOn w:val="Normal"/>
    <w:next w:val="Normal"/>
    <w:autoRedefine/>
    <w:uiPriority w:val="39"/>
    <w:rsid w:val="003D2A1F"/>
    <w:pPr>
      <w:ind w:left="1600"/>
    </w:pPr>
  </w:style>
  <w:style w:type="paragraph" w:customStyle="1" w:styleId="Uradjenoprema">
    <w:name w:val="Uradjeno prema"/>
    <w:basedOn w:val="Normal"/>
    <w:rsid w:val="003D2A1F"/>
    <w:pPr>
      <w:tabs>
        <w:tab w:val="left" w:pos="2552"/>
        <w:tab w:val="left" w:pos="4111"/>
      </w:tabs>
      <w:spacing w:before="0" w:after="0"/>
    </w:pPr>
    <w:rPr>
      <w:b/>
      <w:bCs/>
      <w:snapToGrid w:val="0"/>
    </w:rPr>
  </w:style>
  <w:style w:type="paragraph" w:customStyle="1" w:styleId="Zamalusliku">
    <w:name w:val="Za malu sliku"/>
    <w:basedOn w:val="Normal"/>
    <w:rsid w:val="003D2A1F"/>
    <w:pPr>
      <w:spacing w:before="0" w:after="0"/>
      <w:jc w:val="center"/>
    </w:pPr>
    <w:rPr>
      <w:sz w:val="16"/>
      <w:lang w:val="sl-SI"/>
    </w:rPr>
  </w:style>
  <w:style w:type="paragraph" w:customStyle="1" w:styleId="Zavelikusliku">
    <w:name w:val="Za veliku sliku"/>
    <w:basedOn w:val="Normal"/>
    <w:rsid w:val="003D2A1F"/>
    <w:pPr>
      <w:spacing w:before="0" w:after="0"/>
      <w:jc w:val="center"/>
    </w:pPr>
    <w:rPr>
      <w:sz w:val="12"/>
      <w:lang w:val="sl-SI"/>
    </w:rPr>
  </w:style>
  <w:style w:type="numbering" w:customStyle="1" w:styleId="ListNo">
    <w:name w:val="List No"/>
    <w:uiPriority w:val="99"/>
    <w:semiHidden/>
    <w:unhideWhenUsed/>
    <w:rsid w:val="00EB1228"/>
  </w:style>
  <w:style w:type="paragraph" w:customStyle="1" w:styleId="SignatureE-mail">
    <w:name w:val="Signature E-mail"/>
    <w:basedOn w:val="Normal"/>
    <w:link w:val="SignatureE-mailChar"/>
    <w:rsid w:val="00EB1228"/>
  </w:style>
  <w:style w:type="character" w:customStyle="1" w:styleId="SignatureE-mailChar">
    <w:name w:val="Signature E-mail Char"/>
    <w:link w:val="SignatureE-mail"/>
    <w:rsid w:val="00EB1228"/>
    <w:rPr>
      <w:sz w:val="24"/>
    </w:rPr>
  </w:style>
  <w:style w:type="paragraph" w:customStyle="1" w:styleId="HeaderMessage">
    <w:name w:val="Header Message"/>
    <w:basedOn w:val="Normal"/>
    <w:link w:val="HeaderMessageChar"/>
    <w:rsid w:val="00EB12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rPr>
  </w:style>
  <w:style w:type="character" w:customStyle="1" w:styleId="HeaderMessageChar">
    <w:name w:val="Header Message Char"/>
    <w:link w:val="HeaderMessage"/>
    <w:rsid w:val="00EB1228"/>
    <w:rPr>
      <w:rFonts w:ascii="Arial" w:hAnsi="Arial"/>
      <w:sz w:val="24"/>
      <w:szCs w:val="24"/>
      <w:shd w:val="pct20" w:color="auto" w:fill="auto"/>
    </w:rPr>
  </w:style>
  <w:style w:type="paragraph" w:customStyle="1" w:styleId="StylenormalBoldBefore114ptAfter0pt30">
    <w:name w:val="Style normal + Bold Before: 114 pt After: 0 pt3"/>
    <w:basedOn w:val="Normal"/>
    <w:rsid w:val="00EB1228"/>
    <w:pPr>
      <w:spacing w:before="2160" w:after="0"/>
    </w:pPr>
    <w:rPr>
      <w:b/>
      <w:bCs/>
    </w:rPr>
  </w:style>
  <w:style w:type="character" w:customStyle="1" w:styleId="apple-converted-space">
    <w:name w:val="apple-converted-space"/>
    <w:basedOn w:val="DefaultParagraphFont"/>
    <w:rsid w:val="00507115"/>
  </w:style>
  <w:style w:type="character" w:customStyle="1" w:styleId="NormalWebChar">
    <w:name w:val="Normal (Web) Char"/>
    <w:link w:val="NormalWeb"/>
    <w:uiPriority w:val="99"/>
    <w:locked/>
    <w:rsid w:val="00507115"/>
    <w:rPr>
      <w:sz w:val="24"/>
      <w:szCs w:val="24"/>
    </w:rPr>
  </w:style>
  <w:style w:type="paragraph" w:customStyle="1" w:styleId="StyleListParagraphBefore0ptAfter10ptLinespacing">
    <w:name w:val="Style List Paragraph + Before:  0 pt After:  10 pt Line spacing: ..."/>
    <w:basedOn w:val="ListParagraph"/>
    <w:rsid w:val="00205ECE"/>
    <w:pPr>
      <w:spacing w:before="0" w:after="200" w:line="276" w:lineRule="auto"/>
    </w:pPr>
    <w:rPr>
      <w:rFonts w:eastAsia="Times New Roman"/>
      <w:b/>
      <w:bCs/>
      <w:szCs w:val="20"/>
    </w:rPr>
  </w:style>
  <w:style w:type="character" w:styleId="PlaceholderText">
    <w:name w:val="Placeholder Text"/>
    <w:basedOn w:val="DefaultParagraphFont"/>
    <w:uiPriority w:val="99"/>
    <w:semiHidden/>
    <w:rsid w:val="00EE6A43"/>
    <w:rPr>
      <w:color w:val="808080"/>
    </w:rPr>
  </w:style>
  <w:style w:type="paragraph" w:customStyle="1" w:styleId="CharCharCharCharCharCharChar1CharCharChar1CharCharCharCharCharCharCharCharCharCharCharCharChar">
    <w:name w:val="Char Char Char Char Char Char Char1 Char Char Char1 Char Char Char Char Char Char Char Char Char Char Char Char Char"/>
    <w:basedOn w:val="Normal"/>
    <w:rsid w:val="00D04F7B"/>
    <w:pPr>
      <w:spacing w:before="0" w:after="160" w:line="240" w:lineRule="exact"/>
      <w:jc w:val="left"/>
    </w:pPr>
    <w:rPr>
      <w:rFonts w:ascii="Verdana" w:hAnsi="Verdana"/>
      <w:sz w:val="20"/>
    </w:rPr>
  </w:style>
  <w:style w:type="character" w:customStyle="1" w:styleId="ListParagraphChar">
    <w:name w:val="List Paragraph Char"/>
    <w:link w:val="ListParagraph"/>
    <w:uiPriority w:val="34"/>
    <w:rsid w:val="0028406A"/>
    <w:rPr>
      <w:rFonts w:eastAsia="Calibri"/>
      <w:sz w:val="24"/>
      <w:szCs w:val="22"/>
    </w:rPr>
  </w:style>
  <w:style w:type="character" w:styleId="EndnoteReference">
    <w:name w:val="endnote reference"/>
    <w:basedOn w:val="DefaultParagraphFont"/>
    <w:uiPriority w:val="99"/>
    <w:semiHidden/>
    <w:unhideWhenUsed/>
    <w:rsid w:val="004E7A5A"/>
    <w:rPr>
      <w:vertAlign w:val="superscript"/>
    </w:rPr>
  </w:style>
  <w:style w:type="paragraph" w:styleId="Revision">
    <w:name w:val="Revision"/>
    <w:hidden/>
    <w:uiPriority w:val="99"/>
    <w:semiHidden/>
    <w:rsid w:val="000E6441"/>
    <w:rPr>
      <w:sz w:val="24"/>
    </w:rPr>
  </w:style>
  <w:style w:type="paragraph" w:customStyle="1" w:styleId="Tabletext">
    <w:name w:val="Table text"/>
    <w:basedOn w:val="Normal"/>
    <w:rsid w:val="00F067CD"/>
    <w:pPr>
      <w:tabs>
        <w:tab w:val="right" w:pos="8504"/>
      </w:tabs>
      <w:spacing w:before="40" w:after="40" w:line="288" w:lineRule="auto"/>
    </w:pPr>
    <w:rPr>
      <w:rFonts w:ascii="Arial" w:hAnsi="Arial"/>
      <w:sz w:val="18"/>
      <w:lang w:val="de-DE" w:eastAsia="de-DE"/>
    </w:rPr>
  </w:style>
  <w:style w:type="character" w:customStyle="1" w:styleId="A2">
    <w:name w:val="A2"/>
    <w:uiPriority w:val="99"/>
    <w:rsid w:val="00905AE9"/>
    <w:rPr>
      <w:rFonts w:cs="Myriad Pro"/>
      <w:color w:val="000000"/>
      <w:sz w:val="17"/>
      <w:szCs w:val="17"/>
    </w:rPr>
  </w:style>
  <w:style w:type="paragraph" w:customStyle="1" w:styleId="CM1">
    <w:name w:val="CM1"/>
    <w:basedOn w:val="Default"/>
    <w:next w:val="Default"/>
    <w:uiPriority w:val="99"/>
    <w:rsid w:val="00F8419C"/>
    <w:rPr>
      <w:rFonts w:ascii="EUAlbertina" w:eastAsia="Times New Roman" w:hAnsi="EUAlbertina" w:cs="Times New Roman"/>
      <w:color w:val="auto"/>
    </w:rPr>
  </w:style>
  <w:style w:type="paragraph" w:customStyle="1" w:styleId="CM3">
    <w:name w:val="CM3"/>
    <w:basedOn w:val="Default"/>
    <w:next w:val="Default"/>
    <w:uiPriority w:val="99"/>
    <w:rsid w:val="00F8419C"/>
    <w:rPr>
      <w:rFonts w:ascii="EUAlbertina" w:eastAsia="Times New Roman" w:hAnsi="EUAlbertina" w:cs="Times New Roman"/>
      <w:color w:val="auto"/>
    </w:rPr>
  </w:style>
  <w:style w:type="paragraph" w:styleId="NoSpacing">
    <w:name w:val="No Spacing"/>
    <w:link w:val="NoSpacingChar"/>
    <w:uiPriority w:val="1"/>
    <w:qFormat/>
    <w:rsid w:val="0070229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0229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7141">
      <w:bodyDiv w:val="1"/>
      <w:marLeft w:val="0"/>
      <w:marRight w:val="0"/>
      <w:marTop w:val="0"/>
      <w:marBottom w:val="0"/>
      <w:divBdr>
        <w:top w:val="none" w:sz="0" w:space="0" w:color="auto"/>
        <w:left w:val="none" w:sz="0" w:space="0" w:color="auto"/>
        <w:bottom w:val="none" w:sz="0" w:space="0" w:color="auto"/>
        <w:right w:val="none" w:sz="0" w:space="0" w:color="auto"/>
      </w:divBdr>
    </w:div>
    <w:div w:id="524253287">
      <w:bodyDiv w:val="1"/>
      <w:marLeft w:val="0"/>
      <w:marRight w:val="0"/>
      <w:marTop w:val="0"/>
      <w:marBottom w:val="0"/>
      <w:divBdr>
        <w:top w:val="none" w:sz="0" w:space="0" w:color="auto"/>
        <w:left w:val="none" w:sz="0" w:space="0" w:color="auto"/>
        <w:bottom w:val="none" w:sz="0" w:space="0" w:color="auto"/>
        <w:right w:val="none" w:sz="0" w:space="0" w:color="auto"/>
      </w:divBdr>
    </w:div>
    <w:div w:id="706028039">
      <w:bodyDiv w:val="1"/>
      <w:marLeft w:val="0"/>
      <w:marRight w:val="0"/>
      <w:marTop w:val="0"/>
      <w:marBottom w:val="0"/>
      <w:divBdr>
        <w:top w:val="none" w:sz="0" w:space="0" w:color="auto"/>
        <w:left w:val="none" w:sz="0" w:space="0" w:color="auto"/>
        <w:bottom w:val="none" w:sz="0" w:space="0" w:color="auto"/>
        <w:right w:val="none" w:sz="0" w:space="0" w:color="auto"/>
      </w:divBdr>
    </w:div>
    <w:div w:id="842816711">
      <w:bodyDiv w:val="1"/>
      <w:marLeft w:val="0"/>
      <w:marRight w:val="0"/>
      <w:marTop w:val="0"/>
      <w:marBottom w:val="0"/>
      <w:divBdr>
        <w:top w:val="none" w:sz="0" w:space="0" w:color="auto"/>
        <w:left w:val="none" w:sz="0" w:space="0" w:color="auto"/>
        <w:bottom w:val="none" w:sz="0" w:space="0" w:color="auto"/>
        <w:right w:val="none" w:sz="0" w:space="0" w:color="auto"/>
      </w:divBdr>
    </w:div>
    <w:div w:id="844974046">
      <w:bodyDiv w:val="1"/>
      <w:marLeft w:val="0"/>
      <w:marRight w:val="0"/>
      <w:marTop w:val="0"/>
      <w:marBottom w:val="0"/>
      <w:divBdr>
        <w:top w:val="none" w:sz="0" w:space="0" w:color="auto"/>
        <w:left w:val="none" w:sz="0" w:space="0" w:color="auto"/>
        <w:bottom w:val="none" w:sz="0" w:space="0" w:color="auto"/>
        <w:right w:val="none" w:sz="0" w:space="0" w:color="auto"/>
      </w:divBdr>
    </w:div>
    <w:div w:id="1404722819">
      <w:bodyDiv w:val="1"/>
      <w:marLeft w:val="0"/>
      <w:marRight w:val="0"/>
      <w:marTop w:val="0"/>
      <w:marBottom w:val="0"/>
      <w:divBdr>
        <w:top w:val="none" w:sz="0" w:space="0" w:color="auto"/>
        <w:left w:val="none" w:sz="0" w:space="0" w:color="auto"/>
        <w:bottom w:val="none" w:sz="0" w:space="0" w:color="auto"/>
        <w:right w:val="none" w:sz="0" w:space="0" w:color="auto"/>
      </w:divBdr>
    </w:div>
    <w:div w:id="1425027206">
      <w:bodyDiv w:val="1"/>
      <w:marLeft w:val="0"/>
      <w:marRight w:val="0"/>
      <w:marTop w:val="0"/>
      <w:marBottom w:val="0"/>
      <w:divBdr>
        <w:top w:val="none" w:sz="0" w:space="0" w:color="auto"/>
        <w:left w:val="none" w:sz="0" w:space="0" w:color="auto"/>
        <w:bottom w:val="none" w:sz="0" w:space="0" w:color="auto"/>
        <w:right w:val="none" w:sz="0" w:space="0" w:color="auto"/>
      </w:divBdr>
    </w:div>
    <w:div w:id="1551963087">
      <w:bodyDiv w:val="1"/>
      <w:marLeft w:val="0"/>
      <w:marRight w:val="0"/>
      <w:marTop w:val="0"/>
      <w:marBottom w:val="0"/>
      <w:divBdr>
        <w:top w:val="none" w:sz="0" w:space="0" w:color="auto"/>
        <w:left w:val="none" w:sz="0" w:space="0" w:color="auto"/>
        <w:bottom w:val="none" w:sz="0" w:space="0" w:color="auto"/>
        <w:right w:val="none" w:sz="0" w:space="0" w:color="auto"/>
      </w:divBdr>
    </w:div>
    <w:div w:id="1744255077">
      <w:bodyDiv w:val="1"/>
      <w:marLeft w:val="0"/>
      <w:marRight w:val="0"/>
      <w:marTop w:val="0"/>
      <w:marBottom w:val="0"/>
      <w:divBdr>
        <w:top w:val="none" w:sz="0" w:space="0" w:color="auto"/>
        <w:left w:val="none" w:sz="0" w:space="0" w:color="auto"/>
        <w:bottom w:val="none" w:sz="0" w:space="0" w:color="auto"/>
        <w:right w:val="none" w:sz="0" w:space="0" w:color="auto"/>
      </w:divBdr>
    </w:div>
    <w:div w:id="1943997596">
      <w:bodyDiv w:val="1"/>
      <w:marLeft w:val="0"/>
      <w:marRight w:val="0"/>
      <w:marTop w:val="0"/>
      <w:marBottom w:val="0"/>
      <w:divBdr>
        <w:top w:val="none" w:sz="0" w:space="0" w:color="auto"/>
        <w:left w:val="none" w:sz="0" w:space="0" w:color="auto"/>
        <w:bottom w:val="none" w:sz="0" w:space="0" w:color="auto"/>
        <w:right w:val="none" w:sz="0" w:space="0" w:color="auto"/>
      </w:divBdr>
    </w:div>
    <w:div w:id="2056007178">
      <w:bodyDiv w:val="1"/>
      <w:marLeft w:val="0"/>
      <w:marRight w:val="0"/>
      <w:marTop w:val="0"/>
      <w:marBottom w:val="0"/>
      <w:divBdr>
        <w:top w:val="none" w:sz="0" w:space="0" w:color="auto"/>
        <w:left w:val="none" w:sz="0" w:space="0" w:color="auto"/>
        <w:bottom w:val="none" w:sz="0" w:space="0" w:color="auto"/>
        <w:right w:val="none" w:sz="0" w:space="0" w:color="auto"/>
      </w:divBdr>
    </w:div>
    <w:div w:id="20785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43.xml"/><Relationship Id="rId21" Type="http://schemas.openxmlformats.org/officeDocument/2006/relationships/footer" Target="footer8.xml"/><Relationship Id="rId42" Type="http://schemas.openxmlformats.org/officeDocument/2006/relationships/footer" Target="footer21.xml"/><Relationship Id="rId63" Type="http://schemas.openxmlformats.org/officeDocument/2006/relationships/hyperlink" Target="http://www.mre.gov.rs/doc/medjunarodna-saradnja/Revidirana%20Jedinstvena%20lista%20prioritetnih%20infrastrukturnih%20projekata%20u%20oblasti%20energetike_srb.pdf" TargetMode="External"/><Relationship Id="rId84" Type="http://schemas.openxmlformats.org/officeDocument/2006/relationships/header" Target="header30.xml"/><Relationship Id="rId138" Type="http://schemas.openxmlformats.org/officeDocument/2006/relationships/footer" Target="footer76.xml"/><Relationship Id="rId107" Type="http://schemas.openxmlformats.org/officeDocument/2006/relationships/header" Target="header39.xml"/><Relationship Id="rId11" Type="http://schemas.openxmlformats.org/officeDocument/2006/relationships/footer" Target="footer2.xml"/><Relationship Id="rId32" Type="http://schemas.openxmlformats.org/officeDocument/2006/relationships/footer" Target="footer15.xml"/><Relationship Id="rId53" Type="http://schemas.openxmlformats.org/officeDocument/2006/relationships/header" Target="header19.xml"/><Relationship Id="rId74" Type="http://schemas.openxmlformats.org/officeDocument/2006/relationships/header" Target="header26.xml"/><Relationship Id="rId128" Type="http://schemas.openxmlformats.org/officeDocument/2006/relationships/footer" Target="footer70.xml"/><Relationship Id="rId149" Type="http://schemas.openxmlformats.org/officeDocument/2006/relationships/header" Target="header56.xml"/><Relationship Id="rId5" Type="http://schemas.openxmlformats.org/officeDocument/2006/relationships/webSettings" Target="webSettings.xml"/><Relationship Id="rId95" Type="http://schemas.openxmlformats.org/officeDocument/2006/relationships/footer" Target="footer50.xml"/><Relationship Id="rId22" Type="http://schemas.openxmlformats.org/officeDocument/2006/relationships/footer" Target="footer9.xml"/><Relationship Id="rId27" Type="http://schemas.openxmlformats.org/officeDocument/2006/relationships/footer" Target="footer12.xml"/><Relationship Id="rId43" Type="http://schemas.openxmlformats.org/officeDocument/2006/relationships/header" Target="header15.xml"/><Relationship Id="rId48" Type="http://schemas.openxmlformats.org/officeDocument/2006/relationships/header" Target="header17.xml"/><Relationship Id="rId64" Type="http://schemas.openxmlformats.org/officeDocument/2006/relationships/hyperlink" Target="http://www.slap.skgo.org" TargetMode="External"/><Relationship Id="rId69" Type="http://schemas.openxmlformats.org/officeDocument/2006/relationships/header" Target="header24.xml"/><Relationship Id="rId113" Type="http://schemas.openxmlformats.org/officeDocument/2006/relationships/footer" Target="footer61.xml"/><Relationship Id="rId118" Type="http://schemas.openxmlformats.org/officeDocument/2006/relationships/footer" Target="footer64.xml"/><Relationship Id="rId134" Type="http://schemas.openxmlformats.org/officeDocument/2006/relationships/header" Target="header50.xml"/><Relationship Id="rId139" Type="http://schemas.openxmlformats.org/officeDocument/2006/relationships/header" Target="header52.xml"/><Relationship Id="rId80" Type="http://schemas.openxmlformats.org/officeDocument/2006/relationships/footer" Target="footer41.xml"/><Relationship Id="rId85" Type="http://schemas.openxmlformats.org/officeDocument/2006/relationships/footer" Target="footer44.xml"/><Relationship Id="rId150" Type="http://schemas.openxmlformats.org/officeDocument/2006/relationships/footer" Target="footer83.xml"/><Relationship Id="rId12" Type="http://schemas.openxmlformats.org/officeDocument/2006/relationships/footer" Target="footer3.xml"/><Relationship Id="rId17" Type="http://schemas.openxmlformats.org/officeDocument/2006/relationships/footer" Target="footer6.xml"/><Relationship Id="rId33" Type="http://schemas.openxmlformats.org/officeDocument/2006/relationships/header" Target="header11.xml"/><Relationship Id="rId38" Type="http://schemas.openxmlformats.org/officeDocument/2006/relationships/header" Target="header13.xml"/><Relationship Id="rId59" Type="http://schemas.openxmlformats.org/officeDocument/2006/relationships/footer" Target="footer31.xml"/><Relationship Id="rId103" Type="http://schemas.openxmlformats.org/officeDocument/2006/relationships/footer" Target="footer55.xml"/><Relationship Id="rId108" Type="http://schemas.openxmlformats.org/officeDocument/2006/relationships/footer" Target="footer58.xml"/><Relationship Id="rId124" Type="http://schemas.openxmlformats.org/officeDocument/2006/relationships/header" Target="header46.xml"/><Relationship Id="rId129" Type="http://schemas.openxmlformats.org/officeDocument/2006/relationships/header" Target="header48.xml"/><Relationship Id="rId54" Type="http://schemas.openxmlformats.org/officeDocument/2006/relationships/footer" Target="footer28.xml"/><Relationship Id="rId70" Type="http://schemas.openxmlformats.org/officeDocument/2006/relationships/footer" Target="footer35.xml"/><Relationship Id="rId75" Type="http://schemas.openxmlformats.org/officeDocument/2006/relationships/footer" Target="footer38.xml"/><Relationship Id="rId91" Type="http://schemas.openxmlformats.org/officeDocument/2006/relationships/footer" Target="footer48.xml"/><Relationship Id="rId96" Type="http://schemas.openxmlformats.org/officeDocument/2006/relationships/footer" Target="footer51.xml"/><Relationship Id="rId140" Type="http://schemas.openxmlformats.org/officeDocument/2006/relationships/footer" Target="footer77.xml"/><Relationship Id="rId145" Type="http://schemas.openxmlformats.org/officeDocument/2006/relationships/footer" Target="footer80.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header" Target="header9.xml"/><Relationship Id="rId49" Type="http://schemas.openxmlformats.org/officeDocument/2006/relationships/footer" Target="footer25.xml"/><Relationship Id="rId114" Type="http://schemas.openxmlformats.org/officeDocument/2006/relationships/header" Target="header42.xml"/><Relationship Id="rId119" Type="http://schemas.openxmlformats.org/officeDocument/2006/relationships/header" Target="header44.xml"/><Relationship Id="rId44" Type="http://schemas.openxmlformats.org/officeDocument/2006/relationships/footer" Target="footer22.xml"/><Relationship Id="rId60" Type="http://schemas.openxmlformats.org/officeDocument/2006/relationships/header" Target="header22.xml"/><Relationship Id="rId65" Type="http://schemas.openxmlformats.org/officeDocument/2006/relationships/header" Target="header23.xml"/><Relationship Id="rId81" Type="http://schemas.openxmlformats.org/officeDocument/2006/relationships/footer" Target="footer42.xml"/><Relationship Id="rId86" Type="http://schemas.openxmlformats.org/officeDocument/2006/relationships/footer" Target="footer45.xml"/><Relationship Id="rId130" Type="http://schemas.openxmlformats.org/officeDocument/2006/relationships/footer" Target="footer71.xml"/><Relationship Id="rId135" Type="http://schemas.openxmlformats.org/officeDocument/2006/relationships/footer" Target="footer74.xml"/><Relationship Id="rId151" Type="http://schemas.openxmlformats.org/officeDocument/2006/relationships/fontTable" Target="fontTable.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footer" Target="footer19.xml"/><Relationship Id="rId109" Type="http://schemas.openxmlformats.org/officeDocument/2006/relationships/header" Target="header40.xml"/><Relationship Id="rId34" Type="http://schemas.openxmlformats.org/officeDocument/2006/relationships/footer" Target="footer16.xml"/><Relationship Id="rId50" Type="http://schemas.openxmlformats.org/officeDocument/2006/relationships/header" Target="header18.xml"/><Relationship Id="rId55" Type="http://schemas.openxmlformats.org/officeDocument/2006/relationships/header" Target="header20.xml"/><Relationship Id="rId76" Type="http://schemas.openxmlformats.org/officeDocument/2006/relationships/footer" Target="footer39.xml"/><Relationship Id="rId97" Type="http://schemas.openxmlformats.org/officeDocument/2006/relationships/header" Target="header35.xml"/><Relationship Id="rId104" Type="http://schemas.openxmlformats.org/officeDocument/2006/relationships/header" Target="header38.xml"/><Relationship Id="rId120" Type="http://schemas.openxmlformats.org/officeDocument/2006/relationships/footer" Target="footer65.xml"/><Relationship Id="rId125" Type="http://schemas.openxmlformats.org/officeDocument/2006/relationships/footer" Target="footer68.xml"/><Relationship Id="rId141" Type="http://schemas.openxmlformats.org/officeDocument/2006/relationships/footer" Target="footer78.xml"/><Relationship Id="rId146" Type="http://schemas.openxmlformats.org/officeDocument/2006/relationships/footer" Target="footer81.xml"/><Relationship Id="rId7" Type="http://schemas.openxmlformats.org/officeDocument/2006/relationships/endnotes" Target="endnotes.xml"/><Relationship Id="rId71" Type="http://schemas.openxmlformats.org/officeDocument/2006/relationships/footer" Target="footer36.xml"/><Relationship Id="rId92" Type="http://schemas.openxmlformats.org/officeDocument/2006/relationships/header" Target="header33.xml"/><Relationship Id="rId2" Type="http://schemas.openxmlformats.org/officeDocument/2006/relationships/numbering" Target="numbering.xml"/><Relationship Id="rId29" Type="http://schemas.openxmlformats.org/officeDocument/2006/relationships/footer" Target="footer13.xml"/><Relationship Id="rId24" Type="http://schemas.openxmlformats.org/officeDocument/2006/relationships/footer" Target="footer10.xml"/><Relationship Id="rId40" Type="http://schemas.openxmlformats.org/officeDocument/2006/relationships/header" Target="header14.xml"/><Relationship Id="rId45" Type="http://schemas.openxmlformats.org/officeDocument/2006/relationships/header" Target="header16.xml"/><Relationship Id="rId66" Type="http://schemas.openxmlformats.org/officeDocument/2006/relationships/footer" Target="footer34.xml"/><Relationship Id="rId87" Type="http://schemas.openxmlformats.org/officeDocument/2006/relationships/header" Target="header31.xml"/><Relationship Id="rId110" Type="http://schemas.openxmlformats.org/officeDocument/2006/relationships/footer" Target="footer59.xml"/><Relationship Id="rId115" Type="http://schemas.openxmlformats.org/officeDocument/2006/relationships/footer" Target="footer62.xml"/><Relationship Id="rId131" Type="http://schemas.openxmlformats.org/officeDocument/2006/relationships/footer" Target="footer72.xml"/><Relationship Id="rId136" Type="http://schemas.openxmlformats.org/officeDocument/2006/relationships/footer" Target="footer75.xml"/><Relationship Id="rId61" Type="http://schemas.openxmlformats.org/officeDocument/2006/relationships/footer" Target="footer32.xml"/><Relationship Id="rId82" Type="http://schemas.openxmlformats.org/officeDocument/2006/relationships/header" Target="header29.xml"/><Relationship Id="rId152" Type="http://schemas.openxmlformats.org/officeDocument/2006/relationships/theme" Target="theme/theme1.xml"/><Relationship Id="rId19" Type="http://schemas.openxmlformats.org/officeDocument/2006/relationships/footer" Target="footer7.xml"/><Relationship Id="rId14" Type="http://schemas.openxmlformats.org/officeDocument/2006/relationships/footer" Target="footer4.xml"/><Relationship Id="rId30" Type="http://schemas.openxmlformats.org/officeDocument/2006/relationships/header" Target="header10.xml"/><Relationship Id="rId35" Type="http://schemas.openxmlformats.org/officeDocument/2006/relationships/header" Target="header12.xml"/><Relationship Id="rId56" Type="http://schemas.openxmlformats.org/officeDocument/2006/relationships/footer" Target="footer29.xml"/><Relationship Id="rId77" Type="http://schemas.openxmlformats.org/officeDocument/2006/relationships/header" Target="header27.xml"/><Relationship Id="rId100" Type="http://schemas.openxmlformats.org/officeDocument/2006/relationships/footer" Target="footer53.xml"/><Relationship Id="rId105" Type="http://schemas.openxmlformats.org/officeDocument/2006/relationships/footer" Target="footer56.xml"/><Relationship Id="rId126" Type="http://schemas.openxmlformats.org/officeDocument/2006/relationships/footer" Target="footer69.xml"/><Relationship Id="rId147" Type="http://schemas.openxmlformats.org/officeDocument/2006/relationships/header" Target="header55.xml"/><Relationship Id="rId8" Type="http://schemas.openxmlformats.org/officeDocument/2006/relationships/header" Target="header1.xml"/><Relationship Id="rId51" Type="http://schemas.openxmlformats.org/officeDocument/2006/relationships/footer" Target="footer26.xml"/><Relationship Id="rId72" Type="http://schemas.openxmlformats.org/officeDocument/2006/relationships/header" Target="header25.xml"/><Relationship Id="rId93" Type="http://schemas.openxmlformats.org/officeDocument/2006/relationships/footer" Target="footer49.xml"/><Relationship Id="rId98" Type="http://schemas.openxmlformats.org/officeDocument/2006/relationships/footer" Target="footer52.xml"/><Relationship Id="rId121" Type="http://schemas.openxmlformats.org/officeDocument/2006/relationships/footer" Target="footer66.xml"/><Relationship Id="rId142" Type="http://schemas.openxmlformats.org/officeDocument/2006/relationships/header" Target="header53.xml"/><Relationship Id="rId3" Type="http://schemas.openxmlformats.org/officeDocument/2006/relationships/styles" Target="styles.xml"/><Relationship Id="rId25" Type="http://schemas.openxmlformats.org/officeDocument/2006/relationships/header" Target="header8.xml"/><Relationship Id="rId46" Type="http://schemas.openxmlformats.org/officeDocument/2006/relationships/footer" Target="footer23.xml"/><Relationship Id="rId67" Type="http://schemas.openxmlformats.org/officeDocument/2006/relationships/hyperlink" Target="http://www.unosd.org/content/documents/1237Pub1222_web%20EISD.pdf" TargetMode="External"/><Relationship Id="rId116" Type="http://schemas.openxmlformats.org/officeDocument/2006/relationships/footer" Target="footer63.xml"/><Relationship Id="rId137" Type="http://schemas.openxmlformats.org/officeDocument/2006/relationships/header" Target="header51.xml"/><Relationship Id="rId20" Type="http://schemas.openxmlformats.org/officeDocument/2006/relationships/header" Target="header6.xml"/><Relationship Id="rId41" Type="http://schemas.openxmlformats.org/officeDocument/2006/relationships/footer" Target="footer20.xml"/><Relationship Id="rId62" Type="http://schemas.openxmlformats.org/officeDocument/2006/relationships/footer" Target="footer33.xml"/><Relationship Id="rId83" Type="http://schemas.openxmlformats.org/officeDocument/2006/relationships/footer" Target="footer43.xml"/><Relationship Id="rId88" Type="http://schemas.openxmlformats.org/officeDocument/2006/relationships/footer" Target="footer46.xml"/><Relationship Id="rId111" Type="http://schemas.openxmlformats.org/officeDocument/2006/relationships/footer" Target="footer60.xml"/><Relationship Id="rId132" Type="http://schemas.openxmlformats.org/officeDocument/2006/relationships/header" Target="header49.xml"/><Relationship Id="rId15" Type="http://schemas.openxmlformats.org/officeDocument/2006/relationships/header" Target="header4.xml"/><Relationship Id="rId36" Type="http://schemas.openxmlformats.org/officeDocument/2006/relationships/footer" Target="footer17.xml"/><Relationship Id="rId57" Type="http://schemas.openxmlformats.org/officeDocument/2006/relationships/footer" Target="footer30.xml"/><Relationship Id="rId106" Type="http://schemas.openxmlformats.org/officeDocument/2006/relationships/footer" Target="footer57.xml"/><Relationship Id="rId127" Type="http://schemas.openxmlformats.org/officeDocument/2006/relationships/header" Target="header47.xml"/><Relationship Id="rId10" Type="http://schemas.openxmlformats.org/officeDocument/2006/relationships/header" Target="header2.xml"/><Relationship Id="rId31" Type="http://schemas.openxmlformats.org/officeDocument/2006/relationships/footer" Target="footer14.xml"/><Relationship Id="rId52" Type="http://schemas.openxmlformats.org/officeDocument/2006/relationships/footer" Target="footer27.xml"/><Relationship Id="rId73" Type="http://schemas.openxmlformats.org/officeDocument/2006/relationships/footer" Target="footer37.xml"/><Relationship Id="rId78" Type="http://schemas.openxmlformats.org/officeDocument/2006/relationships/footer" Target="footer40.xml"/><Relationship Id="rId94" Type="http://schemas.openxmlformats.org/officeDocument/2006/relationships/header" Target="header34.xml"/><Relationship Id="rId99" Type="http://schemas.openxmlformats.org/officeDocument/2006/relationships/header" Target="header36.xml"/><Relationship Id="rId101" Type="http://schemas.openxmlformats.org/officeDocument/2006/relationships/footer" Target="footer54.xml"/><Relationship Id="rId122" Type="http://schemas.openxmlformats.org/officeDocument/2006/relationships/header" Target="header45.xml"/><Relationship Id="rId143" Type="http://schemas.openxmlformats.org/officeDocument/2006/relationships/footer" Target="footer79.xml"/><Relationship Id="rId148" Type="http://schemas.openxmlformats.org/officeDocument/2006/relationships/footer" Target="footer82.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footer" Target="footer11.xml"/><Relationship Id="rId47" Type="http://schemas.openxmlformats.org/officeDocument/2006/relationships/footer" Target="footer24.xml"/><Relationship Id="rId68" Type="http://schemas.openxmlformats.org/officeDocument/2006/relationships/hyperlink" Target="http://www.unosd.org/content/documents/1237Pub1222_web%20EISD.pdf" TargetMode="External"/><Relationship Id="rId89" Type="http://schemas.openxmlformats.org/officeDocument/2006/relationships/header" Target="header32.xml"/><Relationship Id="rId112" Type="http://schemas.openxmlformats.org/officeDocument/2006/relationships/header" Target="header41.xml"/><Relationship Id="rId133" Type="http://schemas.openxmlformats.org/officeDocument/2006/relationships/footer" Target="footer73.xml"/><Relationship Id="rId16" Type="http://schemas.openxmlformats.org/officeDocument/2006/relationships/footer" Target="footer5.xml"/><Relationship Id="rId37" Type="http://schemas.openxmlformats.org/officeDocument/2006/relationships/footer" Target="footer18.xml"/><Relationship Id="rId58" Type="http://schemas.openxmlformats.org/officeDocument/2006/relationships/header" Target="header21.xml"/><Relationship Id="rId79" Type="http://schemas.openxmlformats.org/officeDocument/2006/relationships/header" Target="header28.xml"/><Relationship Id="rId102" Type="http://schemas.openxmlformats.org/officeDocument/2006/relationships/header" Target="header37.xml"/><Relationship Id="rId123" Type="http://schemas.openxmlformats.org/officeDocument/2006/relationships/footer" Target="footer67.xml"/><Relationship Id="rId144" Type="http://schemas.openxmlformats.org/officeDocument/2006/relationships/header" Target="header54.xml"/><Relationship Id="rId90" Type="http://schemas.openxmlformats.org/officeDocument/2006/relationships/footer" Target="foot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08FA2-503C-47D9-85C3-DE84A54B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70425</Words>
  <Characters>401426</Characters>
  <Application>Microsoft Office Word</Application>
  <DocSecurity>0</DocSecurity>
  <Lines>3345</Lines>
  <Paragraphs>941</Paragraphs>
  <ScaleCrop>false</ScaleCrop>
  <HeadingPairs>
    <vt:vector size="2" baseType="variant">
      <vt:variant>
        <vt:lpstr>Title</vt:lpstr>
      </vt:variant>
      <vt:variant>
        <vt:i4>1</vt:i4>
      </vt:variant>
    </vt:vector>
  </HeadingPairs>
  <TitlesOfParts>
    <vt:vector size="1" baseType="lpstr">
      <vt:lpstr/>
    </vt:vector>
  </TitlesOfParts>
  <Company>INT</Company>
  <LinksUpToDate>false</LinksUpToDate>
  <CharactersWithSpaces>470910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 Minic</dc:creator>
  <cp:lastModifiedBy>Bojan Grgic</cp:lastModifiedBy>
  <cp:revision>2</cp:revision>
  <cp:lastPrinted>2017-11-10T07:38:00Z</cp:lastPrinted>
  <dcterms:created xsi:type="dcterms:W3CDTF">2017-11-11T13:04:00Z</dcterms:created>
  <dcterms:modified xsi:type="dcterms:W3CDTF">2017-11-11T13:04:00Z</dcterms:modified>
</cp:coreProperties>
</file>