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Default Extension="ttf" ContentType="application/x-font-ttf"/>
  <Default Extension="otf" ContentType="application/x-font-ttf"/>
  <Default Extension="eot"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Fonts w:ascii="DejaVu Sans" w:hAnsi="DejaVu Sans" w:eastAsia="DejaVu Sans" w:cs="DejaVu Sans"/>
              </w:rPr>
              <w:t xml:space="preserve">Statistical Architecture Framework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Fonts w:ascii="DejaVu Sans" w:hAnsi="DejaVu Sans" w:eastAsia="DejaVu Sans" w:cs="DejaVu Sans"/>
              </w:rPr>
              <w:t xml:space="preserve">8 okt 2025 23:57:21</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17236208" name="Picture">
</wp:docPr>
                  <a:graphic>
                    <a:graphicData uri="http://schemas.openxmlformats.org/drawingml/2006/picture">
                      <pic:pic>
                        <pic:nvPicPr>
                          <pic:cNvPr id="41723620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2"/>
              <w:ind/>
            </w:pPr>
            <w:r>
              <w:rPr>
                <w:rFonts w:ascii="DejaVu Sans" w:hAnsi="DejaVu Sans" w:eastAsia="DejaVu Sans" w:cs="DejaVu Sans"/>
              </w:rPr>
              <w:t xml:space="preserve">Properties</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3"/>
            <w:tcMar>
              <w:top w:w="0" w:type="dxa"/>
              <w:left w:w="0" w:type="dxa"/>
              <w:bottom w:w="0" w:type="dxa"/>
              <w:right w:w="0" w:type="dxa"/>
            </w:tcMar>
          </w:tcPr>
          <w:tbl>
            <w:tblPr>
              <w:tblLayout w:type="fixed"/>
            </w:tblPr>
            <w:tblGrid>
              <w:gridCol w:w="3000"/>
              <w:gridCol w:w="7300"/>
            </w:tblGrid>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SSDefaultToolbox</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ArchiMate3::Motivation</w:t>
                  </w:r>
                </w:p>
              </w:tc>
            </w:tr>
          </w:tbl>
          <w:p>
            <w:pPr>
              <w:pStyle w:val="EMPTY_CELL_STYLE"/>
            </w:pPr>
          </w:p>
        </w:tc>
        <w:tc>
          <w:tcPr>
     </w:tcPr>
          <w:p>
            <w:pPr>
              <w:pStyle w:val="EMPTY_CELL_STYLE"/>
            </w:pPr>
          </w:p>
        </w:tc>
      </w:tr>
      <w:tr>
        <w:trPr>
          <w:trHeight w:hRule="exact" w:val="12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85816171" name="Picture">
</wp:docPr>
                  <a:graphic>
                    <a:graphicData uri="http://schemas.openxmlformats.org/drawingml/2006/picture">
                      <pic:pic>
                        <pic:nvPicPr>
                          <pic:cNvPr id="118581617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617304845" name="Picture">
</wp:docPr>
                  <a:graphic>
                    <a:graphicData uri="http://schemas.openxmlformats.org/drawingml/2006/picture">
                      <pic:pic>
                        <pic:nvPicPr>
                          <pic:cNvPr id="617304845" name="Picture"/>
                          <pic:cNvPicPr/>
                        </pic:nvPicPr>
                        <pic:blipFill>
                          <a:blip r:embed="img_0_2_4.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69918042" name="Picture">
</wp:docPr>
                  <a:graphic>
                    <a:graphicData uri="http://schemas.openxmlformats.org/drawingml/2006/picture">
                      <pic:pic>
                        <pic:nvPicPr>
                          <pic:cNvPr id="76991804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br/>
              <w:br/>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4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80683883" name="Picture">
</wp:docPr>
                  <a:graphic>
                    <a:graphicData uri="http://schemas.openxmlformats.org/drawingml/2006/picture">
                      <pic:pic>
                        <pic:nvPicPr>
                          <pic:cNvPr id="148068388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1013741442" name="Picture">
</wp:docPr>
                  <a:graphic>
                    <a:graphicData uri="http://schemas.openxmlformats.org/drawingml/2006/picture">
                      <pic:pic>
                        <pic:nvPicPr>
                          <pic:cNvPr id="1013741442" name="Picture"/>
                          <pic:cNvPicPr/>
                        </pic:nvPicPr>
                        <pic:blipFill>
                          <a:blip r:embed="img_0_4_3.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86260019" name="Picture">
</wp:docPr>
                  <a:graphic>
                    <a:graphicData uri="http://schemas.openxmlformats.org/drawingml/2006/picture">
                      <pic:pic>
                        <pic:nvPicPr>
                          <pic:cNvPr id="148626001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1.1.2. Design statistics 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1.1.3. Build statistics 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1.3.2. Deriving variables and units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1.3.3. Check content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1.3.4. Adjusting and imputing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1.3.5. Estimating population parameters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1.3.6. Integrate statistics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1.5.2. Promotion to use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1.5.3. Facilitate data access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1.5.4. Statistical information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2.1.3. Statistical quality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2.1.4. Statistical register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24314110" name="Picture">
</wp:docPr>
                  <a:graphic>
                    <a:graphicData uri="http://schemas.openxmlformats.org/drawingml/2006/picture">
                      <pic:pic>
                        <pic:nvPicPr>
                          <pic:cNvPr id="202431411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2.2.4. Data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2.2.5. User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3.1.1. Personnel management (HR)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3.1.2. Purchasing &amp; contract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3.1.4. Communication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3.1.5. Administrative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3.1.6. Facility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3.1.8. Information management and archive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3.2.1. Application development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3.2.2. Functional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3.2.3. Technical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3.2.4. Digital workplace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3.2.5. IT infrastructure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3.3.1. Privacy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3.3.2. Security 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3.3.3. Security incident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3.3.4. Logical identity and access control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3.3.5. Physical security &amp; access control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3.3.6. IT Security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3.4.1. Services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3.4.2. Contact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3.4.3. Service Agreement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3.4.4. Self-service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4.1.1. Strategy and governance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4.1.2. Policy and 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4.1.3. Change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4.1.4. Improve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4.1.5. Accountability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4.1.6. Collaboration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379756869" name="Picture">
</wp:docPr>
                  <a:graphic>
                    <a:graphicData uri="http://schemas.openxmlformats.org/drawingml/2006/picture">
                      <pic:pic>
                        <pic:nvPicPr>
                          <pic:cNvPr id="137975686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Principles Viewpoint</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3175000"/>
                  <wp:effectExtent l="0" t="0" r="0" b="0"/>
                  <wp:wrapNone/>
                  <wp:docPr id="2023396180" name="Picture">
</wp:docPr>
                  <a:graphic>
                    <a:graphicData uri="http://schemas.openxmlformats.org/drawingml/2006/picture">
                      <pic:pic>
                        <pic:nvPicPr>
                          <pic:cNvPr id="2023396180" name="Picture"/>
                          <pic:cNvPicPr/>
                        </pic:nvPicPr>
                        <pic:blipFill>
                          <a:blip r:embed="img_0_7_3.png"/>
                          <a:srcRect/>
                          <a:stretch>
                            <a:fillRect l="0" t="0" r="388" b="0"/>
                          </a:stretch>
                        </pic:blipFill>
                        <pic:spPr>
                          <a:xfrm rot="0">
                            <a:off x="0" y="0"/>
                            <a:ext cx="6540500" cy="31750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A&amp;T-01 Reuse before open source, open source before buying, buying before making it yourself</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A&amp;T-02 Active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A&amp;T-03 Active Life Cycle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Bus-01 Maximize the benefits for the organization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Bus-02 IT and technology is everyone's business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Bus-03 Business Continuity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Bus-04 Implement loosely coupled processes and systems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Dat-01 Data is shared property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Dat-02 No data without metadata and classification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S&amp;P-01 Security By 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S&amp;P-02 Privacy By 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3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09507495" name="Picture">
</wp:docPr>
                  <a:graphic>
                    <a:graphicData uri="http://schemas.openxmlformats.org/drawingml/2006/picture">
                      <pic:pic>
                        <pic:nvPicPr>
                          <pic:cNvPr id="170950749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Drivers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8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590800"/>
                  <wp:effectExtent l="0" t="0" r="0" b="0"/>
                  <wp:wrapNone/>
                  <wp:docPr id="606115104" name="Picture">
</wp:docPr>
                  <a:graphic>
                    <a:graphicData uri="http://schemas.openxmlformats.org/drawingml/2006/picture">
                      <pic:pic>
                        <pic:nvPicPr>
                          <pic:cNvPr id="606115104" name="Picture"/>
                          <pic:cNvPicPr/>
                        </pic:nvPicPr>
                        <pic:blipFill>
                          <a:blip r:embed="img_0_8_3.png"/>
                          <a:srcRect/>
                          <a:stretch>
                            <a:fillRect l="0" t="0" r="582" b="0"/>
                          </a:stretch>
                        </pic:blipFill>
                        <pic:spPr>
                          <a:xfrm rot="0">
                            <a:off x="0" y="0"/>
                            <a:ext cx="6540500" cy="25908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Collaboration Needs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Legacy Systems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Policy &amp; Regulation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Resource Constraints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Technological Change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User Expectations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67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10571219" name="Picture">
</wp:docPr>
                  <a:graphic>
                    <a:graphicData uri="http://schemas.openxmlformats.org/drawingml/2006/picture">
                      <pic:pic>
                        <pic:nvPicPr>
                          <pic:cNvPr id="141057121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GOALS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8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2590800"/>
                  <wp:effectExtent l="0" t="0" r="0" b="0"/>
                  <wp:wrapNone/>
                  <wp:docPr id="1299308267" name="Picture">
</wp:docPr>
                  <a:graphic>
                    <a:graphicData uri="http://schemas.openxmlformats.org/drawingml/2006/picture">
                      <pic:pic>
                        <pic:nvPicPr>
                          <pic:cNvPr id="1299308267" name="Picture"/>
                          <pic:cNvPicPr/>
                        </pic:nvPicPr>
                        <pic:blipFill>
                          <a:blip r:embed="img_0_9_3.png"/>
                          <a:srcRect/>
                          <a:stretch>
                            <a:fillRect l="0" t="0" r="582" b="0"/>
                          </a:stretch>
                        </pic:blipFill>
                        <pic:spPr>
                          <a:xfrm rot="0">
                            <a:off x="0" y="0"/>
                            <a:ext cx="6540500" cy="25908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Goals for a statistical office are high-level intentions that describe what the organization aims to achieve, typically in the realm of producing reliable, timely, and relevant statistical data to inform society and policy-makers. In this framework, a "goal" is a motivational element that specifies a desired state of affairs and serves as a guideline for shaping strategies, capabilities, and concrete actions within enterprise architecture</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Cost Efficiency and Resource Sharing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Harmonized Reference Framework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Modernization of Statistical Systems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Support for Data Innovation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Sustainable Compliance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4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10</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87433505" name="Picture">
</wp:docPr>
                  <a:graphic>
                    <a:graphicData uri="http://schemas.openxmlformats.org/drawingml/2006/picture">
                      <pic:pic>
                        <pic:nvPicPr>
                          <pic:cNvPr id="58743350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Fonts w:ascii="DejaVu Sans" w:hAnsi="DejaVu Sans" w:eastAsia="DejaVu Sans" w:cs="DejaVu Sans"/>
              </w:rPr>
              <w:t xml:space="preserve">Strategy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 Primary statistical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EAID_F0239B39_14D6_4dd7_9F85_8F135A24F9E3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EAID_16E37B1B_7533_4827_B728_D926D688AC64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capacities required to perform the legally required tasks of a Statistical Institute</w:t>
              <w:br/>
              <w:t xml:space="preserve">Explanation: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 Statistical design and build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EAID_4E10FFB4_A285_4523_AA78_12AC1DA6BA74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EAID_6B81148A_F8CB_4c16_BC77_8D2B5C042999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map information needs and set up statistical processes for this purpose.</w:t>
              <w:br/>
              <w:t xml:space="preserve">Explanation: -</w:t>
              <w:br/>
              <w:t xml:space="preserve">Source: GSBPM 5.2, Design</w:t>
              <w:br/>
              <w:t xml:space="preserve">Link: https://unece.github.io/GSBPM-5.2/#design-phase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1.1.1 Needs inventory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EAID_155083E4_6235_4ce3_9CE0_8E72B0988382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EAID_C219DA73_38F5_404c_9F8D_3D412C966DD5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map out the information requirement (demand for information) and translate it into social tasks that we want to respond to (supply)</w:t>
              <w:br/>
              <w:t xml:space="preserve">Explanation: We often do this through strategic relationships, see the social tasks mentioned in the MJP and the process preceding it.</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1.1.2. Design statistics 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EAID_47DED069_E2BC_4720_B513_E1E6F2AE4D8B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EAID_E8D1F2F5_C38B_431f_9E21_52F2FFCC4586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translate information needs into concrete designs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57409452" name="Picture">
</wp:docPr>
                  <a:graphic>
                    <a:graphicData uri="http://schemas.openxmlformats.org/drawingml/2006/picture">
                      <pic:pic>
                        <pic:nvPicPr>
                          <pic:cNvPr id="105740945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consisting of datasets, process and workflow models and rule sets/methodology. This for the datasets that are released</w:t>
              <w:br/>
              <w:t xml:space="preserve">Explanation: This concerns both the statistical product itself and the process that produces this product. Components of the process are various process steps, rule sets for the various process steps, methodology used, the process flow, the designs of the required datasets and the designs for the shared connection points for reuse. If the required datasets are not available, an observation assignment can follow. For primary observation, designs can then follow regarding sampling, questionnaire, etc. </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1.1.3. Build statistics 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EAID_798B6B31_2C11_4998_932E_6132D2974311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EAID_3706D074_58D7_48b1_88B1_3A788C693380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Building, testing, and managing a statistical product to the point where the product lifecycle ends</w:t>
              <w:br/>
              <w:t xml:space="preserve">Explanation: The output from the "Design" phase is assembled and configured in this phase to create the complete operational environment to execute the process. </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EAID_382F11F1_7DB0_4581_A63E_F54470510477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EAID_52FDEFC3_BBA8_4d1e_92B4_920170CE895D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collect data for official statistics.</w:t>
              <w:br/>
              <w:t xml:space="preserve"> Explanation: -</w:t>
              <w:br/>
              <w:t xml:space="preserve">Source: GSBPM 5.2, Collect</w:t>
              <w:br/>
              <w:t xml:space="preserve">Link : https://unece.github.io/GSBPM-5.2/#collect-phase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1.2.1. Primary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EAID_835D4A7F_193B_4cc1_9018_EBEB3B18E6E6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EAID_CA310974_379F_4911_8D3B_915C2C122259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7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Primary observation describes the ability to set up and manage surveys, through to completion and transfer for processing and analysis. Primary observation collects both the data and the associated metadata.</w:t>
              <w:br/>
              <w:t xml:space="preserve"> Explanation: Primary observation is a domain within data collection and performs observations via one or more modes. The research population and the size of the sample are determined together with the client based on the needs. A distinction is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43375706" name="Picture">
</wp:docPr>
                  <a:graphic>
                    <a:graphicData uri="http://schemas.openxmlformats.org/drawingml/2006/picture">
                      <pic:pic>
                        <pic:nvPicPr>
                          <pic:cNvPr id="64337570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made between personal surveys and company surveys. Components of surveys include samples, questionnaires, approach strategies</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1.2.2. Secondary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EAID_3A2A54E3_639C_4c60_8FF6_B881B7E9E28B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EAID_1033BE51_678B_4860_9AD9_2DF97852C5E1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Secondary observation is the activity that describes the work required to collect data and associated metadata from third parties for the production of statistics. </w:t>
              <w:br/>
              <w:t xml:space="preserve">Explanation: Within secondary observation, sources with data collected by third parties are used as much as possible.</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 Processing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EAID_A5C4C347_6A82_483d_9409_D846184DAAEB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EAID_851565AE_148D_4f0d_A692_CA973F34C54D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process raw data into statistical microdata and statistics. </w:t>
              <w:br/>
              <w:t xml:space="preserve">Explanation: </w:t>
              <w:br/>
              <w:t xml:space="preserve">Source: GSBPM 5.2, Process</w:t>
              <w:br/>
              <w:t xml:space="preserve">Link : https://unece.github.io/GSBPM-5.2/#process-phase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1.3.1. Data standardization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EAID_6EDA9A76_47CB_4896_B17F_1618C7A950F0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EAID_3235770C_E7C7_49fc_B784_D681662A03FA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standardize data without loss of content. </w:t>
              <w:br/>
              <w:t xml:space="preserve"> Explanation: This includes standardization of data format, codes for categories, (link) keys, possible units of measurement (for weight, distance, time). Data standardization without loss of content takes place immediately after receipt of the raw data because we want this standardization as early as possible in the processing process for efficiency reasons.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1.3.2. Deriving variables and units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35687842" name="Picture">
</wp:docPr>
                  <a:graphic>
                    <a:graphicData uri="http://schemas.openxmlformats.org/drawingml/2006/picture">
                      <pic:pic>
                        <pic:nvPicPr>
                          <pic:cNvPr id="43568784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EAID_C3F2E78A_DB03_4623_9775_57C934783FE9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EAID_F299FE7B_9611_4d48_9A8B_B8FB9C4B06C8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create new units and values of new variables from existing units and values of existing variables</w:t>
              <w:br/>
              <w:t xml:space="preserve">Explanation: We generally derive new variables with the aim of better describing reality; something the data source was not originally intended for.</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1.3.3. Check content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EAID_E8A4F1DA_0AF2_4e70_A4D9_C0269FB90BD8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EAID_2F069E1E_49DB_45fe_A9A6_AAF341D4E701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check datasets for irregularities, such as missing data, possible errors and outliers. </w:t>
              <w:br/>
              <w:t xml:space="preserve"> Explanation: discovering possible errors can lead to adjustment, see also capacity "Adjust and impute", but can also lead to a quality indicator on the basis of which quality reports can be made. Discovering outliers leads to an 'outlier indicator' and is important for a good estimation method, see also capacity "Estimate population parameter". </w:t>
              <w:br/>
              <w:t xml:space="preserve"> 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1.3.4. Adjusting and imputing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EAID_38590372_4D2A_4428_BC90_3222D744B94C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EAID_17BB682F_D827_40a3_A2CA_FB187AB0290A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adjust possible incorrect values and missing values. </w:t>
              <w:br/>
              <w:t xml:space="preserve"> Explanation: together with the "Content check" capacity, this capacity is often called editing. The check is then carried out using editing rules. The adjustment is then often based on imputation. The imputed values do not yet have to comply with the editing rules. To this end, a final 'adjustment' often takes place with the editing rules as a restriction. </w:t>
              <w:br/>
              <w:t xml:space="preserve"> Source: GSBPM,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1.3.5. Estimating population parameters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EAID_C5A79B02_9C3B_4a58_AD55_23F08E70C05A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EAID_604050F2_23D1_419f_B66D_3C5FFB41A9D1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55962484" name="Picture">
</wp:docPr>
                  <a:graphic>
                    <a:graphicData uri="http://schemas.openxmlformats.org/drawingml/2006/picture">
                      <pic:pic>
                        <pic:nvPicPr>
                          <pic:cNvPr id="115596248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estimate population parameters from microdata. </w:t>
              <w:br/>
              <w:t xml:space="preserve">Explanation: estimated population parameters often manifest themselves as observations (the cells) in a dimensional dataset (table). There are several estimation methods, including the traditional 'weight and aggregate'. There are several techniques to arrive at the weights. Sometimes weights are adjusted to give found outliers, see capacity "Content check" a smaller weight. </w:t>
              <w:br/>
              <w:t xml:space="preserve">Source: B&amp;I architecture, CIO 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1.3.6. Integrate statistics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EAID_047B0D64_6983_4ef1_8FE9_142DC84346C4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EAID_4A9E2EF1_2CFC_49c6_B255_9E05B4A2890C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integrate separate statistics into one consistent whole. </w:t>
              <w:br/>
              <w:t xml:space="preserve">Explanation: We know integration systems for, for example, the national accounts, sector accounts and labour accounts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1.3.7. Statistical security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EAID_1E2470A6_7CAC_4fab_938F_AA717BC96C50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EAID_EF402C35_BD2D_4bce_94BC_9B99021C9437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check datasets for privacy sensitivity and to adjust them in case of violation. </w:t>
              <w:br/>
              <w:t xml:space="preserve">Explanation: see the statistical security manual. </w:t>
              <w:br/>
              <w:t xml:space="preserve">Source: GSBPM 1.2, 6.4</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1.4.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EAID_0B3327A9_E5F8_4350_91F6_DB7E882566AB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EAID_6DE22443_D575_4161_A460_DCD4803F47EC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examine and understand data before it is disseminated.</w:t>
              <w:br/>
              <w:t xml:space="preserve">Explanation: Within statistical institutes, statistical analysis is also known as statistical research in which certain connections or conclusions can be drawn on the basis of relationships (such as correlation).</w:t>
              <w:br/>
              <w:t xml:space="preserve">Source: GSBPM 5.2, Analyse</w:t>
              <w:br/>
              <w:t xml:space="preserve">Link : https://unece.github.io/GSBPM-5.2/#analyse-phase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1.4.1. Statistical (output)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77736855" name="Picture">
</wp:docPr>
                  <a:graphic>
                    <a:graphicData uri="http://schemas.openxmlformats.org/drawingml/2006/picture">
                      <pic:pic>
                        <pic:nvPicPr>
                          <pic:cNvPr id="117773685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EAID_10FDA9B4_CE49_43f2_AD72_3B7BD225C804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EAID_29A8770D_9F8C_4bd4_A439_69F1E355AF08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validate output, interpret and explain statistical data and finalize output for dissemination using shared methodologies and processes.</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 Dissemination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EAID_30908CD3_2C09_4649_AA00_E68B52B1A6A6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EAID_566D08EA_E938_462e_A8E8_D85E098C2457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the release of statistical products to users.</w:t>
              <w:br/>
              <w:t xml:space="preserve">Explanation: This applies to both internal and external users.</w:t>
              <w:br/>
              <w:t xml:space="preserve">Source: GSBPM 5.2, Disseminate</w:t>
              <w:br/>
              <w:t xml:space="preserve">Link: https://unece.github.io/GSBPM-5.2/#disseminate-phase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1.5.1. Publication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EAID_C94D4D5B_878E_40eb_AEB2_9EF293F84DDD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EAID_49F98CB7_564F_4019_9094_001C777A6636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the release of statistical output and associated content according to release schedules, so that users have predictable and equal access to data.</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1.5.2. Promotion to use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EAID_FD089483_30D5_4a3d_AF6B_B81A18A70F6F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EAID_BD5725CB_7C2C_4e58_9747_B08D7C76D577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promote the statistical output to potential users and to inform the press and other interested parties about the statistical output.</w:t>
              <w:br/>
              <w:t xml:space="preserve">Explanation: -</w:t>
              <w:br/>
              <w:t xml:space="preserve">Source: ESS capability model</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46794082" name="Picture">
</wp:docPr>
                  <a:graphic>
                    <a:graphicData uri="http://schemas.openxmlformats.org/drawingml/2006/picture">
                      <pic:pic>
                        <pic:nvPicPr>
                          <pic:cNvPr id="104679408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1.5.3. Facilitate data access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EAID_210DD12F_28D7_495a_868E_2454304959F5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EAID_FD5EA5E2_B444_4457_98E4_551580C66521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make statistical data and metadata available to humans and machines through multiple channels.</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1.5.4. Statistical information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EAID_68CD439E_D29B_4d52_A820_7320994EFE4A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EAID_112A4A7E_756A_4a4e_BE79_A91028ADBDF1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prepare and distribute publications related to the statistical output.</w:t>
              <w:br/>
              <w:t xml:space="preserve">Explanation: This includes press releases, interpretations and reports.</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 Supporting Data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EAID_4ED7C8CA_0E6D_4577_B617_6B5FFDE929B6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EAID_40B31561_493C_43d9_9E73_200B5DE17A82</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additional statistical capabilities such as managing statistical data and conducting statistical research. </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 Data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EAID_9457C915_FE11_4d4b_A2B3_56965772E961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EAID_F7D5198E_E631_40f6_8D62_4451650882DD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data and metadata.</w:t>
              <w:br/>
              <w:t xml:space="preserve">Explanation: -</w:t>
              <w:br/>
              <w:t xml:space="preserve">Source:</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49346687" name="Picture">
</wp:docPr>
                  <a:graphic>
                    <a:graphicData uri="http://schemas.openxmlformats.org/drawingml/2006/picture">
                      <pic:pic>
                        <pic:nvPicPr>
                          <pic:cNvPr id="114934668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2.1.1. Data lifecycle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EAID_6C948EE4_3D9A_42f0_92D4_2E90056BECA9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EAID_5F4804DE_F95A_4bfe_92E9_97DE2F1894CF</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data throughout its entire lifecycle.</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2.1.2. Metadata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EAID_F38D273E_6E79_4f18_AA91_EF53BC76CC67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EAID_43494633_0A45_482b_8A25_4D7D81CF62B6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metadata throughout the lifecycle.</w:t>
              <w:br/>
              <w:t xml:space="preserve"> Explanation: -</w:t>
              <w:br/>
              <w:t xml:space="preserve"> Source: ESS Capabilities,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2.1.3. Statistical quality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EAID_AA26E33C_B81E_4ac5_AD8B_E1E1A82858FD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EAID_D8C6E0F5_7DFB_49e5_9F36_584EBF412727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perform quality assessments, implement control mechanisms and initiate quality improvement mechanisms for the statistical value chain.</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2.1.4. Statistical register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EAID_687F1047_A2F2_4f8b_9144_819E513DE4B3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EAID_230E2475_604B_4356_8048_738E2DE56AFD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set up, maintain and make available "registry" services for collecting and integrating data.</w:t>
              <w:br/>
              <w:t xml:space="preserve"> Explanation: Some examples are: EHO, SBB, ABR</w:t>
              <w:br/>
              <w:t xml:space="preserve"> Source: ESS capability model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95691809" name="Picture">
</wp:docPr>
                  <a:graphic>
                    <a:graphicData uri="http://schemas.openxmlformats.org/drawingml/2006/picture">
                      <pic:pic>
                        <pic:nvPicPr>
                          <pic:cNvPr id="99569180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 Research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EAID_568414F1_E1E5_4232_B164_920FEEEF29EB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EAID_8C47D894_4911_4899_B848_FDFA59A98FC0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acquiring and recording knowledge in relation to statistical methods, products, sources and techniques.</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2.2.1. Data source exploration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EAID_95A5F99A_81FC_4352_A891_D0BB176C6886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EAID_253C89EA_CD07_4f3f_8C6A_2EC6110D7B48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Exploring new data sources</w:t>
              <w:br/>
              <w:t xml:space="preserve"> Explanation: -</w:t>
              <w:br/>
              <w:t xml:space="preserve"> Source: ESS,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2.2.2. Product Innovation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EAID_68C985EA_36CB_4966_9997_75E97FF21447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EAID_135FF6C7_1E33_4eea_A162_ADE2511A513C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innovate, i.e. create new statistical products based on existing data sources and explore new data sources that are useful and important to users.</w:t>
              <w:br/>
              <w:t xml:space="preserve"> Explanation: A design phase may be preceded by product innovation.</w:t>
              <w:br/>
              <w:t xml:space="preserve"> Source: 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2.2.3. Methodology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EAID_49989740_FEF4_4140_A151_A85C81032A51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EAID_1C4E4906_54FD_4226_AC6D_2D1BF35E3336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investigate new methods for the statistical process.</w:t>
              <w:br/>
              <w:t xml:space="preserve"> Explanation: -</w:t>
              <w:br/>
              <w:t xml:space="preserve"> Source: CIO-office</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88840947" name="Picture">
</wp:docPr>
                  <a:graphic>
                    <a:graphicData uri="http://schemas.openxmlformats.org/drawingml/2006/picture">
                      <pic:pic>
                        <pic:nvPicPr>
                          <pic:cNvPr id="78884094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2.2.4. Data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EAID_2AB5B054_4AD4_433a_B7B5_68751F93C5B2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EAID_6A97AA57_8D61_4edf_A1E2_3D322E6A3DB5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provide data for statistical or scientific research.</w:t>
              <w:br/>
              <w:t xml:space="preserve"> Explanation: This applies to both internal and external datasets. These services are realized with, among other things, Microdata services.</w:t>
              <w:br/>
              <w:t xml:space="preserve"> Source: CBS Law article 41</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2.2.5. User research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EAID_3426A9FA_BA04_4eb9_A239_4DA17FDF203D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EAID_2E214A33_5996_4876_8BA0_8EE42ED7338C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collect, assess and translate user needs into statistical output</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 Supporting business capacities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EAID_2F52C7EA_AC8B_4d00_BAFC_596F0A0D33ED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EAID_C7003D58_E0F7_4e03_B56D_D04B821510A0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capabilities that ensure that the right people, information and resources are available to implement and support the statistical domains and the governing domain.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 Business operations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EAID_16162BB1_E272_4838_878C_8C29A145AA79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EAID_DF4E1E05_4B67_49e7_89CD_78C91A1C2D09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activities required for managing personnel, purchasing &amp; contracts, finances and housing and the associated systems and communication.</w:t>
              <w:br/>
              <w:t xml:space="preserve">Explanation: -</w:t>
              <w:br/>
              <w:t xml:space="preserve">Source: CEO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11425168" name="Picture">
</wp:docPr>
                  <a:graphic>
                    <a:graphicData uri="http://schemas.openxmlformats.org/drawingml/2006/picture">
                      <pic:pic>
                        <pic:nvPicPr>
                          <pic:cNvPr id="41142516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3.1.1. Personnel management (HR)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EAID_D3D96F8A_F3D0_47d3_BB71_BD0B3B0A6E8E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EAID_41340930_A10D_4c5e_9A1C_CB950F3EF251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sufficient qualified employees are available to carry out all business processes.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3.1.2. Purchasing &amp; contract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EAID_57A6610D_A9AE_4199_BF24_355895FBC6C3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EAID_0E90D6A9_66E6_4225_AD49_5634731ADF27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Acquiring goods and services and monitoring the agreements made with suppliers.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3.1.3. Financial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EAID_29F61E1F_9080_409b_BB89_D782993A5807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EAID_4DC78E14_9ADA_43f4_BFD2_E22C228AA969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planning, organization, design, recording and control of the financial activities of the organization.</w:t>
              <w:br/>
              <w:t xml:space="preserve">Explanation: -</w:t>
              <w:br/>
              <w:t xml:space="preserve">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3.1.4. Communication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EAID_B67643B0_4405_420a_BC9E_D3FD10E69CF1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EAID_32261CB2_CBEB_4b68_8C31_FBE8AA4C1F05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the organization communicates correctly to internal and external parties.</w:t>
              <w:br/>
              <w:t xml:space="preserve">Explanation: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92239608" name="Picture">
</wp:docPr>
                  <a:graphic>
                    <a:graphicData uri="http://schemas.openxmlformats.org/drawingml/2006/picture">
                      <pic:pic>
                        <pic:nvPicPr>
                          <pic:cNvPr id="119223960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3.1.5. Administrative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EAID_6206B8DC_1107_4380_8B6E_1322D678152E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EAID_24CDFDFD_376A_46d9_BF40_943E61366339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Providing support with administrative tasks.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3.1.6. Facility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EAID_8283AFE7_6205_4e8d_A72C_5EB1697DD69C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EAID_BA7FE5A8_6A8F_4358_A764_121A28A1CC80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Organizational function that integrates people, place and process within the built environment.</w:t>
              <w:br/>
              <w:t xml:space="preserve">Explanation: Description based on ISO 41011. The purpose of facility management is to improve the quality of life of people and the productivity of the core activity.</w:t>
              <w:br/>
              <w:t xml:space="preserve">Source: ISO 41011</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3.1.7. Legal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EAID_96E1E443_5FB6_4970_804B_922DC7FE0D6D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EAID_61484FAE_AE40_4a2e_A82F_65F46F4A0090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Handling requests and applications, assessing agreements and advising on relevant legislation and regulations.</w:t>
              <w:br/>
              <w:t xml:space="preserve">Explanation:</w:t>
              <w:br/>
              <w:t xml:space="preserve">Source: </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3.1.8. Information management and archive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EAID_B25CF2A8_E57A_41ad_A7B4_435702BE4A0C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EAID_18BDEE5F_09BC_410b_93BA_8D10CCC01A87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to bring, maintain and preserve the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79343872" name="Picture">
</wp:docPr>
                  <a:graphic>
                    <a:graphicData uri="http://schemas.openxmlformats.org/drawingml/2006/picture">
                      <pic:pic>
                        <pic:nvPicPr>
                          <pic:cNvPr id="107934387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organization's information in a state of sustainable accessibility (FAIR).</w:t>
              <w:br/>
              <w:t xml:space="preserve">Explanation: This concerns information created in the supporting and management processes, not statistical information from the primary CBS process.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 Computerization and automation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EAID_1353E4FD_A6E4_458c_A9A9_1D03BE703B4C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EAID_B1A8265C_39AC_40b7_A8E1_C552E46C6ADE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the information needs of the organization are translated into desired functionalities of the information provision and ensuring that the information systems are available to support the business processes.</w:t>
              <w:br/>
              <w:t xml:space="preserve">Explanation: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3.2.1. Application development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EAID_466167EA_1EAD_4a3b_8223_C7BEA5A83D3A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EAID_6355C941_B54F_450b_B7B3_87C2797E9A5F</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develop applications yourself.</w:t>
              <w:br/>
              <w:t xml:space="preserve">Explanation: This skill is needed to fill gaps in functionality that are missing in the statistical process.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3.2.2. Functional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EAID_14B43D53_1BD9_443b_80D4_4FE292A28AD9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EAID_15D5DBBE_B822_4487_B49C_EC7B0066F93C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Performing management tasks so that applications optimally support business processes. </w:t>
              <w:br/>
              <w:t xml:space="preserve">Explanation: For example, by collecting existing user requirements and translating them into new application functionality.</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3.2.3. Technical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50197932" name="Picture">
</wp:docPr>
                  <a:graphic>
                    <a:graphicData uri="http://schemas.openxmlformats.org/drawingml/2006/picture">
                      <pic:pic>
                        <pic:nvPicPr>
                          <pic:cNvPr id="25019793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EAID_78FB96EF_460E_46a7_83FF_31E46F422D40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EAID_8DBC510D_3A0A_4db4_ACE6_FD55E693E184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Performing management tasks regarding system software and applications.</w:t>
              <w:br/>
              <w:t xml:space="preserve">Explanation: Installing and configuring hardware and software. Managing this hardware and software to ensure that it continues to function correctly, including all measures to help resolve disruptions in a timely manner.</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3.2.4. Digital workplace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EAID_03DF985C_4551_44f8_8087_28FC5CB46820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EAID_DFF72ADC_9DA3_4cc9_A738_C0DF5BDC72FC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Management of the resources and services that the employee uses for his digital workplace. </w:t>
              <w:br/>
              <w:t xml:space="preserve">Explanation: Examples are: (Develop) Laptop / Desktops, Mobile devices, Virtual desktops, Video / audio conferencing, Printing, VPN, proxy services (for the benefit of the workplace).</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3.2.5. IT infrastructure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EAID_C70F5512_83E9_4d6e_B32C_1A73F5FE02ED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EAID_98AB0083_EDBC_4fa9_98F8_5965E68343CA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maintaining and managing IT infrastructure</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 Security and Privacy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EAID_E3CF79C3_C2F7_4fbe_B9DE_A154BB63B827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EAID_2B240688_886C_4a0f_AA3E_4A6C5D3EE7C2</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security and privacy related activities</w:t>
              <w:br/>
              <w:t xml:space="preserve">Explanation: -</w:t>
              <w:br/>
              <w:t xml:space="preserve">Source:</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304579464" name="Picture">
</wp:docPr>
                  <a:graphic>
                    <a:graphicData uri="http://schemas.openxmlformats.org/drawingml/2006/picture">
                      <pic:pic>
                        <pic:nvPicPr>
                          <pic:cNvPr id="130457946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3.3.1. Privacy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EAID_DF55AD61_CC51_4e9e_9424_02B3F86256BA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EAID_5064C160_BC0C_4391_85A9_A6460E95D5D8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managing, applying and testing the privacy policy of Statistics Netherlands in order to comply with, among other things, legislation and regulations in the field of privacy protection.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3.3.2. Security 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EAID_5073D0AB_3BBC_4c65_B983_2F679BA21BA6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EAID_08DC37A5_EEDE_4cf5_9040_A33C9324A525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of identifying, analyzing, and planning measures to ensure the security of a system, network, organization, and facility.</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3.3.3. Security incident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EAID_C490B350_7274_4914_9E26_62EFE8DD7450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EAID_BE041ADA_61B3_45c0_83D7_D28AA0FFCCAE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of identifying, analyzing, responding to, and recovering from security incidents within an organization.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3.3.4. Logical identity and access control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EAID_B9A8B8C1_E4D7_440b_A354_E8EA3E98A3B7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EAID_7BCF6889_AF46_4db8_B159_5F15759DBEBC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all activities that ensure that a person, organization or IT facility can only use automated functions for which it has been granted access rights through an application process.</w:t>
              <w:br/>
              <w:t xml:space="preserve">Explanation: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640747200" name="Picture">
</wp:docPr>
                  <a:graphic>
                    <a:graphicData uri="http://schemas.openxmlformats.org/drawingml/2006/picture">
                      <pic:pic>
                        <pic:nvPicPr>
                          <pic:cNvPr id="164074720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3.3.5. Physical security &amp; access control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EAID_97EB9EFF_4B65_4327_A30C_B82D04399DF7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EAID_AB0C1929_2BF6_444c_9695_D5635179E9B6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all activities that ensure controlled and safe access to buildings and spaces and that people and goods in these buildings and spaces are safe.</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3.3.6. IT Security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EAID_B1B85816_9FB6_4bcb_8AE4_18F124988D88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EAID_E61329B5_7D3A_49fa_9E81_5E9C561FAE15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IT services that serve to support information security </w:t>
              <w:br/>
              <w:t xml:space="preserve">Explanation: Examples include: Endpoint protection, PKI, network security management,</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 Customer and chain interaction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EAID_383F20F6_798B_4c56_B294_CA1F0B1DA837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EAID_6A7A0C22_A859_466d_A346_84DC4FFD3BA4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interact with the customer and chain partners, ensuring that they have the correct data and information and receiving notifications, requests and data.</w:t>
              <w:br/>
              <w:t xml:space="preserve">Explanation:</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3.4.1. Services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EAID_B7714DB9_FBD0_4112_9574_48E7B5C2EC4F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EAID_DE8570F8_C506_4226_B69E_72931581651E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24383279" name="Picture">
</wp:docPr>
                  <a:graphic>
                    <a:graphicData uri="http://schemas.openxmlformats.org/drawingml/2006/picture">
                      <pic:pic>
                        <pic:nvPicPr>
                          <pic:cNvPr id="52438327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design, development, implementation and management of services that the organization (parts) provides to customers and chain partners.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3.4.2. Contact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EAID_0378F9EE_732E_4518_99D4_AFFAD4E1E1F8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EAID_452455B5_040E_4a58_A32B_C6834D56ED85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Maintaining relationships with customers and chain partners.</w:t>
              <w:br/>
              <w:t xml:space="preserve">Explanation: -</w:t>
              <w:br/>
              <w:t xml:space="preserve">Source: GSBPM 1.2,</w:t>
              <w:br/>
              <w:t xml:space="preserve">Link: https://statswiki.unece.org/spaces/GAMSO/pages/247302304/Corporate+Support#CorporateSupport-GAMSOv1.2ManageConsumersManageConsumers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3.4.3. Service Agreement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EAID_5EDBE693_625D_4cbd_BAB9_BB7050D7840C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EAID_0F1F1C8A_5593_41f1_BB16_B91E93D00299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drawing up, managing and enforcing service agreements with clients and chain partners.</w:t>
              <w:br/>
              <w:t xml:space="preserve">Explanation: These contracts apply to clients to whom CBS provides services such as Remote Access for external researchers or for Additional Statistical Services, but also to parties that supply information for primary or secondary observation. If these parties fail to comply, CBS can take enforcement action.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3.4.4. Self-service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EAID_F89DD359_1871_452a_92B6_00D4788B168E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EAID_E4C9BBC6_0877_4622_9A58_24BFEBE0014D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Offers the opportunity to customers and chain partners to find solutions to questions about the services purchased themselves or to make justified adjustments to these services without the intervention of an employee.</w:t>
              <w:br/>
              <w:t xml:space="preserve">Explanation: -</w:t>
              <w:br/>
              <w:t xml:space="preserve">Source:</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19277981" name="Picture">
</wp:docPr>
                  <a:graphic>
                    <a:graphicData uri="http://schemas.openxmlformats.org/drawingml/2006/picture">
                      <pic:pic>
                        <pic:nvPicPr>
                          <pic:cNvPr id="191927798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 Governance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EAID_D20E66A9_A277_4c5b_B734_5401D2433DB8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EAID_72269981_6969_40ab_B766_491D8249D76A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capabilities that provide direction to the organization by determining the desired strategy and the framework within which changes must take place.</w:t>
              <w:br/>
              <w:t xml:space="preserve">Explanation:</w:t>
              <w:br/>
              <w:t xml:space="preserve">Source: GAMSO 1.2, Strategy and Leadership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4.1.1. Strategy and governance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EAID_37509EFB_9BB2_4f6d_A20D_05205930DF38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EAID_57E04237_50BE_4cdd_9DED_BFB300D0018A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a vision and setting up and monitoring the organization and its management.</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4.1.2. Policy and 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EAID_3791B6E5_4437_477a_891E_603165FE852E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EAID_1A2C1E9D_0514_4e5a_829E_02B284DB6776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Translating the strategy into more concrete objectives, principles and plans.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4.1.3. Change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EAID_A8B4ADA3_EEC9_45a0_BE98_07A00C9CF5BE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EAID_892FE782_755D_4dee_B22C_4D3258CE3D5D</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Determining and managing major changes so that maximum contribution is made to the objectives.</w:t>
              <w:br/>
              <w:t xml:space="preserve">Explanation: -</w:t>
              <w:br/>
              <w:t xml:space="preserve">Source: </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27427558" name="Picture">
</wp:docPr>
                  <a:graphic>
                    <a:graphicData uri="http://schemas.openxmlformats.org/drawingml/2006/picture">
                      <pic:pic>
                        <pic:nvPicPr>
                          <pic:cNvPr id="202742755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4.1.4. Improve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EAID_4180D2A7_ECB4_4d30_8F51_7602302EC948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EAID_23EDD12F_27A3_4f49_BC7E_2934E4C63A84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Managing the daily operation and working on identifying areas for improvement and implementing improvement measures based on daily operations.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4.1.5. Accountability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EAID_E8113F80_6C4D_4606_ABDD_77E8BC04E3B3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EAID_11A25114_8CAF_42f5_B0B5_85A73B8AEE3C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Reporting to stakeholders inside and outside the organization on the extent to which obligations and agreements are met.</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4.1.6. Collaboration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EAID_21169A06_D3C8_4592_BDB9_03BE818EAB5C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EAID_F06DB547_3E59_4e0f_99EC_A860777FCCF7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maintain and consolidate strategic relationships with external stakeholders.</w:t>
              <w:br/>
              <w:t xml:space="preserve">Explanation: These activities involve collaboration and coordination with other statistical organisations and other external stakeholders. They may involve coordination within a statistical system, which may be based on a geographical hierarchy of entities (local, regional, national, multinational), or a division of responsibilities between organisations based on activities. They include activities undertaken to identify new opportunities for data exchange or integration. They provide opportunities for the statistical community to exchange knowledge, improve statistical infrastructure and practices, and influence statistical standards</w:t>
              <w:br/>
              <w:t xml:space="preserve">Source: GAMSO 1.2, Manage Strategic Collaboration and Cooperation</w:t>
            </w:r>
          </w:p>
        </w:tc>
        <w:tc>
          <w:tcPr>
     </w:tcPr>
          <w:p>
            <w:pPr>
              <w:pStyle w:val="EMPTY_CELL_STYLE"/>
            </w:pPr>
          </w:p>
        </w:tc>
      </w:tr>
      <w:tr>
        <w:trPr>
          <w:trHeight w:hRule="exact" w:val="20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55495569" name="Picture">
</wp:docPr>
                  <a:graphic>
                    <a:graphicData uri="http://schemas.openxmlformats.org/drawingml/2006/picture">
                      <pic:pic>
                        <pic:nvPicPr>
                          <pic:cNvPr id="205549556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Fonts w:ascii="DejaVu Sans" w:hAnsi="DejaVu Sans" w:eastAsia="DejaVu Sans" w:cs="DejaVu Sans"/>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A&amp;T-01 Reuse before open source, open source before buying, buying before making it yourself</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EAID_538E9594_00EA_4c9d_A1DB_7B81F75965B5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EAID_A2F6A7F7_719C_468f_A4DA_2226D49E9035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 case of equal suitability (Business Case), reuse of (parts of) applications takes precedence. The use of open source software takes precedence over purchasing. Purchasing is then preferred over making it yourself. Non-statistical processes only use standard applications. </w:t>
              <w:br/>
              <w:t xml:space="preserve"> </w:t>
              <w:br/>
              <w:t xml:space="preserve">Reuse of an application or parts thereof is sustainable and cost-efficient, and also leads to standardization in service provision and information provision. If reuse is not possible, investigate whether an Open Source solution is available before considering a Closed Source (Commercial) solution. </w:t>
              <w:br/>
              <w:br/>
              <w:t xml:space="preserve">This is to comply with the government policy "Open, unless". Only if there are no existing solutions available, is it permitted to develop the application yourself.</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A&amp;T-02 Active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EAID_9006BAE5_1965_46f5_BE83_1BE907EE5B09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EAID_5F7EF182_8D94_4697_8C59_FB0620114A3D</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Systems (hardware and software) have an active user community and/or vendor support. The rule of thumb is that we use the latest or the second-to-last major version.</w:t>
              <w:br/>
              <w:t xml:space="preserve"> Among other things, for business continuity it is necessary to be able to get quick and good support in resolving a disruption in the event of a disruption. It is also important from a security perspective that identified security risks are resolved in a timely manner.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A&amp;T-03 Active Life Cycle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EAID_33319E45_E03C_48ac_AA8B_4840ACC083E3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EAID_A6909E75_5DE2_4814_A308_2517C4FF8E1C</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8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 active Life Cycle management we prevent </w:t>
              <w:br/>
              <w:t xml:space="preserve"> overdue maintenance in the IV landscape so that </w:t>
              <w:br/>
              <w:t xml:space="preserve"> continuity &amp; security risks are mitigated, among other things. </w:t>
              <w:br/>
              <w:t xml:space="preserve"> </w:t>
              <w:br/>
              <w:t xml:space="preserve"> Without Life Cycle management, systems or </w:t>
              <w:br/>
              <w:t xml:space="preserve"> parts thereof can become outdated and thus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04149919" name="Picture">
</wp:docPr>
                  <a:graphic>
                    <a:graphicData uri="http://schemas.openxmlformats.org/drawingml/2006/picture">
                      <pic:pic>
                        <pic:nvPicPr>
                          <pic:cNvPr id="140414991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 become vulnerable in terms of security. </w:t>
              <w:br/>
              <w:t xml:space="preserve"> Without active Life Cycle management, a </w:t>
              <w:br/>
              <w:t xml:space="preserve"> technological debt is also built up that, when it </w:t>
              <w:br/>
              <w:t xml:space="preserve"> eventually has to be repaid, will require disproportionate </w:t>
              <w:br/>
              <w:t xml:space="preserve"> effort or introduce continuity risks. Keeping systems and components up-to-date in accordance with established LCM policy </w:t>
              <w:br/>
              <w:t xml:space="preserve"> mitigates these risks.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Accelerated Modernization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provides a roadmap for NSIs to modernize systematically, enabling them to prioritize and sequence modernization efforts. With clear guidance, organizations can replace outdated technologies incrementally while maintaining operational continuity.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Bridge Between Strategy and Technology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connects high-level strategic objectives, such as improving statistical relevance and efficiency, with concrete technology choices. It ensures that IT investments are always justified by their contribution to the organization’s mission.</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Bus-01 Maximize the benefits for the organization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EAID_E294275B_F597_47b0_9420_9E8BBBB2C1AE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EAID_1FD8C967_0E20_4c8a_8271_104EC0F66693</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IV decisions are made </w:t>
              <w:br/>
              <w:t xml:space="preserve"> to maximize the benefit of the organization as a whole. </w:t>
              <w:br/>
              <w:t xml:space="preserve"> </w:t>
              <w:br/>
              <w:t xml:space="preserve"> This principle embodies 'service above self'. </w:t>
              <w:br/>
              <w:t xml:space="preserve"> Decisions made from an organization-wide </w:t>
              <w:br/>
              <w:t xml:space="preserve"> perspective have greater long-term </w:t>
              <w:br/>
              <w:t xml:space="preserve"> value than decisions made from a departmental perspective. To maximize the </w:t>
              <w:br/>
              <w:t xml:space="preserve"> return on the </w:t>
              <w:br/>
              <w:t xml:space="preserve"> investment, IV decisions must align with the organization-wide mission and </w:t>
              <w:br/>
              <w:t xml:space="preserve"> priorities.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Bus-02 IT and technology is everyone's business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EAID_886E0FB7_2D03_4d78_A7C6_54A2BF53CB6F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EAID_8825255C_B63A_42b7_9A2F_1D04E97A7C84</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All departments in the organization participate in IV decisions that are necessary to achieve organizational goals.</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49051870" name="Picture">
</wp:docPr>
                  <a:graphic>
                    <a:graphicData uri="http://schemas.openxmlformats.org/drawingml/2006/picture">
                      <pic:pic>
                        <pic:nvPicPr>
                          <pic:cNvPr id="104905187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IT and technology users are the key stakeholders in the application of technology to meet an organization's needs. </w:t>
              <w:br/>
              <w:t xml:space="preserve">To ensure that IT and technology are aligned with business operations, all departments in the organization must be involved in all aspects of the IT and technology landscape. Business experts from across the organization and the technical staff responsible for developing and maintaining the IT and technology capabilities must work together as a team to jointly define the goals and objectives.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Bus-03 Business Continuity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EAID_081EA8EE_0CD6_4db4_AF8B_F850C3507526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EAID_EA934F19_067D_45e4_8308_2A3A40C70AE2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Organizational activities are maintained despite system or employee outages.</w:t>
              <w:br/>
              <w:t xml:space="preserve"> </w:t>
              <w:br/>
              <w:t xml:space="preserve"> As systems and processes become increasingly important to operations, we become more dependent on them; therefore, we must consider the reliability of such systems and processes in their design and operation. Departments throughout the organization must have the ability to continue their activities, regardless of external events, within agreed lead times. Hardware failures, natural disasters, and data corruption must not disrupt or stop operations. The enterprise must be able to operate on the basis of alternative IV systems/processes.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Bus-04 Implement loosely coupled processes and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EAID_D9EA1AFD_0D07_4d4d_8713_AC2A651D6B31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EAID_D6298C0C_DDC5_4e50_80AA_761580ED3F89</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Processes and systems should be built as independently as possible. </w:t>
              <w:br/>
              <w:t xml:space="preserve"> </w:t>
              <w:br/>
              <w:t xml:space="preserve"> This means that processes and systems are designed in such a way that they are not intertwined and dependent on each other.</w:t>
              <w:br/>
              <w:t xml:space="preserve"> Functionality and logic should be shared with the rest of the organization via standard interfaces.</w:t>
              <w:br/>
              <w:t xml:space="preserve"> </w:t>
              <w:br/>
              <w:t xml:space="preserve"> Loosely coupling processes and systems offers more flexibility to adapt or replace individual processes and systems in the future. In addition, there are advantages in terms of scalability and robustness. Differences in security and privacy requirements can also be better enforced.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Catalyst for Collaboration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a unifying framework for the statistical community. It enables organizations to work together on shared goals, whether through joint platforms, interoperable systems, or harmonized standards, thereby amplifying the collective capacity of UNECE members.</w:t>
              <w:br/>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02081349" name="Picture">
</wp:docPr>
                  <a:graphic>
                    <a:graphicData uri="http://schemas.openxmlformats.org/drawingml/2006/picture">
                      <pic:pic>
                        <pic:nvPicPr>
                          <pic:cNvPr id="170208134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CIOs &amp; CTOs of NSIs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Technology leaders within NSIs need to make strategic IT investment decisions. SAF supports them by providing a clear framework to evaluate options, align IT with business goals, and ensure compliance with international standards.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Citizens &amp; Society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Ultimately, society is the beneficiary of SAF, as it ensures that statistical organizations produce trustworthy, transparent, and modern statistics that support democratic accountability and informed public discourse.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Collaboration Needs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 a globalized world, statistical comparability and cross-border data exchange are essential. Drivers such as regional integration, international data spaces, and UNECE initiatives make collaboration critical. SAF responds by promoting shared reference models, standardized APIs, and governance mechanisms to facilitate collaboration.</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Cost Efficiency and Resource Sharing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 shrinking budgets and limited human resources, NSIs must operate as efficiently as possible. SAF promotes cost reduction through shared services, reuse of solutions, and improved interoperability. By pooling resources across borders, NSIs can access more advanced capabilities than they could individually, while reducing duplication of effort.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Cross-Border Comparability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Statistics gain value when they are comparable across borders. SAF enables this by promoting common standards, models, and processes, ensuring that statistics from different countries can be meaningfully compared.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Dat-01 Data is shared property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EAID_6D643CD8_3F83_407e_AE22_906A56969096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EAID_481DB596_A5B5_420e_8D65_0CCD3F210402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Statistical data that has been determined to add value for use by internal or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75864553" name="Picture">
</wp:docPr>
                  <a:graphic>
                    <a:graphicData uri="http://schemas.openxmlformats.org/drawingml/2006/picture">
                      <pic:pic>
                        <pic:nvPicPr>
                          <pic:cNvPr id="77586455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external users is shared.</w:t>
              <w:br/>
              <w:t xml:space="preserve"> </w:t>
              <w:br/>
              <w:t xml:space="preserve"> The CBS Act, article 20, requires us to spend resources efficiently. This implies re-use of data, both in observation to reduce the burden, which is required by the CBS Act, article 36, and in further processing to prevent duplication of work in improving and analyzing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Dat-02 No data without metadata and classification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EAID_91798D0F_4A40_48d7_9924_4615C19DBEBE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EAID_84B866E4_F45D_4622_9DE4_EEF87CCB71B0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All data that needs to be shared, needs to be provided with metadata information that describes the content and meaning of the data as well as possible. In addition, the data also needs to be classified. </w:t>
              <w:br/>
              <w:t xml:space="preserve"> </w:t>
              <w:br/>
              <w:t xml:space="preserve"> Metadata makes it possible to make data FAIR and the BIV classification (Availability, Integrity and Confidentiality) provides direction for the necessary technical and organizational measures. This is to comply with various laws, requirements and security standards.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Enhanced Data Quality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Embedding governance, metadata, and lineage into architecture ensures that statistical outputs maintain the highest standards of quality and trustworthiness. SAF makes quality an architectural outcome rather than an afterthought.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Foundation for Digital Transformation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not just a set of technical models; it is the foundation for digital transformation in official statistics. It enables NSIs to embrace innovation without sacrificing methodological rigor or institutional trust.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Government Policy Makers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Policy makers rely on official statistics to design, implement, and evaluate policies. SAF indirectly benefits them by ensuring that NSIs deliver timely, accurate, and comparable data in formats that are accessible and actionable.</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Harmonized Reference Framework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Without a common reference model, each statistical office risks developing isolated solutions, resulting in inefficiency and reduced comparability. SAF aims to serve as a harmonized reference, providing shared architectural patterns, best practices,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39889652" name="Picture">
</wp:docPr>
                  <a:graphic>
                    <a:graphicData uri="http://schemas.openxmlformats.org/drawingml/2006/picture">
                      <pic:pic>
                        <pic:nvPicPr>
                          <pic:cNvPr id="53988965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and standards that NSIs can adapt to their local contexts. This harmonization fosters collaboration and reduces the costs of developing systems independently.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Improved Interoperability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adopting SAF, NSIs will achieve higher levels of interoperability across systems, domains, and borders. This facilitates cross-country collaborations, enhances comparability of statistics, and simplifies the integration of external data sources into official workflows.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Improved Trust and Transparency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embedding principles such as openness, security, and transparency, SAF helps to build and maintain public trust in statistics. This outcome strengthens the reputation of NSIs and the legitimacy of their outputs.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Increased Efficiency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reduces duplication of effort by promoting reuse, harmonization, and standardization. This outcome means lower IT costs, faster system development cycles, and more efficient data processing pipelines across the statistical 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Innovation Enablement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designed to support the integration of advanced technologies such as AI/ML, real-time analytics, and big data. By lowering the barriers to innovation, it enables NSIs to experiment safely while maintaining methodological soundness.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IT &amp; Data Professionals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Architects, engineers, and data scientists will use SAF to guide their daily work in designing, implementing, and managing systems. SAF provides them with common patterns, tools, and practices that increase efficiency and reduce the learning curve when collaborating across institutions.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Legacy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Legacy systems remain one of the biggest barriers to modernization. They are often costly to maintain, siloed, and difficult to integrate. SAF addresses this driver by offering pathways for incremental modernization, encouraging modular replacements, and advocating for hybrid approaches where legacy and modern systems can coexist temporarily.</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614320275" name="Picture">
</wp:docPr>
                  <a:graphic>
                    <a:graphicData uri="http://schemas.openxmlformats.org/drawingml/2006/picture">
                      <pic:pic>
                        <pic:nvPicPr>
                          <pic:cNvPr id="161432027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Modernization of Statistical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Many NSIs still rely on fragmented, legacy IT landscapes that hinder innovation, efficiency, and responsiveness. The SAF’s goal is to provide clear guidance on how to transition toward modern, cloud-native, and service-based architectures. By enabling modernization, NSIs can reduce maintenance burdens, improve reliability, and deliver statistics more quickly and flexibly.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National Statistical Institutes (NSIs)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NSIs are the primary beneficiaries of SAF, as it provides them with structured guidance for their enterprise architecture. By using SAF, NSIs can align with international practices, improve efficiency, and strengthen their ability to deliver high-quality statistics to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Policy &amp; Regulation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Statistical offices operate in a regulatory environment that is increasingly complex, with requirements such as GDPR, the EU Data Act, and the upcoming European Health Data Space (EHDS). These regulations influence architecture design by mandating strong governance, privacy controls, and interoperability. SAF integrates these drivers to ensure NSIs remain compliant while retaining flexibility.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Researchers &amp; Academia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Research communities increasingly rely on official data for scientific inquiry and innovation. SAF supports them by ensuring that statistical systems are designed with openness, data sharing, and high-quality metadata in mind, facilitating advanced research use cases.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Resource Constraints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Many NSIs face declining budgets, workforce reductions, or limited access to specialized IT skills. SAF is designed to help organizations maximize the use of existing assets, promote collaboration, and reduce costs by encouraging shared solutions and reuse. By embedding efficiency, SAF ensures that modernization is achievable even with resource constraints.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Risk Reduction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5521673" name="Picture">
</wp:docPr>
                  <a:graphic>
                    <a:graphicData uri="http://schemas.openxmlformats.org/drawingml/2006/picture">
                      <pic:pic>
                        <pic:nvPicPr>
                          <pic:cNvPr id="5552167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embedding compliance, security, and governance into the architecture, SAF reduces risks associated with system failures, data breaches, or regulatory non-compliance. This value is particularly critical in maintaining the trust of citizens and stakeholders.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S&amp;P-01 Security By 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EAID_8BB3F74C_B40B_4c8e_916F_2C9919E7CFFB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EAID_4911417C_5655_4db0_81CF_254FCC1E9130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Security should not be an afterthought in IV solutions, but should be part of those solutions. Coherent security mechanisms should span all layers of the architecture and be scalable � from small objects to large objects</w:t>
              <w:br/>
              <w:t xml:space="preserve"> </w:t>
              <w:br/>
              <w:t xml:space="preserve"> Security should be designed as an integrated part of the system architecture.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S&amp;P-02 Privacy By 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EAID_0BB196F4_7E3C_4be4_8CEB_111E21E6D965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EAID_3F8A4C54_4F7A_432f_8403_DDDC31E051B5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Privacy by design should be designed as an integrated part of the system architecture and business processes.</w:t>
              <w:br/>
              <w:t xml:space="preserve"> Privacy should not be an afterthought in IV solutions, but should be part of those solutions.</w:t>
              <w:br/>
              <w:t xml:space="preserve"> The result is that privacy becomes an essential part of the core functionality that is delivered. </w:t>
              <w:br/>
              <w:t xml:space="preserve"> Privacy is an integral part of the system without compromising functionality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Shared Knowledge 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fosters a community of practice across UNECE members. Through shared architectural frameworks, NSIs can exchange lessons learned, reusable components, and knowledge — leading to continuous improvement at lower cost.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Strategic Alignment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ensures that all IT initiatives within NSIs directly contribute to their mission of producing official statistics. This alignment improves governance, prioritization, and the impact of IT investments.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Support for Data Innovation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78220717" name="Picture">
</wp:docPr>
                  <a:graphic>
                    <a:graphicData uri="http://schemas.openxmlformats.org/drawingml/2006/picture">
                      <pic:pic>
                        <pic:nvPicPr>
                          <pic:cNvPr id="67822071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The statistical community is under pressure to integrate novel data sources, such as big data, geospatial data, and administrative records. SAF provides the architectural foundation to incorporate these sources while maintaining statistical quality, methodological rigor, and compliance. Supporting data innovation is key to ensuring official statistics remain relevant and authoritative in the digital age.</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Sustainability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promotes efficiency and modernization while reducing technical debt. By providing clear pathways for evolution, it ensures that NSIs can sustain their IT landscapes without repeated costly overhauls.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Sustainable Compliance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Compliance with international frameworks such as GSBPM, GSIM, GAMSO, and newer EU frameworks like EHDS and Data Spaces is essential for statistical comparability and trust. SAF ensures that architecture decisions align with these standards by design, reducing the risk of ad hoc adaptations and compliance failures. This long-term compliance contributes to sustainable operations and reputational trust.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Technological Change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Rapid advancements in areas such as artificial intelligence, machine learning, big data, and cloud computing are reshaping how data is processed and used. These changes push statistical organizations to modernize and rethink their architectures to remain relevant. SAF provides a way to systematically incorporate such emerging technologies without jeopardizing reliability or trust.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Trust &amp; Legitimacy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Ultimately, the value of SAF lies in enhancing trust in official statistics. By ensuring transparency, ethical practices, and robust security, SAF reinforces the legitimacy of NSIs as authoritative providers of public data.</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UNECE &amp; Other International Bodies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UNECE acts as a custodian of SAF, ensuring that it remains relevant, comprehensive, and widely adopted. Other bodies, such as Eurostat or the UN Statistics Division, are also stakeholders, as SAF complements their work in statistical modernization.</w:t>
              <w:br/>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37785888" name="Picture">
</wp:docPr>
                  <a:graphic>
                    <a:graphicData uri="http://schemas.openxmlformats.org/drawingml/2006/picture">
                      <pic:pic>
                        <pic:nvPicPr>
                          <pic:cNvPr id="93778588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Unifying Language and Notation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adopting TOGAF and ArchiMate, SAF ensures that diverse stakeholders can communicate using a consistent language and notation. This reduces misunderstandings, enables shared modelling practices, and promotes architectural maturity across the community.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User Expectations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Policymakers, researchers, and citizens demand more timely, granular, and interactive statistical products. Traditional statistical cycles are often too slow to meet these needs. SAF addresses this by guiding the development of real-time or near-real-time data pipelines, interactive dissemination platforms, and flexible architectures capable of meeting diverse stakeholder demands.</w:t>
              <w:br/>
            </w:r>
          </w:p>
        </w:tc>
        <w:tc>
          <w:tcPr>
     </w:tcPr>
          <w:p>
            <w:pPr>
              <w:pStyle w:val="EMPTY_CELL_STYLE"/>
            </w:pPr>
          </w:p>
        </w:tc>
      </w:tr>
      <w:tr>
        <w:trPr>
          <w:trHeight w:hRule="exact" w:val="9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82195674" name="Picture">
</wp:docPr>
                  <a:graphic>
                    <a:graphicData uri="http://schemas.openxmlformats.org/drawingml/2006/picture">
                      <pic:pic>
                        <pic:nvPicPr>
                          <pic:cNvPr id="28219567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Fonts w:ascii="DejaVu Sans" w:hAnsi="DejaVu Sans" w:eastAsia="DejaVu Sans" w:cs="DejaVu Sans"/>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EAID_97F19B05_93DB_43f9_8002_70423F986ACF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EAID_39324632_308B_4f8c_99FF_4907C6F036C9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3.4.2. Contact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EAID_A4DC5F65_E7AC_4f80_A94D_4D3E49982B21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EAID_95156BF4_C3E9_49be_9DA3_4EA9F238EF23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EAID_8319D0F7_B7C7_4abb_89B9_D9A706BF0E17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EAID_74EAA754_03F8_43db_ADFA_27F2CDA6B515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3.4.4. Self-service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EAID_26EA7A7A_2A30_4c44_AAA0_33EDD17A781D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EAID_0F2DE06D_DBA0_49ae_BE2A_8C61570FDD4C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EAID_7E48486E_6DA0_43fc_8F71_84E85759407B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EAID_14F94289_9C8D_4e59_85CF_33508F5C41AF</w:t>
                  </w:r>
                </w:p>
              </w:tc>
            </w:tr>
          </w:tbl>
          <w:p>
            <w:pPr>
              <w:pStyle w:val="EMPTY_CELL_STYLE"/>
            </w:pP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12462585" name="Picture">
</wp:docPr>
                  <a:graphic>
                    <a:graphicData uri="http://schemas.openxmlformats.org/drawingml/2006/picture">
                      <pic:pic>
                        <pic:nvPicPr>
                          <pic:cNvPr id="171246258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2.2.5. User research</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EAID_6D4C7176_5DD1_4647_8478_08ADCA447B6F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EAID_879B8254_8957_425c_93E1_8509BBC90EBA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EAID_3CD75267_C5A1_4b33_A7BE_BC811D6DB0DA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EAID_25CC4413_8314_4609_ABDF_BADE15E537D8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EAID_A86C2C0C_F47C_4b4f_B158_A1363589BE03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EAID_1CF0768F_8061_4a5b_A74B_4B0A95AE6737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3.1.1. Personnel management (HR)</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EAID_7CE2D5EE_A04F_4989_8BDA_62575FF51E83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EAID_D040EE69_B385_47ee_83E4_3B94188DDEB0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EAID_3E3DFB62_130B_4bb1_8D98_D3F4E3CEB5DB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EAID_A0AA9B1D_12A0_4ddf_9A96_00094B4438F3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25328040" name="Picture">
</wp:docPr>
                  <a:graphic>
                    <a:graphicData uri="http://schemas.openxmlformats.org/drawingml/2006/picture">
                      <pic:pic>
                        <pic:nvPicPr>
                          <pic:cNvPr id="72532804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3.4.1. Services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EAID_E4614A1F_1786_4b3c_BECF_565CB6028D52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EAID_BF057CEF_3071_4e4c_9621_504D4A146EF7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3.1.4. Communication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EAID_3C8183FD_7FF4_47b3_96D0_CAE371BA78C1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EAID_3C735FF8_3F3A_419b_B657_D065BAF8183A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EAID_60641A1C_4B60_4c1b_9996_5EB86D0AB27E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EAID_945C47A2_FF28_4e67_8F50_19AD37473430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3.2.2. Functional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EAID_38809BCA_EE0D_4c75_9A70_E5ADC879322E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EAID_A80BA036_3CD3_4d53_B7F5_EAF1FB4C0F1C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3.4.3. Service Agreement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EAID_8D369CF9_343C_4512_8314_FAC1C6DC363D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EAID_DC8D941A_E2F0_4f88_ACD4_1CD1EF67EE9B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35265417" name="Picture">
</wp:docPr>
                  <a:graphic>
                    <a:graphicData uri="http://schemas.openxmlformats.org/drawingml/2006/picture">
                      <pic:pic>
                        <pic:nvPicPr>
                          <pic:cNvPr id="43526541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EAID_29B72830_E631_41b6_8B48_875736BFDF02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EAID_5695A7A6_75B9_43ac_BA16_FDDECA8D3F36</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4.1.2. Policy and planning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EAID_B3C5109E_7851_4ac5_A6AA_0BF88DE4C3A6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EAID_944568D8_DE25_4551_B012_1C77245BA737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4.1.3. Change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EAID_41186B00_9C59_4801_90D2_0FFD52DFCACC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EAID_39EAD962_6FA0_47c1_9F1F_192FD5AA0B65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EAID_E7A8AFAB_83C2_4cd6_A227_FE2B9AD6623F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EAID_F0C02C6F_6BD7_4066_8AF3_21BDC81CD02B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EAID_11681EE8_AD3E_4f80_B14E_D1BCAF00CEBE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EAID_0A85C9A8_38FC_4e44_9497_143461E5EAFE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66571642" name="Picture">
</wp:docPr>
                  <a:graphic>
                    <a:graphicData uri="http://schemas.openxmlformats.org/drawingml/2006/picture">
                      <pic:pic>
                        <pic:nvPicPr>
                          <pic:cNvPr id="106657164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EAID_48346A7B_9D23_4757_B646_DFC09263A640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EAID_BE196EAB_B59C_41c4_A352_2C20CEE2B752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3.3.4. Logical identity and access control</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EAID_2DF7ECB2_85E5_4276_88FF_5E18982B62FE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EAID_73503181_C1F9_4426_B576_3A0A7C34F637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EAID_AFB24493_71FA_4274_85AF_0F12066DFB96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EAID_098D56BD_CE97_4fe4_BCEF_DD41AFB2023C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EAID_5E2182CD_F10E_43b6_87B6_3643502EE188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EAID_A97D433A_83DB_4748_A85A_AB6725B9CCFD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EAID_A9678DF5_92D7_4790_AA71_52506B260EB0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EAID_EF30F84C_56B0_4203_A103_EA84B4983621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3.2.3. Technical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57356322" name="Picture">
</wp:docPr>
                  <a:graphic>
                    <a:graphicData uri="http://schemas.openxmlformats.org/drawingml/2006/picture">
                      <pic:pic>
                        <pic:nvPicPr>
                          <pic:cNvPr id="195735632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EAID_DF4EC9D5_7898_402e_B751_4E09E173467A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EAID_631CA0D3_BCA5_4401_9F7D_ADB6338095BE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EAID_8B3D80D3_404B_4941_B471_C224E29B5F9D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EAID_78895893_9A4D_47ed_98D0_F352BBF6494F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EAID_6E7DEA62_83D4_4bcd_87D7_6810033DD48C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EAID_38B5D059_30C1_4cb4_B51D_EAF7E702AC42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EAID_F87CDEE7_067E_49e2_AE3E_759DFF229CB1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EAID_6420196D_EB54_4e57_B8CA_AEA5922F913F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4.1.4. Improve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EAID_2788BD61_ABA6_425a_8915_BC6A862B502A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EAID_A34E10F0_44E8_4569_865F_157B97159511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26874274" name="Picture">
</wp:docPr>
                  <a:graphic>
                    <a:graphicData uri="http://schemas.openxmlformats.org/drawingml/2006/picture">
                      <pic:pic>
                        <pic:nvPicPr>
                          <pic:cNvPr id="92687427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EAID_9611F27A_78B5_4860_8D3C_493463685AE4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EAID_6E981534_0153_40c3_A1CA_55EB33B55F9A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4.1.6. Collaboration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EAID_B1FB7742_01E3_4201_BA23_1CB4F18FE33D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EAID_CE34FBC1_3647_4dad_A06D_D78A3237EA9C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3.1.6. Facility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EAID_7358C245_15EB_4ddc_9DD5_109B59D456CA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EAID_56A4C1EB_C5B2_41ab_889A_D0AB04DC320C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EAID_70FF7E47_9063_4507_AD3E_55C13CB930EB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EAID_61FD7F4F_72BD_4195_B515_83D50B9983C8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3.3.1. Privacy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EAID_91DD14AA_818E_40d5_A164_D24444082A43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EAID_8E40513F_26CC_4f00_9F44_411E508782B8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55875" name="Picture">
</wp:docPr>
                  <a:graphic>
                    <a:graphicData uri="http://schemas.openxmlformats.org/drawingml/2006/picture">
                      <pic:pic>
                        <pic:nvPicPr>
                          <pic:cNvPr id="155587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EAID_880E8F8F_974B_4826_A0DB_9817F19F64D8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EAID_5579F4AE_1D07_49f0_818E_DDE717A7FCFE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EAID_F6A235DF_5513_45a5_84A3_1C32B7DE3028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EAID_AF76CC6B_CA5C_42de_BD86_15E67B0E049F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EAID_E9778F18_8054_41dd_8E55_34FB0DB8E704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EAID_FF2326A9_D5FF_4949_A32E_2D4BD15DAC41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EAID_7F406563_EE0D_4c9a_81A5_8D86A29A5373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EAID_3B38D3D1_1BA7_4b8d_ABCD_87AC27A536E1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3.3.2. Security planning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EAID_4348AB51_3720_4528_98B7_6F641CA49CB7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EAID_01936B7A_1437_4849_896E_923F0600E935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70263596" name="Picture">
</wp:docPr>
                  <a:graphic>
                    <a:graphicData uri="http://schemas.openxmlformats.org/drawingml/2006/picture">
                      <pic:pic>
                        <pic:nvPicPr>
                          <pic:cNvPr id="157026359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EAID_673033C5_35CB_4851_AB48_ACF752933D2D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EAID_9A605532_5526_4248_8065_A4FBAAC5AEEE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EAID_25B0B81B_AF46_4a7d_9FD7_A4AEAD1E51CF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EAID_45A74D7B_B985_4ac0_A03B_00313242E6F8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EAID_39F4F9AF_ACC6_4422_843E_FD174C846589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EAID_60070876_E805_4d24_B26B_AEFC0E573E9C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1.5.2. Promotion to use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EAID_E075BE1F_9C24_4fd4_841B_5E4114B027CB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EAID_9499D8A9_BB68_4285_BD7F_1A4848D84879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EAID_6C579B2F_63D1_4422_8480_65DFF8CB83C8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EAID_E94E93E5_8BFE_45cc_A975_86D84FB1646E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63175267" name="Picture">
</wp:docPr>
                  <a:graphic>
                    <a:graphicData uri="http://schemas.openxmlformats.org/drawingml/2006/picture">
                      <pic:pic>
                        <pic:nvPicPr>
                          <pic:cNvPr id="26317526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EAID_25372267_48B2_4ffe_BB63_65DFBD3CAEE4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EAID_AC08DF79_C7FC_41ee_922D_AC9521779FF1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1.5.3. Facilitate data access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EAID_B9D5BF4B_2FBD_4646_8743_E32AF9751C88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EAID_51FE68C7_F0F3_4575_965F_6BEEF886A25F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1.1.2. Design statistics product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EAID_EC1CEE4F_9C7D_402e_9EA8_C52ECED1003C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EAID_1EBB99C3_64B9_421d_A099_EA136EF8F8DF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EAID_CB19AC1D_866A_4943_88F7_EB697E350F48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EAID_9A13C0CC_1AFA_4ab1_8260_23020E87B137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EAID_F473C75B_D9CD_4d62_8F7A_D326762B71C9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EAID_C292566E_B825_4654_AD41_CB69B362E967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01019938" name="Picture">
</wp:docPr>
                  <a:graphic>
                    <a:graphicData uri="http://schemas.openxmlformats.org/drawingml/2006/picture">
                      <pic:pic>
                        <pic:nvPicPr>
                          <pic:cNvPr id="40101993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EAID_7582A9AC_919E_4ac9_B298_014319EE02A7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EAID_AFCFBB55_7A5C_4852_98BE_05B51A1EA6E8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EAID_798D8FB4_0A63_4cca_86CF_655A63ADFB2F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EAID_50BCA611_5192_4c37_A5DF_141CB72A2DF9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3.2.1. Application development</w:t>
            </w:r>
          </w:p>
        </w:tc>
        <w:tc>
          <w:tcPr>
     </w:tcPr>
          <w:p>
            <w:pPr>
              <w:pStyle w:val="EMPTY_CELL_STYLE"/>
            </w:pPr>
          </w:p>
        </w:tc>
      </w:tr>
      <w:tr>
        <w:trPr>
          <w:trHeight w:hRule="exact" w:val="54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EAID_B23E577B_EE0D_43fe_9C00_34640ADEDAA7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4.1.1. Strategy and governance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EAID_A3D311C3_26FC_4e11_9B84_2B9DBA7DF918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EAID_7EB2C2FE_24F7_413a_A5C7_00C0DA1B36B9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EAID_1C232491_EEE0_46ff_8516_76AF7713AB45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EAID_3825A6D4_A01F_4208_ABAA_400F7559F062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1.1.3. Build statistics product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EAID_00CB5ED7_FB82_4fb7_BF0D_24AEEF1618AE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EAID_71573B32_3C3A_47a3_AB06_5C3A0ED9C34C</w:t>
                  </w:r>
                </w:p>
              </w:tc>
            </w:tr>
          </w:tbl>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55210730" name="Picture">
</wp:docPr>
                  <a:graphic>
                    <a:graphicData uri="http://schemas.openxmlformats.org/drawingml/2006/picture">
                      <pic:pic>
                        <pic:nvPicPr>
                          <pic:cNvPr id="155521073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EAID_B734674F_BCA4_4b6d_9712_50932B66ACC4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EAID_6E9BC931_3B9E_4966_B299_4253134E28CE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EAID_995F4521_B383_477c_AEC8_5CEA4F8758E2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EAID_3C2A1DF7_DD7A_45b8_B2F8_E1476B34FA59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EAID_60C0A0F0_219C_46ac_8D58_3311BFC5A397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EAID_E148ACA7_6901_45c7_8945_868C7E41090D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EAID_14547305_095C_43a5_8BA3_D5DD0A263CA2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EAID_02B82B2A_7A15_44f0_9AF0_80169647F5F3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2.1.3. Statistical quality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EAID_FF3F05AB_1ADE_4fe6_AA75_8350E22BA546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EAID_BBC9CF06_AE25_4d1e_97F9_6FE3DAFD97D5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10733110" name="Picture">
</wp:docPr>
                  <a:graphic>
                    <a:graphicData uri="http://schemas.openxmlformats.org/drawingml/2006/picture">
                      <pic:pic>
                        <pic:nvPicPr>
                          <pic:cNvPr id="81073311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EAID_A9362C22_9E8A_4566_BC6D_76D63B0AD87B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EAID_ED32F2D6_05B8_4b03_97EE_DFFDDD5D2BC0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Dat-02 No data without metadata and classification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Dat-01 Data is shared property</w:t>
            </w:r>
          </w:p>
        </w:tc>
        <w:tc>
          <w:tcPr>
     </w:tcPr>
          <w:p>
            <w:pPr>
              <w:pStyle w:val="EMPTY_CELL_STYLE"/>
            </w:pPr>
          </w:p>
        </w:tc>
      </w:tr>
      <w:tr>
        <w:trPr>
          <w:trHeight w:hRule="exact" w:val="54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EAID_02EA1CBB_6B13_4c74_9547_E0B0D2B97E48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EAID_8A1D51F5_6970_4717_9E51_1083C6446FCB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EAID_11DFBF14_F66A_410d_8CF6_F0E239DB1208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3.1.2. Purchasing &amp; contract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EAID_8E2C87AC_614C_40b8_9DAA_742ED1CE652C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EAID_81A23F1C_65BF_4724_895F_416BA91CF981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3.1.5. Administrative support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EAID_E00A5858_F230_426d_AD05_CABD3186E67F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EAID_2EBB285C_79B8_4f33_AF11_1045FA077F01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tcPr>
          <w:p>
            <w:pPr>
              <w:pStyle w:val="EMPTY_CELL_STYLE"/>
            </w:pPr>
          </w:p>
        </w:tc>
      </w:tr>
      <w:tr>
        <w:trPr>
          <w:trHeight w:hRule="exact" w:val="9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60196228" name="Picture">
</wp:docPr>
                  <a:graphic>
                    <a:graphicData uri="http://schemas.openxmlformats.org/drawingml/2006/picture">
                      <pic:pic>
                        <pic:nvPicPr>
                          <pic:cNvPr id="86019622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EAID_68E2136C_AD33_4c20_8393_C10CF082E148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EAID_7B95A23E_F66E_4984_A225_8BF49ACB66B0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3.2.5. IT infrastructure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EAID_A63F9166_CB93_4b47_89DB_195D1423E04C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EAID_3FE7F439_BB23_451d_8501_29001ED2110E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3.1.8. Information management and archive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EAID_BD250864_4A19_4cbf_8FA4_0B1797F79E2E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EAID_911DB7C5_5F9C_4de6_8530_15BCBF04B544</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1.5.4. Statistical information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EAID_FED1FF1D_CD24_4271_9849_3BEA1FB442E9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EAID_22AD27F2_6F4C_4f6e_8384_ED8DAB06D88C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2.2.4. Data services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EAID_BFC20E0E_9262_40d8_925C_394568C43B26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EAID_8FC9AD54_4654_4759_8B3A_5D16043CCC7D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834301283" name="Picture">
</wp:docPr>
                  <a:graphic>
                    <a:graphicData uri="http://schemas.openxmlformats.org/drawingml/2006/picture">
                      <pic:pic>
                        <pic:nvPicPr>
                          <pic:cNvPr id="183430128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EAID_791BA2C9_C933_4ca4_B256_E59A75DEF841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EAID_D2B9722D_D444_4a62_B8F7_919E3140C0FD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EAID_48ADC171_63DD_4af9_A144_A0E9D4F334E7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EAID_7E79C844_5B48_4ec7_9D1D_1FA3FE86A8B2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3.3.5. Physical security &amp; access control</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EAID_A7B9BCD1_B627_4d9e_B0C8_157A1F65E2B4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EAID_DA5FA71A_316C_4968_A3A6_BB1D75D6F6F5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EAID_4AE77222_3A73_40d3_B862_1AE06A2B7D19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EAID_80FFD3BD_30E2_4dc1_B2A6_326DD562B7AF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EAID_2106D401_2FD2_4457_B3C1_054638EAB57B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EAID_D9DFD963_DE34_4334_9B8E_3D0D31D112CE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3.3.3. Security incident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597197" name="Picture">
</wp:docPr>
                  <a:graphic>
                    <a:graphicData uri="http://schemas.openxmlformats.org/drawingml/2006/picture">
                      <pic:pic>
                        <pic:nvPicPr>
                          <pic:cNvPr id="1559719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EAID_1FD0B843_10C4_4ec5_94B5_47A98C3F7F22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EAID_BDE5ADE1_3C2E_4645_8ECC_FC5C84AD9DA7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EAID_DE3EB3C0_4075_4dfa_A8A0_F9AFC382F9CC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EAID_396411C5_6351_4110_AA45_4086ED1053EB</w:t>
                  </w:r>
                </w:p>
              </w:tc>
            </w:tr>
          </w:tbl>
          <w:p>
            <w:pPr>
              <w:pStyle w:val="EMPTY_CELL_STYLE"/>
            </w:pPr>
          </w:p>
        </w:tc>
        <w:tc>
          <w:tcPr>
     </w:tcPr>
          <w:p>
            <w:pPr>
              <w:pStyle w:val="EMPTY_CELL_STYLE"/>
            </w:pPr>
          </w:p>
        </w:tc>
      </w:tr>
      <w:tr>
        <w:trPr>
          <w:trHeight w:hRule="exact" w:val="10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sectPr>
      <w:pgSz w:w="11900" w:h="16840" w:orient="portrait"/>
      <w:pgMar w:top="0" w:right="800" w:bottom="0" w:left="0" w:header="0" w:footer="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s>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rFonts w:ascii="DejaVu Sans" w:hAnsi="DejaVu Sans" w:eastAsia="DejaVu Sans" w:cs="DejaVu Sans"/>
      <w:sz w:val="44"/>
    </w:rPr>
  </w:style>
  <w:style w:type="paragraph" w:styleId="Title Date">
    <w:name w:val="Title Date"/>
    <w:qFormat/>
    <w:basedOn w:val="Normal"/>
    <w:pPr>
      <w:ind/>
    </w:pPr>
    <w:rPr>
      <w:rFonts w:ascii="DejaVu Sans" w:hAnsi="DejaVu Sans" w:eastAsia="DejaVu Sans" w:cs="DejaVu Sans"/>
      <w:sz w:val="20"/>
    </w:rPr>
  </w:style>
  <w:style w:type="paragraph" w:styleId="Page footer">
    <w:name w:val="Page footer"/>
    <w:qFormat/>
    <w:basedOn w:val="Normal"/>
    <w:pPr>
      <w:ind/>
    </w:pPr>
    <w:rPr>
      <w:rFonts w:ascii="DejaVu Sans" w:hAnsi="DejaVu Sans" w:eastAsia="DejaVu Sans" w:cs="DejaVu Sans"/>
      <w:color w:val="666666"/>
      <w:sz w:val="16"/>
    </w:rPr>
  </w:style>
  <w:style w:type="paragraph" w:styleId="Title 1">
    <w:name w:val="Title 1"/>
    <w:qFormat/>
    <w:basedOn w:val="Normal"/>
    <w:pPr>
      <w:ind/>
    </w:pPr>
    <w:rPr>
      <w:rFonts w:ascii="DejaVu Sans" w:hAnsi="DejaVu Sans" w:eastAsia="DejaVu Sans" w:cs="DejaVu Sans"/>
      <w:color w:val="7CA9BF"/>
      <w:sz w:val="40"/>
    </w:rPr>
  </w:style>
  <w:style w:type="paragraph" w:styleId="Title 2">
    <w:name w:val="Title 2"/>
    <w:qFormat/>
    <w:basedOn w:val="Normal"/>
    <w:pPr>
      <w:ind/>
    </w:pPr>
    <w:rPr>
      <w:rFonts w:ascii="DejaVu Sans" w:hAnsi="DejaVu Sans" w:eastAsia="DejaVu Sans" w:cs="DejaVu Sans"/>
      <w:color w:val="7CA9BF"/>
      <w:sz w:val="32"/>
    </w:rPr>
  </w:style>
  <w:style w:type="paragraph" w:styleId="Table row">
    <w:name w:val="Table row"/>
    <w:qFormat/>
    <w:basedOn w:val="Normal"/>
    <w:pPr>
      <w:ind/>
      <w:jc w:val="left"/>
    </w:pPr>
    <w:rPr>
      <w:rFonts w:ascii="DejaVu Sans" w:hAnsi="DejaVu Sans" w:eastAsia="DejaVu Sans" w:cs="DejaVu Sans"/>
      <w:sz w:val="20"/>
    </w:rPr>
  </w:style>
  <w:style w:type="paragraph" w:styleId="Table header">
    <w:name w:val="Table header"/>
    <w:qFormat/>
    <w:basedOn w:val="Table row"/>
    <w:pPr>
      <w:ind/>
    </w:pPr>
    <w:rPr>
      <w:rFonts w:ascii="DejaVu Sans" w:hAnsi="DejaVu Sans" w:eastAsia="DejaVu Sans" w:cs="DejaVu Sans"/>
      <w:b w:val="true"/>
    </w:rPr>
  </w:style>
  <w:style w:type="paragraph" w:styleId="Title 3">
    <w:name w:val="Title 3"/>
    <w:qFormat/>
    <w:basedOn w:val="Normal"/>
    <w:pPr>
      <w:ind/>
    </w:pPr>
    <w:rPr>
      <w:rFonts w:ascii="DejaVu Sans" w:hAnsi="DejaVu Sans" w:eastAsia="DejaVu Sans" w:cs="DejaVu Sans"/>
      <w:color w:val="7CA9BF"/>
      <w:sz w:val="28"/>
    </w:rPr>
  </w:style>
  <w:style w:type="paragraph" w:styleId="Italic">
    <w:name w:val="Italic"/>
    <w:qFormat/>
    <w:basedOn w:val="Normal"/>
    <w:pPr>
      <w:ind/>
    </w:pPr>
    <w:rPr>
      <w:rFonts w:ascii="DejaVu Sans" w:hAnsi="DejaVu Sans" w:eastAsia="DejaVu Sans" w:cs="DejaVu Sans"/>
      <w:i w:val="true"/>
    </w:rPr>
  </w:style>
  <w:style w:type="paragraph" w:styleId="Documentation">
    <w:name w:val="Documentation"/>
    <w:qFormat/>
    <w:basedOn w:val="Normal"/>
    <w:pPr>
      <w:ind/>
    </w:pPr>
    <w:rPr>
      <w:rFonts w:ascii="DejaVu Sans" w:hAnsi="DejaVu Sans" w:eastAsia="DejaVu Sans" w:cs="DejaVu Sans"/>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img_0_1_0.png" Type="http://schemas.openxmlformats.org/officeDocument/2006/relationships/image" Target="media/img_0_1_0.png"/>
 <Relationship Id="img_0_2_4.png" Type="http://schemas.openxmlformats.org/officeDocument/2006/relationships/image" Target="media/img_0_2_4.png"/>
 <Relationship Id="img_0_4_3.png" Type="http://schemas.openxmlformats.org/officeDocument/2006/relationships/image" Target="media/img_0_4_3.png"/>
 <Relationship Id="img_0_7_3.png" Type="http://schemas.openxmlformats.org/officeDocument/2006/relationships/image" Target="media/img_0_7_3.png"/>
 <Relationship Id="img_0_8_3.png" Type="http://schemas.openxmlformats.org/officeDocument/2006/relationships/image" Target="media/img_0_8_3.png"/>
 <Relationship Id="img_0_9_3.png" Type="http://schemas.openxmlformats.org/officeDocument/2006/relationships/image" Target="media/img_0_9_3.png"/>
</Relationships>

</file>

<file path=word/_rels/fontTable.xml.rels><?xml version="1.0" encoding="UTF-8" standalone="yes"?>
<Relationships xmlns="http://schemas.openxmlformats.org/package/2006/relationships">
</Relationships>

</file>

<file path=docProps/app.xml><?xml version="1.0" encoding="utf-8"?>
<Properties xmlns="http://schemas.openxmlformats.org/officeDocument/2006/extended-properties">
  <Application>JasperReports Library version 6.12.2-75c5e90a222ab406e416cbf590a5397028a52de3</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