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tiff" ContentType="image/tiff"/>
  <Default Extension="rels" ContentType="application/vnd.openxmlformats-package.relationships+xml"/>
  <Default Extension="xml" ContentType="application/xml"/>
  <Default Extension="ttf" ContentType="application/x-font-ttf"/>
  <Default Extension="otf" ContentType="application/x-font-ttf"/>
  <Default Extension="eot"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w:body>
    <w:tbl>
      <w:tblPr>
        <w:tblLayout w:type="fixed"/>
      </w:tblPr>
      <w:tblGrid>
        <w:gridCol w:w="1"/>
        <w:gridCol w:w="8080"/>
        <w:gridCol w:w="1620"/>
        <w:gridCol w:w="600"/>
        <w:gridCol w:w="1"/>
      </w:tblGrid>
      <w:tr>
        <w:trPr>
          <w:trHeight w:hRule="exact" w:val="1220"/>
        </w:trPr>
        <w:tc>
          <w:tcPr>
     </w:tcPr>
          <w:p>
            <w:pPr>
              <w:pStyle w:val="EMPTY_CELL_STYLE"/>
            </w:pPr>
            <w:bookmarkStart w:id="0" w:name="JR_PAGE_ANCHOR_0_1"/>
            <w:bookmarkEnd w:id="0"/>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3"/>
            <w:tcMar>
              <w:top w:w="0" w:type="dxa"/>
              <w:left w:w="0" w:type="dxa"/>
              <w:bottom w:w="0" w:type="dxa"/>
              <w:right w:w="0" w:type="dxa"/>
            </w:tcMar>
            <w:vAlign w:val="top"/>
          </w:tcPr>
          <w:p>
            <w:pPr>
              <w:pStyle w:val="Title 1"/>
              <w:ind/>
            </w:pPr>
            <w:r>
              <w:rPr>
                <w:rFonts w:ascii="DejaVu Sans" w:hAnsi="DejaVu Sans" w:eastAsia="DejaVu Sans" w:cs="DejaVu Sans"/>
              </w:rPr>
              <w:t xml:space="preserve">Views</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1 Data Acquisition and Ingestion Value Stream</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40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2794000"/>
                  <wp:effectExtent l="0" t="0" r="0" b="0"/>
                  <wp:wrapNone/>
                  <wp:docPr id="557030255" name="Picture">
</wp:docPr>
                  <a:graphic>
                    <a:graphicData uri="http://schemas.openxmlformats.org/drawingml/2006/picture">
                      <pic:pic>
                        <pic:nvPicPr>
                          <pic:cNvPr id="557030255" name="Picture"/>
                          <pic:cNvPicPr/>
                        </pic:nvPicPr>
                        <pic:blipFill>
                          <a:blip r:embed="img_0_0_2.png"/>
                          <a:srcRect/>
                          <a:stretch>
                            <a:fillRect l="0" t="0" r="388" b="0"/>
                          </a:stretch>
                        </pic:blipFill>
                        <pic:spPr>
                          <a:xfrm rot="0">
                            <a:off x="0" y="0"/>
                            <a:ext cx="6540500" cy="2794000"/>
                          </a:xfrm>
                          <a:prstGeom prst="rect"/>
                        </pic:spPr>
                      </pic:pic>
                    </a:graphicData>
                  </a:graphic>
                </wp:anchor>
              </w:drawing>
            </w: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860"/>
        </w:trPr>
        <w:tc>
          <w:tcPr>
     </w:tcPr>
          <w:p>
            <w:pPr>
              <w:pStyle w:val="EMPTY_CELL_STYLE"/>
            </w:pPr>
          </w:p>
        </w:tc>
        <w:tc>
          <w:tcPr>
            <w:gridSpan w:val="3"/>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Data Acquisition and Ingestion Value Stream</w:t>
              <w:br/>
              <w:br/>
              <w:t xml:space="preserve">Purpose:</w:t>
              <w:br/>
              <w:t xml:space="preserve">To acquire, access, or receive raw data from internal or external sources and bring it into the organization’s statistical environment under controlled governance conditions.</w:t>
              <w:br/>
              <w:br/>
              <w:t xml:space="preserve">Description:</w:t>
              <w:br/>
              <w:t xml:space="preserve">This value stream begins with the identification of data needs and the establishment of agreements with data providers. It encompasses data collection through surveys, administrative registers, sensors, web scraping, or data spaces. The main value contribution is making relevant, high-quality, and authorized data available for statistical use.</w:t>
              <w:br/>
              <w:br/>
              <w:t xml:space="preserve">At this stage, value is created through access, trust, and compliance — ensuring that the data entering the system is ethically sourced, legally compliant, and fit for purpose. The resulting artefact is a collected dataset, accompanied by metadata describing source, format, and quality attributes.</w:t>
              <w:br/>
              <w:br/>
              <w:t xml:space="preserve">Key capabilities: Data Acquisition Management, Source Integration, Data Governance, Security &amp; Privacy Management, Metadata Registration.</w:t>
            </w:r>
          </w:p>
        </w:tc>
        <w:tc>
          <w:tcPr>
     </w:tcPr>
          <w:p>
            <w:pPr>
              <w:pStyle w:val="EMPTY_CELL_STYLE"/>
            </w:pPr>
          </w:p>
        </w:tc>
      </w:tr>
      <w:tr>
        <w:trPr>
          <w:trHeight w:hRule="exact" w:val="20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1620"/>
        <w:gridCol w:w="600"/>
        <w:gridCol w:w="1"/>
      </w:tblGrid>
      <w:tr>
        <w:trPr>
          <w:trHeight w:hRule="exact" w:val="15840"/>
        </w:trPr>
        <w:tc>
          <w:tcPr>
     </w:tcPr>
          <w:p>
            <w:pPr>
              <w:pStyle w:val="EMPTY_CELL_STYLE"/>
              <w:pageBreakBefore/>
            </w:pPr>
            <w:bookmarkStart w:id="1" w:name="JR_PAGE_ANCHOR_0_2"/>
            <w:bookmarkEnd w:id="1"/>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1620"/>
        <w:gridCol w:w="600"/>
        <w:gridCol w:w="1"/>
      </w:tblGrid>
      <w:tr>
        <w:trPr>
          <w:trHeight w:hRule="exact" w:val="1200"/>
        </w:trPr>
        <w:tc>
          <w:tcPr>
     </w:tcPr>
          <w:p>
            <w:pPr>
              <w:pStyle w:val="EMPTY_CELL_STYLE"/>
              <w:pageBreakBefore/>
            </w:pPr>
            <w:bookmarkStart w:id="2" w:name="JR_PAGE_ANCHOR_0_3"/>
            <w:bookmarkEnd w:id="2"/>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2 Data Standardization and Integration Value Stream</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32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2743200"/>
                  <wp:effectExtent l="0" t="0" r="0" b="0"/>
                  <wp:wrapNone/>
                  <wp:docPr id="29797253" name="Picture">
</wp:docPr>
                  <a:graphic>
                    <a:graphicData uri="http://schemas.openxmlformats.org/drawingml/2006/picture">
                      <pic:pic>
                        <pic:nvPicPr>
                          <pic:cNvPr id="29797253" name="Picture"/>
                          <pic:cNvPicPr/>
                        </pic:nvPicPr>
                        <pic:blipFill>
                          <a:blip r:embed="img_0_2_1.png"/>
                          <a:srcRect/>
                          <a:stretch>
                            <a:fillRect l="0" t="0" r="388" b="462"/>
                          </a:stretch>
                        </pic:blipFill>
                        <pic:spPr>
                          <a:xfrm rot="0">
                            <a:off x="0" y="0"/>
                            <a:ext cx="6540500" cy="2743200"/>
                          </a:xfrm>
                          <a:prstGeom prst="rect"/>
                        </pic:spPr>
                      </pic:pic>
                    </a:graphicData>
                  </a:graphic>
                </wp:anchor>
              </w:drawing>
            </w: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20"/>
        </w:trPr>
        <w:tc>
          <w:tcPr>
     </w:tcPr>
          <w:p>
            <w:pPr>
              <w:pStyle w:val="EMPTY_CELL_STYLE"/>
            </w:pPr>
          </w:p>
        </w:tc>
        <w:tc>
          <w:tcPr>
            <w:gridSpan w:val="3"/>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Purpose:</w:t>
              <w:br/>
              <w:t xml:space="preserve">To transform raw, heterogeneous input data into a harmonized and interoperable structure that can be processed and compared consistently across domains and time.</w:t>
              <w:br/>
              <w:br/>
              <w:t xml:space="preserve">Description:</w:t>
              <w:br/>
              <w:t xml:space="preserve">This value stream covers all activities related to syntactic and semantic standardization, coding, validation, and metadata alignment. Its goal is to ensure interoperability and comparability while preserving informational content. Data is mapped to standardized classifications, code lists, and statistical concepts defined in frameworks such as GSIM or SDMX.</w:t>
              <w:br/>
              <w:br/>
              <w:t xml:space="preserve">The output artefact is a standardized dataset, ready for statistical editing and analysis. The primary value created is semantic coherence — the assurance that data from multiple sources can be used consistently across processes and domains.</w:t>
              <w:br/>
              <w:br/>
              <w:t xml:space="preserve">Key capabilities: Data Harmonization, Metadata Management, Validation &amp; Conformance Checking, Classification Management, Reference Data Governance.</w:t>
            </w:r>
          </w:p>
        </w:tc>
        <w:tc>
          <w:tcPr>
     </w:tcPr>
          <w:p>
            <w:pPr>
              <w:pStyle w:val="EMPTY_CELL_STYLE"/>
            </w:pPr>
          </w:p>
        </w:tc>
      </w:tr>
      <w:tr>
        <w:trPr>
          <w:trHeight w:hRule="exact" w:val="37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1620"/>
        <w:gridCol w:w="600"/>
        <w:gridCol w:w="1"/>
      </w:tblGrid>
      <w:tr>
        <w:trPr>
          <w:trHeight w:hRule="exact" w:val="1200"/>
        </w:trPr>
        <w:tc>
          <w:tcPr>
     </w:tcPr>
          <w:p>
            <w:pPr>
              <w:pStyle w:val="EMPTY_CELL_STYLE"/>
              <w:pageBreakBefore/>
            </w:pPr>
            <w:bookmarkStart w:id="3" w:name="JR_PAGE_ANCHOR_0_4"/>
            <w:bookmarkEnd w:id="3"/>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3 Data Editing and Enrichment Value Stream</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54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2882900"/>
                  <wp:effectExtent l="0" t="0" r="0" b="0"/>
                  <wp:wrapNone/>
                  <wp:docPr id="132353877" name="Picture">
</wp:docPr>
                  <a:graphic>
                    <a:graphicData uri="http://schemas.openxmlformats.org/drawingml/2006/picture">
                      <pic:pic>
                        <pic:nvPicPr>
                          <pic:cNvPr id="132353877" name="Picture"/>
                          <pic:cNvPicPr/>
                        </pic:nvPicPr>
                        <pic:blipFill>
                          <a:blip r:embed="img_0_3_1.png"/>
                          <a:srcRect/>
                          <a:stretch>
                            <a:fillRect l="0" t="0" r="194" b="0"/>
                          </a:stretch>
                        </pic:blipFill>
                        <pic:spPr>
                          <a:xfrm rot="0">
                            <a:off x="0" y="0"/>
                            <a:ext cx="6540500" cy="2882900"/>
                          </a:xfrm>
                          <a:prstGeom prst="rect"/>
                        </pic:spPr>
                      </pic:pic>
                    </a:graphicData>
                  </a:graphic>
                </wp:anchor>
              </w:drawing>
            </w: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740"/>
        </w:trPr>
        <w:tc>
          <w:tcPr>
     </w:tcPr>
          <w:p>
            <w:pPr>
              <w:pStyle w:val="EMPTY_CELL_STYLE"/>
            </w:pPr>
          </w:p>
        </w:tc>
        <w:tc>
          <w:tcPr>
            <w:gridSpan w:val="3"/>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Purpose:</w:t>
              <w:br/>
              <w:t xml:space="preserve">To improve the accuracy, completeness, and internal consistency of datasets through validation, correction, and enrichment processes.</w:t>
              <w:br/>
              <w:br/>
              <w:t xml:space="preserve">Description:</w:t>
              <w:br/>
              <w:t xml:space="preserve">At this stage, value is created by enhancing data reliability and usability. Activities include error detection, imputation of missing data, derivation of new variables, and correction of inconsistencies or non-response. The goal is to maximize the analytical value of the dataset while maintaining transparency and traceability of transformations.</w:t>
              <w:br/>
              <w:br/>
              <w:t xml:space="preserve">The resulting artefact — an edited and enriched dataset — represents data that has been cleansed, quality-checked, and enhanced, ready for statistical estimation or modeling.</w:t>
              <w:br/>
              <w:br/>
              <w:t xml:space="preserve">Key capabilities: Data Quality Management, Data Editing, Imputation &amp; Derivation, Non-response Correction, Data Validation &amp; Verification.</w:t>
            </w:r>
          </w:p>
        </w:tc>
        <w:tc>
          <w:tcPr>
     </w:tcPr>
          <w:p>
            <w:pPr>
              <w:pStyle w:val="EMPTY_CELL_STYLE"/>
            </w:pPr>
          </w:p>
        </w:tc>
      </w:tr>
      <w:tr>
        <w:trPr>
          <w:trHeight w:hRule="exact" w:val="38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1620"/>
        <w:gridCol w:w="600"/>
        <w:gridCol w:w="1"/>
      </w:tblGrid>
      <w:tr>
        <w:trPr>
          <w:trHeight w:hRule="exact" w:val="1200"/>
        </w:trPr>
        <w:tc>
          <w:tcPr>
     </w:tcPr>
          <w:p>
            <w:pPr>
              <w:pStyle w:val="EMPTY_CELL_STYLE"/>
              <w:pageBreakBefore/>
            </w:pPr>
            <w:bookmarkStart w:id="4" w:name="JR_PAGE_ANCHOR_0_5"/>
            <w:bookmarkEnd w:id="4"/>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4 Estimation, Analysis, and Statistical Modeling Value Stream</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64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2946400"/>
                  <wp:effectExtent l="0" t="0" r="0" b="0"/>
                  <wp:wrapNone/>
                  <wp:docPr id="766860780" name="Picture">
</wp:docPr>
                  <a:graphic>
                    <a:graphicData uri="http://schemas.openxmlformats.org/drawingml/2006/picture">
                      <pic:pic>
                        <pic:nvPicPr>
                          <pic:cNvPr id="766860780" name="Picture"/>
                          <pic:cNvPicPr/>
                        </pic:nvPicPr>
                        <pic:blipFill>
                          <a:blip r:embed="img_0_4_1.png"/>
                          <a:srcRect/>
                          <a:stretch>
                            <a:fillRect l="0" t="0" r="388" b="431"/>
                          </a:stretch>
                        </pic:blipFill>
                        <pic:spPr>
                          <a:xfrm rot="0">
                            <a:off x="0" y="0"/>
                            <a:ext cx="6540500" cy="2946400"/>
                          </a:xfrm>
                          <a:prstGeom prst="rect"/>
                        </pic:spPr>
                      </pic:pic>
                    </a:graphicData>
                  </a:graphic>
                </wp:anchor>
              </w:drawing>
            </w: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740"/>
        </w:trPr>
        <w:tc>
          <w:tcPr>
     </w:tcPr>
          <w:p>
            <w:pPr>
              <w:pStyle w:val="EMPTY_CELL_STYLE"/>
            </w:pPr>
          </w:p>
        </w:tc>
        <w:tc>
          <w:tcPr>
            <w:gridSpan w:val="3"/>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Purpose:</w:t>
              <w:br/>
              <w:t xml:space="preserve">To transform prepared data into analytical insights, estimates, and statistical measures that represent real-world phenomena accurately and impartially.</w:t>
              <w:br/>
              <w:br/>
              <w:t xml:space="preserve">Description:</w:t>
              <w:br/>
              <w:t xml:space="preserve">This value stream includes all activities related to statistical estimation, weighting, calibration, and model-based inference. It represents the point where methodological expertise adds significant value, converting data into knowledge. Closed-loop validation ensures that outputs meet statistical quality standards and methodological integrity.</w:t>
              <w:br/>
              <w:br/>
              <w:t xml:space="preserve">The resulting artefact — an estimated or analyzed dataset — embodies representativeness and statistical soundness, forming the analytical foundation for composed products and indicators.</w:t>
              <w:br/>
              <w:br/>
              <w:t xml:space="preserve">Key capabilities: Estimation &amp; Weighting, Statistical Modelling, Analytical Design, Methodology Management, Quality Framework Governance.</w:t>
            </w:r>
          </w:p>
        </w:tc>
        <w:tc>
          <w:tcPr>
     </w:tcPr>
          <w:p>
            <w:pPr>
              <w:pStyle w:val="EMPTY_CELL_STYLE"/>
            </w:pPr>
          </w:p>
        </w:tc>
      </w:tr>
      <w:tr>
        <w:trPr>
          <w:trHeight w:hRule="exact" w:val="37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1620"/>
        <w:gridCol w:w="600"/>
        <w:gridCol w:w="1"/>
      </w:tblGrid>
      <w:tr>
        <w:trPr>
          <w:trHeight w:hRule="exact" w:val="1200"/>
        </w:trPr>
        <w:tc>
          <w:tcPr>
     </w:tcPr>
          <w:p>
            <w:pPr>
              <w:pStyle w:val="EMPTY_CELL_STYLE"/>
              <w:pageBreakBefore/>
            </w:pPr>
            <w:bookmarkStart w:id="5" w:name="JR_PAGE_ANCHOR_0_6"/>
            <w:bookmarkEnd w:id="5"/>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5 Statistical Product Composition Value Stream</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12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2616200"/>
                  <wp:effectExtent l="0" t="0" r="0" b="0"/>
                  <wp:wrapNone/>
                  <wp:docPr id="668173168" name="Picture">
</wp:docPr>
                  <a:graphic>
                    <a:graphicData uri="http://schemas.openxmlformats.org/drawingml/2006/picture">
                      <pic:pic>
                        <pic:nvPicPr>
                          <pic:cNvPr id="668173168" name="Picture"/>
                          <pic:cNvPicPr/>
                        </pic:nvPicPr>
                        <pic:blipFill>
                          <a:blip r:embed="img_0_5_1.png"/>
                          <a:srcRect/>
                          <a:stretch>
                            <a:fillRect l="0" t="0" r="582" b="0"/>
                          </a:stretch>
                        </pic:blipFill>
                        <pic:spPr>
                          <a:xfrm rot="0">
                            <a:off x="0" y="0"/>
                            <a:ext cx="6540500" cy="2616200"/>
                          </a:xfrm>
                          <a:prstGeom prst="rect"/>
                        </pic:spPr>
                      </pic:pic>
                    </a:graphicData>
                  </a:graphic>
                </wp:anchor>
              </w:drawing>
            </w: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460"/>
        </w:trPr>
        <w:tc>
          <w:tcPr>
     </w:tcPr>
          <w:p>
            <w:pPr>
              <w:pStyle w:val="EMPTY_CELL_STYLE"/>
            </w:pPr>
          </w:p>
        </w:tc>
        <w:tc>
          <w:tcPr>
            <w:gridSpan w:val="3"/>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Purpose:</w:t>
              <w:br/>
              <w:t xml:space="preserve">To synthesize and integrate multiple datasets or analyses into composite statistical products that provide comprehensive, multi-dimensional views of social or economic phenomena.</w:t>
              <w:br/>
              <w:br/>
              <w:t xml:space="preserve">Description:</w:t>
              <w:br/>
              <w:t xml:space="preserve">This stream transforms analytical outputs into finalized statistical products such as time-series indicators, composite indices, dashboards, or analytical reports. Value is created through integration, interpretation, and insight generation — enabling users to derive meaning from complex datasets.</w:t>
              <w:br/>
              <w:br/>
              <w:t xml:space="preserve">The artefacts produced are composed statistical products — curated, documented, and quality-assured outputs ready for dissemination.</w:t>
              <w:br/>
              <w:br/>
              <w:t xml:space="preserve">Key capabilities: Data Integration, Time Series Management, Index Construction, Analytical Product Design, Statistical Product Management.</w:t>
            </w:r>
          </w:p>
        </w:tc>
        <w:tc>
          <w:tcPr>
     </w:tcPr>
          <w:p>
            <w:pPr>
              <w:pStyle w:val="EMPTY_CELL_STYLE"/>
            </w:pPr>
          </w:p>
        </w:tc>
      </w:tr>
      <w:tr>
        <w:trPr>
          <w:trHeight w:hRule="exact" w:val="4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6</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1620"/>
        <w:gridCol w:w="600"/>
        <w:gridCol w:w="1"/>
      </w:tblGrid>
      <w:tr>
        <w:trPr>
          <w:trHeight w:hRule="exact" w:val="1200"/>
        </w:trPr>
        <w:tc>
          <w:tcPr>
     </w:tcPr>
          <w:p>
            <w:pPr>
              <w:pStyle w:val="EMPTY_CELL_STYLE"/>
              <w:pageBreakBefore/>
            </w:pPr>
            <w:bookmarkStart w:id="6" w:name="JR_PAGE_ANCHOR_0_7"/>
            <w:bookmarkEnd w:id="6"/>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6 Dissemination and Service Delivery Value Stream</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56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2895600"/>
                  <wp:effectExtent l="0" t="0" r="0" b="0"/>
                  <wp:wrapNone/>
                  <wp:docPr id="1196092101" name="Picture">
</wp:docPr>
                  <a:graphic>
                    <a:graphicData uri="http://schemas.openxmlformats.org/drawingml/2006/picture">
                      <pic:pic>
                        <pic:nvPicPr>
                          <pic:cNvPr id="1196092101" name="Picture"/>
                          <pic:cNvPicPr/>
                        </pic:nvPicPr>
                        <pic:blipFill>
                          <a:blip r:embed="img_0_6_1.png"/>
                          <a:srcRect/>
                          <a:stretch>
                            <a:fillRect l="0" t="0" r="388" b="0"/>
                          </a:stretch>
                        </pic:blipFill>
                        <pic:spPr>
                          <a:xfrm rot="0">
                            <a:off x="0" y="0"/>
                            <a:ext cx="6540500" cy="2895600"/>
                          </a:xfrm>
                          <a:prstGeom prst="rect"/>
                        </pic:spPr>
                      </pic:pic>
                    </a:graphicData>
                  </a:graphic>
                </wp:anchor>
              </w:drawing>
            </w: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580"/>
        </w:trPr>
        <w:tc>
          <w:tcPr>
     </w:tcPr>
          <w:p>
            <w:pPr>
              <w:pStyle w:val="EMPTY_CELL_STYLE"/>
            </w:pPr>
          </w:p>
        </w:tc>
        <w:tc>
          <w:tcPr>
            <w:gridSpan w:val="3"/>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Purpose:</w:t>
              <w:br/>
              <w:t xml:space="preserve">To provide users with secure, accessible, and user-centric access to statistical outputs, ensuring transparency, usability, and impact.</w:t>
              <w:br/>
              <w:br/>
              <w:t xml:space="preserve">Description:</w:t>
              <w:br/>
              <w:t xml:space="preserve">This value stream delivers the final stage of value creation — transforming internal statistical products into externally consumable services. It includes data publication, visualization, reporting, and the operation of access services such as open data portals, research environments, and APIs.</w:t>
              <w:br/>
              <w:br/>
              <w:t xml:space="preserve">Value is created through trust, transparency, and impact: ensuring users can find, access, and understand official statistics and research data.</w:t>
              <w:br/>
              <w:br/>
              <w:t xml:space="preserve">The main artefacts are published datasets, statistical releases, and data access services. This stage completes the statistical value chain, fulfilling the organization’s mission of providing objective, high-quality information for decision-making and research.</w:t>
              <w:br/>
              <w:br/>
              <w:t xml:space="preserve">Key capabilities: Data Dissemination, Access Control, User Support &amp; Service Management, Metadata Publication, Communication &amp; Outreach.</w:t>
            </w:r>
          </w:p>
        </w:tc>
        <w:tc>
          <w:tcPr>
     </w:tcPr>
          <w:p>
            <w:pPr>
              <w:pStyle w:val="EMPTY_CELL_STYLE"/>
            </w:pPr>
          </w:p>
        </w:tc>
      </w:tr>
      <w:tr>
        <w:trPr>
          <w:trHeight w:hRule="exact" w:val="2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7</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1620"/>
        <w:gridCol w:w="600"/>
        <w:gridCol w:w="1"/>
      </w:tblGrid>
      <w:tr>
        <w:trPr>
          <w:trHeight w:hRule="exact" w:val="15840"/>
        </w:trPr>
        <w:tc>
          <w:tcPr>
     </w:tcPr>
          <w:p>
            <w:pPr>
              <w:pStyle w:val="EMPTY_CELL_STYLE"/>
              <w:pageBreakBefore/>
            </w:pPr>
            <w:bookmarkStart w:id="7" w:name="JR_PAGE_ANCHOR_0_8"/>
            <w:bookmarkEnd w:id="7"/>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8</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1620"/>
        <w:gridCol w:w="600"/>
        <w:gridCol w:w="1"/>
      </w:tblGrid>
      <w:tr>
        <w:trPr>
          <w:trHeight w:hRule="exact" w:val="1200"/>
        </w:trPr>
        <w:tc>
          <w:tcPr>
     </w:tcPr>
          <w:p>
            <w:pPr>
              <w:pStyle w:val="EMPTY_CELL_STYLE"/>
              <w:pageBreakBefore/>
            </w:pPr>
            <w:bookmarkStart w:id="8" w:name="JR_PAGE_ANCHOR_0_9"/>
            <w:bookmarkEnd w:id="8"/>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Capability Map Viewpoint - Level 1,2</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24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7772400"/>
                  <wp:effectExtent l="0" t="0" r="0" b="0"/>
                  <wp:wrapNone/>
                  <wp:docPr id="149312759" name="Picture">
</wp:docPr>
                  <a:graphic>
                    <a:graphicData uri="http://schemas.openxmlformats.org/drawingml/2006/picture">
                      <pic:pic>
                        <pic:nvPicPr>
                          <pic:cNvPr id="149312759" name="Picture"/>
                          <pic:cNvPicPr/>
                        </pic:nvPicPr>
                        <pic:blipFill>
                          <a:blip r:embed="img_0_8_1.png"/>
                          <a:srcRect/>
                          <a:stretch>
                            <a:fillRect l="0" t="0" r="194" b="0"/>
                          </a:stretch>
                        </pic:blipFill>
                        <pic:spPr>
                          <a:xfrm rot="0">
                            <a:off x="0" y="0"/>
                            <a:ext cx="6540500" cy="7772400"/>
                          </a:xfrm>
                          <a:prstGeom prst="rect"/>
                        </pic:spPr>
                      </pic:pic>
                    </a:graphicData>
                  </a:graphic>
                </wp:anchor>
              </w:drawing>
            </w:r>
          </w:p>
        </w:tc>
        <w:tc>
          <w:tcPr>
     </w:tcPr>
          <w:p>
            <w:pPr>
              <w:pStyle w:val="EMPTY_CELL_STYLE"/>
            </w:pPr>
          </w:p>
        </w:tc>
      </w:tr>
      <w:tr>
        <w:trPr>
          <w:trHeight w:hRule="exact" w:val="16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9</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1620"/>
        <w:gridCol w:w="600"/>
        <w:gridCol w:w="1"/>
      </w:tblGrid>
      <w:tr>
        <w:trPr>
          <w:trHeight w:hRule="exact" w:val="1200"/>
        </w:trPr>
        <w:tc>
          <w:tcPr>
     </w:tcPr>
          <w:p>
            <w:pPr>
              <w:pStyle w:val="EMPTY_CELL_STYLE"/>
              <w:pageBreakBefore/>
            </w:pPr>
            <w:bookmarkStart w:id="9" w:name="JR_PAGE_ANCHOR_0_10"/>
            <w:bookmarkEnd w:id="9"/>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340"/>
        </w:trPr>
        <w:tc>
          <w:tcPr>
     </w:tcPr>
          <w:p>
            <w:pPr>
              <w:pStyle w:val="EMPTY_CELL_STYLE"/>
            </w:pPr>
          </w:p>
        </w:tc>
        <w:tc>
          <w:tcPr>
            <w:gridSpan w:val="3"/>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 capability map provides a structured, visual overview of the organization’s core abilities required to achieve its mission of producing and disseminating official statistics. This map displays capabilities as stable, business-centric building blocks, grouped to align with strategic goals and is useful to highlight areas for development and investment.</w:t>
              <w:br/>
              <w:br/>
              <w:t xml:space="preserve">A capability map helps a statistical bureau assess and communicate its strengths, gaps, and areas needing improvement to support organizational objectives such as delivering high-quality, timely statistics, maintaining the trust of data providers, and promoting innovation in data processing.</w:t>
              <w:br/>
              <w:br/>
            </w:r>
          </w:p>
        </w:tc>
        <w:tc>
          <w:tcPr>
     </w:tcPr>
          <w:p>
            <w:pPr>
              <w:pStyle w:val="EMPTY_CELL_STYLE"/>
            </w:pPr>
          </w:p>
        </w:tc>
      </w:tr>
      <w:tr>
        <w:trPr>
          <w:trHeight w:hRule="exact" w:val="105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10</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1620"/>
        <w:gridCol w:w="600"/>
        <w:gridCol w:w="1"/>
      </w:tblGrid>
      <w:tr>
        <w:trPr>
          <w:trHeight w:hRule="exact" w:val="1200"/>
        </w:trPr>
        <w:tc>
          <w:tcPr>
     </w:tcPr>
          <w:p>
            <w:pPr>
              <w:pStyle w:val="EMPTY_CELL_STYLE"/>
              <w:pageBreakBefore/>
            </w:pPr>
            <w:bookmarkStart w:id="10" w:name="JR_PAGE_ANCHOR_0_11"/>
            <w:bookmarkEnd w:id="10"/>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Capability Map Viewpoint - Level 1,2,3</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24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7772400"/>
                  <wp:effectExtent l="0" t="0" r="0" b="0"/>
                  <wp:wrapNone/>
                  <wp:docPr id="673131884" name="Picture">
</wp:docPr>
                  <a:graphic>
                    <a:graphicData uri="http://schemas.openxmlformats.org/drawingml/2006/picture">
                      <pic:pic>
                        <pic:nvPicPr>
                          <pic:cNvPr id="673131884" name="Picture"/>
                          <pic:cNvPicPr/>
                        </pic:nvPicPr>
                        <pic:blipFill>
                          <a:blip r:embed="img_0_10_1.png"/>
                          <a:srcRect/>
                          <a:stretch>
                            <a:fillRect l="0" t="0" r="194" b="0"/>
                          </a:stretch>
                        </pic:blipFill>
                        <pic:spPr>
                          <a:xfrm rot="0">
                            <a:off x="0" y="0"/>
                            <a:ext cx="6540500" cy="7772400"/>
                          </a:xfrm>
                          <a:prstGeom prst="rect"/>
                        </pic:spPr>
                      </pic:pic>
                    </a:graphicData>
                  </a:graphic>
                </wp:anchor>
              </w:drawing>
            </w:r>
          </w:p>
        </w:tc>
        <w:tc>
          <w:tcPr>
     </w:tcPr>
          <w:p>
            <w:pPr>
              <w:pStyle w:val="EMPTY_CELL_STYLE"/>
            </w:pPr>
          </w:p>
        </w:tc>
      </w:tr>
      <w:tr>
        <w:trPr>
          <w:trHeight w:hRule="exact" w:val="16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11</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1620"/>
        <w:gridCol w:w="600"/>
        <w:gridCol w:w="1"/>
      </w:tblGrid>
      <w:tr>
        <w:trPr>
          <w:trHeight w:hRule="exact" w:val="1200"/>
        </w:trPr>
        <w:tc>
          <w:tcPr>
     </w:tcPr>
          <w:p>
            <w:pPr>
              <w:pStyle w:val="EMPTY_CELL_STYLE"/>
              <w:pageBreakBefore/>
            </w:pPr>
            <w:bookmarkStart w:id="11" w:name="JR_PAGE_ANCHOR_0_12"/>
            <w:bookmarkEnd w:id="11"/>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780"/>
        </w:trPr>
        <w:tc>
          <w:tcPr>
     </w:tcPr>
          <w:p>
            <w:pPr>
              <w:pStyle w:val="EMPTY_CELL_STYLE"/>
            </w:pPr>
          </w:p>
        </w:tc>
        <w:tc>
          <w:tcPr>
            <w:gridSpan w:val="3"/>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 capability map provides a structured, visual overview of the organization’s core abilities required to achieve its mission of producing and disseminating official statistics. This map displays capabilities as stable, business-centric building blocks, grouped to align with strategic goals and is useful to highlight areas for development and investment.</w:t>
              <w:br/>
              <w:br/>
              <w:t xml:space="preserve">A capability map helps a statistical bureau assess and communicate its strengths, gaps, and areas needing improvement to support organizational objectives such as delivering high-quality, timely statistics, maintaining the trust of data providers, and promoting innovation in data processing.</w:t>
            </w:r>
          </w:p>
        </w:tc>
        <w:tc>
          <w:tcPr>
     </w:tcPr>
          <w:p>
            <w:pPr>
              <w:pStyle w:val="EMPTY_CELL_STYLE"/>
            </w:pPr>
          </w:p>
        </w:tc>
      </w:tr>
      <w:tr>
        <w:trPr>
          <w:trHeight w:hRule="exact" w:val="11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720"/>
        <w:gridCol w:w="900"/>
        <w:gridCol w:w="600"/>
        <w:gridCol w:w="1"/>
      </w:tblGrid>
      <w:tr>
        <w:trPr>
          <w:trHeight w:hRule="exact" w:val="1200"/>
        </w:trPr>
        <w:tc>
          <w:tcPr>
     </w:tcPr>
          <w:p>
            <w:pPr>
              <w:pStyle w:val="EMPTY_CELL_STYLE"/>
              <w:pageBreakBefore/>
            </w:pPr>
            <w:bookmarkStart w:id="12" w:name="JR_PAGE_ANCHOR_0_13"/>
            <w:bookmarkEnd w:id="12"/>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4"/>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SAF Drivers</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500"/>
        </w:trPr>
        <w:tc>
          <w:tcPr>
     </w:tcPr>
          <w:p>
            <w:pPr>
              <w:pStyle w:val="EMPTY_CELL_STYLE"/>
            </w:pPr>
          </w:p>
        </w:tc>
        <w:tc>
          <w:tcPr>
            <w:gridSpan w:val="2"/>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5588000" cy="2222500"/>
                  <wp:effectExtent l="0" t="0" r="0" b="0"/>
                  <wp:wrapNone/>
                  <wp:docPr id="445808050" name="Picture">
</wp:docPr>
                  <a:graphic>
                    <a:graphicData uri="http://schemas.openxmlformats.org/drawingml/2006/picture">
                      <pic:pic>
                        <pic:nvPicPr>
                          <pic:cNvPr id="445808050" name="Picture"/>
                          <pic:cNvPicPr/>
                        </pic:nvPicPr>
                        <pic:blipFill>
                          <a:blip r:embed="img_0_12_1.png"/>
                          <a:srcRect/>
                          <a:stretch>
                            <a:fillRect l="0" t="0" r="0" b="0"/>
                          </a:stretch>
                        </pic:blipFill>
                        <pic:spPr>
                          <a:xfrm rot="0">
                            <a:off x="0" y="0"/>
                            <a:ext cx="5588000" cy="22225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140"/>
        </w:trPr>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Architecture drivers are the forces that make change necessary. They capture the pressures, trends, and constraints that statistical offices face and which the SAF is designed to address. Drivers can be external, such as technological advancements or new regulations, or internal, such as the need to replace legacy systems or respond to stakeholder demands. By documenting these drivers, SAF ensures that its architecture is not an abstract ideal but a practical response to real-world challenges.</w:t>
              <w:br/>
              <w:br/>
              <w:t xml:space="preserve">For statistical organizations, these drivers are particularly intense. Rapid technological change requires continuous adaptation, while political and societal pressures demand timely, relevant, and transparent data. At the same time, many organizations face limited budgets and must balance modernization with cost control. Recognizing these drivers helps statistical offices prioritize investments and avoid the pitfalls of reactive decision-making, where short-term fixes can lead to long-term inefficiencies.</w:t>
              <w:br/>
              <w:br/>
              <w:t xml:space="preserve">Including architecture drivers in the framework also strengthens communication with stakeholders. By clearly articulating the external and internal factors shaping architecture, CIOs, CTOs, and enterprise architects can build a stronger case for change, justify strategic initiatives, and ensure that all parties understand the urgency of modernization. In this way, SAF creates a shared understanding of why action is necessary and what risks are avoided by adopting a structured framework.</w:t>
            </w:r>
          </w:p>
        </w:tc>
        <w:tc>
          <w:tcPr>
     </w:tcPr>
          <w:p>
            <w:pPr>
              <w:pStyle w:val="EMPTY_CELL_STYLE"/>
            </w:pPr>
          </w:p>
        </w:tc>
      </w:tr>
      <w:tr>
        <w:trPr>
          <w:trHeight w:hRule="exact" w:val="34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gridSpan w:val="2"/>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720"/>
        <w:gridCol w:w="900"/>
        <w:gridCol w:w="600"/>
        <w:gridCol w:w="1"/>
      </w:tblGrid>
      <w:tr>
        <w:trPr>
          <w:trHeight w:hRule="exact" w:val="1200"/>
        </w:trPr>
        <w:tc>
          <w:tcPr>
     </w:tcPr>
          <w:p>
            <w:pPr>
              <w:pStyle w:val="EMPTY_CELL_STYLE"/>
              <w:pageBreakBefore/>
            </w:pPr>
            <w:bookmarkStart w:id="13" w:name="JR_PAGE_ANCHOR_0_14"/>
            <w:bookmarkEnd w:id="13"/>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4"/>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SAF Goals</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500"/>
        </w:trPr>
        <w:tc>
          <w:tcPr>
     </w:tcPr>
          <w:p>
            <w:pPr>
              <w:pStyle w:val="EMPTY_CELL_STYLE"/>
            </w:pPr>
          </w:p>
        </w:tc>
        <w:tc>
          <w:tcPr>
            <w:gridSpan w:val="2"/>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5588000" cy="2222500"/>
                  <wp:effectExtent l="0" t="0" r="0" b="0"/>
                  <wp:wrapNone/>
                  <wp:docPr id="1056497209" name="Picture">
</wp:docPr>
                  <a:graphic>
                    <a:graphicData uri="http://schemas.openxmlformats.org/drawingml/2006/picture">
                      <pic:pic>
                        <pic:nvPicPr>
                          <pic:cNvPr id="1056497209" name="Picture"/>
                          <pic:cNvPicPr/>
                        </pic:nvPicPr>
                        <pic:blipFill>
                          <a:blip r:embed="img_0_13_1.png"/>
                          <a:srcRect/>
                          <a:stretch>
                            <a:fillRect l="0" t="0" r="0" b="0"/>
                          </a:stretch>
                        </pic:blipFill>
                        <pic:spPr>
                          <a:xfrm rot="0">
                            <a:off x="0" y="0"/>
                            <a:ext cx="5588000" cy="22225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860"/>
        </w:trPr>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Architecture goals represent the outcomes an organization aims to achieve by adopting and implementing the framework. They define what success looks like and serve as the link between strategy and action. In the case of the SAF, these goals are not just about modernizing IT systems, but about ensuring that national statistical institutes can continue to provide trustworthy, relevant, and high-quality statistics in a rapidly changing environment.</w:t>
              <w:br/>
              <w:br/>
              <w:t xml:space="preserve">The goals of SAF address both operational and strategic needs. On one hand, they focus on efficiency, modernization, and compliance, which are essential for ensuring sustainability. On the other hand, they support innovation, adaptability, and collaboration, enabling statistical offices to embrace new opportunities such as integrating alternative data sources or experimenting with advanced analytics. Together, these goals ensure that modernization efforts do not compromise the fundamental values of official statistics — neutrality, accuracy, and reliability.</w:t>
              <w:br/>
              <w:br/>
              <w:t xml:space="preserve">By defining goals explicitly, SAF provides a roadmap that can be adapted by each statistical organization according to its maturity and local context. This ensures that while each office may have unique challenges and resources, they are all working toward a shared vision that promotes harmonization, comparability, and global collaboration in official statistics.</w:t>
              <w:br/>
            </w:r>
          </w:p>
        </w:tc>
        <w:tc>
          <w:tcPr>
     </w:tcPr>
          <w:p>
            <w:pPr>
              <w:pStyle w:val="EMPTY_CELL_STYLE"/>
            </w:pPr>
          </w:p>
        </w:tc>
      </w:tr>
      <w:tr>
        <w:trPr>
          <w:trHeight w:hRule="exact" w:val="3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gridSpan w:val="2"/>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720"/>
        <w:gridCol w:w="900"/>
        <w:gridCol w:w="600"/>
        <w:gridCol w:w="1"/>
      </w:tblGrid>
      <w:tr>
        <w:trPr>
          <w:trHeight w:hRule="exact" w:val="1200"/>
        </w:trPr>
        <w:tc>
          <w:tcPr>
     </w:tcPr>
          <w:p>
            <w:pPr>
              <w:pStyle w:val="EMPTY_CELL_STYLE"/>
              <w:pageBreakBefore/>
            </w:pPr>
            <w:bookmarkStart w:id="14" w:name="JR_PAGE_ANCHOR_0_15"/>
            <w:bookmarkEnd w:id="14"/>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4"/>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SAF Meaning</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500"/>
        </w:trPr>
        <w:tc>
          <w:tcPr>
     </w:tcPr>
          <w:p>
            <w:pPr>
              <w:pStyle w:val="EMPTY_CELL_STYLE"/>
            </w:pPr>
          </w:p>
        </w:tc>
        <w:tc>
          <w:tcPr>
            <w:gridSpan w:val="2"/>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5588000" cy="2222500"/>
                  <wp:effectExtent l="0" t="0" r="0" b="0"/>
                  <wp:wrapNone/>
                  <wp:docPr id="1463400452" name="Picture">
</wp:docPr>
                  <a:graphic>
                    <a:graphicData uri="http://schemas.openxmlformats.org/drawingml/2006/picture">
                      <pic:pic>
                        <pic:nvPicPr>
                          <pic:cNvPr id="1463400452" name="Picture"/>
                          <pic:cNvPicPr/>
                        </pic:nvPicPr>
                        <pic:blipFill>
                          <a:blip r:embed="img_0_14_1.png"/>
                          <a:srcRect/>
                          <a:stretch>
                            <a:fillRect l="0" t="0" r="0" b="0"/>
                          </a:stretch>
                        </pic:blipFill>
                        <pic:spPr>
                          <a:xfrm rot="0">
                            <a:off x="0" y="0"/>
                            <a:ext cx="5588000" cy="22225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580"/>
        </w:trPr>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Architecture meaning provides the “why” behind the framework. While goals and outcomes describe what SAF achieves, meaning explains why it matters. For statistical organizations, architecture is not just a technical exercise but a way of ensuring their continued relevance in a digital society. SAF’s meaning lies in its role as the foundation for modernization, trust, and international collaboration.</w:t>
              <w:br/>
              <w:br/>
              <w:t xml:space="preserve">One dimension of this meaning is its role as a bridge between strategy and technology. Without such a framework, investments in IT risk being disconnected from the mission of providing high-quality statistics. SAF ensures that every technological decision — from adopting a new platform to restructuring business processes — can be traced back to strategic objectives, creating a coherent organizational narrative.</w:t>
              <w:br/>
              <w:br/>
              <w:t xml:space="preserve">Another dimension is collaboration. The meaning of SAF extends beyond individual organizations: it is a unifying language for the UNECE statistical community. By providing shared models, practices, and principles, SAF fosters international collaboration, reduces duplication, and amplifies collective impact. In this sense, SAF is not just meaningful to IT professionals but to the broader community of statisticians, policymakers, and citizens who depend on trustworthy statistics.</w:t>
              <w:br/>
            </w:r>
          </w:p>
        </w:tc>
        <w:tc>
          <w:tcPr>
     </w:tcPr>
          <w:p>
            <w:pPr>
              <w:pStyle w:val="EMPTY_CELL_STYLE"/>
            </w:pPr>
          </w:p>
        </w:tc>
      </w:tr>
      <w:tr>
        <w:trPr>
          <w:trHeight w:hRule="exact" w:val="40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gridSpan w:val="2"/>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720"/>
        <w:gridCol w:w="900"/>
        <w:gridCol w:w="600"/>
        <w:gridCol w:w="1"/>
      </w:tblGrid>
      <w:tr>
        <w:trPr>
          <w:trHeight w:hRule="exact" w:val="1200"/>
        </w:trPr>
        <w:tc>
          <w:tcPr>
     </w:tcPr>
          <w:p>
            <w:pPr>
              <w:pStyle w:val="EMPTY_CELL_STYLE"/>
              <w:pageBreakBefore/>
            </w:pPr>
            <w:bookmarkStart w:id="15" w:name="JR_PAGE_ANCHOR_0_16"/>
            <w:bookmarkEnd w:id="15"/>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4"/>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SAF Outcomes</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500"/>
        </w:trPr>
        <w:tc>
          <w:tcPr>
     </w:tcPr>
          <w:p>
            <w:pPr>
              <w:pStyle w:val="EMPTY_CELL_STYLE"/>
            </w:pPr>
          </w:p>
        </w:tc>
        <w:tc>
          <w:tcPr>
            <w:gridSpan w:val="2"/>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5588000" cy="2222500"/>
                  <wp:effectExtent l="0" t="0" r="0" b="0"/>
                  <wp:wrapNone/>
                  <wp:docPr id="402941609" name="Picture">
</wp:docPr>
                  <a:graphic>
                    <a:graphicData uri="http://schemas.openxmlformats.org/drawingml/2006/picture">
                      <pic:pic>
                        <pic:nvPicPr>
                          <pic:cNvPr id="402941609" name="Picture"/>
                          <pic:cNvPicPr/>
                        </pic:nvPicPr>
                        <pic:blipFill>
                          <a:blip r:embed="img_0_15_1.png"/>
                          <a:srcRect/>
                          <a:stretch>
                            <a:fillRect l="0" t="0" r="0" b="0"/>
                          </a:stretch>
                        </pic:blipFill>
                        <pic:spPr>
                          <a:xfrm rot="0">
                            <a:off x="0" y="0"/>
                            <a:ext cx="5588000" cy="22225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860"/>
        </w:trPr>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Architecture outcomes describe the tangible benefits that organizations can expect when adopting SAF. They translate principles, goals, and drivers into measurable impacts such as improved interoperability, reduced costs, and enhanced data quality. Outcomes are critical for demonstrating the value of architecture to stakeholders, as they provide a clear “return on investment” for adopting the framework.</w:t>
              <w:br/>
              <w:br/>
              <w:t xml:space="preserve">In the SAF, outcomes are both technical and societal. On the technical side, NSIs benefit from streamlined processes, better metadata management, and more efficient system development. On the societal side, SAF supports trust, transparency, and comparability of statistics, which are essential for informed policy-making and democratic accountability. This dual perspective ensures that SAF delivers benefits beyond IT, directly supporting the mission of statistical organizations.</w:t>
              <w:br/>
              <w:br/>
              <w:t xml:space="preserve">By emphasizing outcomes, SAF also reinforces a culture of continuous improvement. Outcomes are not static — they evolve as organizations mature and as new challenges emerge. Making outcomes explicit allows NSIs to assess progress, measure success, and adjust their modernization strategies in line with both internal priorities and external demands.</w:t>
              <w:br/>
            </w:r>
          </w:p>
        </w:tc>
        <w:tc>
          <w:tcPr>
     </w:tcPr>
          <w:p>
            <w:pPr>
              <w:pStyle w:val="EMPTY_CELL_STYLE"/>
            </w:pPr>
          </w:p>
        </w:tc>
      </w:tr>
      <w:tr>
        <w:trPr>
          <w:trHeight w:hRule="exact" w:val="3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gridSpan w:val="2"/>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16</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720"/>
        <w:gridCol w:w="900"/>
        <w:gridCol w:w="600"/>
        <w:gridCol w:w="1"/>
      </w:tblGrid>
      <w:tr>
        <w:trPr>
          <w:trHeight w:hRule="exact" w:val="1200"/>
        </w:trPr>
        <w:tc>
          <w:tcPr>
     </w:tcPr>
          <w:p>
            <w:pPr>
              <w:pStyle w:val="EMPTY_CELL_STYLE"/>
              <w:pageBreakBefore/>
            </w:pPr>
            <w:bookmarkStart w:id="16" w:name="JR_PAGE_ANCHOR_0_17"/>
            <w:bookmarkEnd w:id="16"/>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4"/>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SAF Principles</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500"/>
        </w:trPr>
        <w:tc>
          <w:tcPr>
     </w:tcPr>
          <w:p>
            <w:pPr>
              <w:pStyle w:val="EMPTY_CELL_STYLE"/>
            </w:pPr>
          </w:p>
        </w:tc>
        <w:tc>
          <w:tcPr>
            <w:gridSpan w:val="2"/>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5588000" cy="4762500"/>
                  <wp:effectExtent l="0" t="0" r="0" b="0"/>
                  <wp:wrapNone/>
                  <wp:docPr id="1965616354" name="Picture">
</wp:docPr>
                  <a:graphic>
                    <a:graphicData uri="http://schemas.openxmlformats.org/drawingml/2006/picture">
                      <pic:pic>
                        <pic:nvPicPr>
                          <pic:cNvPr id="1965616354" name="Picture"/>
                          <pic:cNvPicPr/>
                        </pic:nvPicPr>
                        <pic:blipFill>
                          <a:blip r:embed="img_0_16_1.png"/>
                          <a:srcRect/>
                          <a:stretch>
                            <a:fillRect l="0" t="0" r="0" b="0"/>
                          </a:stretch>
                        </pic:blipFill>
                        <pic:spPr>
                          <a:xfrm rot="0">
                            <a:off x="0" y="0"/>
                            <a:ext cx="5588000" cy="47625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20"/>
        </w:trPr>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Architecture principles are the basis for any enterprise architecture framework. They provide the guiding rules and fundamental truths that define the way organizations design, implement, and manage their IT landscapes. In the context of official statistics, principles are particularly important because they ensure consistency across an interconnected environment. </w:t>
              <w:br/>
              <w:br/>
              <w:t xml:space="preserve">For the SAF, architecture principles act as a compass for decision-making. They ensure that whenever there is a choice to be made between technologies, processes, or solutions, decisions are not taken in isolation but in accordance with the overarching vision of the statistical community. They also prevent short-term convenience from undermining long-term sustainability, a challenge that statistical offices often face given their reliance on legacy systems and resource constraints.</w:t>
              <w:br/>
              <w:br/>
              <w:t xml:space="preserve">These principles also provide an element of accountability. When stakeholders understand the principles behind architectural decisions, it becomes easier to justify investments, explain trade-offs, and demonstrate that architecture is not a purely technical exercise but a strategic enabler of the organization’s mission. In this way, principles make architecture transparent, predictable, and anchored in trust.</w:t>
            </w:r>
          </w:p>
        </w:tc>
        <w:tc>
          <w:tcPr>
     </w:tcPr>
          <w:p>
            <w:pPr>
              <w:pStyle w:val="EMPTY_CELL_STYLE"/>
            </w:pPr>
          </w:p>
        </w:tc>
      </w:tr>
      <w:tr>
        <w:trPr>
          <w:trHeight w:hRule="exact" w:val="5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gridSpan w:val="2"/>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17</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1620"/>
        <w:gridCol w:w="600"/>
        <w:gridCol w:w="1"/>
      </w:tblGrid>
      <w:tr>
        <w:trPr>
          <w:trHeight w:hRule="exact" w:val="15840"/>
        </w:trPr>
        <w:tc>
          <w:tcPr>
     </w:tcPr>
          <w:p>
            <w:pPr>
              <w:pStyle w:val="EMPTY_CELL_STYLE"/>
              <w:pageBreakBefore/>
            </w:pPr>
            <w:bookmarkStart w:id="17" w:name="JR_PAGE_ANCHOR_0_18"/>
            <w:bookmarkEnd w:id="17"/>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18</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720"/>
        <w:gridCol w:w="900"/>
        <w:gridCol w:w="600"/>
        <w:gridCol w:w="1"/>
      </w:tblGrid>
      <w:tr>
        <w:trPr>
          <w:trHeight w:hRule="exact" w:val="1200"/>
        </w:trPr>
        <w:tc>
          <w:tcPr>
     </w:tcPr>
          <w:p>
            <w:pPr>
              <w:pStyle w:val="EMPTY_CELL_STYLE"/>
              <w:pageBreakBefore/>
            </w:pPr>
            <w:bookmarkStart w:id="18" w:name="JR_PAGE_ANCHOR_0_19"/>
            <w:bookmarkEnd w:id="18"/>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4"/>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SAF Stakeholders</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500"/>
        </w:trPr>
        <w:tc>
          <w:tcPr>
     </w:tcPr>
          <w:p>
            <w:pPr>
              <w:pStyle w:val="EMPTY_CELL_STYLE"/>
            </w:pPr>
          </w:p>
        </w:tc>
        <w:tc>
          <w:tcPr>
            <w:gridSpan w:val="2"/>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5588000" cy="3492500"/>
                  <wp:effectExtent l="0" t="0" r="0" b="0"/>
                  <wp:wrapNone/>
                  <wp:docPr id="1136258881" name="Picture">
</wp:docPr>
                  <a:graphic>
                    <a:graphicData uri="http://schemas.openxmlformats.org/drawingml/2006/picture">
                      <pic:pic>
                        <pic:nvPicPr>
                          <pic:cNvPr id="1136258881" name="Picture"/>
                          <pic:cNvPicPr/>
                        </pic:nvPicPr>
                        <pic:blipFill>
                          <a:blip r:embed="img_0_18_1.png"/>
                          <a:srcRect/>
                          <a:stretch>
                            <a:fillRect l="0" t="0" r="0" b="0"/>
                          </a:stretch>
                        </pic:blipFill>
                        <pic:spPr>
                          <a:xfrm rot="0">
                            <a:off x="0" y="0"/>
                            <a:ext cx="5588000" cy="34925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300"/>
        </w:trPr>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Architecture is never developed in isolation. Stakeholders — the individuals, groups, or organizations that influence or are influenced by architecture — are central to its success. In the SAF, stakeholders range from technical experts and CIOs within NSIs to international organizations, policymakers, researchers, and ultimately, society at large. Each of these stakeholders has unique interests, expectations, and contributions, and the framework must balance these to be effective.</w:t>
              <w:br/>
              <w:t xml:space="preserve">Identifying stakeholders clarifies who should be involved in governance, decision-making, and implementation. For example, IT professionals are responsible for translating SAF principles into concrete systems, while policymakers are concerned with the outcomes those systems enable. International organizations such as UNECE play a custodial role, ensuring that SAF remains harmonized and relevant across countries. By mapping these roles, SAF ensures that no perspective is overlooked and that architecture decisions are inclusive and robust.</w:t>
              <w:br/>
              <w:t xml:space="preserve">Engaging stakeholders also strengthens legitimacy. When those affected by architecture decisions are part of the conversation, they are more likely to support the outcomes. For statistical organizations, where public trust is essential, engaging stakeholders such as researchers, academia, and citizens indirectly ensures that the architecture remains aligned with societal expectations of transparency, security, and fairness.</w:t>
            </w:r>
          </w:p>
        </w:tc>
        <w:tc>
          <w:tcPr>
     </w:tcPr>
          <w:p>
            <w:pPr>
              <w:pStyle w:val="EMPTY_CELL_STYLE"/>
            </w:pPr>
          </w:p>
        </w:tc>
      </w:tr>
      <w:tr>
        <w:trPr>
          <w:trHeight w:hRule="exact" w:val="2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gridSpan w:val="2"/>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19</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1620"/>
        <w:gridCol w:w="600"/>
        <w:gridCol w:w="1"/>
      </w:tblGrid>
      <w:tr>
        <w:trPr>
          <w:trHeight w:hRule="exact" w:val="15840"/>
        </w:trPr>
        <w:tc>
          <w:tcPr>
     </w:tcPr>
          <w:p>
            <w:pPr>
              <w:pStyle w:val="EMPTY_CELL_STYLE"/>
              <w:pageBreakBefore/>
            </w:pPr>
            <w:bookmarkStart w:id="19" w:name="JR_PAGE_ANCHOR_0_20"/>
            <w:bookmarkEnd w:id="19"/>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20</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720"/>
        <w:gridCol w:w="900"/>
        <w:gridCol w:w="600"/>
        <w:gridCol w:w="1"/>
      </w:tblGrid>
      <w:tr>
        <w:trPr>
          <w:trHeight w:hRule="exact" w:val="1200"/>
        </w:trPr>
        <w:tc>
          <w:tcPr>
     </w:tcPr>
          <w:p>
            <w:pPr>
              <w:pStyle w:val="EMPTY_CELL_STYLE"/>
              <w:pageBreakBefore/>
            </w:pPr>
            <w:bookmarkStart w:id="20" w:name="JR_PAGE_ANCHOR_0_21"/>
            <w:bookmarkEnd w:id="20"/>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4"/>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SAF Value</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500"/>
        </w:trPr>
        <w:tc>
          <w:tcPr>
     </w:tcPr>
          <w:p>
            <w:pPr>
              <w:pStyle w:val="EMPTY_CELL_STYLE"/>
            </w:pPr>
          </w:p>
        </w:tc>
        <w:tc>
          <w:tcPr>
            <w:gridSpan w:val="2"/>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5588000" cy="2222500"/>
                  <wp:effectExtent l="0" t="0" r="0" b="0"/>
                  <wp:wrapNone/>
                  <wp:docPr id="746566220" name="Picture">
</wp:docPr>
                  <a:graphic>
                    <a:graphicData uri="http://schemas.openxmlformats.org/drawingml/2006/picture">
                      <pic:pic>
                        <pic:nvPicPr>
                          <pic:cNvPr id="746566220" name="Picture"/>
                          <pic:cNvPicPr/>
                        </pic:nvPicPr>
                        <pic:blipFill>
                          <a:blip r:embed="img_0_20_1.png"/>
                          <a:srcRect/>
                          <a:stretch>
                            <a:fillRect l="0" t="0" r="0" b="0"/>
                          </a:stretch>
                        </pic:blipFill>
                        <pic:spPr>
                          <a:xfrm rot="0">
                            <a:off x="0" y="0"/>
                            <a:ext cx="5588000" cy="22225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20"/>
        </w:trPr>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The value of architecture lies in the benefits it creates for stakeholders. While outcomes describe specific impacts, value captures the broader, long-term importance of SAF to statistical organizations and society. It is about demonstrating that investing in architecture is not merely a technical necessity but a strategic decision that creates trust, efficiency, and sustainability.</w:t>
              <w:br/>
              <w:br/>
              <w:t xml:space="preserve">For NSIs, the value of SAF includes reduced risks, greater agility, and improved alignment between IT and business objectives. For international organizations, it provides harmonization and comparability, enabling more effective collaboration across borders. For citizens and policymakers, the value lies in the trustworthiness of the statistics produced, ensuring that public policy and democratic processes are grounded in reliable data.</w:t>
              <w:br/>
              <w:br/>
              <w:t xml:space="preserve">Value is also about sustainability. Without a framework, modernization efforts can be fragmented, costly, and short-lived. SAF provides a stable foundation that reduces technical debt, improves governance, and ensures that investments yield long-term benefits. In doing so, it secures the role of statistical organizations as trusted institutions in the digital age.</w:t>
            </w:r>
          </w:p>
        </w:tc>
        <w:tc>
          <w:tcPr>
     </w:tcPr>
          <w:p>
            <w:pPr>
              <w:pStyle w:val="EMPTY_CELL_STYLE"/>
            </w:pPr>
          </w:p>
        </w:tc>
      </w:tr>
      <w:tr>
        <w:trPr>
          <w:trHeight w:hRule="exact" w:val="45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gridSpan w:val="2"/>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21</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8080"/>
        <w:gridCol w:w="1620"/>
        <w:gridCol w:w="600"/>
        <w:gridCol w:w="1"/>
      </w:tblGrid>
      <w:tr>
        <w:trPr>
          <w:trHeight w:hRule="exact" w:val="1200"/>
        </w:trPr>
        <w:tc>
          <w:tcPr>
     </w:tcPr>
          <w:p>
            <w:pPr>
              <w:pStyle w:val="EMPTY_CELL_STYLE"/>
              <w:pageBreakBefore/>
            </w:pPr>
            <w:bookmarkStart w:id="21" w:name="JR_PAGE_ANCHOR_0_22"/>
            <w:bookmarkEnd w:id="21"/>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40"/>
        </w:trPr>
        <w:tc>
          <w:tcPr>
     </w:tcPr>
          <w:p>
            <w:pPr>
              <w:pStyle w:val="EMPTY_CELL_STYLE"/>
            </w:pPr>
          </w:p>
        </w:tc>
        <w:tc>
          <w:tcPr>
            <w:gridSpan w:val="3"/>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Supporting Value Stream: Customer and Stakeholder Engagement</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36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2768600"/>
                  <wp:effectExtent l="0" t="0" r="0" b="0"/>
                  <wp:wrapNone/>
                  <wp:docPr id="1353573137" name="Picture">
</wp:docPr>
                  <a:graphic>
                    <a:graphicData uri="http://schemas.openxmlformats.org/drawingml/2006/picture">
                      <pic:pic>
                        <pic:nvPicPr>
                          <pic:cNvPr id="1353573137" name="Picture"/>
                          <pic:cNvPicPr/>
                        </pic:nvPicPr>
                        <pic:blipFill>
                          <a:blip r:embed="img_0_21_1.png"/>
                          <a:srcRect/>
                          <a:stretch>
                            <a:fillRect l="0" t="0" r="194" b="0"/>
                          </a:stretch>
                        </pic:blipFill>
                        <pic:spPr>
                          <a:xfrm rot="0">
                            <a:off x="0" y="0"/>
                            <a:ext cx="6540500" cy="2768600"/>
                          </a:xfrm>
                          <a:prstGeom prst="rect"/>
                        </pic:spPr>
                      </pic:pic>
                    </a:graphicData>
                  </a:graphic>
                </wp:anchor>
              </w:drawing>
            </w: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500"/>
        </w:trPr>
        <w:tc>
          <w:tcPr>
     </w:tcPr>
          <w:p>
            <w:pPr>
              <w:pStyle w:val="EMPTY_CELL_STYLE"/>
            </w:pPr>
          </w:p>
        </w:tc>
        <w:tc>
          <w:tcPr>
            <w:gridSpan w:val="3"/>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Purpose and Description</w:t>
              <w:br/>
              <w:t xml:space="preserve">The Customer and Stakeholder Engagement Value Stream ensures that the statistical organization remains connected to its users, partners, and data providers.</w:t>
              <w:br/>
              <w:t xml:space="preserve">It translates user needs into actionable requirements, supports service delivery, and promotes transparency and collaboration. This value stream guarantees that statistical products and services remain relevant, trusted, and user-oriented, while fostering partnerships with public institutions, researchers, and the broader data ecosystem.</w:t>
              <w:br/>
            </w:r>
          </w:p>
        </w:tc>
        <w:tc>
          <w:tcPr>
     </w:tcPr>
          <w:p>
            <w:pPr>
              <w:pStyle w:val="EMPTY_CELL_STYLE"/>
            </w:pPr>
          </w:p>
        </w:tc>
      </w:tr>
      <w:tr>
        <w:trPr>
          <w:trHeight w:hRule="exact" w:val="5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2000"/>
        <w:gridCol w:w="6080"/>
        <w:gridCol w:w="1620"/>
        <w:gridCol w:w="600"/>
        <w:gridCol w:w="1"/>
      </w:tblGrid>
      <w:tr>
        <w:trPr>
          <w:trHeight w:hRule="exact" w:val="1200"/>
        </w:trPr>
        <w:tc>
          <w:tcPr>
     </w:tcPr>
          <w:p>
            <w:pPr>
              <w:pStyle w:val="EMPTY_CELL_STYLE"/>
              <w:pageBreakBefore/>
            </w:pPr>
            <w:bookmarkStart w:id="22" w:name="JR_PAGE_ANCHOR_0_23"/>
            <w:bookmarkEnd w:id="22"/>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4"/>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Supporting Value Stream: Governance and Compliance</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000"/>
        </w:trPr>
        <w:tc>
          <w:tcPr>
     </w:tcPr>
          <w:p>
            <w:pPr>
              <w:pStyle w:val="EMPTY_CELL_STYLE"/>
            </w:pPr>
          </w:p>
        </w:tc>
        <w:tc>
          <w:tcPr>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1270000" cy="1270000"/>
                  <wp:effectExtent l="0" t="0" r="0" b="0"/>
                  <wp:wrapNone/>
                  <wp:docPr id="1634629764" name="Picture">
</wp:docPr>
                  <a:graphic>
                    <a:graphicData uri="http://schemas.openxmlformats.org/drawingml/2006/picture">
                      <pic:pic>
                        <pic:nvPicPr>
                          <pic:cNvPr id="1634629764" name="Picture"/>
                          <pic:cNvPicPr/>
                        </pic:nvPicPr>
                        <pic:blipFill>
                          <a:blip r:embed="img_0_22_1.png"/>
                          <a:srcRect/>
                          <a:stretch>
                            <a:fillRect l="0" t="0" r="0" b="0"/>
                          </a:stretch>
                        </pic:blipFill>
                        <pic:spPr>
                          <a:xfrm rot="0">
                            <a:off x="0" y="0"/>
                            <a:ext cx="1270000" cy="12700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340"/>
        </w:trPr>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Purpose and Description</w:t>
              <w:br/>
              <w:t xml:space="preserve">The Governance and Compliance Value Stream ensures that all activities within the statistical organization are performed within a coherent framework of legal, ethical, methodological, and quality standards. It provides the mechanisms by which statistical processes, data assets, and outputs are governed, documented, and audited.</w:t>
              <w:br/>
              <w:t xml:space="preserve">This value stream safeguards trust, accountability, and transparency, ensuring compliance with regulations such as GDPR, national statistical laws, and international frameworks (UNECE, Eurostat, ISO).</w:t>
              <w:br/>
              <w:br/>
              <w:t xml:space="preserve">It operates continuously, underpinning all core value streams by defining the “rules of the game” that govern statistical production.</w:t>
            </w:r>
          </w:p>
        </w:tc>
        <w:tc>
          <w:tcPr>
     </w:tcPr>
          <w:p>
            <w:pPr>
              <w:pStyle w:val="EMPTY_CELL_STYLE"/>
            </w:pPr>
          </w:p>
        </w:tc>
      </w:tr>
      <w:tr>
        <w:trPr>
          <w:trHeight w:hRule="exact" w:val="77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2000"/>
        <w:gridCol w:w="6080"/>
        <w:gridCol w:w="1620"/>
        <w:gridCol w:w="600"/>
        <w:gridCol w:w="1"/>
      </w:tblGrid>
      <w:tr>
        <w:trPr>
          <w:trHeight w:hRule="exact" w:val="1200"/>
        </w:trPr>
        <w:tc>
          <w:tcPr>
     </w:tcPr>
          <w:p>
            <w:pPr>
              <w:pStyle w:val="EMPTY_CELL_STYLE"/>
              <w:pageBreakBefore/>
            </w:pPr>
            <w:bookmarkStart w:id="23" w:name="JR_PAGE_ANCHOR_0_24"/>
            <w:bookmarkEnd w:id="23"/>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40"/>
        </w:trPr>
        <w:tc>
          <w:tcPr>
     </w:tcPr>
          <w:p>
            <w:pPr>
              <w:pStyle w:val="EMPTY_CELL_STYLE"/>
            </w:pPr>
          </w:p>
        </w:tc>
        <w:tc>
          <w:tcPr>
            <w:gridSpan w:val="4"/>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Supporting Value Stream: Infrastructure and Platform Enablement</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000"/>
        </w:trPr>
        <w:tc>
          <w:tcPr>
     </w:tcPr>
          <w:p>
            <w:pPr>
              <w:pStyle w:val="EMPTY_CELL_STYLE"/>
            </w:pPr>
          </w:p>
        </w:tc>
        <w:tc>
          <w:tcPr>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1270000" cy="1270000"/>
                  <wp:effectExtent l="0" t="0" r="0" b="0"/>
                  <wp:wrapNone/>
                  <wp:docPr id="36717498" name="Picture">
</wp:docPr>
                  <a:graphic>
                    <a:graphicData uri="http://schemas.openxmlformats.org/drawingml/2006/picture">
                      <pic:pic>
                        <pic:nvPicPr>
                          <pic:cNvPr id="36717498" name="Picture"/>
                          <pic:cNvPicPr/>
                        </pic:nvPicPr>
                        <pic:blipFill>
                          <a:blip r:embed="img_0_23_1.png"/>
                          <a:srcRect/>
                          <a:stretch>
                            <a:fillRect l="0" t="0" r="0" b="0"/>
                          </a:stretch>
                        </pic:blipFill>
                        <pic:spPr>
                          <a:xfrm rot="0">
                            <a:off x="0" y="0"/>
                            <a:ext cx="1270000" cy="12700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60"/>
        </w:trPr>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Purpose and Description</w:t>
              <w:br/>
              <w:t xml:space="preserve">The Infrastructure and Platform Enablement Value Stream provides the digital and technical foundation that enables all other value streams to operate efficiently, securely, and at scale. It includes the management of platforms, data fabrics, computational environments, APIs, and automation frameworks that host and orchestrate statistical processes.</w:t>
              <w:br/>
              <w:br/>
              <w:t xml:space="preserve">Its goal is to ensure that technology acts as a seamless enabler of business capability, not as an isolated domain. This value stream underpins modernization, scalability, and interoperability — enabling data-driven, automated, and resilient statistical production.</w:t>
            </w:r>
          </w:p>
        </w:tc>
        <w:tc>
          <w:tcPr>
     </w:tcPr>
          <w:p>
            <w:pPr>
              <w:pStyle w:val="EMPTY_CELL_STYLE"/>
            </w:pPr>
          </w:p>
        </w:tc>
      </w:tr>
      <w:tr>
        <w:trPr>
          <w:trHeight w:hRule="exact" w:val="76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tbl>
      <w:tblPr>
        <w:tblLayout w:type="fixed"/>
      </w:tblPr>
      <w:tblGrid>
        <w:gridCol w:w="1"/>
        <w:gridCol w:w="2000"/>
        <w:gridCol w:w="6080"/>
        <w:gridCol w:w="1620"/>
        <w:gridCol w:w="600"/>
        <w:gridCol w:w="1"/>
      </w:tblGrid>
      <w:tr>
        <w:trPr>
          <w:trHeight w:hRule="exact" w:val="1200"/>
        </w:trPr>
        <w:tc>
          <w:tcPr>
     </w:tcPr>
          <w:p>
            <w:pPr>
              <w:pStyle w:val="EMPTY_CELL_STYLE"/>
              <w:pageBreakBefore/>
            </w:pPr>
            <w:bookmarkStart w:id="24" w:name="JR_PAGE_ANCHOR_0_25"/>
            <w:bookmarkEnd w:id="24"/>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40"/>
        </w:trPr>
        <w:tc>
          <w:tcPr>
     </w:tcPr>
          <w:p>
            <w:pPr>
              <w:pStyle w:val="EMPTY_CELL_STYLE"/>
            </w:pPr>
          </w:p>
        </w:tc>
        <w:tc>
          <w:tcPr>
            <w:gridSpan w:val="4"/>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Supporting Value Stream: Innovation and Methodological Development</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000"/>
        </w:trPr>
        <w:tc>
          <w:tcPr>
     </w:tcPr>
          <w:p>
            <w:pPr>
              <w:pStyle w:val="EMPTY_CELL_STYLE"/>
            </w:pPr>
          </w:p>
        </w:tc>
        <w:tc>
          <w:tcPr>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1270000" cy="1270000"/>
                  <wp:effectExtent l="0" t="0" r="0" b="0"/>
                  <wp:wrapNone/>
                  <wp:docPr id="1321139761" name="Picture">
</wp:docPr>
                  <a:graphic>
                    <a:graphicData uri="http://schemas.openxmlformats.org/drawingml/2006/picture">
                      <pic:pic>
                        <pic:nvPicPr>
                          <pic:cNvPr id="1321139761" name="Picture"/>
                          <pic:cNvPicPr/>
                        </pic:nvPicPr>
                        <pic:blipFill>
                          <a:blip r:embed="img_0_24_1.png"/>
                          <a:srcRect/>
                          <a:stretch>
                            <a:fillRect l="0" t="0" r="0" b="0"/>
                          </a:stretch>
                        </pic:blipFill>
                        <pic:spPr>
                          <a:xfrm rot="0">
                            <a:off x="0" y="0"/>
                            <a:ext cx="1270000" cy="12700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500"/>
        </w:trPr>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Purpose and Description</w:t>
              <w:br/>
              <w:t xml:space="preserve">The Innovation and Methodological Development Value Stream drives continuous improvement and modernization across the statistical organization.</w:t>
              <w:br/>
              <w:t xml:space="preserve">Its objective is to identify, test, and implement new data sources, methodologies, and technologies that enhance statistical production, analytical capability, and efficiency. It ensures that innovation is not ad-hoc, but governed, traceable, and aligned with the organization’s strategic goals.</w:t>
              <w:br/>
              <w:t xml:space="preserve">This value stream turns research and experimentation into production-ready, validated methods and practices that can be embedded into core processes.</w:t>
            </w:r>
          </w:p>
        </w:tc>
        <w:tc>
          <w:tcPr>
     </w:tcPr>
          <w:p>
            <w:pPr>
              <w:pStyle w:val="EMPTY_CELL_STYLE"/>
            </w:pPr>
          </w:p>
        </w:tc>
      </w:tr>
      <w:tr>
        <w:trPr>
          <w:trHeight w:hRule="exact" w:val="82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25</w:t>
            </w:r>
          </w:p>
        </w:tc>
        <w:tc>
          <w:tcPr>
     </w:tcPr>
          <w:p>
            <w:pPr>
              <w:pStyle w:val="EMPTY_CELL_STYLE"/>
            </w:pPr>
          </w:p>
        </w:tc>
      </w:tr>
    </w:tbl>
    <w:sectPr>
      <w:pgSz w:w="11900" w:h="16840" w:orient="portrait"/>
      <w:pgMar w:top="0" w:right="800" w:bottom="0" w:left="800" w:header="0" w:footer="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s>
</file>

<file path=word/settings.xml><?xml version="1.0" encoding="utf-8"?>
<w:settings xmlns:w="http://schemas.openxmlformats.org/wordprocessingml/2006/main">
  <w:defaultTabStop w:val="800"/>
</w:settings>
</file>

<file path=word/styles.xml><?xml version="1.0" encoding="utf-8"?>
<w:styles xmlns:r="http://schemas.openxmlformats.org/officeDocument/2006/relationships" xmlns:w="http://schemas.openxmlformats.org/wordprocessingml/2006/main">
  <w:docDefaults>
    <w:rPrDefault>
  </w:rPrDefault>
    <w:pPrDefault>
      <w:pPr>
        <w:spacing w:line="240"/>
      </w:pPr>
    </w:pPrDefault>
  </w:docDefaults>
  <w:style w:type="paragraph" w:styleId="EMPTY_CELL_STYLE">
    <w:name w:val="EMPTY_CELL_STYLE"/>
    <w:qFormat/>
    <w:pPr>
      <w:ind/>
    </w:pPr>
    <w:rPr>
      <w:rFonts w:ascii="SansSerif" w:hAnsi="SansSerif" w:eastAsia="SansSerif" w:cs="SansSerif"/>
      <w:color w:val="000000"/>
      <w:sz w:val="1"/>
    </w:rPr>
  </w:style>
  <w:style w:type="paragraph" w:styleId="Normal">
    <w:name w:val="Normal"/>
    <w:qFormat/>
    <w:pPr>
      <w:ind/>
    </w:pPr>
    <w:rPr>
      <w:rFonts w:ascii="DejaVu Sans" w:hAnsi="DejaVu Sans" w:eastAsia="DejaVu Sans" w:cs="DejaVu Sans"/>
      <w:color w:val="000000"/>
      <w:sz w:val="24"/>
    </w:rPr>
  </w:style>
  <w:style w:type="paragraph" w:styleId="Page footer">
    <w:name w:val="Page footer"/>
    <w:qFormat/>
    <w:basedOn w:val="Normal"/>
    <w:pPr>
      <w:ind/>
    </w:pPr>
    <w:rPr>
      <w:rFonts w:ascii="DejaVu Sans" w:hAnsi="DejaVu Sans" w:eastAsia="DejaVu Sans" w:cs="DejaVu Sans"/>
      <w:color w:val="666666"/>
      <w:sz w:val="16"/>
    </w:rPr>
  </w:style>
  <w:style w:type="paragraph" w:styleId="Title 1">
    <w:name w:val="Title 1"/>
    <w:qFormat/>
    <w:basedOn w:val="Normal"/>
    <w:pPr>
      <w:ind/>
    </w:pPr>
    <w:rPr>
      <w:rFonts w:ascii="DejaVu Sans" w:hAnsi="DejaVu Sans" w:eastAsia="DejaVu Sans" w:cs="DejaVu Sans"/>
      <w:color w:val="7CA9BF"/>
      <w:sz w:val="40"/>
    </w:rPr>
  </w:style>
  <w:style w:type="paragraph" w:styleId="Title 2">
    <w:name w:val="Title 2"/>
    <w:qFormat/>
    <w:basedOn w:val="Normal"/>
    <w:pPr>
      <w:ind/>
    </w:pPr>
    <w:rPr>
      <w:rFonts w:ascii="DejaVu Sans" w:hAnsi="DejaVu Sans" w:eastAsia="DejaVu Sans" w:cs="DejaVu Sans"/>
      <w:color w:val="7CA9BF"/>
      <w:sz w:val="32"/>
    </w:rPr>
  </w:style>
  <w:style w:type="paragraph" w:styleId="Title 3">
    <w:name w:val="Title 3"/>
    <w:qFormat/>
    <w:basedOn w:val="Normal"/>
    <w:pPr>
      <w:ind/>
    </w:pPr>
    <w:rPr>
      <w:rFonts w:ascii="DejaVu Sans" w:hAnsi="DejaVu Sans" w:eastAsia="DejaVu Sans" w:cs="DejaVu Sans"/>
      <w:color w:val="7CA9BF"/>
      <w:sz w:val="28"/>
    </w:rPr>
  </w:style>
  <w:style w:type="paragraph" w:styleId="Documentation">
    <w:name w:val="Documentation"/>
    <w:qFormat/>
    <w:basedOn w:val="Normal"/>
    <w:pPr>
      <w:ind/>
    </w:pPr>
    <w:rPr>
      <w:rFonts w:ascii="DejaVu Sans" w:hAnsi="DejaVu Sans" w:eastAsia="DejaVu Sans" w:cs="DejaVu Sans"/>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img_0_0_2.png" Type="http://schemas.openxmlformats.org/officeDocument/2006/relationships/image" Target="media/img_0_0_2.png"/>
 <Relationship Id="img_0_2_1.png" Type="http://schemas.openxmlformats.org/officeDocument/2006/relationships/image" Target="media/img_0_2_1.png"/>
 <Relationship Id="img_0_3_1.png" Type="http://schemas.openxmlformats.org/officeDocument/2006/relationships/image" Target="media/img_0_3_1.png"/>
 <Relationship Id="img_0_4_1.png" Type="http://schemas.openxmlformats.org/officeDocument/2006/relationships/image" Target="media/img_0_4_1.png"/>
 <Relationship Id="img_0_5_1.png" Type="http://schemas.openxmlformats.org/officeDocument/2006/relationships/image" Target="media/img_0_5_1.png"/>
 <Relationship Id="img_0_6_1.png" Type="http://schemas.openxmlformats.org/officeDocument/2006/relationships/image" Target="media/img_0_6_1.png"/>
 <Relationship Id="img_0_8_1.png" Type="http://schemas.openxmlformats.org/officeDocument/2006/relationships/image" Target="media/img_0_8_1.png"/>
 <Relationship Id="img_0_10_1.png" Type="http://schemas.openxmlformats.org/officeDocument/2006/relationships/image" Target="media/img_0_10_1.png"/>
 <Relationship Id="img_0_12_1.png" Type="http://schemas.openxmlformats.org/officeDocument/2006/relationships/image" Target="media/img_0_12_1.png"/>
 <Relationship Id="img_0_13_1.png" Type="http://schemas.openxmlformats.org/officeDocument/2006/relationships/image" Target="media/img_0_13_1.png"/>
 <Relationship Id="img_0_14_1.png" Type="http://schemas.openxmlformats.org/officeDocument/2006/relationships/image" Target="media/img_0_14_1.png"/>
 <Relationship Id="img_0_15_1.png" Type="http://schemas.openxmlformats.org/officeDocument/2006/relationships/image" Target="media/img_0_15_1.png"/>
 <Relationship Id="img_0_16_1.png" Type="http://schemas.openxmlformats.org/officeDocument/2006/relationships/image" Target="media/img_0_16_1.png"/>
 <Relationship Id="img_0_18_1.png" Type="http://schemas.openxmlformats.org/officeDocument/2006/relationships/image" Target="media/img_0_18_1.png"/>
 <Relationship Id="img_0_20_1.png" Type="http://schemas.openxmlformats.org/officeDocument/2006/relationships/image" Target="media/img_0_20_1.png"/>
 <Relationship Id="img_0_21_1.png" Type="http://schemas.openxmlformats.org/officeDocument/2006/relationships/image" Target="media/img_0_21_1.png"/>
 <Relationship Id="img_0_22_1.png" Type="http://schemas.openxmlformats.org/officeDocument/2006/relationships/image" Target="media/img_0_22_1.png"/>
 <Relationship Id="img_0_23_1.png" Type="http://schemas.openxmlformats.org/officeDocument/2006/relationships/image" Target="media/img_0_23_1.png"/>
 <Relationship Id="img_0_24_1.png" Type="http://schemas.openxmlformats.org/officeDocument/2006/relationships/image" Target="media/img_0_24_1.png"/>
</Relationships>

</file>

<file path=word/_rels/fontTable.xml.rels><?xml version="1.0" encoding="UTF-8" standalone="yes"?>
<Relationships xmlns="http://schemas.openxmlformats.org/package/2006/relationships">
</Relationships>

</file>

<file path=docProps/app.xml><?xml version="1.0" encoding="utf-8"?>
<Properties xmlns="http://schemas.openxmlformats.org/officeDocument/2006/extended-properties">
  <Application>JasperReports Library version 6.12.2-75c5e90a222ab406e416cbf590a5397028a52de3</Applicat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coreProperties>
</file>