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BÁO GIÁ TRIỂN KHAI UNIWORK</w:t>
      </w:r>
    </w:p>
    <w:p>
      <w:r>
        <w:t xml:space="preserve">Kính gửi: Phòng Công nghệ thông tin, Công ty ACME.</w:t>
      </w:r>
    </w:p>
    <w:p>
      <w:pPr>
        <w:pStyle w:val="Heading2"/>
      </w:pPr>
      <w:r>
        <w:t xml:space="preserve">Phạm vi báo giá</w:t>
      </w:r>
    </w:p>
    <w:p>
      <w:pPr>
        <w:pStyle w:val="ListParagraph"/>
        <w:numPr>
          <w:ilvl w:val="0"/>
          <w:numId w:val="2"/>
        </w:numPr>
      </w:pPr>
      <w:r>
        <w:t xml:space="preserve">Thiết lập không gian làm việc và phân quyền theo tổ chức.</w:t>
      </w:r>
    </w:p>
    <w:p>
      <w:pPr>
        <w:pStyle w:val="ListParagraph"/>
        <w:numPr>
          <w:ilvl w:val="0"/>
          <w:numId w:val="2"/>
        </w:numPr>
      </w:pPr>
      <w:r>
        <w:t xml:space="preserve">Tích hợp email, họp trực tuyến và kho tri thức.</w:t>
      </w:r>
    </w:p>
    <w:p>
      <w:pPr>
        <w:pStyle w:val="Heading2"/>
      </w:pPr>
      <w:r>
        <w:t xml:space="preserve">Bảng giá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Gói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Số người dùng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Đơn giá/tháng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180.000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Enterprise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150.000</w:t>
            </w:r>
          </w:p>
        </w:tc>
      </w:tr>
    </w:tbl>
    <w:p>
      <w:pPr>
        <w:pStyle w:val="Heading2"/>
      </w:pPr>
      <w:r>
        <w:t xml:space="preserve">Hiệu lực</w:t>
      </w:r>
    </w:p>
    <w:p>
      <w:r>
        <w:t xml:space="preserve">Báo giá có hiệu lực trong 15 ngày kể từ ngày phát hành.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2026-09-09T14:39:35.174Z</dcterms:created>
  <dcterms:modified xsi:type="dcterms:W3CDTF">2026-09-09T14:39:35.174Z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