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HỢP ĐỒNG DỊCH VỤ SỐ 2026/UNI-012</w:t>
      </w:r>
    </w:p>
    <w:p>
      <w:r>
        <w:t xml:space="preserve">Bên A: Công ty Cổ phần ACME Việt Nam.</w:t>
      </w:r>
    </w:p>
    <w:p>
      <w:r>
        <w:t xml:space="preserve">Bên B: Công ty TNHH UNICOM.</w:t>
      </w:r>
    </w:p>
    <w:p>
      <w:pPr>
        <w:pStyle w:val="Heading2"/>
      </w:pPr>
      <w:r>
        <w:t xml:space="preserve">Điều 1. Phạm vi công việc</w:t>
      </w:r>
    </w:p>
    <w:p>
      <w:pPr>
        <w:pStyle w:val="ListParagraph"/>
        <w:numPr>
          <w:ilvl w:val="0"/>
          <w:numId w:val="2"/>
        </w:numPr>
      </w:pPr>
      <w:r>
        <w:t xml:space="preserve">Triển khai nền tảng UNIWORK cho 200 người dùng.</w:t>
      </w:r>
    </w:p>
    <w:p>
      <w:pPr>
        <w:pStyle w:val="ListParagraph"/>
        <w:numPr>
          <w:ilvl w:val="0"/>
          <w:numId w:val="2"/>
        </w:numPr>
      </w:pPr>
      <w:r>
        <w:t xml:space="preserve">Đào tạo quản trị viên và chuyển giao tài liệu vận hành.</w:t>
      </w:r>
    </w:p>
    <w:p>
      <w:pPr>
        <w:pStyle w:val="Heading2"/>
      </w:pPr>
      <w:r>
        <w:t xml:space="preserve">Điều 2. Giá trị và thanh toán</w:t>
      </w:r>
    </w:p>
    <w:p>
      <w:r>
        <w:t xml:space="preserve">Thời hạn thanh toán là 30 ngày kể từ ngày nhận hoá đơn hợp lệ.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Hạng mục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Giá trị (VND)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Phí triển khai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450.000.000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Phí thuê bao năm đầu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360.000.000</w:t>
            </w:r>
          </w:p>
        </w:tc>
      </w:tr>
    </w:tbl>
    <w:p>
      <w:pPr>
        <w:pStyle w:val="Heading2"/>
      </w:pPr>
      <w:r>
        <w:t xml:space="preserve">Điều 3. Bảo mật</w:t>
      </w:r>
    </w:p>
    <w:p>
      <w:r>
        <w:t xml:space="preserve">Hai bên cam kết bảo mật thông tin trong suốt thời hạn hợp đồng và 24 tháng sau khi kết thúc.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2026-09-09T14:39:35.159Z</dcterms:created>
  <dcterms:modified xsi:type="dcterms:W3CDTF">2026-09-09T14:39:35.159Z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