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charts/embeddings/workbook1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Chart fixture</w:t>
      </w:r>
    </w:p>
    <w:p>
      <w:r>
        <w:t xml:space="preserve">Before chart sentinel 314159</w:t>
      </w:r>
    </w:p>
    <w:p>
      <w:r>
        <w:drawing>
          <wp:inline distT="0" distB="0" distL="0" distR="0">
            <wp:extent cx="4572000" cy="2743200"/>
            <wp:docPr id="8000" name="Chart 800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3"/>
              </a:graphicData>
            </a:graphic>
          </wp:inline>
        </w:drawing>
      </w:r>
    </w:p>
    <w:p>
      <w:r>
        <w:t xml:space="preserve">After chart sentinel 271828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chart" Target="charts/chart1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Quarterly volume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</c:v>
                </c:pt>
                <c:pt idx="1">
                  <c:v>18</c:v>
                </c:pt>
                <c:pt idx="2">
                  <c:v>15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7</c:v>
                </c:pt>
                <c:pt idx="1">
                  <c:v>11</c:v>
                </c:pt>
                <c:pt idx="2">
                  <c:v>9</c:v>
                </c:pt>
              </c:numCache>
            </c:numRef>
          </c:val>
        </c:ser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