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Equation fixture</w:t>
      </w:r>
    </w:p>
    <w:p>
      <w:r>
        <w:t xml:space="preserve">Before equation sentinel 314159</w:t>
      </w:r>
    </w:p>
    <w:p>
      <m:oMathPara>
        <m:oMathParaPr>
          <m:jc m:val="center"/>
        </m:oMathParaPr>
        <m:oMath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+1</m:t>
              </m:r>
            </m:num>
            <m:den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</m:den>
          </m:f>
          <m:r>
            <m:t xml:space="preserve">=</m:t>
          </m:r>
          <m:rad>
            <m:radPr>
              <m:degHide m:val="1"/>
            </m:radPr>
            <m:deg/>
            <m:e>
              <m:r>
                <m:t xml:space="preserve">z</m:t>
              </m:r>
            </m:e>
          </m:rad>
        </m:oMath>
      </m:oMathPara>
    </w:p>
    <w:p>
      <w:r>
        <w:t xml:space="preserve">After equation sentinel 271828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