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 xml:space="preserve">Tài liệu này chứa mục lục thực do máy sinh; số trang do trình đọc đo, không được ghi sẵn.</w:t>
      </w:r>
    </w:p>
    <w:p>
      <w:pPr>
        <w:pStyle w:val="TOC1"/>
        <w:tabs>
          <w:tab w:val="right" w:leader="dot" w:pos="9350"/>
        </w:tabs>
        <w:rPr>
          <w:noProof/>
        </w:rPr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noProof/>
        </w:rPr>
        <w:t xml:space="preserve">Báo cáo tài chính 2026</w:t>
      </w:r>
      <w:r>
        <w:rPr>
          <w:noProof/>
        </w:rPr>
        <w:tab/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Doanh thu theo vùng</w:t>
      </w:r>
      <w:r>
        <w:rPr>
          <w:noProof/>
        </w:rPr>
        <w:tab/>
      </w:r>
    </w:p>
    <w:p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 xml:space="preserve">Chi phí vận hành</w:t>
      </w:r>
      <w:r>
        <w:rPr>
          <w:noProof/>
        </w:rPr>
        <w:tab/>
      </w:r>
    </w:p>
    <w:p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 xml:space="preserve">Rủi ro tỷ giá</w:t>
      </w:r>
      <w:r>
        <w:rPr>
          <w:noProof/>
        </w:rPr>
        <w:tab/>
      </w:r>
    </w:p>
    <w:p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 xml:space="preserve">Kế hoạch 2027</w:t>
      </w:r>
      <w:r>
        <w:rPr>
          <w:noProof/>
        </w:rPr>
        <w:tab/>
      </w:r>
      <w:r>
        <w:fldChar w:fldCharType="end"/>
      </w:r>
    </w:p>
    <w:p>
      <w:pPr>
        <w:pStyle w:val="Heading1"/>
      </w:pPr>
      <w:r>
        <w:t xml:space="preserve">Báo cáo tài chính 2026</w:t>
      </w:r>
    </w:p>
    <w:p>
      <w:r>
        <w:t xml:space="preserve">Mục tiêu và phạm vi báo cáo.</w:t>
      </w:r>
    </w:p>
    <w:p>
      <w:pPr>
        <w:pStyle w:val="Heading2"/>
      </w:pPr>
      <w:r>
        <w:t xml:space="preserve">Doanh thu theo vùng</w:t>
      </w:r>
    </w:p>
    <w:p>
      <w:r>
        <w:t xml:space="preserve">Doanh thu tăng ở cả bốn vùng trọng điểm.</w:t>
      </w:r>
    </w:p>
    <w:p>
      <w:pPr>
        <w:pStyle w:val="Heading2"/>
      </w:pPr>
      <w:r>
        <w:t xml:space="preserve">Chi phí vận hành</w:t>
      </w:r>
    </w:p>
    <w:p>
      <w:r>
        <w:t xml:space="preserve">Chi phí vận hành được kiểm soát theo quý.</w:t>
      </w:r>
    </w:p>
    <w:p>
      <w:pPr>
        <w:pStyle w:val="Heading3"/>
      </w:pPr>
      <w:r>
        <w:t xml:space="preserve">Rủi ro tỷ giá</w:t>
      </w:r>
    </w:p>
    <w:p>
      <w:r>
        <w:t xml:space="preserve">Rủi ro tỷ giá được trình bày riêng.</w:t>
      </w:r>
    </w:p>
    <w:p>
      <w:pPr>
        <w:pStyle w:val="Heading1"/>
      </w:pPr>
      <w:r>
        <w:t xml:space="preserve">Kế hoạch 2027</w:t>
      </w:r>
    </w:p>
    <w:p>
      <w:r>
        <w:t xml:space="preserve">Kế hoạch năm 2027 vẫn đang được soạn.</w:t>
      </w:r>
    </w:p>
    <w:p>
      <w:r>
        <w:t xml:space="preserve">TOC fixture sentinel 314159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