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July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1,430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1,430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1,430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1,430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5,854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1,048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2,350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629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9,253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1,499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180,652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2,774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172,728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2,711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32,141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8,686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32,581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28,401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2,069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1,548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920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4,274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867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2,926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769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3,442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532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417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7,205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2,638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1,710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4,596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4,018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49%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64%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36%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25%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75%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60%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70%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54%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46%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31%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69%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