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before="0" w:after="48"/>
        <w:ind w:left="0" w:right="0" w:hanging="0"/>
        <w:jc w:val="both"/>
        <w:outlineLvl w:val="0"/>
        <w:rPr>
          <w:rFonts w:ascii="Calibri" w:hAnsi="Calibri" w:eastAsia="Times New Roman" w:cs="Times New Roman"/>
          <w:b/>
          <w:b/>
          <w:iCs/>
          <w:color w:val="009BFD"/>
          <w:sz w:val="26"/>
          <w:szCs w:val="26"/>
          <w:lang w:eastAsia="x-none"/>
        </w:rPr>
      </w:pPr>
      <w:r>
        <w:rPr>
          <w:rFonts w:eastAsia="Times New Roman" w:cs="Times New Roman" w:ascii="Calibri" w:hAnsi="Calibri"/>
          <w:b/>
          <w:iCs/>
          <w:color w:val="009BFD"/>
          <w:sz w:val="26"/>
          <w:szCs w:val="26"/>
          <w:lang w:eastAsia="x-none"/>
        </w:rPr>
        <w:t xml:space="preserve">   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8"/>
        <w:gridCol w:w="496"/>
        <w:gridCol w:w="1388"/>
        <w:gridCol w:w="973"/>
        <w:gridCol w:w="1390"/>
        <w:gridCol w:w="872"/>
        <w:gridCol w:w="875"/>
        <w:gridCol w:w="979"/>
        <w:gridCol w:w="853"/>
      </w:tblGrid>
      <w:tr>
        <w:trPr>
          <w:trHeight w:val="309" w:hRule="atLeast"/>
        </w:trPr>
        <w:tc>
          <w:tcPr>
            <w:tcW w:w="4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20"/>
                <w:szCs w:val="20"/>
              </w:rPr>
              <w:t xml:space="preserve">SUMMARY </w:t>
            </w:r>
          </w:p>
        </w:tc>
        <w:tc>
          <w:tcPr>
            <w:tcW w:w="9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20"/>
                <w:szCs w:val="20"/>
              </w:rPr>
              <w:t>Sector Target</w:t>
            </w:r>
          </w:p>
        </w:tc>
        <w:tc>
          <w:tcPr>
            <w:tcW w:w="13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20"/>
                <w:szCs w:val="20"/>
              </w:rPr>
              <w:t>Sector Result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20"/>
                <w:szCs w:val="20"/>
              </w:rPr>
              <w:t>Change since last report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20"/>
                <w:szCs w:val="20"/>
              </w:rPr>
              <w:t>UNICEF Target (20)</w:t>
            </w: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20"/>
                <w:szCs w:val="20"/>
              </w:rPr>
              <w:t>UNICEF Result</w:t>
            </w:r>
          </w:p>
        </w:tc>
        <w:tc>
          <w:tcPr>
            <w:tcW w:w="8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20"/>
                <w:szCs w:val="20"/>
              </w:rPr>
              <w:t>Change since last report</w:t>
            </w:r>
          </w:p>
        </w:tc>
      </w:tr>
      <w:tr>
        <w:trPr>
          <w:trHeight w:val="354" w:hRule="atLeast"/>
        </w:trPr>
        <w:tc>
          <w:tcPr>
            <w:tcW w:w="1046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</w:rPr>
              <w:t>Education</w:t>
            </w: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  <w:vertAlign w:val="superscript"/>
              </w:rPr>
              <w:t xml:space="preserve"> 1</w:t>
            </w:r>
          </w:p>
        </w:tc>
      </w:tr>
      <w:tr>
        <w:trPr>
          <w:trHeight w:val="354" w:hRule="atLeast"/>
        </w:trPr>
        <w:tc>
          <w:tcPr>
            <w:tcW w:w="31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(Lebanese and non-Lebanese) girls and boys whose registration fees are covered by subsidies for enrolment into formal education (2019/2020 scholastic year)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Lebanese</w:t>
            </w:r>
          </w:p>
        </w:tc>
        <w:tc>
          <w:tcPr>
            <w:tcW w:w="97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0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45" w:hRule="atLeast"/>
        </w:trPr>
        <w:tc>
          <w:tcPr>
            <w:tcW w:w="313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Non-Lebanese</w:t>
            </w:r>
          </w:p>
        </w:tc>
        <w:tc>
          <w:tcPr>
            <w:tcW w:w="97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90" w:type="dxa"/>
            <w:vMerge w:val="continue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264" w:hRule="atLeast"/>
        </w:trPr>
        <w:tc>
          <w:tcPr>
            <w:tcW w:w="313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97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90" w:type="dxa"/>
            <w:vMerge w:val="continue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18" w:hRule="atLeast"/>
        </w:trPr>
        <w:tc>
          <w:tcPr>
            <w:tcW w:w="31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(Lebanese and non-Lebanese) girls and boys whose registration fees are covered by subsidies for enrolment into non-formal education (NFE)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BLN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54" w:hRule="atLeast"/>
        </w:trPr>
        <w:tc>
          <w:tcPr>
            <w:tcW w:w="313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ABLN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0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54" w:hRule="atLeast"/>
        </w:trPr>
        <w:tc>
          <w:tcPr>
            <w:tcW w:w="313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CBE-CE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0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54" w:hRule="atLeast"/>
        </w:trPr>
        <w:tc>
          <w:tcPr>
            <w:tcW w:w="313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ALP</w:t>
            </w:r>
            <w:bookmarkStart w:id="0" w:name="_GoBack"/>
            <w:bookmarkEnd w:id="0"/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0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69" w:hRule="atLeast"/>
        </w:trPr>
        <w:tc>
          <w:tcPr>
            <w:tcW w:w="313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0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36" w:hRule="atLeast"/>
        </w:trPr>
        <w:tc>
          <w:tcPr>
            <w:tcW w:w="1046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</w:rPr>
              <w:t>CHILD PROTECTION</w:t>
            </w:r>
          </w:p>
        </w:tc>
      </w:tr>
      <w:tr>
        <w:trPr>
          <w:trHeight w:val="463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girls and boys receiving specialized/focused PSS</w:t>
            </w:r>
          </w:p>
        </w:tc>
        <w:tc>
          <w:tcPr>
            <w:tcW w:w="97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85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526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boys and girls assisted through child protection case management and specialized services</w:t>
            </w:r>
          </w:p>
        </w:tc>
        <w:tc>
          <w:tcPr>
            <w:tcW w:w="97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85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472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women and girls accessing mobile and safe spaces</w:t>
            </w:r>
          </w:p>
        </w:tc>
        <w:tc>
          <w:tcPr>
            <w:tcW w:w="97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90" w:hRule="atLeast"/>
        </w:trPr>
        <w:tc>
          <w:tcPr>
            <w:tcW w:w="1046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</w:rPr>
              <w:t xml:space="preserve">WATER, SANITATION, AND HYGIENE </w:t>
            </w:r>
          </w:p>
        </w:tc>
      </w:tr>
      <w:tr>
        <w:trPr>
          <w:trHeight w:val="125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affected men/women/girls/boys assisted with temporary access to adequate quantity of safe water for drinking and water for domestic use</w:t>
            </w:r>
          </w:p>
        </w:tc>
        <w:tc>
          <w:tcPr>
            <w:tcW w:w="97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240" w:leader="none"/>
                <w:tab w:val="center" w:pos="522" w:leader="none"/>
              </w:tabs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85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680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affected men/women/girls/boys with access to improved safe sanitation in temporary locations</w:t>
            </w:r>
          </w:p>
        </w:tc>
        <w:tc>
          <w:tcPr>
            <w:tcW w:w="97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797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affected men/women/girls/boys assisted with improved access to adequate quantity of safe water for drinking and for domestic use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85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598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individuals who have experienced a WASH behaviour change session/activity</w:t>
            </w:r>
          </w:p>
        </w:tc>
        <w:tc>
          <w:tcPr>
            <w:tcW w:w="97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90" w:hRule="atLeast"/>
        </w:trPr>
        <w:tc>
          <w:tcPr>
            <w:tcW w:w="1046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</w:rPr>
              <w:t>HEALTH AND NUTRITION</w:t>
            </w: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>
        <w:trPr>
          <w:trHeight w:val="390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children U5 vaccinated against Penta 1</w:t>
            </w:r>
          </w:p>
        </w:tc>
        <w:tc>
          <w:tcPr>
            <w:tcW w:w="97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54" w:hRule="atLeast"/>
        </w:trPr>
        <w:tc>
          <w:tcPr>
            <w:tcW w:w="4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children U5 vaccinated against Penta 3</w:t>
            </w:r>
          </w:p>
        </w:tc>
        <w:tc>
          <w:tcPr>
            <w:tcW w:w="9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282" w:hRule="atLeast"/>
        </w:trPr>
        <w:tc>
          <w:tcPr>
            <w:tcW w:w="4522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children U5 receiving micro-nutrient supplements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51" w:hRule="atLeast"/>
        </w:trPr>
        <w:tc>
          <w:tcPr>
            <w:tcW w:w="1046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</w:rPr>
              <w:t>ADOLESCENTS AND YOUTH</w:t>
            </w:r>
          </w:p>
        </w:tc>
      </w:tr>
      <w:tr>
        <w:trPr>
          <w:trHeight w:val="532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adolescents and youth (14+) who are supported for regulated NFE under the Youth BLN programme (RACE ii)</w:t>
            </w:r>
          </w:p>
        </w:tc>
        <w:tc>
          <w:tcPr>
            <w:tcW w:w="97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674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adolescents and youth (14+) supported by competency and market-based skills training programme (RACEii) (LC2/LC3)</w:t>
            </w:r>
          </w:p>
        </w:tc>
        <w:tc>
          <w:tcPr>
            <w:tcW w:w="97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85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184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youth supported with employment support services (e.g. business mentorship, internships, on the job training, or apprenticeship)</w:t>
            </w:r>
          </w:p>
        </w:tc>
        <w:tc>
          <w:tcPr>
            <w:tcW w:w="97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60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youth trained on Life Skills</w:t>
            </w:r>
          </w:p>
        </w:tc>
        <w:tc>
          <w:tcPr>
            <w:tcW w:w="97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1046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</w:rPr>
              <w:t>SOCIAL POLICY, BASIC NEEDS</w:t>
            </w: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>
        <w:trPr>
          <w:trHeight w:val="175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affected girls and boys that benefited from humanitarian winter kits (it will be only reported in one shot in December)</w:t>
            </w:r>
          </w:p>
        </w:tc>
        <w:tc>
          <w:tcPr>
            <w:tcW w:w="97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175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vulnerable non-Lebanese girls and boys that benefited from child-focused social assistance</w:t>
            </w:r>
          </w:p>
        </w:tc>
        <w:tc>
          <w:tcPr>
            <w:tcW w:w="97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06" w:hRule="atLeast"/>
        </w:trPr>
        <w:tc>
          <w:tcPr>
            <w:tcW w:w="1046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</w:rPr>
              <w:t>COMMUNICATION FOR DEVELOPMENT</w:t>
            </w:r>
          </w:p>
        </w:tc>
      </w:tr>
      <w:tr>
        <w:trPr>
          <w:trHeight w:val="487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men, women and children reached with C4D priority child rights messages</w:t>
            </w:r>
          </w:p>
        </w:tc>
        <w:tc>
          <w:tcPr>
            <w:tcW w:w="9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85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24" w:hRule="atLeast"/>
        </w:trPr>
        <w:tc>
          <w:tcPr>
            <w:tcW w:w="10464" w:type="dxa"/>
            <w:gridSpan w:val="9"/>
            <w:tcBorders>
              <w:left w:val="single" w:sz="4" w:space="0" w:color="000000"/>
              <w:bottom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</w:rPr>
              <w:t>PALESTINIAN PROGRAMME</w:t>
            </w:r>
          </w:p>
        </w:tc>
      </w:tr>
      <w:tr>
        <w:trPr>
          <w:trHeight w:val="110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boys and girls (3-5), including CWDs, provided with access to and enrolment in ECE schools school year 2018/2019 and 2019/2020 (3400 per each scholastic year)</w:t>
            </w:r>
          </w:p>
        </w:tc>
        <w:tc>
          <w:tcPr>
            <w:tcW w:w="9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85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110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boys and girls including CWDs provided with learning retention and homework support for school year 2018/2019 and 2019/2020 (3200 per each scholastic year)</w:t>
            </w:r>
          </w:p>
        </w:tc>
        <w:tc>
          <w:tcPr>
            <w:tcW w:w="9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85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110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adolescent boys and girls trained on life skills, conflict resolution and healthy lifestyles</w:t>
            </w:r>
          </w:p>
        </w:tc>
        <w:tc>
          <w:tcPr>
            <w:tcW w:w="9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85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110" w:hRule="atLeast"/>
        </w:trPr>
        <w:tc>
          <w:tcPr>
            <w:tcW w:w="4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girls and boys engaged in community-based child protection activities</w:t>
            </w:r>
          </w:p>
        </w:tc>
        <w:tc>
          <w:tcPr>
            <w:tcW w:w="9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8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297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children U1 receiving vaccination (Penta1)</w:t>
            </w:r>
          </w:p>
        </w:tc>
        <w:tc>
          <w:tcPr>
            <w:tcW w:w="9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505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505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7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505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individuals who have experienced a WASH behavioural change session/activity</w:t>
            </w:r>
          </w:p>
        </w:tc>
        <w:tc>
          <w:tcPr>
            <w:tcW w:w="97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179" w:hRule="atLeast"/>
        </w:trPr>
        <w:tc>
          <w:tcPr>
            <w:tcW w:w="1046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</w:rPr>
              <w:t>Footnotes</w:t>
            </w:r>
          </w:p>
        </w:tc>
      </w:tr>
      <w:tr>
        <w:trPr>
          <w:trHeight w:val="324" w:hRule="atLeast"/>
        </w:trPr>
        <w:tc>
          <w:tcPr>
            <w:tcW w:w="1046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 xml:space="preserve">Sector Targets: </w:t>
            </w:r>
            <w:r>
              <w:rPr>
                <w:rFonts w:eastAsia="Times New Roman" w:cs="Calibri" w:ascii="Calibri" w:hAnsi="Calibri"/>
                <w:sz w:val="18"/>
                <w:szCs w:val="18"/>
              </w:rPr>
              <w:t>All Sector targets are taken from the Lebanon 3RP 202</w:t>
            </w:r>
            <w:r>
              <w:rPr>
                <w:rFonts w:eastAsia="Times New Roman" w:cs="Calibri" w:ascii="Calibri" w:hAnsi="Calibri"/>
                <w:sz w:val="18"/>
                <w:szCs w:val="18"/>
              </w:rPr>
              <w:t>0</w:t>
            </w:r>
          </w:p>
        </w:tc>
      </w:tr>
      <w:tr>
        <w:trPr>
          <w:trHeight w:val="261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color w:val="auto"/>
                <w:kern w:val="0"/>
                <w:sz w:val="18"/>
                <w:szCs w:val="18"/>
                <w:lang w:val="en-GB" w:eastAsia="ja-JP" w:bidi="ar-SA"/>
              </w:rPr>
            </w:pPr>
            <w:r>
              <w:rPr>
                <w:rFonts w:eastAsia="Times New Roman" w:cs="Calibri" w:ascii="Calibri" w:hAnsi="Calibri"/>
                <w:b/>
                <w:color w:val="auto"/>
                <w:kern w:val="0"/>
                <w:sz w:val="18"/>
                <w:szCs w:val="18"/>
                <w:lang w:val="en-GB" w:eastAsia="ja-JP" w:bidi="ar-SA"/>
              </w:rPr>
              <w:t>-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0</w:t>
            </w:r>
          </w:p>
        </w:tc>
      </w:tr>
      <w:tr>
        <w:trPr>
          <w:trHeight w:val="261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color w:val="auto"/>
                <w:kern w:val="0"/>
                <w:sz w:val="18"/>
                <w:szCs w:val="18"/>
                <w:lang w:val="en-GB" w:eastAsia="ja-JP" w:bidi="ar-SA"/>
              </w:rPr>
            </w:pPr>
            <w:r>
              <w:rPr>
                <w:rFonts w:eastAsia="Times New Roman" w:cs="Calibri" w:ascii="Calibri" w:hAnsi="Calibri"/>
                <w:b/>
                <w:color w:val="auto"/>
                <w:kern w:val="0"/>
                <w:sz w:val="18"/>
                <w:szCs w:val="18"/>
                <w:lang w:val="en-GB" w:eastAsia="ja-JP" w:bidi="ar-SA"/>
              </w:rPr>
              <w:t>-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0</w:t>
            </w:r>
          </w:p>
        </w:tc>
      </w:tr>
      <w:tr>
        <w:trPr>
          <w:trHeight w:val="261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sz w:val="18"/>
                <w:szCs w:val="18"/>
              </w:rPr>
              <w:t>Education: 3)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0</w:t>
            </w:r>
          </w:p>
        </w:tc>
      </w:tr>
      <w:tr>
        <w:trPr>
          <w:trHeight w:val="261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sz w:val="18"/>
                <w:szCs w:val="18"/>
              </w:rPr>
              <w:t>Education: 4)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0</w:t>
            </w:r>
          </w:p>
        </w:tc>
      </w:tr>
      <w:tr>
        <w:trPr>
          <w:trHeight w:val="261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sz w:val="18"/>
                <w:szCs w:val="18"/>
              </w:rPr>
              <w:t>Education: 5)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0</w:t>
            </w:r>
          </w:p>
        </w:tc>
      </w:tr>
      <w:tr>
        <w:trPr>
          <w:trHeight w:val="261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sz w:val="18"/>
                <w:szCs w:val="18"/>
              </w:rPr>
              <w:t>Education: 6)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0</w:t>
            </w:r>
          </w:p>
        </w:tc>
      </w:tr>
      <w:tr>
        <w:trPr>
          <w:trHeight w:val="261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sz w:val="18"/>
                <w:szCs w:val="18"/>
              </w:rPr>
              <w:t>Education: 7)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0</w:t>
            </w:r>
          </w:p>
        </w:tc>
      </w:tr>
      <w:tr>
        <w:trPr>
          <w:trHeight w:val="261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sz w:val="18"/>
                <w:szCs w:val="18"/>
              </w:rPr>
              <w:t>Education: 8)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0</w:t>
            </w:r>
          </w:p>
        </w:tc>
      </w:tr>
      <w:tr>
        <w:trPr>
          <w:trHeight w:val="261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Child protection – CP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0</w:t>
            </w:r>
          </w:p>
        </w:tc>
      </w:tr>
      <w:tr>
        <w:trPr>
          <w:trHeight w:val="264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Child Protection – CP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0</w:t>
            </w:r>
          </w:p>
        </w:tc>
      </w:tr>
      <w:tr>
        <w:trPr>
          <w:trHeight w:val="264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Child Protection – CP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0</w:t>
            </w:r>
          </w:p>
        </w:tc>
      </w:tr>
      <w:tr>
        <w:trPr>
          <w:trHeight w:val="276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nnotationtext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  <w:lang w:val="en-US"/>
              </w:rPr>
              <w:t>WASH: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nnotationtext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  <w:lang w:val="en-US"/>
              </w:rPr>
              <w:t>0</w:t>
            </w:r>
          </w:p>
        </w:tc>
      </w:tr>
      <w:tr>
        <w:trPr>
          <w:trHeight w:val="110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nnotationtext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  <w:lang w:val="en-US"/>
              </w:rPr>
              <w:t>WASH: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nnotationtext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  <w:lang w:val="en-US"/>
              </w:rPr>
              <w:t>0</w:t>
            </w:r>
          </w:p>
        </w:tc>
      </w:tr>
      <w:tr>
        <w:trPr>
          <w:trHeight w:val="110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nnotationtext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  <w:lang w:val="en-US"/>
              </w:rPr>
              <w:t>WASH: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nnotationtext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  <w:lang w:val="en-US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nnotationtext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  <w:lang w:val="en-US"/>
              </w:rPr>
              <w:t>WASH: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nnotationtext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  <w:lang w:val="en-US"/>
              </w:rPr>
              <w:t>0</w:t>
            </w:r>
          </w:p>
        </w:tc>
      </w:tr>
      <w:tr>
        <w:trPr>
          <w:trHeight w:val="264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-</w:t>
            </w:r>
          </w:p>
        </w:tc>
      </w:tr>
      <w:tr>
        <w:trPr>
          <w:trHeight w:val="110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-</w:t>
            </w:r>
          </w:p>
        </w:tc>
      </w:tr>
      <w:tr>
        <w:trPr>
          <w:trHeight w:val="110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-</w:t>
            </w:r>
          </w:p>
        </w:tc>
      </w:tr>
      <w:tr>
        <w:trPr>
          <w:trHeight w:val="110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-</w:t>
            </w:r>
          </w:p>
        </w:tc>
      </w:tr>
      <w:tr>
        <w:trPr>
          <w:trHeight w:val="110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-</w:t>
            </w:r>
          </w:p>
        </w:tc>
      </w:tr>
      <w:tr>
        <w:trPr>
          <w:trHeight w:val="110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-</w:t>
            </w:r>
          </w:p>
        </w:tc>
      </w:tr>
      <w:tr>
        <w:trPr>
          <w:trHeight w:val="110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-</w:t>
            </w:r>
          </w:p>
        </w:tc>
      </w:tr>
      <w:tr>
        <w:trPr>
          <w:trHeight w:val="110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-</w:t>
            </w:r>
          </w:p>
        </w:tc>
      </w:tr>
    </w:tbl>
    <w:p>
      <w:pPr>
        <w:pStyle w:val="Normal"/>
        <w:spacing w:before="0" w:after="48"/>
        <w:rPr>
          <w:rFonts w:ascii="Calibri" w:hAnsi="Calibri"/>
          <w:color w:val="000000"/>
          <w:sz w:val="20"/>
          <w:szCs w:val="20"/>
          <w:lang w:val="en-US"/>
        </w:rPr>
      </w:pPr>
      <w:r>
        <w:rPr>
          <w:rFonts w:ascii="Calibri" w:hAnsi="Calibri"/>
          <w:color w:val="000000"/>
          <w:sz w:val="20"/>
          <w:szCs w:val="20"/>
          <w:lang w:val="en-US"/>
        </w:rPr>
      </w:r>
    </w:p>
    <w:p>
      <w:pPr>
        <w:pStyle w:val="Normal"/>
        <w:spacing w:before="0" w:after="48"/>
        <w:rPr/>
      </w:pPr>
      <w:r>
        <w:rPr/>
      </w:r>
    </w:p>
    <w:sectPr>
      <w:footerReference w:type="default" r:id="rId2"/>
      <w:type w:val="nextPage"/>
      <w:pgSz w:w="11906" w:h="16838"/>
      <w:pgMar w:left="720" w:right="720" w:header="0" w:top="720" w:footer="720" w:bottom="777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ucida Grande">
    <w:charset w:val="01"/>
    <w:family w:val="roman"/>
    <w:pitch w:val="variable"/>
  </w:font>
  <w:font w:name="Consolas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rbe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rFonts w:ascii="Corbel" w:hAnsi="Corbel" w:cs="Times New Roman"/>
      </w:rPr>
    </w:pPr>
    <w:r>
      <w:rPr>
        <w:rFonts w:cs="Times New Roman" w:ascii="Corbel" w:hAnsi="Corbel"/>
      </w:rPr>
      <w:fldChar w:fldCharType="begin"/>
    </w:r>
    <w:r>
      <w:rPr>
        <w:rFonts w:cs="Times New Roman" w:ascii="Corbel" w:hAnsi="Corbel"/>
      </w:rPr>
      <w:instrText> PAGE </w:instrText>
    </w:r>
    <w:r>
      <w:rPr>
        <w:rFonts w:cs="Times New Roman" w:ascii="Corbel" w:hAnsi="Corbel"/>
      </w:rPr>
      <w:fldChar w:fldCharType="separate"/>
    </w:r>
    <w:r>
      <w:rPr>
        <w:rFonts w:cs="Times New Roman" w:ascii="Corbel" w:hAnsi="Corbel"/>
      </w:rPr>
      <w:t>2</w:t>
    </w:r>
    <w:r>
      <w:rPr>
        <w:rFonts w:cs="Times New Roman" w:ascii="Corbel" w:hAnsi="Corbel"/>
      </w:rPr>
      <w:fldChar w:fldCharType="end"/>
    </w:r>
  </w:p>
  <w:p>
    <w:pPr>
      <w:pStyle w:val="Footer"/>
      <w:rPr>
        <w:sz w:val="20"/>
        <w:szCs w:val="20"/>
      </w:rPr>
    </w:pPr>
    <w:r>
      <w:rPr>
        <w:sz w:val="20"/>
        <w:szCs w:val="20"/>
      </w:rPr>
      <w:t>202</w:t>
    </w:r>
    <w:r>
      <w:rPr>
        <w:sz w:val="20"/>
        <w:szCs w:val="20"/>
      </w:rPr>
      <w:t>0</w:t>
    </w:r>
    <w:r>
      <w:rPr>
        <w:sz w:val="20"/>
        <w:szCs w:val="20"/>
      </w:rPr>
      <w:t xml:space="preserve"> HPM</w:t>
    </w:r>
  </w:p>
</w:ftr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Arial"/>
        <w:lang w:val="fr-FR" w:eastAsia="ja-JP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Cambria" w:hAnsi="Cambria" w:eastAsia="ＭＳ 明朝" w:cs="Arial"/>
      <w:color w:val="auto"/>
      <w:kern w:val="0"/>
      <w:sz w:val="24"/>
      <w:szCs w:val="24"/>
      <w:lang w:val="en-GB" w:eastAsia="ja-JP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Times New Roman"/>
      <w:b/>
      <w:bCs/>
      <w:color w:val="E65B01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ind w:left="216" w:right="0" w:hanging="0"/>
      <w:outlineLvl w:val="3"/>
    </w:pPr>
    <w:rPr>
      <w:rFonts w:ascii="Arial" w:hAnsi="Arial" w:eastAsia="ＭＳ ゴシック" w:cs="Times New Roman"/>
      <w:bCs/>
      <w:iCs/>
      <w:caps/>
      <w:color w:val="FFFFFF"/>
      <w:sz w:val="16"/>
      <w:szCs w:val="22"/>
      <w:lang w:val="en-US" w:eastAsia="en-US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>
      <w:sz w:val="24"/>
      <w:szCs w:val="24"/>
      <w:lang w:val="en-GB"/>
    </w:rPr>
  </w:style>
  <w:style w:type="character" w:styleId="FooterChar">
    <w:name w:val="Footer Char"/>
    <w:basedOn w:val="DefaultParagraphFont"/>
    <w:qFormat/>
    <w:rPr>
      <w:sz w:val="24"/>
      <w:szCs w:val="24"/>
      <w:lang w:val="en-GB"/>
    </w:rPr>
  </w:style>
  <w:style w:type="character" w:styleId="BalloonTextChar">
    <w:name w:val="Balloon Text Char"/>
    <w:basedOn w:val="DefaultParagraphFont"/>
    <w:qFormat/>
    <w:rPr>
      <w:rFonts w:ascii="Lucida Grande" w:hAnsi="Lucida Grande" w:cs="Lucida Grande"/>
      <w:sz w:val="18"/>
      <w:szCs w:val="18"/>
      <w:lang w:val="en-GB"/>
    </w:rPr>
  </w:style>
  <w:style w:type="character" w:styleId="ListParagraphChar">
    <w:name w:val="List Paragraph Char"/>
    <w:qFormat/>
    <w:rPr>
      <w:rFonts w:eastAsia="Cambria"/>
      <w:color w:val="262626"/>
      <w:sz w:val="18"/>
      <w:szCs w:val="22"/>
      <w:lang w:val="en-US" w:eastAsia="en-US"/>
    </w:rPr>
  </w:style>
  <w:style w:type="character" w:styleId="Annotationreference">
    <w:name w:val="annotation reference"/>
    <w:basedOn w:val="DefaultParagraphFont"/>
    <w:qFormat/>
    <w:rPr>
      <w:sz w:val="18"/>
      <w:szCs w:val="18"/>
    </w:rPr>
  </w:style>
  <w:style w:type="character" w:styleId="CommentTextChar">
    <w:name w:val="Comment Text Char"/>
    <w:basedOn w:val="DefaultParagraphFont"/>
    <w:qFormat/>
    <w:rPr>
      <w:sz w:val="24"/>
      <w:szCs w:val="24"/>
      <w:lang w:val="en-GB"/>
    </w:rPr>
  </w:style>
  <w:style w:type="character" w:styleId="CommentSubjectChar">
    <w:name w:val="Comment Subject Char"/>
    <w:basedOn w:val="CommentTextChar"/>
    <w:qFormat/>
    <w:rPr>
      <w:b/>
      <w:bCs/>
      <w:sz w:val="24"/>
      <w:szCs w:val="24"/>
      <w:lang w:val="en-GB"/>
    </w:rPr>
  </w:style>
  <w:style w:type="character" w:styleId="Heading4Char">
    <w:name w:val="Heading 4 Char"/>
    <w:basedOn w:val="DefaultParagraphFont"/>
    <w:qFormat/>
    <w:rPr>
      <w:rFonts w:ascii="Arial" w:hAnsi="Arial" w:eastAsia="ＭＳ ゴシック" w:cs="Times New Roman"/>
      <w:bCs/>
      <w:iCs/>
      <w:caps/>
      <w:color w:val="FFFFFF"/>
      <w:sz w:val="16"/>
      <w:szCs w:val="22"/>
      <w:lang w:val="en-US" w:eastAsia="en-US"/>
    </w:rPr>
  </w:style>
  <w:style w:type="character" w:styleId="TitleChar">
    <w:name w:val="Title Char"/>
    <w:basedOn w:val="DefaultParagraphFont"/>
    <w:qFormat/>
    <w:rPr>
      <w:rFonts w:ascii="Arial" w:hAnsi="Arial" w:eastAsia="ＭＳ ゴシック" w:cs="Times New Roman"/>
      <w:color w:val="FFFFFF"/>
      <w:spacing w:val="5"/>
      <w:kern w:val="2"/>
      <w:sz w:val="72"/>
      <w:szCs w:val="52"/>
      <w:lang w:val="en-US" w:eastAsia="en-US"/>
    </w:rPr>
  </w:style>
  <w:style w:type="character" w:styleId="SubtitleChar">
    <w:name w:val="Subtitle Char"/>
    <w:basedOn w:val="DefaultParagraphFont"/>
    <w:qFormat/>
    <w:rPr>
      <w:rFonts w:ascii="Arial" w:hAnsi="Arial" w:eastAsia="ＭＳ ゴシック" w:cs="Times New Roman"/>
      <w:iCs/>
      <w:color w:val="FFFFFF"/>
      <w:spacing w:val="15"/>
      <w:sz w:val="52"/>
      <w:szCs w:val="24"/>
      <w:lang w:val="en-US" w:eastAsia="en-US"/>
    </w:rPr>
  </w:style>
  <w:style w:type="character" w:styleId="Heading1Char">
    <w:name w:val="Heading 1 Char"/>
    <w:basedOn w:val="DefaultParagraphFont"/>
    <w:qFormat/>
    <w:rPr>
      <w:rFonts w:ascii="Calibri" w:hAnsi="Calibri" w:eastAsia="ＭＳ ゴシック" w:cs="Times New Roman"/>
      <w:b/>
      <w:bCs/>
      <w:color w:val="E65B01"/>
      <w:sz w:val="28"/>
      <w:szCs w:val="28"/>
      <w:lang w:val="en-GB"/>
    </w:rPr>
  </w:style>
  <w:style w:type="character" w:styleId="Appleconvertedspace">
    <w:name w:val="apple-converted-space"/>
    <w:basedOn w:val="DefaultParagraphFont"/>
    <w:qFormat/>
    <w:rPr/>
  </w:style>
  <w:style w:type="character" w:styleId="InternetLink">
    <w:name w:val="Hyperlink"/>
    <w:basedOn w:val="DefaultParagraphFont"/>
    <w:rPr>
      <w:color w:val="D2611C"/>
      <w:u w:val="single"/>
    </w:rPr>
  </w:style>
  <w:style w:type="character" w:styleId="FootnoteTextChar">
    <w:name w:val="Footnote Text Char"/>
    <w:basedOn w:val="DefaultParagraphFont"/>
    <w:qFormat/>
    <w:rPr>
      <w:lang w:val="en-GB"/>
    </w:rPr>
  </w:style>
  <w:style w:type="character" w:styleId="FootnoteCharacters">
    <w:name w:val="Footnote Characters"/>
    <w:basedOn w:val="DefaultParagraphFont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PlainTextChar">
    <w:name w:val="Plain Text Char"/>
    <w:basedOn w:val="DefaultParagraphFont"/>
    <w:qFormat/>
    <w:rPr>
      <w:rFonts w:ascii="Consolas" w:hAnsi="Consolas"/>
      <w:sz w:val="21"/>
      <w:szCs w:val="21"/>
      <w:lang w:val="en-GB"/>
    </w:rPr>
  </w:style>
  <w:style w:type="character" w:styleId="NoSpacingChar">
    <w:name w:val="No Spacing Char"/>
    <w:qFormat/>
    <w:rPr>
      <w:rFonts w:eastAsia="Cambria"/>
      <w:color w:val="262626"/>
      <w:sz w:val="2"/>
      <w:szCs w:val="22"/>
      <w:lang w:val="en-US" w:eastAsia="en-US"/>
    </w:rPr>
  </w:style>
  <w:style w:type="character" w:styleId="St1">
    <w:name w:val="st1"/>
    <w:basedOn w:val="DefaultParagraphFont"/>
    <w:qFormat/>
    <w:rPr/>
  </w:style>
  <w:style w:type="character" w:styleId="EndnoteTextChar">
    <w:name w:val="Endnote Text Char"/>
    <w:basedOn w:val="DefaultParagraphFont"/>
    <w:qFormat/>
    <w:rPr>
      <w:lang w:val="en-GB"/>
    </w:rPr>
  </w:style>
  <w:style w:type="character" w:styleId="EndnoteCharacters">
    <w:name w:val="Endnote Characters"/>
    <w:basedOn w:val="DefaultParagraphFont"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UNHCRcontenttextChar">
    <w:name w:val="UNHCR_content_text Char"/>
    <w:basedOn w:val="DefaultParagraphFont"/>
    <w:qFormat/>
    <w:rPr>
      <w:rFonts w:ascii="Calibri" w:hAnsi="Calibri"/>
      <w:color w:val="404040"/>
    </w:rPr>
  </w:style>
  <w:style w:type="character" w:styleId="Emphasis">
    <w:name w:val="Emphasis"/>
    <w:basedOn w:val="DefaultParagraphFont"/>
    <w:qFormat/>
    <w:rPr>
      <w:b/>
      <w:bCs/>
      <w:i w:val="false"/>
      <w:iCs w:val="false"/>
    </w:rPr>
  </w:style>
  <w:style w:type="character" w:styleId="DocumentMapChar">
    <w:name w:val="Document Map Char"/>
    <w:basedOn w:val="DefaultParagraphFont"/>
    <w:qFormat/>
    <w:rPr>
      <w:rFonts w:ascii="Times New Roman" w:hAnsi="Times New Roman" w:cs="Times New Roman"/>
      <w:sz w:val="24"/>
      <w:szCs w:val="24"/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qFormat/>
    <w:pPr/>
    <w:rPr>
      <w:rFonts w:ascii="Lucida Grande" w:hAnsi="Lucida Grande" w:cs="Lucida Grande"/>
      <w:sz w:val="18"/>
      <w:szCs w:val="18"/>
    </w:rPr>
  </w:style>
  <w:style w:type="paragraph" w:styleId="SidebarText">
    <w:name w:val="Sidebar Text"/>
    <w:basedOn w:val="Normal"/>
    <w:qFormat/>
    <w:pPr>
      <w:spacing w:before="0" w:after="180"/>
      <w:ind w:left="-216" w:right="-144" w:hanging="0"/>
    </w:pPr>
    <w:rPr>
      <w:rFonts w:eastAsia="Cambria"/>
      <w:color w:val="262626"/>
      <w:sz w:val="16"/>
      <w:szCs w:val="22"/>
      <w:lang w:val="en-US" w:eastAsia="en-US"/>
    </w:rPr>
  </w:style>
  <w:style w:type="paragraph" w:styleId="ListParagraph">
    <w:name w:val="List Paragraph"/>
    <w:basedOn w:val="Normal"/>
    <w:qFormat/>
    <w:pPr>
      <w:spacing w:before="0" w:after="180"/>
      <w:ind w:left="720" w:right="0" w:hanging="0"/>
      <w:contextualSpacing/>
    </w:pPr>
    <w:rPr>
      <w:rFonts w:eastAsia="Cambria"/>
      <w:color w:val="262626"/>
      <w:sz w:val="18"/>
      <w:szCs w:val="22"/>
      <w:lang w:val="en-US" w:eastAsia="en-US"/>
    </w:rPr>
  </w:style>
  <w:style w:type="paragraph" w:styleId="Annotationtext">
    <w:name w:val="annotation text"/>
    <w:basedOn w:val="Normal"/>
    <w:qFormat/>
    <w:pPr/>
    <w:rPr/>
  </w:style>
  <w:style w:type="paragraph" w:styleId="Annotationsubject">
    <w:name w:val="annotation subject"/>
    <w:basedOn w:val="Annotationtext"/>
    <w:next w:val="Annotationtext"/>
    <w:qFormat/>
    <w:pPr/>
    <w:rPr>
      <w:b/>
      <w:bCs/>
      <w:sz w:val="20"/>
      <w:szCs w:val="20"/>
    </w:rPr>
  </w:style>
  <w:style w:type="paragraph" w:styleId="Revision">
    <w:name w:val="Revision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Cambria" w:hAnsi="Cambria" w:eastAsia="ＭＳ 明朝" w:cs="Arial"/>
      <w:color w:val="auto"/>
      <w:kern w:val="0"/>
      <w:sz w:val="24"/>
      <w:szCs w:val="24"/>
      <w:lang w:val="en-GB" w:eastAsia="ja-JP" w:bidi="ar-SA"/>
    </w:rPr>
  </w:style>
  <w:style w:type="paragraph" w:styleId="Title">
    <w:name w:val="Title"/>
    <w:basedOn w:val="Normal"/>
    <w:next w:val="Normal"/>
    <w:qFormat/>
    <w:pPr>
      <w:spacing w:before="300" w:after="0"/>
      <w:ind w:left="0" w:right="216" w:hanging="0"/>
      <w:contextualSpacing/>
      <w:jc w:val="right"/>
    </w:pPr>
    <w:rPr>
      <w:rFonts w:ascii="Arial" w:hAnsi="Arial" w:eastAsia="ＭＳ ゴシック" w:cs="Times New Roman"/>
      <w:color w:val="FFFFFF"/>
      <w:spacing w:val="5"/>
      <w:kern w:val="2"/>
      <w:sz w:val="72"/>
      <w:szCs w:val="52"/>
      <w:lang w:val="en-US" w:eastAsia="en-US"/>
    </w:rPr>
  </w:style>
  <w:style w:type="paragraph" w:styleId="Subtitle">
    <w:name w:val="Subtitle"/>
    <w:basedOn w:val="Normal"/>
    <w:next w:val="Normal"/>
    <w:qFormat/>
    <w:pPr>
      <w:spacing w:before="0" w:after="180"/>
      <w:ind w:left="0" w:right="216" w:hanging="0"/>
      <w:jc w:val="right"/>
    </w:pPr>
    <w:rPr>
      <w:rFonts w:ascii="Arial" w:hAnsi="Arial" w:eastAsia="ＭＳ ゴシック" w:cs="Times New Roman"/>
      <w:iCs/>
      <w:color w:val="FFFFFF"/>
      <w:spacing w:val="15"/>
      <w:sz w:val="52"/>
      <w:lang w:val="en-US" w:eastAsia="en-US"/>
    </w:rPr>
  </w:style>
  <w:style w:type="paragraph" w:styleId="NoSpacing">
    <w:name w:val="No Spacing"/>
    <w:qFormat/>
    <w:pPr>
      <w:widowControl/>
      <w:suppressAutoHyphens w:val="true"/>
      <w:overflowPunct w:val="true"/>
      <w:bidi w:val="0"/>
      <w:spacing w:before="0" w:after="60"/>
      <w:jc w:val="left"/>
    </w:pPr>
    <w:rPr>
      <w:rFonts w:ascii="Cambria" w:hAnsi="Cambria" w:eastAsia="Cambria" w:cs="Arial"/>
      <w:color w:val="262626"/>
      <w:kern w:val="0"/>
      <w:sz w:val="2"/>
      <w:szCs w:val="22"/>
      <w:lang w:val="en-US" w:eastAsia="en-US" w:bidi="ar-SA"/>
    </w:rPr>
  </w:style>
  <w:style w:type="paragraph" w:styleId="NormalWeb">
    <w:name w:val="Normal (Web)"/>
    <w:basedOn w:val="Normal"/>
    <w:qFormat/>
    <w:pPr>
      <w:spacing w:before="280" w:after="280"/>
    </w:pPr>
    <w:rPr>
      <w:rFonts w:ascii="Times New Roman" w:hAnsi="Times New Roman" w:cs="Times New Roman"/>
      <w:lang w:val="en-US" w:eastAsia="en-US"/>
    </w:rPr>
  </w:style>
  <w:style w:type="paragraph" w:styleId="Default">
    <w:name w:val="Default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Corbel" w:hAnsi="Corbel" w:eastAsia="ＭＳ 明朝" w:cs="Corbel"/>
      <w:color w:val="000000"/>
      <w:kern w:val="0"/>
      <w:sz w:val="24"/>
      <w:szCs w:val="24"/>
      <w:lang w:val="en-GB" w:eastAsia="ja-JP" w:bidi="ar-SA"/>
    </w:rPr>
  </w:style>
  <w:style w:type="paragraph" w:styleId="Footnote">
    <w:name w:val="Footnote Text"/>
    <w:basedOn w:val="Normal"/>
    <w:pPr/>
    <w:rPr>
      <w:sz w:val="20"/>
      <w:szCs w:val="20"/>
    </w:rPr>
  </w:style>
  <w:style w:type="paragraph" w:styleId="PlainText">
    <w:name w:val="Plain Text"/>
    <w:basedOn w:val="Normal"/>
    <w:qFormat/>
    <w:pPr/>
    <w:rPr>
      <w:rFonts w:ascii="Consolas" w:hAnsi="Consolas"/>
      <w:sz w:val="21"/>
      <w:szCs w:val="21"/>
    </w:rPr>
  </w:style>
  <w:style w:type="paragraph" w:styleId="Endnote">
    <w:name w:val="Endnote Text"/>
    <w:basedOn w:val="Normal"/>
    <w:pPr/>
    <w:rPr>
      <w:sz w:val="20"/>
      <w:szCs w:val="20"/>
    </w:rPr>
  </w:style>
  <w:style w:type="paragraph" w:styleId="UNHCRcontenttext">
    <w:name w:val="UNHCR_content_text"/>
    <w:basedOn w:val="Normal"/>
    <w:qFormat/>
    <w:pPr>
      <w:spacing w:before="0" w:after="100"/>
    </w:pPr>
    <w:rPr>
      <w:rFonts w:ascii="Calibri" w:hAnsi="Calibri"/>
      <w:color w:val="404040"/>
      <w:sz w:val="20"/>
      <w:szCs w:val="20"/>
      <w:lang w:val="fr-FR"/>
    </w:rPr>
  </w:style>
  <w:style w:type="paragraph" w:styleId="Text">
    <w:name w:val="Text"/>
    <w:basedOn w:val="Normal"/>
    <w:qFormat/>
    <w:pPr>
      <w:spacing w:lineRule="exact" w:line="360" w:before="0" w:after="240"/>
      <w:jc w:val="both"/>
    </w:pPr>
    <w:rPr>
      <w:rFonts w:ascii="Calibri" w:hAnsi="Calibri" w:eastAsia="Calibri" w:cs="Calibri"/>
      <w:sz w:val="22"/>
      <w:szCs w:val="22"/>
      <w:lang w:val="en-US" w:eastAsia="en-US"/>
    </w:rPr>
  </w:style>
  <w:style w:type="paragraph" w:styleId="DocumentMap">
    <w:name w:val="Document Map"/>
    <w:basedOn w:val="Normal"/>
    <w:qFormat/>
    <w:pPr/>
    <w:rPr>
      <w:rFonts w:ascii="Times New Roman" w:hAnsi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Application>LibreOffice/7.1.0.3$MacOSX_X86_64 LibreOffice_project/f6099ecf3d29644b5008cc8f48f42f4a40986e4c</Application>
  <AppVersion>15.0000</AppVersion>
  <Pages>2</Pages>
  <Words>697</Words>
  <Characters>2895</Characters>
  <CharactersWithSpaces>3304</CharactersWithSpaces>
  <Paragraphs>307</Paragraphs>
  <Company>UNICEF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ontentStatus>Monthly humanitarian situation report</cp:contentStatus>
  <dcterms:created xsi:type="dcterms:W3CDTF">2019-03-10T15:22:00Z</dcterms:created>
  <dc:creator>UNICEF</dc:creator>
  <dc:description/>
  <dc:language>en-US</dc:language>
  <cp:lastModifiedBy/>
  <cp:lastPrinted>2019-02-28T09:10:00Z</cp:lastPrinted>
  <dcterms:modified xsi:type="dcterms:W3CDTF">2021-03-11T18:08:15Z</dcterms:modified>
  <cp:revision>96</cp:revision>
  <dc:subject>Syria Crisis</dc:subject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