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93"/>
        <w:gridCol w:w="872"/>
        <w:gridCol w:w="875"/>
        <w:gridCol w:w="980"/>
        <w:gridCol w:w="849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2021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1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2021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LibreOffice/7.1.0.3$MacOSX_X86_64 LibreOffice_project/f6099ecf3d29644b5008cc8f48f42f4a40986e4c</Application>
  <AppVersion>15.0000</AppVersion>
  <Pages>3</Pages>
  <Words>731</Words>
  <Characters>2983</Characters>
  <CharactersWithSpaces>3402</CharactersWithSpaces>
  <Paragraphs>332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2021-04-16T10:41:25Z</dcterms:modified>
  <cp:revision>98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