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6CE66" w14:textId="2EBD9689" w:rsidR="007F1776" w:rsidRPr="006103CC" w:rsidRDefault="007F1776" w:rsidP="00A00638"/>
    <w:p w14:paraId="336C080E" w14:textId="527DD8D3" w:rsidR="007F1776" w:rsidRPr="006103CC" w:rsidRDefault="007F1776" w:rsidP="00A00638"/>
    <w:p w14:paraId="0F780261" w14:textId="41D2DBA5" w:rsidR="008F5E45" w:rsidRPr="006103CC" w:rsidRDefault="00B70B27" w:rsidP="00B70B27">
      <w:pPr>
        <w:pStyle w:val="Title"/>
        <w:jc w:val="center"/>
      </w:pPr>
      <w:bookmarkStart w:id="0" w:name="_Hlk130297552"/>
      <w:bookmarkStart w:id="1" w:name="_Hlk130299083"/>
      <w:r>
        <w:rPr>
          <w:noProof/>
        </w:rPr>
        <w:drawing>
          <wp:inline distT="0" distB="0" distL="0" distR="0" wp14:anchorId="51412687" wp14:editId="47B78A24">
            <wp:extent cx="3535101" cy="1125869"/>
            <wp:effectExtent l="0" t="0" r="8255" b="0"/>
            <wp:docPr id="999490316" name="Picture 1" descr="A blue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490316" name="Picture 1" descr="A blue and orange 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54024" cy="1131896"/>
                    </a:xfrm>
                    <a:prstGeom prst="rect">
                      <a:avLst/>
                    </a:prstGeom>
                  </pic:spPr>
                </pic:pic>
              </a:graphicData>
            </a:graphic>
          </wp:inline>
        </w:drawing>
      </w:r>
    </w:p>
    <w:p w14:paraId="77A47DB4" w14:textId="77777777" w:rsidR="003A64A0" w:rsidRPr="006103CC" w:rsidRDefault="003A64A0" w:rsidP="00A00638">
      <w:pPr>
        <w:rPr>
          <w:lang w:eastAsia="en-US"/>
        </w:rPr>
      </w:pPr>
    </w:p>
    <w:p w14:paraId="215CCFCE" w14:textId="77777777" w:rsidR="00B70B27" w:rsidRDefault="00B70B27" w:rsidP="00F17F4A">
      <w:pPr>
        <w:pStyle w:val="Title"/>
        <w:jc w:val="center"/>
      </w:pPr>
    </w:p>
    <w:p w14:paraId="4F5C9E8D" w14:textId="77777777" w:rsidR="00B70B27" w:rsidRDefault="00B70B27" w:rsidP="00B70B27">
      <w:pPr>
        <w:pStyle w:val="Title"/>
        <w:spacing w:before="240" w:after="240"/>
        <w:contextualSpacing w:val="0"/>
        <w:jc w:val="center"/>
        <w:rPr>
          <w:color w:val="002060"/>
          <w:sz w:val="44"/>
          <w:szCs w:val="44"/>
        </w:rPr>
      </w:pPr>
    </w:p>
    <w:p w14:paraId="1446B1A4" w14:textId="77777777" w:rsidR="00B70B27" w:rsidRDefault="00B70B27" w:rsidP="00B70B27">
      <w:pPr>
        <w:pStyle w:val="Title"/>
        <w:spacing w:before="240" w:after="240"/>
        <w:contextualSpacing w:val="0"/>
        <w:jc w:val="center"/>
        <w:rPr>
          <w:color w:val="002060"/>
          <w:sz w:val="44"/>
          <w:szCs w:val="44"/>
        </w:rPr>
      </w:pPr>
    </w:p>
    <w:p w14:paraId="2EE98560" w14:textId="77777777" w:rsidR="00B70B27" w:rsidRDefault="00B70B27" w:rsidP="00B70B27">
      <w:pPr>
        <w:pStyle w:val="Title"/>
        <w:spacing w:before="240" w:after="240"/>
        <w:contextualSpacing w:val="0"/>
        <w:jc w:val="center"/>
        <w:rPr>
          <w:color w:val="002060"/>
          <w:sz w:val="44"/>
          <w:szCs w:val="44"/>
        </w:rPr>
      </w:pPr>
    </w:p>
    <w:p w14:paraId="744C107F" w14:textId="77777777" w:rsidR="00B70B27" w:rsidRDefault="00B70B27" w:rsidP="00B70B27">
      <w:pPr>
        <w:pStyle w:val="Title"/>
        <w:spacing w:before="240" w:after="240"/>
        <w:contextualSpacing w:val="0"/>
        <w:jc w:val="center"/>
        <w:rPr>
          <w:color w:val="002060"/>
          <w:sz w:val="44"/>
          <w:szCs w:val="44"/>
        </w:rPr>
      </w:pPr>
    </w:p>
    <w:p w14:paraId="0D1E59BE" w14:textId="4FAE7F07" w:rsidR="001C3BFD" w:rsidRPr="00B70B27" w:rsidRDefault="00B70B27" w:rsidP="00B70B27">
      <w:pPr>
        <w:pStyle w:val="Title"/>
        <w:spacing w:before="240" w:after="240"/>
        <w:contextualSpacing w:val="0"/>
        <w:jc w:val="center"/>
        <w:rPr>
          <w:color w:val="1F497D" w:themeColor="text2"/>
          <w:sz w:val="44"/>
          <w:szCs w:val="44"/>
        </w:rPr>
      </w:pPr>
      <w:r w:rsidRPr="00B70B27">
        <w:rPr>
          <w:color w:val="1F497D" w:themeColor="text2"/>
          <w:sz w:val="44"/>
          <w:szCs w:val="44"/>
        </w:rPr>
        <w:t>STATE OF GLOBAL WATER RESOURCES</w:t>
      </w:r>
    </w:p>
    <w:p w14:paraId="041FF3A4" w14:textId="20AA8C82" w:rsidR="00706D1E" w:rsidRPr="00B70B27" w:rsidRDefault="00B70B27" w:rsidP="00B70B27">
      <w:pPr>
        <w:pStyle w:val="Title"/>
        <w:spacing w:before="240" w:after="240"/>
        <w:contextualSpacing w:val="0"/>
        <w:jc w:val="center"/>
        <w:rPr>
          <w:color w:val="1F497D" w:themeColor="text2"/>
          <w:sz w:val="44"/>
          <w:szCs w:val="44"/>
        </w:rPr>
      </w:pPr>
      <w:r w:rsidRPr="00B70B27">
        <w:rPr>
          <w:color w:val="1F497D" w:themeColor="text2"/>
          <w:sz w:val="44"/>
          <w:szCs w:val="44"/>
        </w:rPr>
        <w:t>UPDATED METHODOLOGY FOR REPORTING ON GROUNDWATER LEVELS</w:t>
      </w:r>
    </w:p>
    <w:p w14:paraId="6419844F" w14:textId="77777777" w:rsidR="007D5D0B" w:rsidRPr="006103CC" w:rsidRDefault="007D5D0B" w:rsidP="00A00638">
      <w:pPr>
        <w:pStyle w:val="Title"/>
      </w:pPr>
    </w:p>
    <w:bookmarkEnd w:id="0"/>
    <w:bookmarkEnd w:id="1"/>
    <w:p w14:paraId="346C3C25" w14:textId="77777777" w:rsidR="007D5D0B" w:rsidRPr="006103CC" w:rsidRDefault="007D5D0B" w:rsidP="00A00638"/>
    <w:p w14:paraId="76A9E48C" w14:textId="6EB1D6DA" w:rsidR="007F1776" w:rsidRPr="006103CC" w:rsidRDefault="007F1776" w:rsidP="00A00638"/>
    <w:p w14:paraId="378C5D1C" w14:textId="1B22C2E6" w:rsidR="007F1776" w:rsidRPr="006103CC" w:rsidRDefault="007F1776" w:rsidP="00A00638"/>
    <w:p w14:paraId="5C7B41A1" w14:textId="2B0FEB79" w:rsidR="00DB1730" w:rsidRPr="006103CC" w:rsidRDefault="00DB1730" w:rsidP="00A00638">
      <w:r w:rsidRPr="006103CC">
        <w:br w:type="page"/>
      </w:r>
    </w:p>
    <w:tbl>
      <w:tblPr>
        <w:tblStyle w:val="TableGrid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4"/>
        <w:gridCol w:w="6876"/>
      </w:tblGrid>
      <w:tr w:rsidR="00820C2D" w:rsidRPr="006103CC" w14:paraId="4BB9C020" w14:textId="77777777" w:rsidTr="00BD78ED">
        <w:trPr>
          <w:trHeight w:val="397"/>
        </w:trPr>
        <w:tc>
          <w:tcPr>
            <w:tcW w:w="1327" w:type="pct"/>
            <w:shd w:val="clear" w:color="auto" w:fill="auto"/>
          </w:tcPr>
          <w:p w14:paraId="78DBA3A8" w14:textId="7581A78F" w:rsidR="00820C2D" w:rsidRPr="00F17F4A" w:rsidRDefault="00820C2D" w:rsidP="00B70B27">
            <w:pPr>
              <w:spacing w:before="60" w:after="60"/>
              <w:rPr>
                <w:rFonts w:asciiTheme="minorHAnsi" w:hAnsiTheme="minorHAnsi" w:cstheme="minorHAnsi"/>
                <w:sz w:val="22"/>
                <w:szCs w:val="22"/>
                <w:lang w:val="en-US"/>
              </w:rPr>
            </w:pPr>
            <w:r w:rsidRPr="00F17F4A">
              <w:rPr>
                <w:rFonts w:asciiTheme="minorHAnsi" w:hAnsiTheme="minorHAnsi" w:cstheme="minorHAnsi"/>
                <w:sz w:val="22"/>
                <w:szCs w:val="22"/>
                <w:lang w:val="en-US"/>
              </w:rPr>
              <w:lastRenderedPageBreak/>
              <w:t>Title:</w:t>
            </w:r>
          </w:p>
        </w:tc>
        <w:tc>
          <w:tcPr>
            <w:tcW w:w="3673" w:type="pct"/>
            <w:shd w:val="clear" w:color="auto" w:fill="auto"/>
          </w:tcPr>
          <w:p w14:paraId="3315D870" w14:textId="77777777" w:rsidR="001C3BFD" w:rsidRPr="00F17F4A" w:rsidRDefault="001C3BFD" w:rsidP="00B70B27">
            <w:pPr>
              <w:spacing w:before="60" w:after="60"/>
              <w:jc w:val="left"/>
              <w:rPr>
                <w:rFonts w:asciiTheme="minorHAnsi" w:hAnsiTheme="minorHAnsi" w:cstheme="minorHAnsi"/>
                <w:sz w:val="22"/>
                <w:szCs w:val="22"/>
                <w:lang w:val="en-US"/>
              </w:rPr>
            </w:pPr>
            <w:r w:rsidRPr="00F17F4A">
              <w:rPr>
                <w:rFonts w:asciiTheme="minorHAnsi" w:hAnsiTheme="minorHAnsi" w:cstheme="minorHAnsi"/>
                <w:sz w:val="22"/>
                <w:szCs w:val="22"/>
                <w:lang w:val="en-US"/>
              </w:rPr>
              <w:t xml:space="preserve">State of Global Water Resources </w:t>
            </w:r>
          </w:p>
          <w:p w14:paraId="206A36EC" w14:textId="77777777" w:rsidR="00820C2D" w:rsidRPr="00F17F4A" w:rsidRDefault="001C3BFD" w:rsidP="00B70B27">
            <w:pPr>
              <w:spacing w:before="60" w:after="60"/>
              <w:jc w:val="left"/>
              <w:rPr>
                <w:rFonts w:asciiTheme="minorHAnsi" w:hAnsiTheme="minorHAnsi" w:cstheme="minorHAnsi"/>
                <w:sz w:val="22"/>
                <w:szCs w:val="22"/>
                <w:lang w:val="en-US"/>
              </w:rPr>
            </w:pPr>
            <w:r w:rsidRPr="00F17F4A">
              <w:rPr>
                <w:rFonts w:asciiTheme="minorHAnsi" w:hAnsiTheme="minorHAnsi" w:cstheme="minorHAnsi"/>
                <w:sz w:val="22"/>
                <w:szCs w:val="22"/>
                <w:lang w:val="en-US"/>
              </w:rPr>
              <w:t>Updated methodology for reporting on groundwater levels</w:t>
            </w:r>
          </w:p>
          <w:p w14:paraId="1D226642" w14:textId="681D1C8C" w:rsidR="001C3BFD" w:rsidRPr="00F17F4A" w:rsidRDefault="001C3BFD" w:rsidP="00B70B27">
            <w:pPr>
              <w:spacing w:before="60" w:after="60"/>
              <w:jc w:val="left"/>
              <w:rPr>
                <w:rFonts w:asciiTheme="minorHAnsi" w:hAnsiTheme="minorHAnsi" w:cstheme="minorHAnsi"/>
                <w:sz w:val="22"/>
                <w:szCs w:val="22"/>
                <w:lang w:val="en-US"/>
              </w:rPr>
            </w:pPr>
          </w:p>
        </w:tc>
      </w:tr>
      <w:tr w:rsidR="00820C2D" w:rsidRPr="006103CC" w14:paraId="2899D074" w14:textId="77777777" w:rsidTr="00BD78ED">
        <w:trPr>
          <w:trHeight w:val="397"/>
        </w:trPr>
        <w:tc>
          <w:tcPr>
            <w:tcW w:w="1327" w:type="pct"/>
            <w:shd w:val="clear" w:color="auto" w:fill="auto"/>
          </w:tcPr>
          <w:p w14:paraId="2603020C" w14:textId="77777777" w:rsidR="00820C2D" w:rsidRPr="00F17F4A" w:rsidRDefault="00820C2D" w:rsidP="00B70B27">
            <w:pPr>
              <w:spacing w:before="60" w:after="60"/>
              <w:rPr>
                <w:rFonts w:asciiTheme="minorHAnsi" w:hAnsiTheme="minorHAnsi" w:cstheme="minorHAnsi"/>
                <w:sz w:val="22"/>
                <w:szCs w:val="22"/>
                <w:lang w:val="en-US"/>
              </w:rPr>
            </w:pPr>
            <w:r w:rsidRPr="00F17F4A">
              <w:rPr>
                <w:rFonts w:asciiTheme="minorHAnsi" w:hAnsiTheme="minorHAnsi" w:cstheme="minorHAnsi"/>
                <w:sz w:val="22"/>
                <w:szCs w:val="22"/>
                <w:lang w:val="en-US"/>
              </w:rPr>
              <w:t>Version:</w:t>
            </w:r>
          </w:p>
        </w:tc>
        <w:tc>
          <w:tcPr>
            <w:tcW w:w="3673" w:type="pct"/>
            <w:shd w:val="clear" w:color="auto" w:fill="auto"/>
          </w:tcPr>
          <w:p w14:paraId="5C7250FD" w14:textId="1318F7BD" w:rsidR="00820C2D" w:rsidRPr="00F17F4A" w:rsidRDefault="00CC5885" w:rsidP="00B70B27">
            <w:pPr>
              <w:spacing w:before="60" w:after="60"/>
              <w:jc w:val="left"/>
              <w:rPr>
                <w:rFonts w:asciiTheme="minorHAnsi" w:hAnsiTheme="minorHAnsi" w:cstheme="minorHAnsi"/>
                <w:sz w:val="22"/>
                <w:szCs w:val="22"/>
                <w:lang w:val="en-US"/>
              </w:rPr>
            </w:pPr>
            <w:r>
              <w:rPr>
                <w:rFonts w:asciiTheme="minorHAnsi" w:hAnsiTheme="minorHAnsi" w:cstheme="minorHAnsi"/>
                <w:sz w:val="22"/>
                <w:szCs w:val="22"/>
                <w:lang w:val="en-US"/>
              </w:rPr>
              <w:t>Final 1.0</w:t>
            </w:r>
          </w:p>
        </w:tc>
      </w:tr>
      <w:tr w:rsidR="00820C2D" w:rsidRPr="006103CC" w14:paraId="44BE956E" w14:textId="77777777" w:rsidTr="00BD78ED">
        <w:trPr>
          <w:trHeight w:val="397"/>
        </w:trPr>
        <w:tc>
          <w:tcPr>
            <w:tcW w:w="1327" w:type="pct"/>
            <w:shd w:val="clear" w:color="auto" w:fill="auto"/>
          </w:tcPr>
          <w:p w14:paraId="2FDEC41D" w14:textId="77777777" w:rsidR="00820C2D" w:rsidRPr="00F17F4A" w:rsidRDefault="00820C2D" w:rsidP="00B70B27">
            <w:pPr>
              <w:spacing w:before="60" w:after="60"/>
              <w:rPr>
                <w:rFonts w:asciiTheme="minorHAnsi" w:hAnsiTheme="minorHAnsi" w:cstheme="minorHAnsi"/>
                <w:sz w:val="22"/>
                <w:szCs w:val="22"/>
                <w:lang w:val="en-US"/>
              </w:rPr>
            </w:pPr>
            <w:r w:rsidRPr="00F17F4A">
              <w:rPr>
                <w:rFonts w:asciiTheme="minorHAnsi" w:hAnsiTheme="minorHAnsi" w:cstheme="minorHAnsi"/>
                <w:sz w:val="22"/>
                <w:szCs w:val="22"/>
                <w:lang w:val="en-US"/>
              </w:rPr>
              <w:t>Date:</w:t>
            </w:r>
          </w:p>
        </w:tc>
        <w:tc>
          <w:tcPr>
            <w:tcW w:w="3673" w:type="pct"/>
            <w:shd w:val="clear" w:color="auto" w:fill="auto"/>
          </w:tcPr>
          <w:p w14:paraId="10165B70" w14:textId="070A1D99" w:rsidR="00820C2D" w:rsidRPr="00F17F4A" w:rsidRDefault="00D951EE" w:rsidP="00B70B27">
            <w:pPr>
              <w:spacing w:before="60" w:after="60"/>
              <w:jc w:val="left"/>
              <w:rPr>
                <w:rFonts w:asciiTheme="minorHAnsi" w:hAnsiTheme="minorHAnsi" w:cstheme="minorHAnsi"/>
                <w:sz w:val="22"/>
                <w:szCs w:val="22"/>
                <w:lang w:val="en-US"/>
              </w:rPr>
            </w:pPr>
            <w:r>
              <w:rPr>
                <w:rFonts w:asciiTheme="minorHAnsi" w:hAnsiTheme="minorHAnsi" w:cstheme="minorHAnsi"/>
                <w:sz w:val="22"/>
                <w:szCs w:val="22"/>
                <w:lang w:val="en-US"/>
              </w:rPr>
              <w:t>27</w:t>
            </w:r>
            <w:r w:rsidR="00F238A0" w:rsidRPr="00F17F4A">
              <w:rPr>
                <w:rFonts w:asciiTheme="minorHAnsi" w:hAnsiTheme="minorHAnsi" w:cstheme="minorHAnsi"/>
                <w:sz w:val="22"/>
                <w:szCs w:val="22"/>
                <w:vertAlign w:val="superscript"/>
                <w:lang w:val="en-US"/>
              </w:rPr>
              <w:t>th</w:t>
            </w:r>
            <w:r w:rsidR="00F238A0" w:rsidRPr="00F17F4A">
              <w:rPr>
                <w:rFonts w:asciiTheme="minorHAnsi" w:hAnsiTheme="minorHAnsi" w:cstheme="minorHAnsi"/>
                <w:sz w:val="22"/>
                <w:szCs w:val="22"/>
                <w:lang w:val="en-US"/>
              </w:rPr>
              <w:t xml:space="preserve"> </w:t>
            </w:r>
            <w:r>
              <w:rPr>
                <w:rFonts w:asciiTheme="minorHAnsi" w:hAnsiTheme="minorHAnsi" w:cstheme="minorHAnsi"/>
                <w:sz w:val="22"/>
                <w:szCs w:val="22"/>
                <w:lang w:val="en-US"/>
              </w:rPr>
              <w:t>Febr</w:t>
            </w:r>
            <w:r w:rsidR="00D65F15">
              <w:rPr>
                <w:rFonts w:asciiTheme="minorHAnsi" w:hAnsiTheme="minorHAnsi" w:cstheme="minorHAnsi"/>
                <w:sz w:val="22"/>
                <w:szCs w:val="22"/>
                <w:lang w:val="en-US"/>
              </w:rPr>
              <w:t>uary</w:t>
            </w:r>
            <w:r w:rsidR="00706D1E" w:rsidRPr="00F17F4A">
              <w:rPr>
                <w:rFonts w:asciiTheme="minorHAnsi" w:hAnsiTheme="minorHAnsi" w:cstheme="minorHAnsi"/>
                <w:sz w:val="22"/>
                <w:szCs w:val="22"/>
                <w:lang w:val="en-US"/>
              </w:rPr>
              <w:t xml:space="preserve"> </w:t>
            </w:r>
            <w:r w:rsidR="00820C2D" w:rsidRPr="00F17F4A">
              <w:rPr>
                <w:rFonts w:asciiTheme="minorHAnsi" w:hAnsiTheme="minorHAnsi" w:cstheme="minorHAnsi"/>
                <w:sz w:val="22"/>
                <w:szCs w:val="22"/>
                <w:lang w:val="en-US"/>
              </w:rPr>
              <w:t>202</w:t>
            </w:r>
            <w:r w:rsidR="00D65F15">
              <w:rPr>
                <w:rFonts w:asciiTheme="minorHAnsi" w:hAnsiTheme="minorHAnsi" w:cstheme="minorHAnsi"/>
                <w:sz w:val="22"/>
                <w:szCs w:val="22"/>
                <w:lang w:val="en-US"/>
              </w:rPr>
              <w:t>4</w:t>
            </w:r>
          </w:p>
        </w:tc>
      </w:tr>
      <w:tr w:rsidR="00820C2D" w:rsidRPr="006103CC" w14:paraId="6035138A" w14:textId="77777777" w:rsidTr="00BD78ED">
        <w:trPr>
          <w:trHeight w:val="397"/>
        </w:trPr>
        <w:tc>
          <w:tcPr>
            <w:tcW w:w="1327" w:type="pct"/>
            <w:shd w:val="clear" w:color="auto" w:fill="auto"/>
          </w:tcPr>
          <w:p w14:paraId="5E776A36" w14:textId="494DB759" w:rsidR="00820C2D" w:rsidRPr="00F17F4A" w:rsidRDefault="00820C2D" w:rsidP="00B70B27">
            <w:pPr>
              <w:spacing w:before="60" w:after="60"/>
              <w:rPr>
                <w:rFonts w:asciiTheme="minorHAnsi" w:hAnsiTheme="minorHAnsi" w:cstheme="minorHAnsi"/>
                <w:sz w:val="22"/>
                <w:szCs w:val="22"/>
                <w:lang w:val="en-US"/>
              </w:rPr>
            </w:pPr>
            <w:r w:rsidRPr="00F17F4A">
              <w:rPr>
                <w:rFonts w:asciiTheme="minorHAnsi" w:hAnsiTheme="minorHAnsi" w:cstheme="minorHAnsi"/>
                <w:sz w:val="22"/>
                <w:szCs w:val="22"/>
                <w:lang w:val="en-US"/>
              </w:rPr>
              <w:t>Authors:</w:t>
            </w:r>
          </w:p>
        </w:tc>
        <w:tc>
          <w:tcPr>
            <w:tcW w:w="3673" w:type="pct"/>
            <w:shd w:val="clear" w:color="auto" w:fill="auto"/>
          </w:tcPr>
          <w:p w14:paraId="7A13AF32" w14:textId="5F4DA85A" w:rsidR="00820C2D" w:rsidRPr="00F17F4A" w:rsidRDefault="00706D1E" w:rsidP="00B70B27">
            <w:pPr>
              <w:spacing w:before="60" w:after="60"/>
              <w:jc w:val="left"/>
              <w:rPr>
                <w:rFonts w:asciiTheme="minorHAnsi" w:hAnsiTheme="minorHAnsi" w:cstheme="minorHAnsi"/>
                <w:sz w:val="22"/>
                <w:szCs w:val="22"/>
                <w:lang w:val="en-US"/>
              </w:rPr>
            </w:pPr>
            <w:r w:rsidRPr="00F17F4A">
              <w:rPr>
                <w:rFonts w:asciiTheme="minorHAnsi" w:hAnsiTheme="minorHAnsi" w:cstheme="minorHAnsi"/>
                <w:sz w:val="22"/>
                <w:szCs w:val="22"/>
                <w:lang w:val="en-US"/>
              </w:rPr>
              <w:t>Arnaud Sterckx, Elie Gerges</w:t>
            </w:r>
            <w:r w:rsidR="00165B27">
              <w:rPr>
                <w:rFonts w:asciiTheme="minorHAnsi" w:hAnsiTheme="minorHAnsi" w:cstheme="minorHAnsi"/>
                <w:sz w:val="22"/>
                <w:szCs w:val="22"/>
                <w:lang w:val="en-US"/>
              </w:rPr>
              <w:t>, Elisabeth Lictevout</w:t>
            </w:r>
          </w:p>
        </w:tc>
      </w:tr>
      <w:tr w:rsidR="00820C2D" w:rsidRPr="006103CC" w14:paraId="14E67F63" w14:textId="77777777" w:rsidTr="00BD78ED">
        <w:trPr>
          <w:trHeight w:val="397"/>
        </w:trPr>
        <w:tc>
          <w:tcPr>
            <w:tcW w:w="1327" w:type="pct"/>
          </w:tcPr>
          <w:p w14:paraId="70A273E1" w14:textId="46C95F05" w:rsidR="00820C2D" w:rsidRPr="00F17F4A" w:rsidRDefault="00820C2D" w:rsidP="00B70B27">
            <w:pPr>
              <w:spacing w:before="60" w:after="60"/>
              <w:rPr>
                <w:rFonts w:asciiTheme="minorHAnsi" w:hAnsiTheme="minorHAnsi" w:cstheme="minorHAnsi"/>
                <w:sz w:val="22"/>
                <w:szCs w:val="22"/>
                <w:lang w:val="en-US"/>
              </w:rPr>
            </w:pPr>
            <w:r w:rsidRPr="00F17F4A">
              <w:rPr>
                <w:rFonts w:asciiTheme="minorHAnsi" w:hAnsiTheme="minorHAnsi" w:cstheme="minorHAnsi"/>
                <w:sz w:val="22"/>
                <w:szCs w:val="22"/>
                <w:lang w:val="en-US"/>
              </w:rPr>
              <w:t xml:space="preserve">Lead organization </w:t>
            </w:r>
          </w:p>
        </w:tc>
        <w:tc>
          <w:tcPr>
            <w:tcW w:w="3673" w:type="pct"/>
          </w:tcPr>
          <w:p w14:paraId="23447919" w14:textId="364F1AC8" w:rsidR="00820C2D" w:rsidRPr="00F17F4A" w:rsidRDefault="00820C2D" w:rsidP="00B70B27">
            <w:pPr>
              <w:spacing w:before="60" w:after="60"/>
              <w:jc w:val="left"/>
              <w:rPr>
                <w:rFonts w:asciiTheme="minorHAnsi" w:hAnsiTheme="minorHAnsi" w:cstheme="minorHAnsi"/>
                <w:sz w:val="22"/>
                <w:szCs w:val="22"/>
                <w:lang w:val="en-US"/>
              </w:rPr>
            </w:pPr>
            <w:r w:rsidRPr="00F17F4A">
              <w:rPr>
                <w:rFonts w:asciiTheme="minorHAnsi" w:hAnsiTheme="minorHAnsi" w:cstheme="minorHAnsi"/>
                <w:sz w:val="22"/>
                <w:szCs w:val="22"/>
                <w:lang w:val="en-US"/>
              </w:rPr>
              <w:t>International Groundwater Resources Assessment Centre (IGRAC)</w:t>
            </w:r>
          </w:p>
        </w:tc>
      </w:tr>
      <w:tr w:rsidR="00820C2D" w:rsidRPr="006103CC" w14:paraId="673D99DF" w14:textId="77777777" w:rsidTr="00BD78ED">
        <w:trPr>
          <w:trHeight w:val="397"/>
        </w:trPr>
        <w:tc>
          <w:tcPr>
            <w:tcW w:w="1327" w:type="pct"/>
          </w:tcPr>
          <w:p w14:paraId="69B1C17E" w14:textId="77777777" w:rsidR="00820C2D" w:rsidRPr="00F17F4A" w:rsidRDefault="00820C2D" w:rsidP="00B70B27">
            <w:pPr>
              <w:spacing w:before="60" w:after="60"/>
              <w:rPr>
                <w:rFonts w:asciiTheme="minorHAnsi" w:hAnsiTheme="minorHAnsi" w:cstheme="minorHAnsi"/>
                <w:sz w:val="22"/>
                <w:szCs w:val="22"/>
                <w:lang w:val="en-US"/>
              </w:rPr>
            </w:pPr>
            <w:r w:rsidRPr="00F17F4A">
              <w:rPr>
                <w:rFonts w:asciiTheme="minorHAnsi" w:hAnsiTheme="minorHAnsi" w:cstheme="minorHAnsi"/>
                <w:sz w:val="22"/>
                <w:szCs w:val="22"/>
                <w:lang w:val="en-US"/>
              </w:rPr>
              <w:t>Address:</w:t>
            </w:r>
          </w:p>
        </w:tc>
        <w:tc>
          <w:tcPr>
            <w:tcW w:w="3673" w:type="pct"/>
          </w:tcPr>
          <w:p w14:paraId="6358F861" w14:textId="77777777" w:rsidR="00820C2D" w:rsidRPr="00F17F4A" w:rsidRDefault="00820C2D" w:rsidP="00B70B27">
            <w:pPr>
              <w:spacing w:before="60" w:after="60"/>
              <w:jc w:val="left"/>
              <w:rPr>
                <w:rFonts w:asciiTheme="minorHAnsi" w:hAnsiTheme="minorHAnsi" w:cstheme="minorHAnsi"/>
                <w:sz w:val="22"/>
                <w:szCs w:val="22"/>
                <w:lang w:val="en-US"/>
              </w:rPr>
            </w:pPr>
            <w:proofErr w:type="spellStart"/>
            <w:r w:rsidRPr="00F17F4A">
              <w:rPr>
                <w:rFonts w:asciiTheme="minorHAnsi" w:hAnsiTheme="minorHAnsi" w:cstheme="minorHAnsi"/>
                <w:sz w:val="22"/>
                <w:szCs w:val="22"/>
                <w:lang w:val="en-US"/>
              </w:rPr>
              <w:t>Westvest</w:t>
            </w:r>
            <w:proofErr w:type="spellEnd"/>
            <w:r w:rsidRPr="00F17F4A">
              <w:rPr>
                <w:rFonts w:asciiTheme="minorHAnsi" w:hAnsiTheme="minorHAnsi" w:cstheme="minorHAnsi"/>
                <w:sz w:val="22"/>
                <w:szCs w:val="22"/>
                <w:lang w:val="en-US"/>
              </w:rPr>
              <w:t xml:space="preserve"> 7</w:t>
            </w:r>
            <w:r w:rsidRPr="00F17F4A">
              <w:rPr>
                <w:rFonts w:asciiTheme="minorHAnsi" w:hAnsiTheme="minorHAnsi" w:cstheme="minorHAnsi"/>
                <w:sz w:val="22"/>
                <w:szCs w:val="22"/>
                <w:lang w:val="en-US"/>
              </w:rPr>
              <w:br/>
              <w:t>2611AX Delft</w:t>
            </w:r>
            <w:r w:rsidRPr="00F17F4A">
              <w:rPr>
                <w:rFonts w:asciiTheme="minorHAnsi" w:hAnsiTheme="minorHAnsi" w:cstheme="minorHAnsi"/>
                <w:sz w:val="22"/>
                <w:szCs w:val="22"/>
                <w:lang w:val="en-US"/>
              </w:rPr>
              <w:br/>
              <w:t>The Netherlands</w:t>
            </w:r>
          </w:p>
        </w:tc>
      </w:tr>
      <w:tr w:rsidR="00820C2D" w:rsidRPr="006103CC" w14:paraId="0F890655" w14:textId="77777777" w:rsidTr="00BD78ED">
        <w:trPr>
          <w:trHeight w:val="397"/>
        </w:trPr>
        <w:tc>
          <w:tcPr>
            <w:tcW w:w="1327" w:type="pct"/>
          </w:tcPr>
          <w:p w14:paraId="4144EAC9" w14:textId="77777777" w:rsidR="00820C2D" w:rsidRPr="00F17F4A" w:rsidRDefault="00820C2D" w:rsidP="00B70B27">
            <w:pPr>
              <w:spacing w:before="60" w:after="60"/>
              <w:rPr>
                <w:rFonts w:asciiTheme="minorHAnsi" w:hAnsiTheme="minorHAnsi" w:cstheme="minorHAnsi"/>
                <w:sz w:val="22"/>
                <w:szCs w:val="22"/>
                <w:lang w:val="en-US"/>
              </w:rPr>
            </w:pPr>
            <w:r w:rsidRPr="00F17F4A">
              <w:rPr>
                <w:rFonts w:asciiTheme="minorHAnsi" w:hAnsiTheme="minorHAnsi" w:cstheme="minorHAnsi"/>
                <w:sz w:val="22"/>
                <w:szCs w:val="22"/>
                <w:lang w:val="en-US"/>
              </w:rPr>
              <w:t>Website:</w:t>
            </w:r>
          </w:p>
        </w:tc>
        <w:tc>
          <w:tcPr>
            <w:tcW w:w="3673" w:type="pct"/>
          </w:tcPr>
          <w:p w14:paraId="0BEFF4A5" w14:textId="44E2DEF8" w:rsidR="00820C2D" w:rsidRPr="00F17F4A" w:rsidRDefault="00E302ED" w:rsidP="00B70B27">
            <w:pPr>
              <w:spacing w:before="60" w:after="60"/>
              <w:jc w:val="left"/>
              <w:rPr>
                <w:rFonts w:asciiTheme="minorHAnsi" w:hAnsiTheme="minorHAnsi" w:cstheme="minorHAnsi"/>
                <w:sz w:val="22"/>
                <w:szCs w:val="22"/>
                <w:lang w:val="en-US"/>
              </w:rPr>
            </w:pPr>
            <w:hyperlink r:id="rId12" w:history="1">
              <w:r w:rsidR="00F238A0" w:rsidRPr="00F17F4A">
                <w:rPr>
                  <w:rStyle w:val="Hyperlink"/>
                  <w:rFonts w:asciiTheme="minorHAnsi" w:hAnsiTheme="minorHAnsi" w:cstheme="minorHAnsi"/>
                  <w:sz w:val="22"/>
                  <w:szCs w:val="22"/>
                  <w:lang w:val="en-US"/>
                </w:rPr>
                <w:t>www.un-igrac.org</w:t>
              </w:r>
            </w:hyperlink>
            <w:r w:rsidR="00F238A0" w:rsidRPr="00F17F4A">
              <w:rPr>
                <w:rFonts w:asciiTheme="minorHAnsi" w:hAnsiTheme="minorHAnsi" w:cstheme="minorHAnsi"/>
                <w:sz w:val="22"/>
                <w:szCs w:val="22"/>
                <w:lang w:val="en-US"/>
              </w:rPr>
              <w:t xml:space="preserve"> </w:t>
            </w:r>
            <w:r w:rsidR="00820C2D" w:rsidRPr="00F17F4A">
              <w:rPr>
                <w:rFonts w:asciiTheme="minorHAnsi" w:hAnsiTheme="minorHAnsi" w:cstheme="minorHAnsi"/>
                <w:sz w:val="22"/>
                <w:szCs w:val="22"/>
                <w:lang w:val="en-US"/>
              </w:rPr>
              <w:t xml:space="preserve"> </w:t>
            </w:r>
          </w:p>
        </w:tc>
      </w:tr>
      <w:tr w:rsidR="00820C2D" w:rsidRPr="006103CC" w14:paraId="3088CCAF" w14:textId="77777777" w:rsidTr="00BD78ED">
        <w:trPr>
          <w:trHeight w:val="397"/>
        </w:trPr>
        <w:tc>
          <w:tcPr>
            <w:tcW w:w="1327" w:type="pct"/>
          </w:tcPr>
          <w:p w14:paraId="16C49AB0" w14:textId="713D7E32" w:rsidR="00820C2D" w:rsidRPr="00F17F4A" w:rsidRDefault="00820C2D" w:rsidP="00B70B27">
            <w:pPr>
              <w:spacing w:before="60" w:after="60"/>
              <w:rPr>
                <w:rFonts w:asciiTheme="minorHAnsi" w:hAnsiTheme="minorHAnsi" w:cstheme="minorHAnsi"/>
                <w:sz w:val="22"/>
                <w:szCs w:val="22"/>
                <w:lang w:val="en-US"/>
              </w:rPr>
            </w:pPr>
            <w:r w:rsidRPr="00F17F4A">
              <w:rPr>
                <w:rFonts w:asciiTheme="minorHAnsi" w:hAnsiTheme="minorHAnsi" w:cstheme="minorHAnsi"/>
                <w:sz w:val="22"/>
                <w:szCs w:val="22"/>
                <w:lang w:val="en-US"/>
              </w:rPr>
              <w:t xml:space="preserve">Point of contact </w:t>
            </w:r>
          </w:p>
        </w:tc>
        <w:tc>
          <w:tcPr>
            <w:tcW w:w="3673" w:type="pct"/>
          </w:tcPr>
          <w:p w14:paraId="0F6F0112" w14:textId="50AD9C50" w:rsidR="00820C2D" w:rsidRPr="00F17F4A" w:rsidRDefault="00820C2D" w:rsidP="00B70B27">
            <w:pPr>
              <w:spacing w:before="60" w:after="60"/>
              <w:jc w:val="left"/>
              <w:rPr>
                <w:rFonts w:asciiTheme="minorHAnsi" w:hAnsiTheme="minorHAnsi" w:cstheme="minorHAnsi"/>
                <w:sz w:val="22"/>
                <w:szCs w:val="22"/>
                <w:lang w:val="en-US"/>
              </w:rPr>
            </w:pPr>
            <w:r w:rsidRPr="00F17F4A">
              <w:rPr>
                <w:rFonts w:asciiTheme="minorHAnsi" w:hAnsiTheme="minorHAnsi" w:cstheme="minorHAnsi"/>
                <w:sz w:val="22"/>
                <w:szCs w:val="22"/>
                <w:lang w:val="en-US"/>
              </w:rPr>
              <w:t xml:space="preserve">Arnaud Sterckx, </w:t>
            </w:r>
            <w:hyperlink r:id="rId13" w:history="1">
              <w:r w:rsidRPr="00F17F4A">
                <w:rPr>
                  <w:rStyle w:val="Hyperlink"/>
                  <w:rFonts w:asciiTheme="minorHAnsi" w:hAnsiTheme="minorHAnsi" w:cstheme="minorHAnsi"/>
                  <w:sz w:val="22"/>
                  <w:szCs w:val="22"/>
                  <w:lang w:val="en-US"/>
                </w:rPr>
                <w:t>armaud.sterckx@un-igrac.org</w:t>
              </w:r>
            </w:hyperlink>
          </w:p>
        </w:tc>
      </w:tr>
    </w:tbl>
    <w:p w14:paraId="3A0B43CF" w14:textId="77777777" w:rsidR="00820C2D" w:rsidRPr="006103CC" w:rsidRDefault="00820C2D" w:rsidP="00A00638"/>
    <w:p w14:paraId="69B9AE63" w14:textId="77777777" w:rsidR="00DD4BF9" w:rsidRDefault="00DD4BF9" w:rsidP="00A00638"/>
    <w:p w14:paraId="13640C2C" w14:textId="77777777" w:rsidR="00DD4BF9" w:rsidRDefault="00DD4BF9" w:rsidP="00DD4BF9">
      <w:pPr>
        <w:pStyle w:val="Heading1"/>
        <w:numPr>
          <w:ilvl w:val="0"/>
          <w:numId w:val="0"/>
        </w:numPr>
        <w:ind w:left="360" w:hanging="360"/>
      </w:pPr>
      <w:r>
        <w:t>Acknowledgment</w:t>
      </w:r>
    </w:p>
    <w:p w14:paraId="00339F4C" w14:textId="77777777" w:rsidR="00DD4BF9" w:rsidRDefault="00DD4BF9" w:rsidP="00DD4BF9">
      <w:pPr>
        <w:rPr>
          <w:lang w:val="en-GB" w:eastAsia="en-US"/>
        </w:rPr>
      </w:pPr>
      <w:r>
        <w:rPr>
          <w:lang w:val="en-GB" w:eastAsia="en-US"/>
        </w:rPr>
        <w:t>This methodological concept note has been peer-reviewed. The authors are grateful to the following national and academic experts for sharing their insight and comments: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4965"/>
      </w:tblGrid>
      <w:tr w:rsidR="00DD4BF9" w14:paraId="7C4CB40E" w14:textId="77777777" w:rsidTr="00DD4BF9">
        <w:tc>
          <w:tcPr>
            <w:tcW w:w="2348" w:type="pct"/>
          </w:tcPr>
          <w:p w14:paraId="6C141070" w14:textId="77777777" w:rsidR="00DD4BF9" w:rsidRDefault="00DD4BF9" w:rsidP="00B70B27">
            <w:pPr>
              <w:spacing w:before="60" w:after="60"/>
              <w:jc w:val="left"/>
              <w:rPr>
                <w:lang w:val="en-GB" w:eastAsia="en-US"/>
              </w:rPr>
            </w:pPr>
            <w:r>
              <w:rPr>
                <w:lang w:val="en-GB" w:eastAsia="en-US"/>
              </w:rPr>
              <w:t xml:space="preserve">Matthew Coulton, </w:t>
            </w:r>
            <w:r w:rsidRPr="00D65F15">
              <w:rPr>
                <w:lang w:val="en-GB" w:eastAsia="en-US"/>
              </w:rPr>
              <w:t>Elisabetta Carrara</w:t>
            </w:r>
            <w:r>
              <w:rPr>
                <w:lang w:val="en-GB" w:eastAsia="en-US"/>
              </w:rPr>
              <w:t>,</w:t>
            </w:r>
            <w:r w:rsidRPr="00D65F15">
              <w:rPr>
                <w:lang w:val="en-GB" w:eastAsia="en-US"/>
              </w:rPr>
              <w:t xml:space="preserve"> Eloise Nation</w:t>
            </w:r>
          </w:p>
        </w:tc>
        <w:tc>
          <w:tcPr>
            <w:tcW w:w="2652" w:type="pct"/>
            <w:vAlign w:val="center"/>
          </w:tcPr>
          <w:p w14:paraId="58C79930" w14:textId="77777777" w:rsidR="00DD4BF9" w:rsidRDefault="00DD4BF9" w:rsidP="00B70B27">
            <w:pPr>
              <w:spacing w:before="60" w:after="60"/>
              <w:jc w:val="left"/>
              <w:rPr>
                <w:lang w:val="en-GB" w:eastAsia="en-US"/>
              </w:rPr>
            </w:pPr>
            <w:r>
              <w:rPr>
                <w:lang w:val="en-GB" w:eastAsia="en-US"/>
              </w:rPr>
              <w:t>Bureau of Meteorology (BOM), Australia</w:t>
            </w:r>
          </w:p>
        </w:tc>
      </w:tr>
      <w:tr w:rsidR="00DD4BF9" w14:paraId="76214A41" w14:textId="77777777" w:rsidTr="00DD4BF9">
        <w:tc>
          <w:tcPr>
            <w:tcW w:w="2348" w:type="pct"/>
          </w:tcPr>
          <w:p w14:paraId="25A47353" w14:textId="77777777" w:rsidR="00DD4BF9" w:rsidRPr="00E558AA" w:rsidRDefault="00DD4BF9" w:rsidP="00B70B27">
            <w:pPr>
              <w:spacing w:before="60" w:after="60"/>
              <w:rPr>
                <w:lang w:val="es-EC" w:eastAsia="en-US"/>
              </w:rPr>
            </w:pPr>
            <w:r w:rsidRPr="00E558AA">
              <w:rPr>
                <w:lang w:val="es-EC" w:eastAsia="en-US"/>
              </w:rPr>
              <w:t>Clyvihk Renna Camacho, Isadora Kuhn</w:t>
            </w:r>
          </w:p>
        </w:tc>
        <w:tc>
          <w:tcPr>
            <w:tcW w:w="2652" w:type="pct"/>
            <w:vAlign w:val="center"/>
          </w:tcPr>
          <w:p w14:paraId="30E902E8" w14:textId="77777777" w:rsidR="00DD4BF9" w:rsidRDefault="00DD4BF9" w:rsidP="00B70B27">
            <w:pPr>
              <w:spacing w:before="60" w:after="60"/>
              <w:jc w:val="left"/>
              <w:rPr>
                <w:lang w:val="en-GB" w:eastAsia="en-US"/>
              </w:rPr>
            </w:pPr>
            <w:r w:rsidRPr="00D65F15">
              <w:rPr>
                <w:lang w:val="en-GB" w:eastAsia="en-US"/>
              </w:rPr>
              <w:t>Geological Survey of Brazil (SGB)</w:t>
            </w:r>
          </w:p>
        </w:tc>
      </w:tr>
      <w:tr w:rsidR="00DD4BF9" w14:paraId="651616A3" w14:textId="77777777" w:rsidTr="00DD4BF9">
        <w:tc>
          <w:tcPr>
            <w:tcW w:w="2348" w:type="pct"/>
          </w:tcPr>
          <w:p w14:paraId="762AA6DB" w14:textId="77777777" w:rsidR="00DD4BF9" w:rsidRDefault="00DD4BF9" w:rsidP="00B70B27">
            <w:pPr>
              <w:spacing w:before="60" w:after="60"/>
              <w:rPr>
                <w:lang w:val="en-GB" w:eastAsia="en-US"/>
              </w:rPr>
            </w:pPr>
            <w:r w:rsidRPr="00D65F15">
              <w:rPr>
                <w:lang w:val="en-GB" w:eastAsia="en-US"/>
              </w:rPr>
              <w:t>Laurence Gourcy</w:t>
            </w:r>
          </w:p>
        </w:tc>
        <w:tc>
          <w:tcPr>
            <w:tcW w:w="2652" w:type="pct"/>
            <w:vAlign w:val="center"/>
          </w:tcPr>
          <w:p w14:paraId="5D501A84" w14:textId="77777777" w:rsidR="00DD4BF9" w:rsidRDefault="00DD4BF9" w:rsidP="00B70B27">
            <w:pPr>
              <w:spacing w:before="60" w:after="60"/>
              <w:jc w:val="left"/>
              <w:rPr>
                <w:lang w:val="en-GB" w:eastAsia="en-US"/>
              </w:rPr>
            </w:pPr>
            <w:r w:rsidRPr="00D65F15">
              <w:rPr>
                <w:lang w:val="en-GB" w:eastAsia="en-US"/>
              </w:rPr>
              <w:t>Geological Survey of France (BRGM)</w:t>
            </w:r>
          </w:p>
        </w:tc>
      </w:tr>
      <w:tr w:rsidR="00DD4BF9" w14:paraId="0E78ED74" w14:textId="77777777" w:rsidTr="00DD4BF9">
        <w:tc>
          <w:tcPr>
            <w:tcW w:w="2348" w:type="pct"/>
          </w:tcPr>
          <w:p w14:paraId="647BCF2B" w14:textId="375DFC1A" w:rsidR="00DD4BF9" w:rsidRPr="00D65F15" w:rsidRDefault="00DD4BF9" w:rsidP="00B70B27">
            <w:pPr>
              <w:spacing w:before="60" w:after="60"/>
              <w:rPr>
                <w:lang w:val="en-GB" w:eastAsia="en-US"/>
              </w:rPr>
            </w:pPr>
            <w:r w:rsidRPr="00DD4BF9">
              <w:rPr>
                <w:lang w:val="en-GB" w:eastAsia="en-US"/>
              </w:rPr>
              <w:t>Robert Reinecke</w:t>
            </w:r>
          </w:p>
        </w:tc>
        <w:tc>
          <w:tcPr>
            <w:tcW w:w="2652" w:type="pct"/>
            <w:vAlign w:val="center"/>
          </w:tcPr>
          <w:p w14:paraId="7CC78CFE" w14:textId="2B9D52A1" w:rsidR="00DD4BF9" w:rsidRPr="00D65F15" w:rsidRDefault="00DD4BF9" w:rsidP="00B70B27">
            <w:pPr>
              <w:spacing w:before="60" w:after="60"/>
              <w:jc w:val="left"/>
              <w:rPr>
                <w:lang w:val="en-GB" w:eastAsia="en-US"/>
              </w:rPr>
            </w:pPr>
            <w:r w:rsidRPr="00DD4BF9">
              <w:rPr>
                <w:lang w:val="en-GB" w:eastAsia="en-US"/>
              </w:rPr>
              <w:t>Johannes Gutenberg - Universität Mainz</w:t>
            </w:r>
            <w:r>
              <w:rPr>
                <w:lang w:val="en-GB" w:eastAsia="en-US"/>
              </w:rPr>
              <w:t>, Germany</w:t>
            </w:r>
          </w:p>
        </w:tc>
      </w:tr>
      <w:tr w:rsidR="00DD4BF9" w14:paraId="77E35002" w14:textId="77777777" w:rsidTr="00DD4BF9">
        <w:tc>
          <w:tcPr>
            <w:tcW w:w="2348" w:type="pct"/>
          </w:tcPr>
          <w:p w14:paraId="73ED2276" w14:textId="729D8961" w:rsidR="00DD4BF9" w:rsidRPr="00D65F15" w:rsidRDefault="00DD4BF9" w:rsidP="00B70B27">
            <w:pPr>
              <w:spacing w:before="60" w:after="60"/>
              <w:rPr>
                <w:lang w:val="en-GB" w:eastAsia="en-US"/>
              </w:rPr>
            </w:pPr>
            <w:r w:rsidRPr="00DD4BF9">
              <w:rPr>
                <w:lang w:val="en-GB" w:eastAsia="en-US"/>
              </w:rPr>
              <w:t>Claire Michailovsky</w:t>
            </w:r>
          </w:p>
        </w:tc>
        <w:tc>
          <w:tcPr>
            <w:tcW w:w="2652" w:type="pct"/>
            <w:vAlign w:val="center"/>
          </w:tcPr>
          <w:p w14:paraId="6B50052C" w14:textId="20AC30FF" w:rsidR="00DD4BF9" w:rsidRPr="00D65F15" w:rsidRDefault="00DD4BF9" w:rsidP="00B70B27">
            <w:pPr>
              <w:spacing w:before="60" w:after="60"/>
              <w:jc w:val="left"/>
              <w:rPr>
                <w:lang w:val="en-GB" w:eastAsia="en-US"/>
              </w:rPr>
            </w:pPr>
            <w:r>
              <w:rPr>
                <w:lang w:val="en-GB" w:eastAsia="en-US"/>
              </w:rPr>
              <w:t>IHE Delft, the Netherlands</w:t>
            </w:r>
          </w:p>
        </w:tc>
      </w:tr>
      <w:tr w:rsidR="00DD4BF9" w14:paraId="60B71E45" w14:textId="77777777" w:rsidTr="00DD4BF9">
        <w:tc>
          <w:tcPr>
            <w:tcW w:w="2348" w:type="pct"/>
          </w:tcPr>
          <w:p w14:paraId="1B6F5F82" w14:textId="77777777" w:rsidR="00DD4BF9" w:rsidRDefault="00DD4BF9" w:rsidP="00B70B27">
            <w:pPr>
              <w:spacing w:before="60" w:after="60"/>
              <w:rPr>
                <w:lang w:val="en-GB" w:eastAsia="en-US"/>
              </w:rPr>
            </w:pPr>
            <w:r w:rsidRPr="00D65F15">
              <w:rPr>
                <w:lang w:val="en-GB" w:eastAsia="en-US"/>
              </w:rPr>
              <w:t>Shams Rahman</w:t>
            </w:r>
          </w:p>
        </w:tc>
        <w:tc>
          <w:tcPr>
            <w:tcW w:w="2652" w:type="pct"/>
            <w:vAlign w:val="center"/>
          </w:tcPr>
          <w:p w14:paraId="1AAFAE1C" w14:textId="77777777" w:rsidR="00DD4BF9" w:rsidRDefault="00DD4BF9" w:rsidP="00B70B27">
            <w:pPr>
              <w:spacing w:before="60" w:after="60"/>
              <w:jc w:val="left"/>
              <w:rPr>
                <w:lang w:val="en-GB" w:eastAsia="en-US"/>
              </w:rPr>
            </w:pPr>
            <w:r w:rsidRPr="00D65F15">
              <w:rPr>
                <w:lang w:val="en-GB" w:eastAsia="en-US"/>
              </w:rPr>
              <w:t>University of Bristol</w:t>
            </w:r>
            <w:r>
              <w:rPr>
                <w:lang w:val="en-GB" w:eastAsia="en-US"/>
              </w:rPr>
              <w:t>, UK</w:t>
            </w:r>
          </w:p>
        </w:tc>
      </w:tr>
      <w:tr w:rsidR="00DD4BF9" w14:paraId="4C9B6CF0" w14:textId="77777777" w:rsidTr="00DD4BF9">
        <w:tc>
          <w:tcPr>
            <w:tcW w:w="2348" w:type="pct"/>
          </w:tcPr>
          <w:p w14:paraId="6C111C73" w14:textId="77777777" w:rsidR="00DD4BF9" w:rsidRDefault="00DD4BF9" w:rsidP="00B70B27">
            <w:pPr>
              <w:spacing w:before="60" w:after="60"/>
              <w:rPr>
                <w:lang w:val="en-GB" w:eastAsia="en-US"/>
              </w:rPr>
            </w:pPr>
            <w:r w:rsidRPr="00D65F15">
              <w:rPr>
                <w:lang w:val="en-GB" w:eastAsia="en-US"/>
              </w:rPr>
              <w:t>Scott Jasechko</w:t>
            </w:r>
            <w:r>
              <w:rPr>
                <w:lang w:val="en-GB" w:eastAsia="en-US"/>
              </w:rPr>
              <w:t xml:space="preserve">, </w:t>
            </w:r>
            <w:r w:rsidRPr="00D65F15">
              <w:rPr>
                <w:lang w:val="en-GB" w:eastAsia="en-US"/>
              </w:rPr>
              <w:t>Debra Perrone</w:t>
            </w:r>
          </w:p>
        </w:tc>
        <w:tc>
          <w:tcPr>
            <w:tcW w:w="2652" w:type="pct"/>
            <w:vAlign w:val="center"/>
          </w:tcPr>
          <w:p w14:paraId="677D4A62" w14:textId="77777777" w:rsidR="00DD4BF9" w:rsidRDefault="00DD4BF9" w:rsidP="00B70B27">
            <w:pPr>
              <w:spacing w:before="60" w:after="60"/>
              <w:jc w:val="left"/>
              <w:rPr>
                <w:lang w:val="en-GB" w:eastAsia="en-US"/>
              </w:rPr>
            </w:pPr>
            <w:r w:rsidRPr="00D65F15">
              <w:rPr>
                <w:lang w:val="en-GB" w:eastAsia="en-US"/>
              </w:rPr>
              <w:t xml:space="preserve">University of California, </w:t>
            </w:r>
            <w:r>
              <w:rPr>
                <w:lang w:val="en-GB" w:eastAsia="en-US"/>
              </w:rPr>
              <w:t>Santa Barbara</w:t>
            </w:r>
            <w:r w:rsidRPr="00D65F15">
              <w:rPr>
                <w:lang w:val="en-GB" w:eastAsia="en-US"/>
              </w:rPr>
              <w:t xml:space="preserve"> (UC</w:t>
            </w:r>
            <w:r>
              <w:rPr>
                <w:lang w:val="en-GB" w:eastAsia="en-US"/>
              </w:rPr>
              <w:t>SB</w:t>
            </w:r>
            <w:r w:rsidRPr="00D65F15">
              <w:rPr>
                <w:lang w:val="en-GB" w:eastAsia="en-US"/>
              </w:rPr>
              <w:t>)</w:t>
            </w:r>
            <w:r>
              <w:rPr>
                <w:lang w:val="en-GB" w:eastAsia="en-US"/>
              </w:rPr>
              <w:t>, USA</w:t>
            </w:r>
          </w:p>
        </w:tc>
      </w:tr>
    </w:tbl>
    <w:p w14:paraId="1CC94119" w14:textId="6A09A687" w:rsidR="00DD4BF9" w:rsidRPr="006103CC" w:rsidRDefault="00DD4BF9" w:rsidP="00A00638">
      <w:pPr>
        <w:sectPr w:rsidR="00DD4BF9" w:rsidRPr="006103CC" w:rsidSect="00B70B27">
          <w:headerReference w:type="default" r:id="rId14"/>
          <w:footerReference w:type="default" r:id="rId15"/>
          <w:pgSz w:w="12240" w:h="15840"/>
          <w:pgMar w:top="1440" w:right="1440" w:bottom="1440" w:left="1440" w:header="720" w:footer="2268" w:gutter="0"/>
          <w:cols w:space="720"/>
          <w:titlePg/>
          <w:docGrid w:linePitch="360"/>
        </w:sectPr>
      </w:pPr>
    </w:p>
    <w:p w14:paraId="131F33D5" w14:textId="6D5740F2" w:rsidR="007F1776" w:rsidRPr="006103CC" w:rsidRDefault="5F22B087" w:rsidP="00A00638">
      <w:pPr>
        <w:pStyle w:val="Heading1"/>
        <w:rPr>
          <w:lang w:val="en-US"/>
        </w:rPr>
      </w:pPr>
      <w:r w:rsidRPr="00B91132">
        <w:lastRenderedPageBreak/>
        <w:t>Introduction</w:t>
      </w:r>
    </w:p>
    <w:p w14:paraId="10AC544C" w14:textId="76AF4E7A" w:rsidR="00F619C0" w:rsidRPr="00B91132" w:rsidRDefault="009E1A0E" w:rsidP="00F619C0">
      <w:r w:rsidRPr="00B70B27">
        <w:t>Groundwater constitutes the primary reservoir of non-frozen potable water on Earth, exhibiting a close</w:t>
      </w:r>
      <w:r w:rsidRPr="009E1A0E">
        <w:t xml:space="preserve"> hydrological linkage with surface water. </w:t>
      </w:r>
      <w:r>
        <w:t>Information on</w:t>
      </w:r>
      <w:r w:rsidRPr="009E1A0E">
        <w:t xml:space="preserve"> the quantitative and qualitative status of aquifers is essential for strategic water resources planning, effective management, and for policy</w:t>
      </w:r>
      <w:r>
        <w:t>-making</w:t>
      </w:r>
      <w:r w:rsidRPr="009E1A0E">
        <w:t>.</w:t>
      </w:r>
      <w:r>
        <w:t xml:space="preserve"> </w:t>
      </w:r>
      <w:r w:rsidR="00B91132" w:rsidRPr="00B91132">
        <w:t>Access to this information on a regular and timely basis is crucial because the stress on groundwater resources</w:t>
      </w:r>
      <w:r w:rsidR="00933186">
        <w:t xml:space="preserve"> is increasing</w:t>
      </w:r>
      <w:r w:rsidR="00B91132" w:rsidRPr="00B91132">
        <w:t xml:space="preserve">, due to the rise </w:t>
      </w:r>
      <w:r w:rsidR="00FB415D">
        <w:t>in</w:t>
      </w:r>
      <w:r w:rsidR="00B91132" w:rsidRPr="00B91132">
        <w:t xml:space="preserve"> water demand</w:t>
      </w:r>
      <w:r w:rsidR="00B91132">
        <w:t>, pollution,</w:t>
      </w:r>
      <w:r w:rsidR="00B91132" w:rsidRPr="00B91132">
        <w:t xml:space="preserve"> and the effect of climate change on water availability. </w:t>
      </w:r>
      <w:r w:rsidR="00F619C0" w:rsidRPr="00B91132">
        <w:t>The dissemination of such information and the underlying data is a prerequisite for the active participation of communities and other stakeholders in the management of groundwater, which is itself a condition for effective groundwater management (FAO, 2016</w:t>
      </w:r>
      <w:r w:rsidR="00F619C0">
        <w:rPr>
          <w:rStyle w:val="FootnoteReference"/>
        </w:rPr>
        <w:footnoteReference w:id="1"/>
      </w:r>
      <w:r w:rsidR="00F619C0" w:rsidRPr="00B91132">
        <w:t xml:space="preserve">). </w:t>
      </w:r>
    </w:p>
    <w:p w14:paraId="22D1080E" w14:textId="7E7228C8" w:rsidR="00F40C61" w:rsidRDefault="00F619C0" w:rsidP="00A00638">
      <w:r>
        <w:t>Groundwater monitoring is essential to produce i</w:t>
      </w:r>
      <w:r w:rsidR="00B91132" w:rsidRPr="00B91132">
        <w:t>nfor</w:t>
      </w:r>
      <w:r>
        <w:t>mation</w:t>
      </w:r>
      <w:r w:rsidR="00B91132" w:rsidRPr="00B91132">
        <w:t xml:space="preserve"> on the quantitative and qualitative status of aquifers</w:t>
      </w:r>
      <w:r>
        <w:t>.</w:t>
      </w:r>
      <w:r w:rsidR="00B91132" w:rsidRPr="00B91132">
        <w:t xml:space="preserve"> </w:t>
      </w:r>
      <w:r w:rsidR="00F40C61">
        <w:t xml:space="preserve">Developing and maintaining groundwater monitoring networks can </w:t>
      </w:r>
      <w:r w:rsidR="002C321E">
        <w:t xml:space="preserve">be </w:t>
      </w:r>
      <w:r w:rsidR="00F40C61">
        <w:t xml:space="preserve">challenging, in particular in low-income countries. There are also countries where groundwater monitoring data are collected but not shared. Nevertheless, monitoring networks are </w:t>
      </w:r>
      <w:r w:rsidR="00F40C61" w:rsidRPr="00F40C61">
        <w:t xml:space="preserve">operational </w:t>
      </w:r>
      <w:r w:rsidR="00F40C61">
        <w:t xml:space="preserve">in many parts of the world </w:t>
      </w:r>
      <w:r w:rsidR="00F40C61" w:rsidRPr="00F40C61">
        <w:t>(IGRAC, 2020</w:t>
      </w:r>
      <w:bookmarkStart w:id="2" w:name="_Ref157506295"/>
      <w:r w:rsidR="00F40C61" w:rsidRPr="00F40C61">
        <w:rPr>
          <w:rStyle w:val="FootnoteReference"/>
        </w:rPr>
        <w:footnoteReference w:id="2"/>
      </w:r>
      <w:bookmarkEnd w:id="2"/>
      <w:r w:rsidR="00F40C61" w:rsidRPr="00F40C61">
        <w:t xml:space="preserve">) and serve as a basis to report on the state of groundwater resources, such as in Europe, under the Water Framework Directive (WFD), </w:t>
      </w:r>
      <w:r w:rsidR="00F40C61">
        <w:t>in India, or</w:t>
      </w:r>
      <w:r w:rsidR="00F40C61" w:rsidRPr="00F40C61">
        <w:t xml:space="preserve"> in California, under the Sustainable Groundwater Management Act (SGMA)</w:t>
      </w:r>
      <w:r w:rsidR="00F40C61">
        <w:t xml:space="preserve">. </w:t>
      </w:r>
      <w:r w:rsidR="00F40C61" w:rsidRPr="00F40C61">
        <w:t>Under SDG indicator 6.3.2 (</w:t>
      </w:r>
      <w:r w:rsidR="00F40C61" w:rsidRPr="00F40C61">
        <w:rPr>
          <w:i/>
          <w:iCs/>
        </w:rPr>
        <w:t>Progress on ambient water quality</w:t>
      </w:r>
      <w:r w:rsidR="00F40C61" w:rsidRPr="00F40C61">
        <w:t xml:space="preserve">), countries report on the qualitative status of </w:t>
      </w:r>
      <w:r w:rsidR="00F40C61">
        <w:t xml:space="preserve">their </w:t>
      </w:r>
      <w:r w:rsidR="00F40C61" w:rsidRPr="00F40C61">
        <w:t>groundwater bodies, based on measurements of several groundwater quality variables. There is however no equivalent indicator to report on the quantitative status of groundwater bodies under the SDGs</w:t>
      </w:r>
      <w:r w:rsidR="00F40C61">
        <w:t>.</w:t>
      </w:r>
    </w:p>
    <w:p w14:paraId="23D52C32" w14:textId="4CA9F640" w:rsidR="00F40C61" w:rsidRDefault="00F40C61" w:rsidP="00A00638">
      <w:r>
        <w:t>Groundwater monitoring data collected in the countries can also support groundwater assessment</w:t>
      </w:r>
      <w:r w:rsidR="001149A0">
        <w:t xml:space="preserve"> studies</w:t>
      </w:r>
      <w:r>
        <w:t xml:space="preserve"> at the global level. </w:t>
      </w:r>
      <w:r w:rsidR="00B91132">
        <w:t>Since 2022, the World Meteorological Organization publishe</w:t>
      </w:r>
      <w:r w:rsidR="00165B27">
        <w:t>s</w:t>
      </w:r>
      <w:r w:rsidR="00B91132">
        <w:t xml:space="preserve"> a yearly report on the State of Global Water Resources</w:t>
      </w:r>
      <w:r w:rsidR="00B91132">
        <w:rPr>
          <w:rStyle w:val="FootnoteReference"/>
        </w:rPr>
        <w:footnoteReference w:id="3"/>
      </w:r>
      <w:r w:rsidR="00B91132">
        <w:t xml:space="preserve">. </w:t>
      </w:r>
      <w:r w:rsidR="00706D1E" w:rsidRPr="006103CC">
        <w:t xml:space="preserve">In </w:t>
      </w:r>
      <w:r w:rsidR="00AB359D">
        <w:t xml:space="preserve">the second edition, </w:t>
      </w:r>
      <w:r w:rsidR="00706D1E" w:rsidRPr="006103CC">
        <w:t xml:space="preserve">IGRAC </w:t>
      </w:r>
      <w:r w:rsidR="001771BE">
        <w:t>contributed to</w:t>
      </w:r>
      <w:r w:rsidR="00AB359D">
        <w:t xml:space="preserve"> a new section on Groundwater Levels.</w:t>
      </w:r>
      <w:r w:rsidR="00D80250" w:rsidRPr="006103CC">
        <w:t xml:space="preserve"> The section contain</w:t>
      </w:r>
      <w:r w:rsidR="00165B27">
        <w:t>ed</w:t>
      </w:r>
      <w:r w:rsidR="00D80250" w:rsidRPr="006103CC">
        <w:t xml:space="preserve"> an assessment of groundwater </w:t>
      </w:r>
      <w:r w:rsidR="00423728">
        <w:t xml:space="preserve">resources </w:t>
      </w:r>
      <w:r w:rsidR="00D80250" w:rsidRPr="006103CC">
        <w:t xml:space="preserve">based on in-situ groundwater level monitoring data. The interpretation of the data consisted in the evaluation of linear </w:t>
      </w:r>
      <w:r w:rsidR="00F238A0" w:rsidRPr="006103CC">
        <w:t xml:space="preserve">regression </w:t>
      </w:r>
      <w:r w:rsidR="00D80250" w:rsidRPr="006103CC">
        <w:t>trends and the ranking of groundwater levels</w:t>
      </w:r>
      <w:r w:rsidR="007865E3">
        <w:t xml:space="preserve"> (i.e. the comparison of groundwater levels in 2022 with historical values)</w:t>
      </w:r>
      <w:r w:rsidR="00D80250" w:rsidRPr="006103CC">
        <w:t>, based on groundwater</w:t>
      </w:r>
      <w:r w:rsidR="00EE2F41">
        <w:t xml:space="preserve"> </w:t>
      </w:r>
      <w:r w:rsidR="00D80250" w:rsidRPr="006103CC">
        <w:t xml:space="preserve">level composite hydrographs </w:t>
      </w:r>
      <w:r w:rsidR="00423728">
        <w:t xml:space="preserve">that were </w:t>
      </w:r>
      <w:r w:rsidR="00D80250" w:rsidRPr="006103CC">
        <w:t>calculated over aquifers or other relevant reporting units</w:t>
      </w:r>
      <w:r w:rsidR="007865E3">
        <w:t xml:space="preserve"> (e.g. hydrogeological regions, groundwater bodies)</w:t>
      </w:r>
      <w:r w:rsidR="00D80250" w:rsidRPr="006103CC">
        <w:t xml:space="preserve">. This methodology was piloted in 10 countries, where data from the national groundwater monitoring networks were available, using a period of record of 10 years (2013–2022). </w:t>
      </w:r>
      <w:r w:rsidR="00EE2F41">
        <w:t xml:space="preserve">A complete description of the </w:t>
      </w:r>
      <w:r w:rsidR="00EE2F41">
        <w:lastRenderedPageBreak/>
        <w:t>methodology can be found in the methodology report</w:t>
      </w:r>
      <w:bookmarkStart w:id="3" w:name="_Ref153464416"/>
      <w:r w:rsidR="00EE2F41">
        <w:rPr>
          <w:rStyle w:val="FootnoteReference"/>
        </w:rPr>
        <w:footnoteReference w:id="4"/>
      </w:r>
      <w:bookmarkEnd w:id="3"/>
      <w:r w:rsidR="00EE2F41">
        <w:t xml:space="preserve">. </w:t>
      </w:r>
      <w:r w:rsidR="00295AED">
        <w:t xml:space="preserve">The results obtained in the 10 pilot countries </w:t>
      </w:r>
      <w:r w:rsidR="00295AED" w:rsidRPr="009B10DD">
        <w:t>illustrate</w:t>
      </w:r>
      <w:r w:rsidR="00295AED">
        <w:t>d</w:t>
      </w:r>
      <w:r w:rsidR="00295AED" w:rsidRPr="009B10DD">
        <w:t xml:space="preserve"> the feasibility </w:t>
      </w:r>
      <w:r w:rsidR="00295AED">
        <w:t xml:space="preserve">of reporting on groundwater levels globally, based on in-situ monitoring data, and will hopefully trigger </w:t>
      </w:r>
      <w:r w:rsidR="00295AED" w:rsidRPr="009B10DD">
        <w:t>the participation of WMO Member States and Territories in the next edition</w:t>
      </w:r>
      <w:r w:rsidR="00423728">
        <w:t xml:space="preserve"> of the report</w:t>
      </w:r>
      <w:r w:rsidR="00295AED">
        <w:t xml:space="preserve">. In the meantime, the preliminary results showed some limitations </w:t>
      </w:r>
      <w:r w:rsidR="00AB359D">
        <w:t>with the</w:t>
      </w:r>
      <w:r w:rsidR="00295AED">
        <w:t xml:space="preserve"> methodology, </w:t>
      </w:r>
      <w:r w:rsidR="00AB359D">
        <w:t xml:space="preserve">regarding </w:t>
      </w:r>
      <w:r w:rsidR="001771BE">
        <w:t>for instance</w:t>
      </w:r>
      <w:r w:rsidR="00AB359D">
        <w:t xml:space="preserve"> the </w:t>
      </w:r>
      <w:r w:rsidR="00933186">
        <w:t xml:space="preserve">data </w:t>
      </w:r>
      <w:r w:rsidR="00AB359D">
        <w:t xml:space="preserve">selection, the </w:t>
      </w:r>
      <w:r w:rsidR="00933186">
        <w:t xml:space="preserve">data </w:t>
      </w:r>
      <w:r w:rsidR="00AB359D">
        <w:t xml:space="preserve">aggregation over aquifers </w:t>
      </w:r>
      <w:r w:rsidR="00165B27">
        <w:t>(</w:t>
      </w:r>
      <w:r w:rsidR="00AB359D">
        <w:t>or other reporting units</w:t>
      </w:r>
      <w:r w:rsidR="00165B27">
        <w:t>)</w:t>
      </w:r>
      <w:r w:rsidR="001771BE">
        <w:t xml:space="preserve"> or</w:t>
      </w:r>
      <w:r w:rsidR="00295AED">
        <w:t xml:space="preserve"> </w:t>
      </w:r>
      <w:r w:rsidR="00AB359D">
        <w:t xml:space="preserve">the type of trend analysis. </w:t>
      </w:r>
      <w:r w:rsidR="00295AED">
        <w:t xml:space="preserve">A description of these limitations can also be found in the methodology report. </w:t>
      </w:r>
      <w:r w:rsidR="00423728">
        <w:t>Over the last months</w:t>
      </w:r>
      <w:r w:rsidR="005A438F">
        <w:t xml:space="preserve">, research has been carried out to consolidate the methodology, </w:t>
      </w:r>
      <w:r w:rsidR="00423728">
        <w:t>during</w:t>
      </w:r>
      <w:r w:rsidR="005A438F">
        <w:t xml:space="preserve"> which several options have been tested. On that basis, a proposal for an updated methodology has been developed, which is presented in this report. </w:t>
      </w:r>
    </w:p>
    <w:p w14:paraId="756D1A02" w14:textId="4290771A" w:rsidR="00EE2F41" w:rsidRDefault="00295AED" w:rsidP="00A00638">
      <w:pPr>
        <w:pStyle w:val="Heading1"/>
      </w:pPr>
      <w:r>
        <w:t>Description of the</w:t>
      </w:r>
      <w:r w:rsidR="005A438F">
        <w:t xml:space="preserve"> methodology</w:t>
      </w:r>
    </w:p>
    <w:p w14:paraId="6457F338" w14:textId="43121A34" w:rsidR="00A00638" w:rsidRDefault="00A00638" w:rsidP="00A00638">
      <w:pPr>
        <w:pStyle w:val="Heading2"/>
      </w:pPr>
      <w:r>
        <w:t>Outline</w:t>
      </w:r>
    </w:p>
    <w:p w14:paraId="0C47C289" w14:textId="252E4F2B" w:rsidR="00920A17" w:rsidRDefault="0022154D" w:rsidP="00457E82">
      <w:pPr>
        <w:rPr>
          <w:lang w:val="en-GB" w:eastAsia="en-US"/>
        </w:rPr>
      </w:pPr>
      <w:r>
        <w:rPr>
          <w:lang w:val="en-GB" w:eastAsia="en-US"/>
        </w:rPr>
        <w:t xml:space="preserve">The main methodological steps are represented in </w:t>
      </w:r>
      <w:r>
        <w:rPr>
          <w:lang w:val="en-GB" w:eastAsia="en-US"/>
        </w:rPr>
        <w:fldChar w:fldCharType="begin"/>
      </w:r>
      <w:r>
        <w:rPr>
          <w:lang w:val="en-GB" w:eastAsia="en-US"/>
        </w:rPr>
        <w:instrText xml:space="preserve"> REF _Ref157505811 \h </w:instrText>
      </w:r>
      <w:r>
        <w:rPr>
          <w:lang w:val="en-GB" w:eastAsia="en-US"/>
        </w:rPr>
      </w:r>
      <w:r>
        <w:rPr>
          <w:lang w:val="en-GB" w:eastAsia="en-US"/>
        </w:rPr>
        <w:fldChar w:fldCharType="separate"/>
      </w:r>
      <w:r>
        <w:t xml:space="preserve">Figure </w:t>
      </w:r>
      <w:r>
        <w:rPr>
          <w:noProof/>
        </w:rPr>
        <w:t>1</w:t>
      </w:r>
      <w:r>
        <w:rPr>
          <w:lang w:val="en-GB" w:eastAsia="en-US"/>
        </w:rPr>
        <w:fldChar w:fldCharType="end"/>
      </w:r>
      <w:r>
        <w:rPr>
          <w:lang w:val="en-GB" w:eastAsia="en-US"/>
        </w:rPr>
        <w:t xml:space="preserve">. </w:t>
      </w:r>
      <w:r w:rsidR="00A00638" w:rsidRPr="00BB589F">
        <w:rPr>
          <w:lang w:val="en-GB" w:eastAsia="en-US"/>
        </w:rPr>
        <w:t xml:space="preserve">Reporting on groundwater levels </w:t>
      </w:r>
      <w:r w:rsidR="004B354C">
        <w:rPr>
          <w:lang w:val="en-GB" w:eastAsia="en-US"/>
        </w:rPr>
        <w:t>is</w:t>
      </w:r>
      <w:r w:rsidR="00A00638" w:rsidRPr="00BB589F">
        <w:rPr>
          <w:lang w:val="en-GB" w:eastAsia="en-US"/>
        </w:rPr>
        <w:t xml:space="preserve"> based on </w:t>
      </w:r>
      <w:r w:rsidR="005577AF">
        <w:rPr>
          <w:lang w:val="en-GB" w:eastAsia="en-US"/>
        </w:rPr>
        <w:t xml:space="preserve">in-situ </w:t>
      </w:r>
      <w:r w:rsidR="00A00638" w:rsidRPr="00BB589F">
        <w:rPr>
          <w:lang w:val="en-GB" w:eastAsia="en-US"/>
        </w:rPr>
        <w:t xml:space="preserve">groundwater </w:t>
      </w:r>
      <w:r w:rsidR="005577AF">
        <w:rPr>
          <w:lang w:val="en-GB" w:eastAsia="en-US"/>
        </w:rPr>
        <w:t xml:space="preserve">level </w:t>
      </w:r>
      <w:r w:rsidR="00A00638" w:rsidRPr="00BB589F">
        <w:rPr>
          <w:lang w:val="en-GB" w:eastAsia="en-US"/>
        </w:rPr>
        <w:t xml:space="preserve">monitoring </w:t>
      </w:r>
      <w:r w:rsidR="005577AF">
        <w:rPr>
          <w:lang w:val="en-GB" w:eastAsia="en-US"/>
        </w:rPr>
        <w:t>data</w:t>
      </w:r>
      <w:r w:rsidR="00A00638" w:rsidRPr="00BB589F">
        <w:rPr>
          <w:lang w:val="en-GB" w:eastAsia="en-US"/>
        </w:rPr>
        <w:t xml:space="preserve"> made available by </w:t>
      </w:r>
      <w:r w:rsidR="004D2324">
        <w:rPr>
          <w:lang w:val="en-GB" w:eastAsia="en-US"/>
        </w:rPr>
        <w:t xml:space="preserve">national or subnational institutions in charge of groundwater monitoring. </w:t>
      </w:r>
      <w:r w:rsidR="00A00638" w:rsidRPr="00BB589F">
        <w:rPr>
          <w:lang w:val="en-GB" w:eastAsia="en-US"/>
        </w:rPr>
        <w:t xml:space="preserve">Time series </w:t>
      </w:r>
      <w:r w:rsidR="004B354C">
        <w:rPr>
          <w:lang w:val="en-GB" w:eastAsia="en-US"/>
        </w:rPr>
        <w:t>are</w:t>
      </w:r>
      <w:r w:rsidR="00A00638" w:rsidRPr="00BB589F">
        <w:rPr>
          <w:lang w:val="en-GB" w:eastAsia="en-US"/>
        </w:rPr>
        <w:t xml:space="preserve"> assessed </w:t>
      </w:r>
      <w:r w:rsidR="00BB589F" w:rsidRPr="00BB589F">
        <w:rPr>
          <w:lang w:val="en-GB" w:eastAsia="en-US"/>
        </w:rPr>
        <w:t xml:space="preserve">by means of </w:t>
      </w:r>
      <w:r w:rsidR="00A00638" w:rsidRPr="00BB589F">
        <w:rPr>
          <w:lang w:val="en-GB" w:eastAsia="en-US"/>
        </w:rPr>
        <w:t>trend analysis and ranking</w:t>
      </w:r>
      <w:r w:rsidR="00F64263">
        <w:rPr>
          <w:lang w:val="en-GB" w:eastAsia="en-US"/>
        </w:rPr>
        <w:t>, at each monitoring station</w:t>
      </w:r>
      <w:r w:rsidR="00A00638" w:rsidRPr="00BB589F">
        <w:rPr>
          <w:lang w:val="en-GB" w:eastAsia="en-US"/>
        </w:rPr>
        <w:t>.</w:t>
      </w:r>
      <w:r w:rsidR="00A00638">
        <w:rPr>
          <w:lang w:val="en-GB" w:eastAsia="en-US"/>
        </w:rPr>
        <w:t xml:space="preserve"> </w:t>
      </w:r>
      <w:r w:rsidR="00BB589F">
        <w:rPr>
          <w:lang w:val="en-GB" w:eastAsia="en-US"/>
        </w:rPr>
        <w:t xml:space="preserve">The results </w:t>
      </w:r>
      <w:r w:rsidR="004B354C">
        <w:rPr>
          <w:lang w:val="en-GB" w:eastAsia="en-US"/>
        </w:rPr>
        <w:t>are</w:t>
      </w:r>
      <w:r w:rsidR="00BB589F">
        <w:rPr>
          <w:lang w:val="en-GB" w:eastAsia="en-US"/>
        </w:rPr>
        <w:t xml:space="preserve"> subsequently aggregated over </w:t>
      </w:r>
      <w:r w:rsidR="0034457C">
        <w:rPr>
          <w:lang w:val="en-GB" w:eastAsia="en-US"/>
        </w:rPr>
        <w:t>spatial</w:t>
      </w:r>
      <w:r w:rsidR="0034457C" w:rsidRPr="00BB589F">
        <w:rPr>
          <w:lang w:val="en-GB" w:eastAsia="en-US"/>
        </w:rPr>
        <w:t xml:space="preserve"> </w:t>
      </w:r>
      <w:r w:rsidR="00BB589F" w:rsidRPr="00BB589F">
        <w:rPr>
          <w:lang w:val="en-GB" w:eastAsia="en-US"/>
        </w:rPr>
        <w:t xml:space="preserve">units, </w:t>
      </w:r>
      <w:r w:rsidR="0034457C">
        <w:rPr>
          <w:lang w:val="en-GB" w:eastAsia="en-US"/>
        </w:rPr>
        <w:t xml:space="preserve">such as aquifers (if </w:t>
      </w:r>
      <w:r w:rsidR="00D951EE">
        <w:rPr>
          <w:lang w:val="en-GB" w:eastAsia="en-US"/>
        </w:rPr>
        <w:t>aquifer boundaries are</w:t>
      </w:r>
      <w:r w:rsidR="0034457C">
        <w:rPr>
          <w:lang w:val="en-GB" w:eastAsia="en-US"/>
        </w:rPr>
        <w:t xml:space="preserve"> available</w:t>
      </w:r>
      <w:r w:rsidR="004D2324">
        <w:rPr>
          <w:rStyle w:val="CommentReference"/>
          <w:rFonts w:eastAsiaTheme="minorHAnsi" w:cstheme="minorBidi"/>
        </w:rPr>
        <w:t>)</w:t>
      </w:r>
      <w:r w:rsidR="0034457C">
        <w:rPr>
          <w:lang w:val="en-GB" w:eastAsia="en-US"/>
        </w:rPr>
        <w:t xml:space="preserve"> or grid cells, for the sake of presenting the results </w:t>
      </w:r>
      <w:r w:rsidR="002C321E">
        <w:rPr>
          <w:lang w:val="en-GB" w:eastAsia="en-US"/>
        </w:rPr>
        <w:t>in</w:t>
      </w:r>
      <w:r w:rsidR="0034457C">
        <w:rPr>
          <w:lang w:val="en-GB" w:eastAsia="en-US"/>
        </w:rPr>
        <w:t xml:space="preserve"> one world map. </w:t>
      </w:r>
    </w:p>
    <w:p w14:paraId="410BE89A" w14:textId="1AC72F37" w:rsidR="00920A17" w:rsidRDefault="00920A17" w:rsidP="00920A17">
      <w:pPr>
        <w:jc w:val="center"/>
      </w:pPr>
      <w:r w:rsidRPr="00920A17">
        <w:rPr>
          <w:noProof/>
        </w:rPr>
        <w:drawing>
          <wp:inline distT="0" distB="0" distL="0" distR="0" wp14:anchorId="666B1C0E" wp14:editId="7807D0E8">
            <wp:extent cx="3677227" cy="2752090"/>
            <wp:effectExtent l="0" t="0" r="0" b="0"/>
            <wp:docPr id="565650565" name="Picture 1" descr="A diagram of a data sel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50565" name="Picture 1" descr="A diagram of a data selection&#10;&#10;Description automatically generated"/>
                    <pic:cNvPicPr/>
                  </pic:nvPicPr>
                  <pic:blipFill>
                    <a:blip r:embed="rId16"/>
                    <a:stretch>
                      <a:fillRect/>
                    </a:stretch>
                  </pic:blipFill>
                  <pic:spPr>
                    <a:xfrm>
                      <a:off x="0" y="0"/>
                      <a:ext cx="3682685" cy="2756175"/>
                    </a:xfrm>
                    <a:prstGeom prst="rect">
                      <a:avLst/>
                    </a:prstGeom>
                  </pic:spPr>
                </pic:pic>
              </a:graphicData>
            </a:graphic>
          </wp:inline>
        </w:drawing>
      </w:r>
    </w:p>
    <w:p w14:paraId="3EDB9BAE" w14:textId="1EE99DC3" w:rsidR="00CC5885" w:rsidRDefault="00CC5885" w:rsidP="00DF7CA4">
      <w:pPr>
        <w:pStyle w:val="Caption"/>
        <w:jc w:val="center"/>
      </w:pPr>
      <w:bookmarkStart w:id="4" w:name="_Ref157505811"/>
      <w:r>
        <w:t xml:space="preserve">Figure </w:t>
      </w:r>
      <w:r>
        <w:fldChar w:fldCharType="begin"/>
      </w:r>
      <w:r>
        <w:instrText xml:space="preserve"> SEQ Figure \* ARABIC </w:instrText>
      </w:r>
      <w:r>
        <w:fldChar w:fldCharType="separate"/>
      </w:r>
      <w:r w:rsidR="00DF7CA4">
        <w:rPr>
          <w:noProof/>
        </w:rPr>
        <w:t>1</w:t>
      </w:r>
      <w:r>
        <w:fldChar w:fldCharType="end"/>
      </w:r>
      <w:bookmarkEnd w:id="4"/>
      <w:r>
        <w:t xml:space="preserve"> Outline of the methodology.</w:t>
      </w:r>
    </w:p>
    <w:p w14:paraId="51B4ADDF" w14:textId="392C7FBC" w:rsidR="00F64263" w:rsidRDefault="000B14A1" w:rsidP="00E20A61">
      <w:pPr>
        <w:pStyle w:val="Heading2"/>
      </w:pPr>
      <w:r>
        <w:lastRenderedPageBreak/>
        <w:t>Data selection</w:t>
      </w:r>
    </w:p>
    <w:p w14:paraId="0D6222F8" w14:textId="0FC73015" w:rsidR="000B14A1" w:rsidRPr="000B14A1" w:rsidRDefault="000B14A1" w:rsidP="000B14A1">
      <w:pPr>
        <w:pStyle w:val="Heading3"/>
      </w:pPr>
      <w:r>
        <w:t>Period of record</w:t>
      </w:r>
    </w:p>
    <w:p w14:paraId="4E97115E" w14:textId="37D84D22" w:rsidR="00165B27" w:rsidRDefault="00F64263" w:rsidP="00165B27">
      <w:pPr>
        <w:rPr>
          <w:lang w:val="en-GB" w:eastAsia="en-US"/>
        </w:rPr>
      </w:pPr>
      <w:r>
        <w:rPr>
          <w:lang w:val="en-GB" w:eastAsia="en-US"/>
        </w:rPr>
        <w:t xml:space="preserve">Trend analysis and ranking are </w:t>
      </w:r>
      <w:r w:rsidRPr="7665E21F">
        <w:rPr>
          <w:lang w:val="en-GB" w:eastAsia="en-US"/>
        </w:rPr>
        <w:t xml:space="preserve">commonly assessed over </w:t>
      </w:r>
      <w:r>
        <w:rPr>
          <w:lang w:val="en-GB" w:eastAsia="en-US"/>
        </w:rPr>
        <w:t>long-term time series e</w:t>
      </w:r>
      <w:r w:rsidRPr="7665E21F">
        <w:rPr>
          <w:lang w:val="en-GB" w:eastAsia="en-US"/>
        </w:rPr>
        <w:t xml:space="preserve">qual </w:t>
      </w:r>
      <w:r w:rsidR="000B14A1">
        <w:rPr>
          <w:lang w:val="en-GB" w:eastAsia="en-US"/>
        </w:rPr>
        <w:t xml:space="preserve">to </w:t>
      </w:r>
      <w:r w:rsidRPr="7665E21F">
        <w:rPr>
          <w:lang w:val="en-GB" w:eastAsia="en-US"/>
        </w:rPr>
        <w:t xml:space="preserve">or </w:t>
      </w:r>
      <w:r>
        <w:rPr>
          <w:lang w:val="en-GB" w:eastAsia="en-US"/>
        </w:rPr>
        <w:t>longe</w:t>
      </w:r>
      <w:r w:rsidRPr="7665E21F">
        <w:rPr>
          <w:lang w:val="en-GB" w:eastAsia="en-US"/>
        </w:rPr>
        <w:t xml:space="preserve">r than 20 years. For the sake of data availability, it is proposed to work with a period of 20 years. However, many countries do not have 20 years’ time series. </w:t>
      </w:r>
      <w:r w:rsidR="009D7500">
        <w:rPr>
          <w:lang w:val="en-GB" w:eastAsia="en-US"/>
        </w:rPr>
        <w:t>In those cases, i</w:t>
      </w:r>
      <w:r w:rsidRPr="7665E21F">
        <w:rPr>
          <w:lang w:val="en-GB" w:eastAsia="en-US"/>
        </w:rPr>
        <w:t xml:space="preserve">t </w:t>
      </w:r>
      <w:r w:rsidR="009D7500">
        <w:rPr>
          <w:lang w:val="en-GB" w:eastAsia="en-US"/>
        </w:rPr>
        <w:t>is</w:t>
      </w:r>
      <w:r w:rsidR="009D7500" w:rsidRPr="7665E21F">
        <w:rPr>
          <w:lang w:val="en-GB" w:eastAsia="en-US"/>
        </w:rPr>
        <w:t xml:space="preserve"> </w:t>
      </w:r>
      <w:r w:rsidRPr="7665E21F">
        <w:rPr>
          <w:lang w:val="en-GB" w:eastAsia="en-US"/>
        </w:rPr>
        <w:t xml:space="preserve">then acceptable to </w:t>
      </w:r>
      <w:r>
        <w:rPr>
          <w:lang w:val="en-GB" w:eastAsia="en-US"/>
        </w:rPr>
        <w:t>fall back on</w:t>
      </w:r>
      <w:r w:rsidRPr="7665E21F">
        <w:rPr>
          <w:lang w:val="en-GB" w:eastAsia="en-US"/>
        </w:rPr>
        <w:t xml:space="preserve"> 10 years’ time series, if available.</w:t>
      </w:r>
      <w:r w:rsidR="009A3543">
        <w:rPr>
          <w:lang w:val="en-GB" w:eastAsia="en-US"/>
        </w:rPr>
        <w:t xml:space="preserve"> For instance, if a country started a monitoring network in 2010, it w</w:t>
      </w:r>
      <w:r w:rsidR="00361DB7">
        <w:rPr>
          <w:lang w:val="en-GB" w:eastAsia="en-US"/>
        </w:rPr>
        <w:t>ill</w:t>
      </w:r>
      <w:r w:rsidR="009A3543">
        <w:rPr>
          <w:lang w:val="en-GB" w:eastAsia="en-US"/>
        </w:rPr>
        <w:t xml:space="preserve"> not be possible to work with a 20 years’ time series, so the last 10 years of record would be used instead. If another country started a monitoring network in 2018, it will not be possible to </w:t>
      </w:r>
      <w:r w:rsidR="009D7500">
        <w:rPr>
          <w:lang w:val="en-GB" w:eastAsia="en-US"/>
        </w:rPr>
        <w:t>analyse</w:t>
      </w:r>
      <w:r w:rsidR="009A3543">
        <w:rPr>
          <w:lang w:val="en-GB" w:eastAsia="en-US"/>
        </w:rPr>
        <w:t xml:space="preserve"> the data from this country. </w:t>
      </w:r>
      <w:r w:rsidR="002C321E">
        <w:rPr>
          <w:lang w:val="en-GB" w:eastAsia="en-US"/>
        </w:rPr>
        <w:t xml:space="preserve">Results from 10 years’ and 20 years’ periods will be presented on separated maps. </w:t>
      </w:r>
      <w:r w:rsidR="009A3543">
        <w:rPr>
          <w:lang w:val="en-GB" w:eastAsia="en-US"/>
        </w:rPr>
        <w:t xml:space="preserve">Using as many years </w:t>
      </w:r>
      <w:r w:rsidR="00361DB7">
        <w:rPr>
          <w:lang w:val="en-GB" w:eastAsia="en-US"/>
        </w:rPr>
        <w:t xml:space="preserve">as </w:t>
      </w:r>
      <w:r w:rsidR="009A3543">
        <w:rPr>
          <w:lang w:val="en-GB" w:eastAsia="en-US"/>
        </w:rPr>
        <w:t xml:space="preserve">available is not considered an option because </w:t>
      </w:r>
      <w:r w:rsidR="002C321E">
        <w:rPr>
          <w:lang w:val="en-GB" w:eastAsia="en-US"/>
        </w:rPr>
        <w:t>the results would not be</w:t>
      </w:r>
      <w:r w:rsidR="009A3543">
        <w:rPr>
          <w:lang w:val="en-GB" w:eastAsia="en-US"/>
        </w:rPr>
        <w:t xml:space="preserve"> comparable.</w:t>
      </w:r>
    </w:p>
    <w:p w14:paraId="5B9AE215" w14:textId="71727247" w:rsidR="00E20A61" w:rsidRPr="00E20A61" w:rsidRDefault="00E20A61" w:rsidP="000B14A1">
      <w:pPr>
        <w:pStyle w:val="Heading3"/>
      </w:pPr>
      <w:r w:rsidRPr="00E20A61">
        <w:t>Management of suspicious data and outliers</w:t>
      </w:r>
    </w:p>
    <w:p w14:paraId="3EC676C5" w14:textId="749CD851" w:rsidR="00923119" w:rsidRDefault="00934088" w:rsidP="00F64263">
      <w:r>
        <w:t>Unrealistic</w:t>
      </w:r>
      <w:r w:rsidRPr="7665E21F">
        <w:t xml:space="preserve"> </w:t>
      </w:r>
      <w:r w:rsidR="00E20A61" w:rsidRPr="7665E21F">
        <w:t>data were not found to have a significant impact on the results</w:t>
      </w:r>
      <w:r w:rsidR="00E51010">
        <w:t xml:space="preserve"> during the preliminary study</w:t>
      </w:r>
      <w:r w:rsidR="00E20A61" w:rsidRPr="7665E21F">
        <w:t>. Yet, it is proposed to discard</w:t>
      </w:r>
      <w:r w:rsidR="00E20A61">
        <w:t xml:space="preserve"> </w:t>
      </w:r>
      <w:r w:rsidR="00E20A61" w:rsidRPr="7665E21F">
        <w:t xml:space="preserve">data that can be identified as erroneous </w:t>
      </w:r>
      <w:r>
        <w:t>with automatic logical checks</w:t>
      </w:r>
      <w:r w:rsidR="00064472">
        <w:t xml:space="preserve">. This could be for instance </w:t>
      </w:r>
      <w:r w:rsidR="00923119">
        <w:t>0</w:t>
      </w:r>
      <w:r w:rsidR="00E20A61" w:rsidRPr="7665E21F">
        <w:t xml:space="preserve"> or –9999 values. </w:t>
      </w:r>
      <w:r w:rsidR="00923119">
        <w:t xml:space="preserve">A preliminary inspection of each dataset will serve to identify and discard such data input errors. Unless </w:t>
      </w:r>
      <w:r w:rsidR="009A3543">
        <w:t xml:space="preserve">the dataset identifies artesian wells, </w:t>
      </w:r>
      <w:r w:rsidR="00923119" w:rsidRPr="00923119">
        <w:t xml:space="preserve">negative </w:t>
      </w:r>
      <w:r w:rsidR="009A3543">
        <w:t xml:space="preserve">values will be discarded </w:t>
      </w:r>
      <w:r w:rsidR="00923119" w:rsidRPr="00923119">
        <w:t>(since groundwater levels will be expressed in (positive) depth below the top of the well, negative values would amount to groundwater levels above the top of the well)</w:t>
      </w:r>
      <w:r w:rsidR="009A3543">
        <w:t>.</w:t>
      </w:r>
    </w:p>
    <w:p w14:paraId="7E10D079" w14:textId="0013D5B1" w:rsidR="00BB589F" w:rsidRPr="00B70B27" w:rsidRDefault="00E20A61" w:rsidP="00A00638">
      <w:r w:rsidRPr="7665E21F">
        <w:t>It is a common practice in time series analysis to discard outliers. However, an outlier is not necessarily an erroneous data</w:t>
      </w:r>
      <w:r w:rsidR="00F16C89">
        <w:t xml:space="preserve"> point</w:t>
      </w:r>
      <w:r w:rsidRPr="7665E21F">
        <w:t xml:space="preserve">. Moreover, setting up rules to discard outliers usually requires a good understanding of the hydrogeological system, which is not available for a global assessment. For these reasons, </w:t>
      </w:r>
      <w:r w:rsidR="009D7500">
        <w:t>this methodology do</w:t>
      </w:r>
      <w:r w:rsidR="004D2324">
        <w:t>es</w:t>
      </w:r>
      <w:r w:rsidR="009D7500">
        <w:t xml:space="preserve"> not include </w:t>
      </w:r>
      <w:r w:rsidR="004D2324">
        <w:t xml:space="preserve">a procedure to </w:t>
      </w:r>
      <w:r w:rsidRPr="7665E21F">
        <w:t>detect and discard</w:t>
      </w:r>
      <w:r w:rsidR="000423DD">
        <w:t xml:space="preserve"> </w:t>
      </w:r>
      <w:r w:rsidRPr="7665E21F">
        <w:t xml:space="preserve">outliers. </w:t>
      </w:r>
    </w:p>
    <w:p w14:paraId="3B252F39" w14:textId="59F09DE1" w:rsidR="00E20A61" w:rsidRPr="00E20A61" w:rsidRDefault="00E20A61" w:rsidP="000B14A1">
      <w:pPr>
        <w:pStyle w:val="Heading3"/>
      </w:pPr>
      <w:r w:rsidRPr="00E20A61">
        <w:t xml:space="preserve">Data </w:t>
      </w:r>
      <w:r w:rsidR="000B14A1">
        <w:t>completeness</w:t>
      </w:r>
    </w:p>
    <w:p w14:paraId="799B441A" w14:textId="6FAE0396" w:rsidR="00934088" w:rsidRPr="00F17F4A" w:rsidRDefault="00457E82" w:rsidP="00F17F4A">
      <w:pPr>
        <w:rPr>
          <w:lang w:val="en-GB"/>
        </w:rPr>
      </w:pPr>
      <w:r w:rsidRPr="00457E82">
        <w:rPr>
          <w:lang w:val="en-GB" w:eastAsia="en-US"/>
        </w:rPr>
        <w:t>The consistency of groundwater level monitoring data is essential for time series analysis.</w:t>
      </w:r>
      <w:r>
        <w:rPr>
          <w:lang w:val="en-GB" w:eastAsia="en-US"/>
        </w:rPr>
        <w:t xml:space="preserve"> T</w:t>
      </w:r>
      <w:r w:rsidR="00261988" w:rsidRPr="00261988">
        <w:rPr>
          <w:lang w:val="en-GB" w:eastAsia="en-US"/>
        </w:rPr>
        <w:t>ime series with as little as one measurement per year</w:t>
      </w:r>
      <w:r>
        <w:rPr>
          <w:lang w:val="en-GB" w:eastAsia="en-US"/>
        </w:rPr>
        <w:t xml:space="preserve"> will be selected,</w:t>
      </w:r>
      <w:r w:rsidR="00261988" w:rsidRPr="00261988">
        <w:rPr>
          <w:lang w:val="en-GB" w:eastAsia="en-US"/>
        </w:rPr>
        <w:t xml:space="preserve"> as long as the measurements have been taken each year at the same period of the year. This is to avoid inconsistent time series comprising measurements taken during different seasons. It is not possible to work with </w:t>
      </w:r>
      <w:r w:rsidR="00933186">
        <w:rPr>
          <w:lang w:val="en-GB" w:eastAsia="en-US"/>
        </w:rPr>
        <w:t xml:space="preserve">globally-defined </w:t>
      </w:r>
      <w:r w:rsidR="00261988" w:rsidRPr="00261988">
        <w:rPr>
          <w:lang w:val="en-GB" w:eastAsia="en-US"/>
        </w:rPr>
        <w:t>seasons, because seasons vary from place to place. Therefore</w:t>
      </w:r>
      <w:r w:rsidR="007D6E0B">
        <w:rPr>
          <w:lang w:val="en-GB" w:eastAsia="en-US"/>
        </w:rPr>
        <w:t>,</w:t>
      </w:r>
      <w:r w:rsidR="00261988" w:rsidRPr="00261988">
        <w:rPr>
          <w:lang w:val="en-GB" w:eastAsia="en-US"/>
        </w:rPr>
        <w:t xml:space="preserve"> the methodology is based on calendar months</w:t>
      </w:r>
      <w:r w:rsidR="00E302ED">
        <w:rPr>
          <w:lang w:val="en-GB" w:eastAsia="en-US"/>
        </w:rPr>
        <w:t>. It works as follow</w:t>
      </w:r>
      <w:r w:rsidR="00F17F4A" w:rsidRPr="00F17F4A">
        <w:rPr>
          <w:lang w:val="en-GB"/>
        </w:rPr>
        <w:t xml:space="preserve"> (</w:t>
      </w:r>
      <w:r w:rsidR="00F17F4A">
        <w:rPr>
          <w:lang w:val="en-GB"/>
        </w:rPr>
        <w:fldChar w:fldCharType="begin"/>
      </w:r>
      <w:r w:rsidR="00F17F4A">
        <w:rPr>
          <w:lang w:val="en-GB"/>
        </w:rPr>
        <w:instrText xml:space="preserve"> REF _Ref153463011 \h </w:instrText>
      </w:r>
      <w:r w:rsidR="00F17F4A">
        <w:rPr>
          <w:lang w:val="en-GB"/>
        </w:rPr>
      </w:r>
      <w:r w:rsidR="00F17F4A">
        <w:rPr>
          <w:lang w:val="en-GB"/>
        </w:rPr>
        <w:fldChar w:fldCharType="separate"/>
      </w:r>
      <w:r w:rsidR="0022154D">
        <w:t xml:space="preserve">Figure </w:t>
      </w:r>
      <w:r w:rsidR="0022154D">
        <w:rPr>
          <w:noProof/>
        </w:rPr>
        <w:t>2</w:t>
      </w:r>
      <w:r w:rsidR="00F17F4A">
        <w:rPr>
          <w:lang w:val="en-GB"/>
        </w:rPr>
        <w:fldChar w:fldCharType="end"/>
      </w:r>
      <w:r w:rsidR="00F17F4A" w:rsidRPr="00F17F4A">
        <w:rPr>
          <w:lang w:val="en-GB"/>
        </w:rPr>
        <w:t>):</w:t>
      </w:r>
    </w:p>
    <w:p w14:paraId="3F444DE1" w14:textId="350B5245" w:rsidR="00F17F4A" w:rsidRPr="00B70B27" w:rsidRDefault="00934088" w:rsidP="00F17F4A">
      <w:pPr>
        <w:numPr>
          <w:ilvl w:val="0"/>
          <w:numId w:val="40"/>
        </w:numPr>
        <w:jc w:val="left"/>
        <w:rPr>
          <w:rFonts w:eastAsiaTheme="minorHAnsi" w:cstheme="minorBidi"/>
          <w:szCs w:val="22"/>
          <w:lang w:val="en-GB" w:eastAsia="en-US"/>
        </w:rPr>
      </w:pPr>
      <w:r>
        <w:rPr>
          <w:rFonts w:eastAsiaTheme="minorHAnsi" w:cstheme="minorBidi"/>
          <w:szCs w:val="22"/>
          <w:lang w:val="en-GB" w:eastAsia="en-US"/>
        </w:rPr>
        <w:t>Unrealistic</w:t>
      </w:r>
      <w:r w:rsidRPr="00F17F4A">
        <w:rPr>
          <w:rFonts w:eastAsiaTheme="minorHAnsi" w:cstheme="minorBidi"/>
          <w:szCs w:val="22"/>
          <w:lang w:val="en-GB" w:eastAsia="en-US"/>
        </w:rPr>
        <w:t xml:space="preserve"> data are discarded (e.g.</w:t>
      </w:r>
      <w:r>
        <w:rPr>
          <w:rFonts w:eastAsiaTheme="minorHAnsi" w:cstheme="minorBidi"/>
          <w:szCs w:val="22"/>
          <w:lang w:val="en-GB" w:eastAsia="en-US"/>
        </w:rPr>
        <w:t xml:space="preserve"> </w:t>
      </w:r>
      <w:r w:rsidRPr="00F17F4A">
        <w:rPr>
          <w:rFonts w:eastAsiaTheme="minorHAnsi" w:cstheme="minorBidi"/>
          <w:szCs w:val="22"/>
          <w:lang w:val="en-GB" w:eastAsia="en-US"/>
        </w:rPr>
        <w:t xml:space="preserve">-9999, 0 or negative values). </w:t>
      </w:r>
    </w:p>
    <w:p w14:paraId="0B6EF1D3" w14:textId="73C24EB1" w:rsidR="00F17F4A" w:rsidRPr="00B70B27" w:rsidRDefault="00E20A61" w:rsidP="00B70B27">
      <w:pPr>
        <w:numPr>
          <w:ilvl w:val="0"/>
          <w:numId w:val="40"/>
        </w:numPr>
        <w:rPr>
          <w:rFonts w:eastAsiaTheme="minorHAnsi" w:cstheme="minorBidi"/>
          <w:szCs w:val="22"/>
          <w:lang w:val="en-GB" w:eastAsia="en-US"/>
        </w:rPr>
      </w:pPr>
      <w:r>
        <w:rPr>
          <w:rFonts w:eastAsiaTheme="minorHAnsi" w:cstheme="minorBidi"/>
          <w:szCs w:val="22"/>
          <w:lang w:val="en-GB" w:eastAsia="en-US"/>
        </w:rPr>
        <w:t>A</w:t>
      </w:r>
      <w:r w:rsidR="00F17F4A" w:rsidRPr="00F17F4A">
        <w:rPr>
          <w:rFonts w:eastAsiaTheme="minorHAnsi" w:cstheme="minorBidi"/>
          <w:szCs w:val="22"/>
          <w:lang w:val="en-GB" w:eastAsia="en-US"/>
        </w:rPr>
        <w:t xml:space="preserve"> </w:t>
      </w:r>
      <w:r w:rsidR="00E51010">
        <w:rPr>
          <w:rFonts w:eastAsiaTheme="minorHAnsi" w:cstheme="minorBidi"/>
          <w:szCs w:val="22"/>
          <w:lang w:val="en-GB" w:eastAsia="en-US"/>
        </w:rPr>
        <w:t xml:space="preserve">data gap </w:t>
      </w:r>
      <w:r w:rsidR="00F17F4A" w:rsidRPr="00F17F4A">
        <w:rPr>
          <w:rFonts w:eastAsiaTheme="minorHAnsi" w:cstheme="minorBidi"/>
          <w:szCs w:val="22"/>
          <w:lang w:val="en-GB" w:eastAsia="en-US"/>
        </w:rPr>
        <w:t xml:space="preserve">threshold </w:t>
      </w:r>
      <w:r>
        <w:rPr>
          <w:rFonts w:eastAsiaTheme="minorHAnsi" w:cstheme="minorBidi"/>
          <w:szCs w:val="22"/>
          <w:lang w:val="en-GB" w:eastAsia="en-US"/>
        </w:rPr>
        <w:t xml:space="preserve">is defined </w:t>
      </w:r>
      <w:r w:rsidR="00F17F4A" w:rsidRPr="00F17F4A">
        <w:rPr>
          <w:rFonts w:eastAsiaTheme="minorHAnsi" w:cstheme="minorBidi"/>
          <w:szCs w:val="22"/>
          <w:lang w:val="en-GB" w:eastAsia="en-US"/>
        </w:rPr>
        <w:t xml:space="preserve">for accepting/rejecting time series with data gaps. Over a period of 20 years, a threshold of 90% would result in the rejection of time series with more than 2 years without data, whereas a threshold of 80% would accept up to 4 years without data. </w:t>
      </w:r>
      <w:r w:rsidR="00AE3EA6">
        <w:rPr>
          <w:rFonts w:eastAsiaTheme="minorHAnsi" w:cstheme="minorBidi"/>
          <w:szCs w:val="22"/>
          <w:lang w:val="en-GB" w:eastAsia="en-US"/>
        </w:rPr>
        <w:t>Trials with data from Chile and the Ogallala aquifer (USA) show that there is a</w:t>
      </w:r>
      <w:r w:rsidR="00E302ED">
        <w:rPr>
          <w:rFonts w:eastAsiaTheme="minorHAnsi" w:cstheme="minorBidi"/>
          <w:szCs w:val="22"/>
          <w:lang w:val="en-GB" w:eastAsia="en-US"/>
        </w:rPr>
        <w:t xml:space="preserve"> very good</w:t>
      </w:r>
      <w:r w:rsidR="00AE3EA6">
        <w:rPr>
          <w:rFonts w:eastAsiaTheme="minorHAnsi" w:cstheme="minorBidi"/>
          <w:szCs w:val="22"/>
          <w:lang w:val="en-GB" w:eastAsia="en-US"/>
        </w:rPr>
        <w:t xml:space="preserve"> agreement between time series analysis based on the 80% threshold and the 90% threshold. It is thus appropriate to use a 80% threshold, </w:t>
      </w:r>
      <w:r w:rsidR="002C321E">
        <w:rPr>
          <w:rFonts w:eastAsiaTheme="minorHAnsi" w:cstheme="minorBidi"/>
          <w:szCs w:val="22"/>
          <w:lang w:val="en-GB" w:eastAsia="en-US"/>
        </w:rPr>
        <w:t xml:space="preserve">per </w:t>
      </w:r>
      <w:r w:rsidR="002C321E">
        <w:rPr>
          <w:rFonts w:eastAsiaTheme="minorHAnsi" w:cstheme="minorBidi"/>
          <w:szCs w:val="22"/>
          <w:lang w:val="en-GB" w:eastAsia="en-US"/>
        </w:rPr>
        <w:lastRenderedPageBreak/>
        <w:t xml:space="preserve">default, </w:t>
      </w:r>
      <w:r w:rsidR="00AE3EA6">
        <w:rPr>
          <w:rFonts w:eastAsiaTheme="minorHAnsi" w:cstheme="minorBidi"/>
          <w:szCs w:val="22"/>
          <w:lang w:val="en-GB" w:eastAsia="en-US"/>
        </w:rPr>
        <w:t xml:space="preserve">so as to include a larger number of time series. </w:t>
      </w:r>
      <w:r w:rsidR="00CC5885">
        <w:rPr>
          <w:rFonts w:eastAsiaTheme="minorHAnsi" w:cstheme="minorBidi"/>
          <w:szCs w:val="22"/>
          <w:lang w:val="en-GB" w:eastAsia="en-US"/>
        </w:rPr>
        <w:t>I</w:t>
      </w:r>
      <w:r w:rsidR="00AE3EA6">
        <w:rPr>
          <w:rFonts w:eastAsiaTheme="minorHAnsi" w:cstheme="minorBidi"/>
          <w:szCs w:val="22"/>
          <w:lang w:val="en-GB" w:eastAsia="en-US"/>
        </w:rPr>
        <w:t xml:space="preserve">t remains </w:t>
      </w:r>
      <w:r w:rsidR="00CC5885">
        <w:rPr>
          <w:rFonts w:eastAsiaTheme="minorHAnsi" w:cstheme="minorBidi"/>
          <w:szCs w:val="22"/>
          <w:lang w:val="en-GB" w:eastAsia="en-US"/>
        </w:rPr>
        <w:t>an option</w:t>
      </w:r>
      <w:r w:rsidR="00AE3EA6">
        <w:rPr>
          <w:rFonts w:eastAsiaTheme="minorHAnsi" w:cstheme="minorBidi"/>
          <w:szCs w:val="22"/>
          <w:lang w:val="en-GB" w:eastAsia="en-US"/>
        </w:rPr>
        <w:t xml:space="preserve"> to use a lower threshold</w:t>
      </w:r>
      <w:r w:rsidR="00923119">
        <w:rPr>
          <w:rFonts w:eastAsiaTheme="minorHAnsi" w:cstheme="minorBidi"/>
          <w:szCs w:val="22"/>
          <w:lang w:val="en-GB" w:eastAsia="en-US"/>
        </w:rPr>
        <w:t xml:space="preserve"> for countries where</w:t>
      </w:r>
      <w:r w:rsidR="00AE3EA6">
        <w:rPr>
          <w:rFonts w:eastAsiaTheme="minorHAnsi" w:cstheme="minorBidi"/>
          <w:szCs w:val="22"/>
          <w:lang w:val="en-GB" w:eastAsia="en-US"/>
        </w:rPr>
        <w:t xml:space="preserve"> datasets </w:t>
      </w:r>
      <w:r w:rsidR="00923119">
        <w:rPr>
          <w:rFonts w:eastAsiaTheme="minorHAnsi" w:cstheme="minorBidi"/>
          <w:szCs w:val="22"/>
          <w:lang w:val="en-GB" w:eastAsia="en-US"/>
        </w:rPr>
        <w:t>have more</w:t>
      </w:r>
      <w:r w:rsidR="00AE3EA6">
        <w:rPr>
          <w:rFonts w:eastAsiaTheme="minorHAnsi" w:cstheme="minorBidi"/>
          <w:szCs w:val="22"/>
          <w:lang w:val="en-GB" w:eastAsia="en-US"/>
        </w:rPr>
        <w:t xml:space="preserve"> </w:t>
      </w:r>
      <w:r w:rsidR="00923119">
        <w:rPr>
          <w:rFonts w:eastAsiaTheme="minorHAnsi" w:cstheme="minorBidi"/>
          <w:szCs w:val="22"/>
          <w:lang w:val="en-GB" w:eastAsia="en-US"/>
        </w:rPr>
        <w:t xml:space="preserve">data gaps. </w:t>
      </w:r>
    </w:p>
    <w:p w14:paraId="3DFE3691" w14:textId="55BAA45B" w:rsidR="00F17F4A" w:rsidRPr="00B70B27" w:rsidRDefault="00F17F4A" w:rsidP="00B70B27">
      <w:pPr>
        <w:numPr>
          <w:ilvl w:val="0"/>
          <w:numId w:val="40"/>
        </w:numPr>
        <w:rPr>
          <w:rFonts w:eastAsiaTheme="minorHAnsi" w:cstheme="minorBidi"/>
          <w:szCs w:val="22"/>
          <w:lang w:val="en-GB" w:eastAsia="en-US"/>
        </w:rPr>
      </w:pPr>
      <w:r w:rsidRPr="00F17F4A">
        <w:rPr>
          <w:rFonts w:eastAsiaTheme="minorHAnsi" w:cstheme="minorBidi"/>
          <w:szCs w:val="22"/>
          <w:lang w:val="en-GB" w:eastAsia="en-US"/>
        </w:rPr>
        <w:t xml:space="preserve">Data are </w:t>
      </w:r>
      <w:r w:rsidR="00E302ED">
        <w:rPr>
          <w:rFonts w:eastAsiaTheme="minorHAnsi" w:cstheme="minorBidi"/>
          <w:szCs w:val="22"/>
          <w:lang w:val="en-GB" w:eastAsia="en-US"/>
        </w:rPr>
        <w:t>aggregated into monthly values</w:t>
      </w:r>
      <w:r w:rsidRPr="00F17F4A">
        <w:rPr>
          <w:rFonts w:eastAsiaTheme="minorHAnsi" w:cstheme="minorBidi"/>
          <w:szCs w:val="22"/>
          <w:lang w:val="en-GB" w:eastAsia="en-US"/>
        </w:rPr>
        <w:t>.</w:t>
      </w:r>
      <w:r w:rsidR="00AE3EA6">
        <w:rPr>
          <w:rFonts w:eastAsiaTheme="minorHAnsi" w:cstheme="minorBidi"/>
          <w:szCs w:val="22"/>
          <w:lang w:val="en-GB" w:eastAsia="en-US"/>
        </w:rPr>
        <w:t xml:space="preserve"> </w:t>
      </w:r>
      <w:r w:rsidR="00522E31">
        <w:rPr>
          <w:rFonts w:eastAsiaTheme="minorHAnsi" w:cstheme="minorBidi"/>
          <w:szCs w:val="22"/>
          <w:lang w:val="en-GB" w:eastAsia="en-US"/>
        </w:rPr>
        <w:t>I</w:t>
      </w:r>
      <w:r w:rsidR="00AE3EA6">
        <w:rPr>
          <w:rFonts w:eastAsiaTheme="minorHAnsi" w:cstheme="minorBidi"/>
          <w:szCs w:val="22"/>
          <w:lang w:val="en-GB" w:eastAsia="en-US"/>
        </w:rPr>
        <w:t>f a month contains only one data, this data will be taken as monthly value. If more than one data are</w:t>
      </w:r>
      <w:r w:rsidR="00522E31">
        <w:rPr>
          <w:rFonts w:eastAsiaTheme="minorHAnsi" w:cstheme="minorBidi"/>
          <w:szCs w:val="22"/>
          <w:lang w:val="en-GB" w:eastAsia="en-US"/>
        </w:rPr>
        <w:t xml:space="preserve"> available, the average </w:t>
      </w:r>
      <w:r w:rsidR="00AE3EA6">
        <w:rPr>
          <w:rFonts w:eastAsiaTheme="minorHAnsi" w:cstheme="minorBidi"/>
          <w:szCs w:val="22"/>
          <w:lang w:val="en-GB" w:eastAsia="en-US"/>
        </w:rPr>
        <w:t xml:space="preserve">of the data </w:t>
      </w:r>
      <w:r w:rsidR="00522E31">
        <w:rPr>
          <w:rFonts w:eastAsiaTheme="minorHAnsi" w:cstheme="minorBidi"/>
          <w:szCs w:val="22"/>
          <w:lang w:val="en-GB" w:eastAsia="en-US"/>
        </w:rPr>
        <w:t>will be used</w:t>
      </w:r>
      <w:r w:rsidR="00AE3EA6">
        <w:rPr>
          <w:rFonts w:eastAsiaTheme="minorHAnsi" w:cstheme="minorBidi"/>
          <w:szCs w:val="22"/>
          <w:lang w:val="en-GB" w:eastAsia="en-US"/>
        </w:rPr>
        <w:t xml:space="preserve"> as monthly value</w:t>
      </w:r>
      <w:r w:rsidR="00522E31">
        <w:rPr>
          <w:rFonts w:eastAsiaTheme="minorHAnsi" w:cstheme="minorBidi"/>
          <w:szCs w:val="22"/>
          <w:lang w:val="en-GB" w:eastAsia="en-US"/>
        </w:rPr>
        <w:t>.</w:t>
      </w:r>
      <w:r w:rsidR="00AE3EA6">
        <w:rPr>
          <w:rFonts w:eastAsiaTheme="minorHAnsi" w:cstheme="minorBidi"/>
          <w:szCs w:val="22"/>
          <w:lang w:val="en-GB" w:eastAsia="en-US"/>
        </w:rPr>
        <w:t xml:space="preserve"> If no data is available, no value will be taken (Nan).</w:t>
      </w:r>
    </w:p>
    <w:p w14:paraId="4E5C9CB1" w14:textId="2EF1D724" w:rsidR="006B32A3" w:rsidRPr="00B70B27" w:rsidRDefault="00F17F4A" w:rsidP="00B70B27">
      <w:pPr>
        <w:numPr>
          <w:ilvl w:val="0"/>
          <w:numId w:val="40"/>
        </w:numPr>
        <w:rPr>
          <w:rFonts w:eastAsiaTheme="minorHAnsi" w:cstheme="minorBidi"/>
          <w:szCs w:val="22"/>
          <w:lang w:val="en-GB" w:eastAsia="en-US"/>
        </w:rPr>
      </w:pPr>
      <w:r w:rsidRPr="00F17F4A">
        <w:rPr>
          <w:rFonts w:eastAsiaTheme="minorHAnsi" w:cstheme="minorBidi"/>
          <w:szCs w:val="22"/>
          <w:lang w:val="en-GB" w:eastAsia="en-US"/>
        </w:rPr>
        <w:t>Each time series is split into 12 time series, one for each month of the year</w:t>
      </w:r>
      <w:r w:rsidR="006B32A3">
        <w:rPr>
          <w:rFonts w:eastAsiaTheme="minorHAnsi" w:cstheme="minorBidi"/>
          <w:szCs w:val="22"/>
          <w:lang w:val="en-GB" w:eastAsia="en-US"/>
        </w:rPr>
        <w:t>. The time series of January contains the monthly values from January, the time series of February contains the monthly values from February, and so on..</w:t>
      </w:r>
      <w:r w:rsidRPr="00F17F4A">
        <w:rPr>
          <w:rFonts w:eastAsiaTheme="minorHAnsi" w:cstheme="minorBidi"/>
          <w:szCs w:val="22"/>
          <w:lang w:val="en-GB" w:eastAsia="en-US"/>
        </w:rPr>
        <w:t xml:space="preserve">. </w:t>
      </w:r>
    </w:p>
    <w:p w14:paraId="452FF000" w14:textId="7327A0AA" w:rsidR="0022154D" w:rsidRPr="00B70B27" w:rsidRDefault="006B32A3" w:rsidP="00B70B27">
      <w:pPr>
        <w:numPr>
          <w:ilvl w:val="0"/>
          <w:numId w:val="40"/>
        </w:numPr>
        <w:rPr>
          <w:rFonts w:eastAsiaTheme="minorHAnsi" w:cstheme="minorBidi"/>
          <w:szCs w:val="22"/>
          <w:lang w:val="en-GB" w:eastAsia="en-US"/>
        </w:rPr>
      </w:pPr>
      <w:r>
        <w:rPr>
          <w:rFonts w:eastAsiaTheme="minorHAnsi" w:cstheme="minorBidi"/>
          <w:szCs w:val="22"/>
          <w:lang w:val="en-GB" w:eastAsia="en-US"/>
        </w:rPr>
        <w:t xml:space="preserve">Whether the values of each </w:t>
      </w:r>
      <w:r w:rsidR="00D32633">
        <w:rPr>
          <w:rFonts w:eastAsiaTheme="minorHAnsi" w:cstheme="minorBidi"/>
          <w:szCs w:val="22"/>
          <w:lang w:val="en-GB" w:eastAsia="en-US"/>
        </w:rPr>
        <w:t>of the 12</w:t>
      </w:r>
      <w:r>
        <w:rPr>
          <w:rFonts w:eastAsiaTheme="minorHAnsi" w:cstheme="minorBidi"/>
          <w:szCs w:val="22"/>
          <w:lang w:val="en-GB" w:eastAsia="en-US"/>
        </w:rPr>
        <w:t xml:space="preserve"> time series can be selected or not will be determined through multiple steps, as explained</w:t>
      </w:r>
      <w:r w:rsidR="00E302ED">
        <w:rPr>
          <w:rFonts w:eastAsiaTheme="minorHAnsi" w:cstheme="minorBidi"/>
          <w:szCs w:val="22"/>
          <w:lang w:val="en-GB" w:eastAsia="en-US"/>
        </w:rPr>
        <w:t xml:space="preserve"> below</w:t>
      </w:r>
      <w:r>
        <w:rPr>
          <w:rFonts w:eastAsiaTheme="minorHAnsi" w:cstheme="minorBidi"/>
          <w:szCs w:val="22"/>
          <w:lang w:val="en-GB" w:eastAsia="en-US"/>
        </w:rPr>
        <w:t>. This procedure begins with the time series that ha</w:t>
      </w:r>
      <w:r w:rsidR="00D32633">
        <w:rPr>
          <w:rFonts w:eastAsiaTheme="minorHAnsi" w:cstheme="minorBidi"/>
          <w:szCs w:val="22"/>
          <w:lang w:val="en-GB" w:eastAsia="en-US"/>
        </w:rPr>
        <w:t>s</w:t>
      </w:r>
      <w:r>
        <w:rPr>
          <w:rFonts w:eastAsiaTheme="minorHAnsi" w:cstheme="minorBidi"/>
          <w:szCs w:val="22"/>
          <w:lang w:val="en-GB" w:eastAsia="en-US"/>
        </w:rPr>
        <w:t xml:space="preserve"> the highest number of values, i.e. the time series that ha</w:t>
      </w:r>
      <w:r w:rsidR="00D32633">
        <w:rPr>
          <w:rFonts w:eastAsiaTheme="minorHAnsi" w:cstheme="minorBidi"/>
          <w:szCs w:val="22"/>
          <w:lang w:val="en-GB" w:eastAsia="en-US"/>
        </w:rPr>
        <w:t>s</w:t>
      </w:r>
      <w:r>
        <w:rPr>
          <w:rFonts w:eastAsiaTheme="minorHAnsi" w:cstheme="minorBidi"/>
          <w:szCs w:val="22"/>
          <w:lang w:val="en-GB" w:eastAsia="en-US"/>
        </w:rPr>
        <w:t xml:space="preserve"> mo</w:t>
      </w:r>
      <w:r w:rsidR="00E302ED">
        <w:rPr>
          <w:rFonts w:eastAsiaTheme="minorHAnsi" w:cstheme="minorBidi"/>
          <w:szCs w:val="22"/>
          <w:lang w:val="en-GB" w:eastAsia="en-US"/>
        </w:rPr>
        <w:t>st</w:t>
      </w:r>
      <w:r>
        <w:rPr>
          <w:rFonts w:eastAsiaTheme="minorHAnsi" w:cstheme="minorBidi"/>
          <w:szCs w:val="22"/>
          <w:lang w:val="en-GB" w:eastAsia="en-US"/>
        </w:rPr>
        <w:t xml:space="preserve"> chance to be selected. The 12 time series are thus sorted according to the number of values that they contain, in descending order.</w:t>
      </w:r>
    </w:p>
    <w:p w14:paraId="3E984541" w14:textId="09D34C71" w:rsidR="00F17F4A" w:rsidRPr="0022154D" w:rsidRDefault="00F17F4A" w:rsidP="0022154D">
      <w:pPr>
        <w:numPr>
          <w:ilvl w:val="0"/>
          <w:numId w:val="40"/>
        </w:numPr>
        <w:rPr>
          <w:rFonts w:eastAsiaTheme="minorHAnsi" w:cstheme="minorBidi"/>
          <w:szCs w:val="22"/>
          <w:lang w:val="en-GB" w:eastAsia="en-US"/>
        </w:rPr>
      </w:pPr>
      <w:r w:rsidRPr="0022154D">
        <w:rPr>
          <w:rFonts w:eastAsiaTheme="minorHAnsi" w:cstheme="minorBidi"/>
          <w:szCs w:val="22"/>
          <w:lang w:val="en-GB" w:eastAsia="en-US"/>
        </w:rPr>
        <w:t xml:space="preserve">Following that order, </w:t>
      </w:r>
      <w:r w:rsidR="00B70D97" w:rsidRPr="0022154D">
        <w:rPr>
          <w:rFonts w:eastAsiaTheme="minorHAnsi" w:cstheme="minorBidi"/>
          <w:szCs w:val="22"/>
          <w:lang w:val="en-GB" w:eastAsia="en-US"/>
        </w:rPr>
        <w:t xml:space="preserve">one by one, </w:t>
      </w:r>
      <w:r w:rsidRPr="0022154D">
        <w:rPr>
          <w:rFonts w:eastAsiaTheme="minorHAnsi" w:cstheme="minorBidi"/>
          <w:szCs w:val="22"/>
          <w:lang w:val="en-GB" w:eastAsia="en-US"/>
        </w:rPr>
        <w:t xml:space="preserve">each </w:t>
      </w:r>
      <w:r w:rsidR="00D32633" w:rsidRPr="0022154D">
        <w:rPr>
          <w:rFonts w:eastAsiaTheme="minorHAnsi" w:cstheme="minorBidi"/>
          <w:szCs w:val="22"/>
          <w:lang w:val="en-GB" w:eastAsia="en-US"/>
        </w:rPr>
        <w:t>of the 12</w:t>
      </w:r>
      <w:r w:rsidRPr="0022154D">
        <w:rPr>
          <w:rFonts w:eastAsiaTheme="minorHAnsi" w:cstheme="minorBidi"/>
          <w:szCs w:val="22"/>
          <w:lang w:val="en-GB" w:eastAsia="en-US"/>
        </w:rPr>
        <w:t xml:space="preserve"> time series undergoes the following steps</w:t>
      </w:r>
      <w:r w:rsidR="00DF7CA4" w:rsidRPr="0022154D">
        <w:rPr>
          <w:rFonts w:eastAsiaTheme="minorHAnsi" w:cstheme="minorBidi"/>
          <w:szCs w:val="22"/>
          <w:lang w:val="en-GB" w:eastAsia="en-US"/>
        </w:rPr>
        <w:t xml:space="preserve"> (also illustrated with an example in </w:t>
      </w:r>
      <w:r w:rsidR="00DF7CA4" w:rsidRPr="0022154D">
        <w:rPr>
          <w:rFonts w:eastAsiaTheme="minorHAnsi" w:cstheme="minorBidi"/>
          <w:szCs w:val="22"/>
          <w:lang w:val="en-GB" w:eastAsia="en-US"/>
        </w:rPr>
        <w:fldChar w:fldCharType="begin"/>
      </w:r>
      <w:r w:rsidR="00DF7CA4" w:rsidRPr="0022154D">
        <w:rPr>
          <w:rFonts w:eastAsiaTheme="minorHAnsi" w:cstheme="minorBidi"/>
          <w:szCs w:val="22"/>
          <w:lang w:val="en-GB" w:eastAsia="en-US"/>
        </w:rPr>
        <w:instrText xml:space="preserve"> REF _Ref157440235 \h </w:instrText>
      </w:r>
      <w:r w:rsidR="00DF7CA4" w:rsidRPr="0022154D">
        <w:rPr>
          <w:rFonts w:eastAsiaTheme="minorHAnsi" w:cstheme="minorBidi"/>
          <w:szCs w:val="22"/>
          <w:lang w:val="en-GB" w:eastAsia="en-US"/>
        </w:rPr>
      </w:r>
      <w:r w:rsidR="00DF7CA4" w:rsidRPr="0022154D">
        <w:rPr>
          <w:rFonts w:eastAsiaTheme="minorHAnsi" w:cstheme="minorBidi"/>
          <w:szCs w:val="22"/>
          <w:lang w:val="en-GB" w:eastAsia="en-US"/>
        </w:rPr>
        <w:fldChar w:fldCharType="separate"/>
      </w:r>
      <w:r w:rsidR="0022154D">
        <w:t xml:space="preserve">Figure </w:t>
      </w:r>
      <w:r w:rsidR="0022154D">
        <w:rPr>
          <w:noProof/>
        </w:rPr>
        <w:t>3</w:t>
      </w:r>
      <w:r w:rsidR="00DF7CA4" w:rsidRPr="0022154D">
        <w:rPr>
          <w:rFonts w:eastAsiaTheme="minorHAnsi" w:cstheme="minorBidi"/>
          <w:szCs w:val="22"/>
          <w:lang w:val="en-GB" w:eastAsia="en-US"/>
        </w:rPr>
        <w:fldChar w:fldCharType="end"/>
      </w:r>
      <w:r w:rsidR="00DF7CA4" w:rsidRPr="0022154D">
        <w:rPr>
          <w:rFonts w:eastAsiaTheme="minorHAnsi" w:cstheme="minorBidi"/>
          <w:szCs w:val="22"/>
          <w:lang w:val="en-GB" w:eastAsia="en-US"/>
        </w:rPr>
        <w:t>)</w:t>
      </w:r>
      <w:r w:rsidRPr="0022154D">
        <w:rPr>
          <w:rFonts w:eastAsiaTheme="minorHAnsi" w:cstheme="minorBidi"/>
          <w:szCs w:val="22"/>
          <w:lang w:val="en-GB" w:eastAsia="en-US"/>
        </w:rPr>
        <w:t xml:space="preserve">: </w:t>
      </w:r>
    </w:p>
    <w:p w14:paraId="72A59D0F" w14:textId="5FA2BDAA" w:rsidR="00F17F4A" w:rsidRPr="00F17F4A" w:rsidRDefault="00F17F4A" w:rsidP="00361DB7">
      <w:pPr>
        <w:numPr>
          <w:ilvl w:val="1"/>
          <w:numId w:val="40"/>
        </w:numPr>
        <w:rPr>
          <w:rFonts w:eastAsiaTheme="minorHAnsi" w:cstheme="minorBidi"/>
          <w:szCs w:val="22"/>
          <w:lang w:val="en-GB" w:eastAsia="en-US"/>
        </w:rPr>
      </w:pPr>
      <w:r w:rsidRPr="00F17F4A">
        <w:rPr>
          <w:rFonts w:eastAsiaTheme="minorHAnsi" w:cstheme="minorBidi"/>
          <w:szCs w:val="22"/>
          <w:lang w:val="en-GB" w:eastAsia="en-US"/>
        </w:rPr>
        <w:t>If there is no missing value (</w:t>
      </w:r>
      <w:r w:rsidR="00D32633">
        <w:rPr>
          <w:rFonts w:eastAsiaTheme="minorHAnsi" w:cstheme="minorBidi"/>
          <w:szCs w:val="22"/>
          <w:lang w:val="en-GB" w:eastAsia="en-US"/>
        </w:rPr>
        <w:t>e.g. the time series of January has a value for each January within the period of interest</w:t>
      </w:r>
      <w:r w:rsidRPr="00F17F4A">
        <w:rPr>
          <w:rFonts w:eastAsiaTheme="minorHAnsi" w:cstheme="minorBidi"/>
          <w:szCs w:val="22"/>
          <w:lang w:val="en-GB" w:eastAsia="en-US"/>
        </w:rPr>
        <w:t xml:space="preserve">), all values are </w:t>
      </w:r>
      <w:r w:rsidR="00B70D97">
        <w:rPr>
          <w:rFonts w:eastAsiaTheme="minorHAnsi" w:cstheme="minorBidi"/>
          <w:szCs w:val="22"/>
          <w:lang w:val="en-GB" w:eastAsia="en-US"/>
        </w:rPr>
        <w:t xml:space="preserve">selected and </w:t>
      </w:r>
      <w:r w:rsidRPr="00F17F4A">
        <w:rPr>
          <w:rFonts w:eastAsiaTheme="minorHAnsi" w:cstheme="minorBidi"/>
          <w:szCs w:val="22"/>
          <w:lang w:val="en-GB" w:eastAsia="en-US"/>
        </w:rPr>
        <w:t>stored in the final time</w:t>
      </w:r>
      <w:r w:rsidR="00A3646D">
        <w:rPr>
          <w:rFonts w:eastAsiaTheme="minorHAnsi" w:cstheme="minorBidi"/>
          <w:szCs w:val="22"/>
          <w:lang w:val="en-GB" w:eastAsia="en-US"/>
        </w:rPr>
        <w:t xml:space="preserve"> </w:t>
      </w:r>
      <w:r w:rsidRPr="00F17F4A">
        <w:rPr>
          <w:rFonts w:eastAsiaTheme="minorHAnsi" w:cstheme="minorBidi"/>
          <w:szCs w:val="22"/>
          <w:lang w:val="en-GB" w:eastAsia="en-US"/>
        </w:rPr>
        <w:t>series</w:t>
      </w:r>
      <w:r w:rsidR="00A3646D">
        <w:rPr>
          <w:rFonts w:eastAsiaTheme="minorHAnsi" w:cstheme="minorBidi"/>
          <w:szCs w:val="22"/>
          <w:lang w:val="en-GB" w:eastAsia="en-US"/>
        </w:rPr>
        <w:t xml:space="preserve"> of the monitoring station</w:t>
      </w:r>
      <w:r w:rsidRPr="00F17F4A">
        <w:rPr>
          <w:rFonts w:eastAsiaTheme="minorHAnsi" w:cstheme="minorBidi"/>
          <w:szCs w:val="22"/>
          <w:lang w:val="en-GB" w:eastAsia="en-US"/>
        </w:rPr>
        <w:t>.</w:t>
      </w:r>
    </w:p>
    <w:p w14:paraId="56874F78" w14:textId="50EB2CE5" w:rsidR="00F17F4A" w:rsidRPr="00F17F4A" w:rsidRDefault="00F17F4A" w:rsidP="00361DB7">
      <w:pPr>
        <w:numPr>
          <w:ilvl w:val="1"/>
          <w:numId w:val="40"/>
        </w:numPr>
        <w:rPr>
          <w:rFonts w:eastAsiaTheme="minorHAnsi" w:cstheme="minorBidi"/>
          <w:szCs w:val="22"/>
          <w:lang w:val="en-GB" w:eastAsia="en-US"/>
        </w:rPr>
      </w:pPr>
      <w:r w:rsidRPr="00F17F4A">
        <w:rPr>
          <w:rFonts w:eastAsiaTheme="minorHAnsi" w:cstheme="minorBidi"/>
          <w:szCs w:val="22"/>
          <w:lang w:val="en-GB" w:eastAsia="en-US"/>
        </w:rPr>
        <w:t>If there are missing values, adjacent values are sought to fill in the gaps:</w:t>
      </w:r>
    </w:p>
    <w:p w14:paraId="378BB6E9" w14:textId="4637F06A" w:rsidR="00FF0E5A" w:rsidRPr="00F17F4A" w:rsidRDefault="00FF0E5A" w:rsidP="00361DB7">
      <w:pPr>
        <w:numPr>
          <w:ilvl w:val="2"/>
          <w:numId w:val="40"/>
        </w:numPr>
        <w:rPr>
          <w:lang w:val="en-GB"/>
        </w:rPr>
      </w:pPr>
      <w:r w:rsidRPr="00F17F4A">
        <w:rPr>
          <w:lang w:val="en-GB"/>
        </w:rPr>
        <w:t xml:space="preserve">If only </w:t>
      </w:r>
      <w:r>
        <w:rPr>
          <w:lang w:val="en-GB"/>
        </w:rPr>
        <w:t xml:space="preserve">one </w:t>
      </w:r>
      <w:r w:rsidRPr="00F17F4A">
        <w:rPr>
          <w:lang w:val="en-GB"/>
        </w:rPr>
        <w:t>adjacent value is available</w:t>
      </w:r>
      <w:r w:rsidR="00B70D97">
        <w:rPr>
          <w:lang w:val="en-GB"/>
        </w:rPr>
        <w:t xml:space="preserve"> (i.e. the value from the precedent or successive month)</w:t>
      </w:r>
      <w:r w:rsidRPr="00F17F4A">
        <w:rPr>
          <w:lang w:val="en-GB"/>
        </w:rPr>
        <w:t xml:space="preserve">, that value is </w:t>
      </w:r>
      <w:r>
        <w:rPr>
          <w:lang w:val="en-GB"/>
        </w:rPr>
        <w:t xml:space="preserve">used to fill in the missing data. This value will not be available to complement </w:t>
      </w:r>
      <w:r w:rsidR="00B70D97">
        <w:rPr>
          <w:lang w:val="en-GB"/>
        </w:rPr>
        <w:t>the next</w:t>
      </w:r>
      <w:r>
        <w:rPr>
          <w:lang w:val="en-GB"/>
        </w:rPr>
        <w:t xml:space="preserve"> time series</w:t>
      </w:r>
      <w:r w:rsidR="00B70D97">
        <w:rPr>
          <w:lang w:val="en-GB"/>
        </w:rPr>
        <w:t xml:space="preserve"> in the list</w:t>
      </w:r>
      <w:r w:rsidRPr="00F17F4A">
        <w:rPr>
          <w:lang w:val="en-GB"/>
        </w:rPr>
        <w:t>.</w:t>
      </w:r>
    </w:p>
    <w:p w14:paraId="200094B9" w14:textId="6B0EFEB4" w:rsidR="00F17F4A" w:rsidRPr="00F17F4A" w:rsidRDefault="00F17F4A" w:rsidP="00361DB7">
      <w:pPr>
        <w:numPr>
          <w:ilvl w:val="2"/>
          <w:numId w:val="40"/>
        </w:numPr>
        <w:rPr>
          <w:lang w:val="en-GB"/>
        </w:rPr>
      </w:pPr>
      <w:r w:rsidRPr="00F17F4A">
        <w:rPr>
          <w:lang w:val="en-GB"/>
        </w:rPr>
        <w:t xml:space="preserve">If values from </w:t>
      </w:r>
      <w:r w:rsidR="00B70D97">
        <w:rPr>
          <w:lang w:val="en-GB"/>
        </w:rPr>
        <w:t xml:space="preserve">both </w:t>
      </w:r>
      <w:r w:rsidRPr="00F17F4A">
        <w:rPr>
          <w:lang w:val="en-GB"/>
        </w:rPr>
        <w:t>the preced</w:t>
      </w:r>
      <w:r w:rsidR="00B70D97">
        <w:rPr>
          <w:lang w:val="en-GB"/>
        </w:rPr>
        <w:t>ent</w:t>
      </w:r>
      <w:r w:rsidRPr="00F17F4A">
        <w:rPr>
          <w:lang w:val="en-GB"/>
        </w:rPr>
        <w:t xml:space="preserve"> and succe</w:t>
      </w:r>
      <w:r w:rsidR="00B70D97">
        <w:rPr>
          <w:lang w:val="en-GB"/>
        </w:rPr>
        <w:t>ssive</w:t>
      </w:r>
      <w:r w:rsidRPr="00F17F4A">
        <w:rPr>
          <w:lang w:val="en-GB"/>
        </w:rPr>
        <w:t xml:space="preserve"> months are available, the mean of these two values is calculated and </w:t>
      </w:r>
      <w:r w:rsidR="00B70D97">
        <w:rPr>
          <w:lang w:val="en-GB"/>
        </w:rPr>
        <w:t>used</w:t>
      </w:r>
      <w:r w:rsidRPr="00F17F4A">
        <w:rPr>
          <w:lang w:val="en-GB"/>
        </w:rPr>
        <w:t>.</w:t>
      </w:r>
      <w:r w:rsidR="00361DB7">
        <w:rPr>
          <w:lang w:val="en-GB"/>
        </w:rPr>
        <w:t xml:space="preserve"> </w:t>
      </w:r>
      <w:r w:rsidRPr="00F17F4A">
        <w:rPr>
          <w:lang w:val="en-GB"/>
        </w:rPr>
        <w:t xml:space="preserve">The two adjacent values remain available to complement </w:t>
      </w:r>
      <w:r w:rsidR="00B70D97">
        <w:rPr>
          <w:lang w:val="en-GB"/>
        </w:rPr>
        <w:t>the next</w:t>
      </w:r>
      <w:r w:rsidR="00B70D97" w:rsidRPr="00F17F4A">
        <w:rPr>
          <w:lang w:val="en-GB"/>
        </w:rPr>
        <w:t xml:space="preserve"> </w:t>
      </w:r>
      <w:r w:rsidRPr="00F17F4A">
        <w:rPr>
          <w:lang w:val="en-GB"/>
        </w:rPr>
        <w:t>time series</w:t>
      </w:r>
      <w:r w:rsidR="00B70D97">
        <w:rPr>
          <w:lang w:val="en-GB"/>
        </w:rPr>
        <w:t xml:space="preserve"> in the list</w:t>
      </w:r>
      <w:r w:rsidRPr="00F17F4A">
        <w:rPr>
          <w:lang w:val="en-GB"/>
        </w:rPr>
        <w:t>.</w:t>
      </w:r>
    </w:p>
    <w:p w14:paraId="0ABC8D7D" w14:textId="17448548" w:rsidR="00F17F4A" w:rsidRDefault="00F17F4A" w:rsidP="00B70B27">
      <w:pPr>
        <w:pStyle w:val="ListParagraph"/>
      </w:pPr>
      <w:r w:rsidRPr="00CA3C24">
        <w:t xml:space="preserve">If the number of values of the time series meets the threshold that has been previously defined, the values are </w:t>
      </w:r>
      <w:r w:rsidR="002C321E">
        <w:t>selected</w:t>
      </w:r>
      <w:r w:rsidRPr="00CA3C24">
        <w:t xml:space="preserve">. If not, the values are </w:t>
      </w:r>
      <w:r w:rsidR="002C321E">
        <w:t xml:space="preserve">not selected and remain </w:t>
      </w:r>
      <w:r w:rsidR="002C321E" w:rsidRPr="00F17F4A">
        <w:t xml:space="preserve">available to complement </w:t>
      </w:r>
      <w:r w:rsidR="002C321E">
        <w:t>the next</w:t>
      </w:r>
      <w:r w:rsidR="002C321E" w:rsidRPr="00F17F4A">
        <w:t xml:space="preserve"> time series</w:t>
      </w:r>
      <w:r w:rsidR="002C321E">
        <w:t xml:space="preserve"> in the list</w:t>
      </w:r>
      <w:r w:rsidR="002C321E" w:rsidRPr="00F17F4A">
        <w:t>.</w:t>
      </w:r>
    </w:p>
    <w:p w14:paraId="3E23B5DC" w14:textId="6B29181B" w:rsidR="00064472" w:rsidRDefault="00064472" w:rsidP="00A00638">
      <w:pPr>
        <w:rPr>
          <w:lang w:val="en-GB" w:eastAsia="en-US"/>
        </w:rPr>
      </w:pPr>
      <w:r>
        <w:rPr>
          <w:lang w:val="en-GB" w:eastAsia="en-US"/>
        </w:rPr>
        <w:t xml:space="preserve">To summarize, each time series selected </w:t>
      </w:r>
      <w:r w:rsidR="002C321E">
        <w:rPr>
          <w:lang w:val="en-GB" w:eastAsia="en-US"/>
        </w:rPr>
        <w:t xml:space="preserve">for </w:t>
      </w:r>
      <w:r w:rsidR="00E302ED">
        <w:rPr>
          <w:lang w:val="en-GB" w:eastAsia="en-US"/>
        </w:rPr>
        <w:t xml:space="preserve">the </w:t>
      </w:r>
      <w:r w:rsidR="002C321E">
        <w:rPr>
          <w:lang w:val="en-GB" w:eastAsia="en-US"/>
        </w:rPr>
        <w:t>analysis is made of monthly values, corresponding to</w:t>
      </w:r>
      <w:r>
        <w:rPr>
          <w:lang w:val="en-GB" w:eastAsia="en-US"/>
        </w:rPr>
        <w:t xml:space="preserve"> </w:t>
      </w:r>
      <w:r w:rsidR="002C321E">
        <w:rPr>
          <w:lang w:val="en-GB" w:eastAsia="en-US"/>
        </w:rPr>
        <w:t xml:space="preserve">single measurements or, if several measurements are available, an average of these measurements. Time series might contain as little as </w:t>
      </w:r>
      <w:r>
        <w:rPr>
          <w:lang w:val="en-GB" w:eastAsia="en-US"/>
        </w:rPr>
        <w:t>one monthly value</w:t>
      </w:r>
      <w:r w:rsidR="002C321E">
        <w:rPr>
          <w:lang w:val="en-GB" w:eastAsia="en-US"/>
        </w:rPr>
        <w:t xml:space="preserve"> per year</w:t>
      </w:r>
      <w:r>
        <w:rPr>
          <w:lang w:val="en-GB" w:eastAsia="en-US"/>
        </w:rPr>
        <w:t xml:space="preserve">. </w:t>
      </w:r>
      <w:r w:rsidR="002C321E">
        <w:rPr>
          <w:lang w:val="en-GB" w:eastAsia="en-US"/>
        </w:rPr>
        <w:t>The percentage of empty years does not exceed the data gap threshold (i.e. 80% per default).</w:t>
      </w:r>
    </w:p>
    <w:p w14:paraId="7733A890" w14:textId="130F1C9D" w:rsidR="00F17F4A" w:rsidRDefault="00165B27" w:rsidP="00A00638">
      <w:pPr>
        <w:rPr>
          <w:lang w:val="en-GB" w:eastAsia="en-US"/>
        </w:rPr>
      </w:pPr>
      <w:r>
        <w:rPr>
          <w:lang w:val="en-GB" w:eastAsia="en-US"/>
        </w:rPr>
        <w:t>More information on the data selection, including the algorithm, can</w:t>
      </w:r>
      <w:r w:rsidR="00FB415D">
        <w:rPr>
          <w:lang w:val="en-GB" w:eastAsia="en-US"/>
        </w:rPr>
        <w:t xml:space="preserve"> also</w:t>
      </w:r>
      <w:r>
        <w:rPr>
          <w:lang w:val="en-GB" w:eastAsia="en-US"/>
        </w:rPr>
        <w:t xml:space="preserve"> be found in </w:t>
      </w:r>
      <w:r w:rsidR="00FB415D">
        <w:rPr>
          <w:lang w:val="en-GB" w:eastAsia="en-US"/>
        </w:rPr>
        <w:t>the</w:t>
      </w:r>
      <w:r w:rsidR="00FB415D" w:rsidRPr="00FB415D">
        <w:rPr>
          <w:lang w:val="en-GB" w:eastAsia="en-US"/>
        </w:rPr>
        <w:t xml:space="preserve"> public GitHub repository </w:t>
      </w:r>
      <w:r w:rsidR="00FB415D">
        <w:rPr>
          <w:lang w:val="en-GB" w:eastAsia="en-US"/>
        </w:rPr>
        <w:t>(</w:t>
      </w:r>
      <w:r w:rsidR="00FB415D" w:rsidRPr="00165B27">
        <w:t>https://github.com/UNIGRAC/Global-Reporting-Groundwater-Levels</w:t>
      </w:r>
      <w:r w:rsidR="00FB415D">
        <w:t>)</w:t>
      </w:r>
      <w:r>
        <w:rPr>
          <w:lang w:val="en-GB" w:eastAsia="en-US"/>
        </w:rPr>
        <w:t xml:space="preserve">. </w:t>
      </w:r>
    </w:p>
    <w:p w14:paraId="1C354A31" w14:textId="77777777" w:rsidR="00F17F4A" w:rsidRDefault="00F17F4A" w:rsidP="00F64263"/>
    <w:p w14:paraId="378402E3" w14:textId="7D2C56A5" w:rsidR="00D32633" w:rsidRDefault="0040548E" w:rsidP="00D3750D">
      <w:pPr>
        <w:jc w:val="center"/>
      </w:pPr>
      <w:r w:rsidRPr="0040548E">
        <w:rPr>
          <w:noProof/>
        </w:rPr>
        <w:lastRenderedPageBreak/>
        <w:drawing>
          <wp:inline distT="0" distB="0" distL="0" distR="0" wp14:anchorId="2905045C" wp14:editId="4BF8C360">
            <wp:extent cx="5202074" cy="6866627"/>
            <wp:effectExtent l="0" t="0" r="3810" b="5715"/>
            <wp:docPr id="1065294442"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94442" name="Picture 1" descr="A screenshot of a diagram&#10;&#10;Description automatically generated"/>
                    <pic:cNvPicPr/>
                  </pic:nvPicPr>
                  <pic:blipFill>
                    <a:blip r:embed="rId17"/>
                    <a:stretch>
                      <a:fillRect/>
                    </a:stretch>
                  </pic:blipFill>
                  <pic:spPr>
                    <a:xfrm>
                      <a:off x="0" y="0"/>
                      <a:ext cx="5202074" cy="6866627"/>
                    </a:xfrm>
                    <a:prstGeom prst="rect">
                      <a:avLst/>
                    </a:prstGeom>
                  </pic:spPr>
                </pic:pic>
              </a:graphicData>
            </a:graphic>
          </wp:inline>
        </w:drawing>
      </w:r>
    </w:p>
    <w:p w14:paraId="7D1C6D18" w14:textId="58E212AE" w:rsidR="00457E82" w:rsidRDefault="00F17F4A" w:rsidP="00D3750D">
      <w:pPr>
        <w:pStyle w:val="Caption"/>
        <w:jc w:val="center"/>
      </w:pPr>
      <w:bookmarkStart w:id="5" w:name="_Ref153463011"/>
      <w:r>
        <w:t xml:space="preserve">Figure </w:t>
      </w:r>
      <w:r>
        <w:fldChar w:fldCharType="begin"/>
      </w:r>
      <w:r>
        <w:instrText xml:space="preserve"> SEQ Figure \* ARABIC </w:instrText>
      </w:r>
      <w:r>
        <w:fldChar w:fldCharType="separate"/>
      </w:r>
      <w:r w:rsidR="0022154D">
        <w:rPr>
          <w:noProof/>
        </w:rPr>
        <w:t>2</w:t>
      </w:r>
      <w:r>
        <w:fldChar w:fldCharType="end"/>
      </w:r>
      <w:bookmarkEnd w:id="5"/>
      <w:r>
        <w:t xml:space="preserve"> </w:t>
      </w:r>
      <w:r w:rsidRPr="00ED22E9">
        <w:t>Flow diagram of the dat</w:t>
      </w:r>
      <w:r>
        <w:t>a</w:t>
      </w:r>
      <w:r w:rsidRPr="00ED22E9">
        <w:t xml:space="preserve"> selection methodology.</w:t>
      </w:r>
    </w:p>
    <w:p w14:paraId="7B931F51" w14:textId="77777777" w:rsidR="0022154D" w:rsidRDefault="0022154D" w:rsidP="0022154D">
      <w:pPr>
        <w:keepNext/>
      </w:pPr>
      <w:r>
        <w:rPr>
          <w:noProof/>
          <w:lang w:val="en-GB" w:eastAsia="en-US"/>
        </w:rPr>
        <w:lastRenderedPageBreak/>
        <w:drawing>
          <wp:inline distT="0" distB="0" distL="0" distR="0" wp14:anchorId="704449D2" wp14:editId="06D0F720">
            <wp:extent cx="5943600" cy="3343275"/>
            <wp:effectExtent l="19050" t="19050" r="19050" b="28575"/>
            <wp:docPr id="195048791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87917" name="Picture 1" descr="A black text on a white backgroun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ln>
                      <a:solidFill>
                        <a:schemeClr val="tx1"/>
                      </a:solidFill>
                    </a:ln>
                  </pic:spPr>
                </pic:pic>
              </a:graphicData>
            </a:graphic>
          </wp:inline>
        </w:drawing>
      </w:r>
    </w:p>
    <w:p w14:paraId="56254E93" w14:textId="761544EF" w:rsidR="0022154D" w:rsidRDefault="0022154D" w:rsidP="0022154D">
      <w:pPr>
        <w:pStyle w:val="Caption"/>
      </w:pPr>
      <w:bookmarkStart w:id="6" w:name="_Ref157440235"/>
      <w:r>
        <w:t xml:space="preserve">Figure </w:t>
      </w:r>
      <w:r>
        <w:fldChar w:fldCharType="begin"/>
      </w:r>
      <w:r>
        <w:instrText xml:space="preserve"> SEQ Figure \* ARABIC </w:instrText>
      </w:r>
      <w:r>
        <w:fldChar w:fldCharType="separate"/>
      </w:r>
      <w:r>
        <w:rPr>
          <w:noProof/>
        </w:rPr>
        <w:t>3</w:t>
      </w:r>
      <w:r>
        <w:fldChar w:fldCharType="end"/>
      </w:r>
      <w:bookmarkEnd w:id="6"/>
      <w:r>
        <w:t xml:space="preserve"> Example of data selection with a dummy time series.</w:t>
      </w:r>
    </w:p>
    <w:p w14:paraId="5B42E95C" w14:textId="77777777" w:rsidR="0022154D" w:rsidRDefault="0022154D" w:rsidP="0022154D"/>
    <w:p w14:paraId="08228FFA" w14:textId="164D9202" w:rsidR="00EA0EE2" w:rsidRDefault="000423DD" w:rsidP="00127209">
      <w:pPr>
        <w:pStyle w:val="Heading2"/>
        <w:numPr>
          <w:ilvl w:val="0"/>
          <w:numId w:val="0"/>
        </w:numPr>
        <w:ind w:left="360"/>
      </w:pPr>
      <w:r>
        <w:t xml:space="preserve">2.3 </w:t>
      </w:r>
      <w:r w:rsidR="00EA0EE2">
        <w:t>Ranking</w:t>
      </w:r>
    </w:p>
    <w:p w14:paraId="799CEB7E" w14:textId="08A14046" w:rsidR="00EA0EE2" w:rsidRDefault="00EA0EE2" w:rsidP="00EA0EE2">
      <w:pPr>
        <w:rPr>
          <w:lang w:val="en-GB" w:eastAsia="en-US"/>
        </w:rPr>
      </w:pPr>
      <w:r>
        <w:rPr>
          <w:lang w:val="en-GB" w:eastAsia="en-US"/>
        </w:rPr>
        <w:t>The ranking</w:t>
      </w:r>
      <w:r w:rsidRPr="00A00638">
        <w:rPr>
          <w:lang w:val="en-GB" w:eastAsia="en-US"/>
        </w:rPr>
        <w:t xml:space="preserve"> </w:t>
      </w:r>
      <w:r>
        <w:rPr>
          <w:lang w:val="en-GB" w:eastAsia="en-US"/>
        </w:rPr>
        <w:t xml:space="preserve">is used </w:t>
      </w:r>
      <w:r w:rsidR="0022154D">
        <w:rPr>
          <w:lang w:val="en-GB" w:eastAsia="en-US"/>
        </w:rPr>
        <w:t xml:space="preserve">in many countries to </w:t>
      </w:r>
      <w:r>
        <w:rPr>
          <w:lang w:val="en-GB" w:eastAsia="en-US"/>
        </w:rPr>
        <w:t>report on</w:t>
      </w:r>
      <w:r w:rsidRPr="00A00638">
        <w:rPr>
          <w:lang w:val="en-GB" w:eastAsia="en-US"/>
        </w:rPr>
        <w:t xml:space="preserve"> </w:t>
      </w:r>
      <w:r w:rsidR="0022154D">
        <w:rPr>
          <w:lang w:val="en-GB" w:eastAsia="en-US"/>
        </w:rPr>
        <w:t>the state of groundwater levels (IGRAC 2020</w:t>
      </w:r>
      <w:r w:rsidR="0022154D" w:rsidRPr="0022154D">
        <w:rPr>
          <w:vertAlign w:val="superscript"/>
          <w:lang w:val="en-GB" w:eastAsia="en-US"/>
        </w:rPr>
        <w:fldChar w:fldCharType="begin"/>
      </w:r>
      <w:r w:rsidR="0022154D" w:rsidRPr="0022154D">
        <w:rPr>
          <w:vertAlign w:val="superscript"/>
          <w:lang w:val="en-GB" w:eastAsia="en-US"/>
        </w:rPr>
        <w:instrText xml:space="preserve"> NOTEREF _Ref157506295 \h </w:instrText>
      </w:r>
      <w:r w:rsidR="0022154D">
        <w:rPr>
          <w:vertAlign w:val="superscript"/>
          <w:lang w:val="en-GB" w:eastAsia="en-US"/>
        </w:rPr>
        <w:instrText xml:space="preserve"> \* MERGEFORMAT </w:instrText>
      </w:r>
      <w:r w:rsidR="0022154D" w:rsidRPr="0022154D">
        <w:rPr>
          <w:vertAlign w:val="superscript"/>
          <w:lang w:val="en-GB" w:eastAsia="en-US"/>
        </w:rPr>
      </w:r>
      <w:r w:rsidR="0022154D" w:rsidRPr="0022154D">
        <w:rPr>
          <w:vertAlign w:val="superscript"/>
          <w:lang w:val="en-GB" w:eastAsia="en-US"/>
        </w:rPr>
        <w:fldChar w:fldCharType="separate"/>
      </w:r>
      <w:r w:rsidR="0022154D" w:rsidRPr="0022154D">
        <w:rPr>
          <w:vertAlign w:val="superscript"/>
          <w:lang w:val="en-GB" w:eastAsia="en-US"/>
        </w:rPr>
        <w:t>2</w:t>
      </w:r>
      <w:r w:rsidR="0022154D" w:rsidRPr="0022154D">
        <w:rPr>
          <w:vertAlign w:val="superscript"/>
          <w:lang w:val="en-GB" w:eastAsia="en-US"/>
        </w:rPr>
        <w:fldChar w:fldCharType="end"/>
      </w:r>
      <w:r w:rsidR="0022154D">
        <w:rPr>
          <w:lang w:val="en-GB" w:eastAsia="en-US"/>
        </w:rPr>
        <w:t xml:space="preserve">). It is also a key indicator of the WMO </w:t>
      </w:r>
      <w:r w:rsidR="0022154D" w:rsidRPr="0022154D">
        <w:rPr>
          <w:lang w:val="en-GB" w:eastAsia="en-US"/>
        </w:rPr>
        <w:t>Global Hydrological Status and Outlook System (</w:t>
      </w:r>
      <w:proofErr w:type="spellStart"/>
      <w:r w:rsidR="0022154D" w:rsidRPr="0022154D">
        <w:rPr>
          <w:lang w:val="en-GB" w:eastAsia="en-US"/>
        </w:rPr>
        <w:t>HydroSOS</w:t>
      </w:r>
      <w:proofErr w:type="spellEnd"/>
      <w:r w:rsidR="0022154D" w:rsidRPr="0022154D">
        <w:rPr>
          <w:lang w:val="en-GB" w:eastAsia="en-US"/>
        </w:rPr>
        <w:t>)</w:t>
      </w:r>
      <w:r w:rsidR="0022154D">
        <w:rPr>
          <w:lang w:val="en-GB" w:eastAsia="en-US"/>
        </w:rPr>
        <w:t xml:space="preserve">, and it has been used to report on </w:t>
      </w:r>
      <w:r w:rsidRPr="00A00638">
        <w:rPr>
          <w:lang w:val="en-GB" w:eastAsia="en-US"/>
        </w:rPr>
        <w:t>other hydrologic variables covered by the State of Global Water Resources report.</w:t>
      </w:r>
      <w:r>
        <w:rPr>
          <w:lang w:val="en-GB" w:eastAsia="en-US"/>
        </w:rPr>
        <w:t xml:space="preserve"> Monthly values </w:t>
      </w:r>
      <w:r w:rsidR="0022154D">
        <w:rPr>
          <w:lang w:val="en-GB" w:eastAsia="en-US"/>
        </w:rPr>
        <w:t xml:space="preserve">that have been </w:t>
      </w:r>
      <w:r>
        <w:rPr>
          <w:lang w:val="en-GB" w:eastAsia="en-US"/>
        </w:rPr>
        <w:t xml:space="preserve">selected </w:t>
      </w:r>
      <w:r w:rsidR="0022154D">
        <w:rPr>
          <w:lang w:val="en-GB" w:eastAsia="en-US"/>
        </w:rPr>
        <w:t xml:space="preserve">according to the selection procedure explained above </w:t>
      </w:r>
      <w:r w:rsidR="000423DD">
        <w:rPr>
          <w:lang w:val="en-GB" w:eastAsia="en-US"/>
        </w:rPr>
        <w:t>are</w:t>
      </w:r>
      <w:r>
        <w:rPr>
          <w:lang w:val="en-GB" w:eastAsia="en-US"/>
        </w:rPr>
        <w:t xml:space="preserve"> aggregated into yearly averages, then these yearly averages </w:t>
      </w:r>
      <w:r w:rsidR="000423DD">
        <w:rPr>
          <w:lang w:val="en-GB" w:eastAsia="en-US"/>
        </w:rPr>
        <w:t>are</w:t>
      </w:r>
      <w:r>
        <w:rPr>
          <w:lang w:val="en-GB" w:eastAsia="en-US"/>
        </w:rPr>
        <w:t xml:space="preserve"> ranked in ascending order. Based on that classification, the rank of the latest year </w:t>
      </w:r>
      <w:r w:rsidR="000423DD">
        <w:rPr>
          <w:lang w:val="en-GB" w:eastAsia="en-US"/>
        </w:rPr>
        <w:t>is</w:t>
      </w:r>
      <w:r>
        <w:rPr>
          <w:lang w:val="en-GB" w:eastAsia="en-US"/>
        </w:rPr>
        <w:t xml:space="preserve"> </w:t>
      </w:r>
      <w:r w:rsidR="0022154D">
        <w:rPr>
          <w:lang w:val="en-GB" w:eastAsia="en-US"/>
        </w:rPr>
        <w:t xml:space="preserve">determined </w:t>
      </w:r>
      <w:r>
        <w:rPr>
          <w:lang w:val="en-GB" w:eastAsia="en-US"/>
        </w:rPr>
        <w:t>in</w:t>
      </w:r>
      <w:r w:rsidR="0022154D">
        <w:rPr>
          <w:lang w:val="en-GB" w:eastAsia="en-US"/>
        </w:rPr>
        <w:t xml:space="preserve"> terms of</w:t>
      </w:r>
      <w:r>
        <w:rPr>
          <w:lang w:val="en-GB" w:eastAsia="en-US"/>
        </w:rPr>
        <w:t xml:space="preserve"> percentile, </w:t>
      </w:r>
      <w:r w:rsidR="0022154D">
        <w:rPr>
          <w:lang w:val="en-GB" w:eastAsia="en-US"/>
        </w:rPr>
        <w:t>and categorized as follow</w:t>
      </w:r>
      <w:r>
        <w:rPr>
          <w:lang w:val="en-GB" w:eastAsia="en-US"/>
        </w:rPr>
        <w:t>:</w:t>
      </w:r>
    </w:p>
    <w:tbl>
      <w:tblPr>
        <w:tblStyle w:val="TableGrid"/>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3260"/>
      </w:tblGrid>
      <w:tr w:rsidR="00EA0EE2" w14:paraId="502C1F61" w14:textId="77777777" w:rsidTr="00EA0EE2">
        <w:tc>
          <w:tcPr>
            <w:tcW w:w="1843" w:type="dxa"/>
          </w:tcPr>
          <w:p w14:paraId="18709638" w14:textId="40C18C8E" w:rsidR="00EA0EE2" w:rsidRDefault="00EA0EE2" w:rsidP="00EA0EE2">
            <w:pPr>
              <w:rPr>
                <w:lang w:val="en-GB" w:eastAsia="en-US"/>
              </w:rPr>
            </w:pPr>
            <w:r w:rsidRPr="00A00638">
              <w:rPr>
                <w:lang w:val="en-GB" w:eastAsia="en-US"/>
              </w:rPr>
              <w:t>“Above normal”</w:t>
            </w:r>
          </w:p>
        </w:tc>
        <w:tc>
          <w:tcPr>
            <w:tcW w:w="3260" w:type="dxa"/>
          </w:tcPr>
          <w:p w14:paraId="323FAF12" w14:textId="64C1AD1B" w:rsidR="00EA0EE2" w:rsidRDefault="00EA0EE2" w:rsidP="00EA0EE2">
            <w:pPr>
              <w:jc w:val="center"/>
              <w:rPr>
                <w:lang w:val="en-GB" w:eastAsia="en-US"/>
              </w:rPr>
            </w:pPr>
            <w:r w:rsidRPr="00A00638">
              <w:rPr>
                <w:lang w:val="en-GB" w:eastAsia="en-US"/>
              </w:rPr>
              <w:t>0.75 &lt; percentile</w:t>
            </w:r>
          </w:p>
        </w:tc>
      </w:tr>
      <w:tr w:rsidR="00EA0EE2" w14:paraId="4880A07F" w14:textId="77777777" w:rsidTr="00EA0EE2">
        <w:tc>
          <w:tcPr>
            <w:tcW w:w="1843" w:type="dxa"/>
          </w:tcPr>
          <w:p w14:paraId="47BC9DE9" w14:textId="0F1C4366" w:rsidR="00EA0EE2" w:rsidRDefault="00EA0EE2" w:rsidP="00EA0EE2">
            <w:pPr>
              <w:rPr>
                <w:lang w:val="en-GB" w:eastAsia="en-US"/>
              </w:rPr>
            </w:pPr>
            <w:r w:rsidRPr="00A00638">
              <w:rPr>
                <w:lang w:val="en-GB" w:eastAsia="en-US"/>
              </w:rPr>
              <w:t>“Normal”</w:t>
            </w:r>
          </w:p>
        </w:tc>
        <w:tc>
          <w:tcPr>
            <w:tcW w:w="3260" w:type="dxa"/>
          </w:tcPr>
          <w:p w14:paraId="2A02CD09" w14:textId="7DC2DC8B" w:rsidR="00EA0EE2" w:rsidRDefault="00EA0EE2" w:rsidP="00EA0EE2">
            <w:pPr>
              <w:jc w:val="center"/>
              <w:rPr>
                <w:lang w:val="en-GB" w:eastAsia="en-US"/>
              </w:rPr>
            </w:pPr>
            <w:r w:rsidRPr="00A00638">
              <w:rPr>
                <w:lang w:val="en-GB" w:eastAsia="en-US"/>
              </w:rPr>
              <w:t>0.25 &lt; percentile &lt; 0.75</w:t>
            </w:r>
          </w:p>
        </w:tc>
      </w:tr>
      <w:tr w:rsidR="00EA0EE2" w14:paraId="7305E8B7" w14:textId="77777777" w:rsidTr="00EA0EE2">
        <w:tc>
          <w:tcPr>
            <w:tcW w:w="1843" w:type="dxa"/>
          </w:tcPr>
          <w:p w14:paraId="0999F3E5" w14:textId="416E7331" w:rsidR="00EA0EE2" w:rsidRDefault="00EA0EE2" w:rsidP="00EA0EE2">
            <w:pPr>
              <w:rPr>
                <w:lang w:val="en-GB" w:eastAsia="en-US"/>
              </w:rPr>
            </w:pPr>
            <w:r w:rsidRPr="00A00638">
              <w:rPr>
                <w:lang w:val="en-GB" w:eastAsia="en-US"/>
              </w:rPr>
              <w:t>“Below normal”</w:t>
            </w:r>
          </w:p>
        </w:tc>
        <w:tc>
          <w:tcPr>
            <w:tcW w:w="3260" w:type="dxa"/>
          </w:tcPr>
          <w:p w14:paraId="722E3DCD" w14:textId="440C4B89" w:rsidR="00EA0EE2" w:rsidRDefault="00EA0EE2" w:rsidP="00EA0EE2">
            <w:pPr>
              <w:jc w:val="center"/>
              <w:rPr>
                <w:lang w:val="en-GB" w:eastAsia="en-US"/>
              </w:rPr>
            </w:pPr>
            <w:r w:rsidRPr="00A00638">
              <w:rPr>
                <w:lang w:val="en-GB" w:eastAsia="en-US"/>
              </w:rPr>
              <w:t>percentile &lt; 0.25</w:t>
            </w:r>
          </w:p>
        </w:tc>
      </w:tr>
    </w:tbl>
    <w:p w14:paraId="26BE2AFA" w14:textId="3AE50A52" w:rsidR="00EA0EE2" w:rsidRDefault="00EA0EE2" w:rsidP="00EA0EE2">
      <w:pPr>
        <w:rPr>
          <w:lang w:val="en-GB" w:eastAsia="en-US"/>
        </w:rPr>
      </w:pPr>
      <w:r w:rsidRPr="00A00638">
        <w:rPr>
          <w:lang w:val="en-GB" w:eastAsia="en-US"/>
        </w:rPr>
        <w:tab/>
      </w:r>
    </w:p>
    <w:p w14:paraId="22DDE5C2" w14:textId="77777777" w:rsidR="00920A17" w:rsidRDefault="00920A17" w:rsidP="00EA0EE2">
      <w:pPr>
        <w:rPr>
          <w:lang w:val="en-GB" w:eastAsia="en-US"/>
        </w:rPr>
      </w:pPr>
    </w:p>
    <w:p w14:paraId="3F01A578" w14:textId="77777777" w:rsidR="00920A17" w:rsidRDefault="00920A17" w:rsidP="00EA0EE2">
      <w:pPr>
        <w:rPr>
          <w:lang w:val="en-GB" w:eastAsia="en-US"/>
        </w:rPr>
      </w:pPr>
    </w:p>
    <w:p w14:paraId="4EF55518" w14:textId="002A8163" w:rsidR="0084645F" w:rsidRDefault="000423DD" w:rsidP="00127209">
      <w:pPr>
        <w:pStyle w:val="Heading2"/>
        <w:numPr>
          <w:ilvl w:val="0"/>
          <w:numId w:val="0"/>
        </w:numPr>
        <w:ind w:left="360"/>
      </w:pPr>
      <w:r>
        <w:lastRenderedPageBreak/>
        <w:t xml:space="preserve">2.4. </w:t>
      </w:r>
      <w:r w:rsidR="0084645F">
        <w:t>Trend analysis</w:t>
      </w:r>
    </w:p>
    <w:p w14:paraId="34522F74" w14:textId="481244E0" w:rsidR="0084645F" w:rsidRDefault="0084645F" w:rsidP="00B70B27">
      <w:pPr>
        <w:rPr>
          <w:lang w:val="en-GB" w:eastAsia="en-US"/>
        </w:rPr>
      </w:pPr>
      <w:r w:rsidRPr="00A00638">
        <w:t xml:space="preserve">The Mann-Kendall test </w:t>
      </w:r>
      <w:r w:rsidR="000423DD">
        <w:t>is</w:t>
      </w:r>
      <w:r w:rsidRPr="00A00638">
        <w:t xml:space="preserve"> used for analyzing the trend in groundwater level time series</w:t>
      </w:r>
      <w:r>
        <w:t>, in combination with the Sen slope</w:t>
      </w:r>
      <w:r w:rsidRPr="00A00638">
        <w:t xml:space="preserve">. </w:t>
      </w:r>
      <w:r>
        <w:t>While the Mann-Kendall test identifies whether there is a decreasing or an increasing tren</w:t>
      </w:r>
      <w:r w:rsidR="002C321E">
        <w:t>d</w:t>
      </w:r>
      <w:r>
        <w:t xml:space="preserve">, the Sen slope identifies a trend line and its slope. </w:t>
      </w:r>
      <w:r w:rsidRPr="00A00638">
        <w:t>Th</w:t>
      </w:r>
      <w:r>
        <w:t>e Mann-Kendall</w:t>
      </w:r>
      <w:r w:rsidRPr="00A00638">
        <w:t xml:space="preserve"> test has been used in many studies and in several national groundwater reporting methodologies. It is deemed more robust than </w:t>
      </w:r>
      <w:r>
        <w:t>a</w:t>
      </w:r>
      <w:r w:rsidRPr="00A00638">
        <w:t xml:space="preserve"> linear regression (which was used in the previous </w:t>
      </w:r>
      <w:r w:rsidR="000423DD">
        <w:t>methodology</w:t>
      </w:r>
      <w:r w:rsidRPr="00A00638">
        <w:t xml:space="preserve">), in the sense that it identifies a </w:t>
      </w:r>
      <w:r w:rsidR="00EA0EE2">
        <w:t xml:space="preserve">rising or a declining </w:t>
      </w:r>
      <w:r w:rsidRPr="00A00638">
        <w:t xml:space="preserve">trend only if it is statistically relevant, whereas the linear regression identifies a trend in any case. Auto-correlation tests </w:t>
      </w:r>
      <w:r w:rsidR="000423DD">
        <w:t>are</w:t>
      </w:r>
      <w:r w:rsidRPr="00A00638">
        <w:t xml:space="preserve"> performed to identify time series with cyclic patterns, in which case the modified Mann-Kendall test </w:t>
      </w:r>
      <w:r w:rsidR="0074707E">
        <w:t>is</w:t>
      </w:r>
      <w:r w:rsidRPr="00A00638">
        <w:t xml:space="preserve"> used instead. </w:t>
      </w:r>
      <w:r>
        <w:t xml:space="preserve">Since we </w:t>
      </w:r>
      <w:r w:rsidR="000423DD">
        <w:t>are</w:t>
      </w:r>
      <w:r>
        <w:t xml:space="preserve"> working with time series of monthly values that contain data gaps, </w:t>
      </w:r>
      <w:r w:rsidRPr="00934626">
        <w:t>the significance level</w:t>
      </w:r>
      <w:r>
        <w:t xml:space="preserve"> of the Mann-Kendall test </w:t>
      </w:r>
      <w:r w:rsidR="000423DD">
        <w:t>is</w:t>
      </w:r>
      <w:r>
        <w:t xml:space="preserve"> reduced</w:t>
      </w:r>
      <w:r w:rsidRPr="00934626">
        <w:t xml:space="preserve"> from 95%</w:t>
      </w:r>
      <w:r>
        <w:t xml:space="preserve"> (standard)</w:t>
      </w:r>
      <w:r w:rsidRPr="00934626">
        <w:t xml:space="preserve"> to 90%</w:t>
      </w:r>
      <w:r>
        <w:t xml:space="preserve">. </w:t>
      </w:r>
      <w:r w:rsidR="00E558AA">
        <w:t>Otherwise,</w:t>
      </w:r>
      <w:r>
        <w:t xml:space="preserve"> the test might fail to recognize some valid trends. </w:t>
      </w:r>
      <w:r>
        <w:rPr>
          <w:lang w:val="en-GB" w:eastAsia="en-US"/>
        </w:rPr>
        <w:t xml:space="preserve">More information on the trend analysis methodology, including the algorithm, can be found </w:t>
      </w:r>
      <w:r w:rsidRPr="00FB415D">
        <w:rPr>
          <w:lang w:val="en-GB" w:eastAsia="en-US"/>
        </w:rPr>
        <w:t>on a public GitHub repository (</w:t>
      </w:r>
      <w:hyperlink r:id="rId19" w:history="1">
        <w:r w:rsidR="00E302ED" w:rsidRPr="00E96DBA">
          <w:rPr>
            <w:rStyle w:val="Hyperlink"/>
          </w:rPr>
          <w:t>https://github.com/UNIGRAC/Global-Reporting-Groundwater-Levels</w:t>
        </w:r>
      </w:hyperlink>
      <w:r w:rsidRPr="00FB415D">
        <w:rPr>
          <w:lang w:val="en-GB" w:eastAsia="en-US"/>
        </w:rPr>
        <w:t>)</w:t>
      </w:r>
      <w:r>
        <w:rPr>
          <w:lang w:val="en-GB" w:eastAsia="en-US"/>
        </w:rPr>
        <w:t xml:space="preserve">. </w:t>
      </w:r>
    </w:p>
    <w:p w14:paraId="55D808BE" w14:textId="77777777" w:rsidR="00E302ED" w:rsidRPr="00B70B27" w:rsidRDefault="00E302ED" w:rsidP="00B70B27">
      <w:pPr>
        <w:rPr>
          <w:lang w:val="en-GB" w:eastAsia="en-US"/>
        </w:rPr>
      </w:pPr>
    </w:p>
    <w:p w14:paraId="3A353FB4" w14:textId="55C226F8" w:rsidR="0084645F" w:rsidRPr="00AB359D" w:rsidRDefault="0074707E" w:rsidP="00127209">
      <w:pPr>
        <w:pStyle w:val="Heading2"/>
        <w:numPr>
          <w:ilvl w:val="0"/>
          <w:numId w:val="0"/>
        </w:numPr>
        <w:ind w:left="360"/>
      </w:pPr>
      <w:r>
        <w:t xml:space="preserve">2.5 </w:t>
      </w:r>
      <w:r w:rsidR="0084645F">
        <w:t>Spatial aggregation</w:t>
      </w:r>
    </w:p>
    <w:p w14:paraId="63C3E30A" w14:textId="30F7FE8A" w:rsidR="0084645F" w:rsidRPr="00FB6C1F" w:rsidRDefault="0084645F" w:rsidP="0084645F">
      <w:pPr>
        <w:rPr>
          <w:lang w:val="en-GB" w:eastAsia="en-US"/>
        </w:rPr>
      </w:pPr>
      <w:r>
        <w:rPr>
          <w:lang w:val="en-GB" w:eastAsia="en-US"/>
        </w:rPr>
        <w:t xml:space="preserve">The results of the trend analysis and the ranking </w:t>
      </w:r>
      <w:r w:rsidR="0074707E">
        <w:rPr>
          <w:lang w:val="en-GB" w:eastAsia="en-US"/>
        </w:rPr>
        <w:t>is</w:t>
      </w:r>
      <w:r>
        <w:rPr>
          <w:lang w:val="en-GB" w:eastAsia="en-US"/>
        </w:rPr>
        <w:t xml:space="preserve"> represented with circle symbols, such as on </w:t>
      </w:r>
      <w:r>
        <w:rPr>
          <w:highlight w:val="yellow"/>
          <w:lang w:val="en-GB" w:eastAsia="en-US"/>
        </w:rPr>
        <w:fldChar w:fldCharType="begin"/>
      </w:r>
      <w:r>
        <w:rPr>
          <w:lang w:val="en-GB" w:eastAsia="en-US"/>
        </w:rPr>
        <w:instrText xml:space="preserve"> REF _Ref152166934 \h </w:instrText>
      </w:r>
      <w:r>
        <w:rPr>
          <w:highlight w:val="yellow"/>
          <w:lang w:val="en-GB" w:eastAsia="en-US"/>
        </w:rPr>
      </w:r>
      <w:r>
        <w:rPr>
          <w:highlight w:val="yellow"/>
          <w:lang w:val="en-GB" w:eastAsia="en-US"/>
        </w:rPr>
        <w:fldChar w:fldCharType="separate"/>
      </w:r>
      <w:r w:rsidR="0022154D">
        <w:t xml:space="preserve">Figure </w:t>
      </w:r>
      <w:r w:rsidR="0022154D">
        <w:rPr>
          <w:noProof/>
        </w:rPr>
        <w:t>4</w:t>
      </w:r>
      <w:r>
        <w:rPr>
          <w:highlight w:val="yellow"/>
          <w:lang w:val="en-GB" w:eastAsia="en-US"/>
        </w:rPr>
        <w:fldChar w:fldCharType="end"/>
      </w:r>
      <w:r>
        <w:rPr>
          <w:lang w:val="en-GB" w:eastAsia="en-US"/>
        </w:rPr>
        <w:t xml:space="preserve">, where the colour of the circles indicates whether there is a rising trend, a declining trend, or no trend, and the size of the circles indicates the magnitude of the trend (the same </w:t>
      </w:r>
      <w:r w:rsidR="0074707E">
        <w:rPr>
          <w:lang w:val="en-GB" w:eastAsia="en-US"/>
        </w:rPr>
        <w:t>is</w:t>
      </w:r>
      <w:r>
        <w:rPr>
          <w:lang w:val="en-GB" w:eastAsia="en-US"/>
        </w:rPr>
        <w:t xml:space="preserve"> done for the ranking</w:t>
      </w:r>
      <w:r w:rsidR="00127209">
        <w:rPr>
          <w:lang w:val="en-GB" w:eastAsia="en-US"/>
        </w:rPr>
        <w:t>).</w:t>
      </w:r>
      <w:r>
        <w:rPr>
          <w:lang w:val="en-GB" w:eastAsia="en-US"/>
        </w:rPr>
        <w:t xml:space="preserve"> The aggregation </w:t>
      </w:r>
      <w:r w:rsidRPr="7665E21F">
        <w:rPr>
          <w:lang w:val="en-GB" w:eastAsia="en-US"/>
        </w:rPr>
        <w:t>can</w:t>
      </w:r>
      <w:r>
        <w:rPr>
          <w:lang w:val="en-GB" w:eastAsia="en-US"/>
        </w:rPr>
        <w:t xml:space="preserve"> take the form of a percentage of monitoring stations with a rising trend, a declining trend, or no trend (or above normal ranks, normal ranks, below normal ranks), which </w:t>
      </w:r>
      <w:r w:rsidRPr="7665E21F">
        <w:rPr>
          <w:lang w:val="en-GB" w:eastAsia="en-US"/>
        </w:rPr>
        <w:t>can</w:t>
      </w:r>
      <w:r>
        <w:rPr>
          <w:lang w:val="en-GB" w:eastAsia="en-US"/>
        </w:rPr>
        <w:t xml:space="preserve"> be symbolized on a map with a mix of three colours. Such aggregation </w:t>
      </w:r>
      <w:r w:rsidR="0074707E">
        <w:rPr>
          <w:lang w:val="en-GB" w:eastAsia="en-US"/>
        </w:rPr>
        <w:t xml:space="preserve">can </w:t>
      </w:r>
      <w:r>
        <w:rPr>
          <w:lang w:val="en-GB" w:eastAsia="en-US"/>
        </w:rPr>
        <w:t xml:space="preserve">be done over aquifer units, if such information is available and can be included in the report. The results </w:t>
      </w:r>
      <w:r w:rsidRPr="7665E21F">
        <w:rPr>
          <w:lang w:val="en-GB" w:eastAsia="en-US"/>
        </w:rPr>
        <w:t>can</w:t>
      </w:r>
      <w:r>
        <w:rPr>
          <w:lang w:val="en-GB" w:eastAsia="en-US"/>
        </w:rPr>
        <w:t xml:space="preserve"> also be aggregated over grid cells, for the sake of representing the results on a global map. </w:t>
      </w:r>
    </w:p>
    <w:p w14:paraId="6CE9D7D0" w14:textId="77777777" w:rsidR="0084645F" w:rsidRDefault="0084645F" w:rsidP="0084645F">
      <w:pPr>
        <w:rPr>
          <w:lang w:val="en-GB" w:eastAsia="en-US"/>
        </w:rPr>
      </w:pPr>
    </w:p>
    <w:p w14:paraId="620936F4" w14:textId="35D83102" w:rsidR="0084645F" w:rsidRDefault="00CA5CAF" w:rsidP="0084645F">
      <w:r w:rsidRPr="00CA5CAF">
        <w:rPr>
          <w:noProof/>
        </w:rPr>
        <w:lastRenderedPageBreak/>
        <w:drawing>
          <wp:inline distT="0" distB="0" distL="0" distR="0" wp14:anchorId="41DCDC0A" wp14:editId="71FD44F4">
            <wp:extent cx="5943600" cy="4017010"/>
            <wp:effectExtent l="0" t="0" r="0" b="2540"/>
            <wp:docPr id="1678166092" name="Picture 1" descr="A map of a field with red and blue sp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66092" name="Picture 1" descr="A map of a field with red and blue spots&#10;&#10;Description automatically generated"/>
                    <pic:cNvPicPr/>
                  </pic:nvPicPr>
                  <pic:blipFill>
                    <a:blip r:embed="rId20"/>
                    <a:stretch>
                      <a:fillRect/>
                    </a:stretch>
                  </pic:blipFill>
                  <pic:spPr>
                    <a:xfrm>
                      <a:off x="0" y="0"/>
                      <a:ext cx="5943600" cy="4017010"/>
                    </a:xfrm>
                    <a:prstGeom prst="rect">
                      <a:avLst/>
                    </a:prstGeom>
                  </pic:spPr>
                </pic:pic>
              </a:graphicData>
            </a:graphic>
          </wp:inline>
        </w:drawing>
      </w:r>
    </w:p>
    <w:p w14:paraId="168E1A2A" w14:textId="1CE85BB9" w:rsidR="0084645F" w:rsidRPr="004E036C" w:rsidRDefault="0084645F" w:rsidP="0084645F">
      <w:pPr>
        <w:pStyle w:val="Caption"/>
      </w:pPr>
      <w:bookmarkStart w:id="7" w:name="_Ref152166934"/>
      <w:r>
        <w:t xml:space="preserve">Figure </w:t>
      </w:r>
      <w:r>
        <w:fldChar w:fldCharType="begin"/>
      </w:r>
      <w:r>
        <w:instrText xml:space="preserve"> SEQ Figure \* ARABIC </w:instrText>
      </w:r>
      <w:r>
        <w:fldChar w:fldCharType="separate"/>
      </w:r>
      <w:r w:rsidR="0022154D">
        <w:rPr>
          <w:noProof/>
        </w:rPr>
        <w:t>4</w:t>
      </w:r>
      <w:r>
        <w:fldChar w:fldCharType="end"/>
      </w:r>
      <w:bookmarkEnd w:id="7"/>
      <w:r>
        <w:t xml:space="preserve"> </w:t>
      </w:r>
      <w:r w:rsidR="0040548E">
        <w:t xml:space="preserve">Ranking of 2020’s groundwater levels in the Ogallala aquifer (USA). Aggregated results </w:t>
      </w:r>
      <w:r w:rsidR="0074707E">
        <w:t xml:space="preserve">can </w:t>
      </w:r>
      <w:r w:rsidR="0040548E">
        <w:t>be expressed as a percentage of wells in each ranking category.</w:t>
      </w:r>
    </w:p>
    <w:p w14:paraId="29630255" w14:textId="77777777" w:rsidR="00D65F15" w:rsidRPr="00D65F15" w:rsidRDefault="00D65F15" w:rsidP="0022154D">
      <w:pPr>
        <w:rPr>
          <w:lang w:val="en-GB" w:eastAsia="en-US"/>
        </w:rPr>
      </w:pPr>
    </w:p>
    <w:sectPr w:rsidR="00D65F15" w:rsidRPr="00D65F15" w:rsidSect="00B70B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13278E" w14:textId="77777777" w:rsidR="00692FBE" w:rsidRDefault="00692FBE" w:rsidP="00A00638">
      <w:r>
        <w:separator/>
      </w:r>
    </w:p>
  </w:endnote>
  <w:endnote w:type="continuationSeparator" w:id="0">
    <w:p w14:paraId="0557F921" w14:textId="77777777" w:rsidR="00692FBE" w:rsidRDefault="00692FBE" w:rsidP="00A006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8378112"/>
      <w:docPartObj>
        <w:docPartGallery w:val="Page Numbers (Bottom of Page)"/>
        <w:docPartUnique/>
      </w:docPartObj>
    </w:sdtPr>
    <w:sdtEndPr>
      <w:rPr>
        <w:noProof/>
      </w:rPr>
    </w:sdtEndPr>
    <w:sdtContent>
      <w:p w14:paraId="3E635631" w14:textId="0DA24ABB" w:rsidR="00B70B27" w:rsidRDefault="00B70B27" w:rsidP="00B70B27">
        <w:pPr>
          <w:pStyle w:val="Footer"/>
          <w:jc w:val="cen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7EB13161" w14:textId="77777777" w:rsidR="00B70B27" w:rsidRDefault="00B70B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1A5B0" w14:textId="77777777" w:rsidR="00692FBE" w:rsidRDefault="00692FBE" w:rsidP="00A00638">
      <w:r>
        <w:separator/>
      </w:r>
    </w:p>
  </w:footnote>
  <w:footnote w:type="continuationSeparator" w:id="0">
    <w:p w14:paraId="7E15E5E8" w14:textId="77777777" w:rsidR="00692FBE" w:rsidRDefault="00692FBE" w:rsidP="00A00638">
      <w:r>
        <w:continuationSeparator/>
      </w:r>
    </w:p>
  </w:footnote>
  <w:footnote w:id="1">
    <w:p w14:paraId="06B42854" w14:textId="77777777" w:rsidR="00F619C0" w:rsidRDefault="00F619C0" w:rsidP="00F619C0">
      <w:pPr>
        <w:pStyle w:val="FootnoteText"/>
      </w:pPr>
      <w:r>
        <w:rPr>
          <w:rStyle w:val="FootnoteReference"/>
        </w:rPr>
        <w:footnoteRef/>
      </w:r>
      <w:r>
        <w:t xml:space="preserve"> </w:t>
      </w:r>
      <w:r w:rsidRPr="00573E41">
        <w:t>FAO (2016) Global Diagnostic on Groundwater Governance. FAO, Rome. Available from: http://www.fao.org/3/a-i5706e.pdf</w:t>
      </w:r>
    </w:p>
  </w:footnote>
  <w:footnote w:id="2">
    <w:p w14:paraId="6CAE35A1" w14:textId="77777777" w:rsidR="00F40C61" w:rsidRDefault="00F40C61" w:rsidP="00F40C61">
      <w:pPr>
        <w:pStyle w:val="FootnoteText"/>
      </w:pPr>
      <w:r>
        <w:rPr>
          <w:rStyle w:val="FootnoteReference"/>
        </w:rPr>
        <w:footnoteRef/>
      </w:r>
      <w:r>
        <w:t xml:space="preserve"> </w:t>
      </w:r>
      <w:r w:rsidRPr="007A70F0">
        <w:t>IGRAC (2020) Groundwater monitoring programmes: A global overview of quantitative groundwater monitoring networks. Available from: https://www.un-igrac.org/resource/national-groundwater-monitoring-programmes-global-overview-quantitative-groundwater</w:t>
      </w:r>
    </w:p>
  </w:footnote>
  <w:footnote w:id="3">
    <w:p w14:paraId="0A7E7EEF" w14:textId="12B69342" w:rsidR="00B91132" w:rsidRDefault="00B91132" w:rsidP="00A00638">
      <w:pPr>
        <w:pStyle w:val="FootnoteText"/>
      </w:pPr>
      <w:r>
        <w:rPr>
          <w:rStyle w:val="FootnoteReference"/>
        </w:rPr>
        <w:footnoteRef/>
      </w:r>
      <w:r>
        <w:t xml:space="preserve"> </w:t>
      </w:r>
      <w:r w:rsidR="00AB359D" w:rsidRPr="00AB359D">
        <w:t>https://wmo.int/publication-series/state-of-global-water-resources</w:t>
      </w:r>
    </w:p>
  </w:footnote>
  <w:footnote w:id="4">
    <w:p w14:paraId="144A076D" w14:textId="13CA5D74" w:rsidR="00EE2F41" w:rsidRDefault="00EE2F41" w:rsidP="00A00638">
      <w:pPr>
        <w:pStyle w:val="FootnoteText"/>
      </w:pPr>
      <w:r>
        <w:rPr>
          <w:rStyle w:val="FootnoteReference"/>
        </w:rPr>
        <w:footnoteRef/>
      </w:r>
      <w:r>
        <w:t xml:space="preserve"> </w:t>
      </w:r>
      <w:r w:rsidR="00165B27" w:rsidRPr="00165B27">
        <w:t>https://github.com/UNIGRAC/Global-Reporting-Groundwater-Levels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A4844" w14:textId="08A182AB" w:rsidR="007D5D0B" w:rsidRDefault="00764DD7" w:rsidP="00A00638">
    <w:pPr>
      <w:pStyle w:val="Header"/>
    </w:pPr>
    <w:r w:rsidRPr="00F253B8">
      <w:rPr>
        <w:noProof/>
      </w:rPr>
      <w:drawing>
        <wp:anchor distT="0" distB="0" distL="114300" distR="114300" simplePos="0" relativeHeight="251660288" behindDoc="0" locked="0" layoutInCell="1" allowOverlap="1" wp14:anchorId="0C24268E" wp14:editId="61E7BE58">
          <wp:simplePos x="0" y="0"/>
          <wp:positionH relativeFrom="column">
            <wp:posOffset>4676140</wp:posOffset>
          </wp:positionH>
          <wp:positionV relativeFrom="paragraph">
            <wp:posOffset>-66675</wp:posOffset>
          </wp:positionV>
          <wp:extent cx="1284605" cy="404495"/>
          <wp:effectExtent l="0" t="0" r="0" b="0"/>
          <wp:wrapSquare wrapText="bothSides"/>
          <wp:docPr id="1859391631" name="Picture 1859391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84605" cy="404495"/>
                  </a:xfrm>
                  <a:prstGeom prst="rect">
                    <a:avLst/>
                  </a:prstGeom>
                </pic:spPr>
              </pic:pic>
            </a:graphicData>
          </a:graphic>
          <wp14:sizeRelH relativeFrom="page">
            <wp14:pctWidth>0</wp14:pctWidth>
          </wp14:sizeRelH>
          <wp14:sizeRelV relativeFrom="page">
            <wp14:pctHeight>0</wp14:pctHeight>
          </wp14:sizeRelV>
        </wp:anchor>
      </w:drawing>
    </w:r>
    <w:r w:rsidR="001C3BFD">
      <w:rPr>
        <w:noProof/>
      </w:rPr>
      <w:t>State of Global Water Resources</w:t>
    </w:r>
    <w:r w:rsidR="007D5D0B" w:rsidRPr="007D5D0B">
      <w:t xml:space="preserve"> </w:t>
    </w:r>
  </w:p>
  <w:p w14:paraId="70EFD1F0" w14:textId="73C64C03" w:rsidR="007D5D0B" w:rsidRPr="007D5D0B" w:rsidRDefault="00706D1E" w:rsidP="00A00638">
    <w:pPr>
      <w:pStyle w:val="Header"/>
    </w:pPr>
    <w:r>
      <w:t xml:space="preserve">Updated methodology for </w:t>
    </w:r>
    <w:r w:rsidR="001C3BFD">
      <w:t>reporting on groundwater levels</w:t>
    </w:r>
  </w:p>
  <w:p w14:paraId="04FE8BA7" w14:textId="34402B35" w:rsidR="00B70B27" w:rsidRDefault="00B70B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660D"/>
    <w:multiLevelType w:val="hybridMultilevel"/>
    <w:tmpl w:val="6254AA4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261B47"/>
    <w:multiLevelType w:val="hybridMultilevel"/>
    <w:tmpl w:val="1F9ABDF0"/>
    <w:lvl w:ilvl="0" w:tplc="FFFFFFFF">
      <w:start w:val="1"/>
      <w:numFmt w:val="bullet"/>
      <w:lvlText w:val="o"/>
      <w:lvlJc w:val="left"/>
      <w:pPr>
        <w:ind w:left="1440" w:hanging="360"/>
      </w:pPr>
      <w:rPr>
        <w:rFonts w:ascii="Courier New" w:hAnsi="Courier New" w:cs="Courier New" w:hint="default"/>
      </w:rPr>
    </w:lvl>
    <w:lvl w:ilvl="1" w:tplc="20000005">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0B19D263"/>
    <w:multiLevelType w:val="hybridMultilevel"/>
    <w:tmpl w:val="C666B806"/>
    <w:lvl w:ilvl="0" w:tplc="50B244EA">
      <w:start w:val="1"/>
      <w:numFmt w:val="decimal"/>
      <w:lvlText w:val="%1."/>
      <w:lvlJc w:val="left"/>
      <w:pPr>
        <w:ind w:left="720" w:hanging="360"/>
      </w:pPr>
    </w:lvl>
    <w:lvl w:ilvl="1" w:tplc="154A2264">
      <w:start w:val="1"/>
      <w:numFmt w:val="lowerLetter"/>
      <w:lvlText w:val="%2."/>
      <w:lvlJc w:val="left"/>
      <w:pPr>
        <w:ind w:left="1440" w:hanging="360"/>
      </w:pPr>
    </w:lvl>
    <w:lvl w:ilvl="2" w:tplc="C5DAEC9C">
      <w:start w:val="1"/>
      <w:numFmt w:val="lowerRoman"/>
      <w:lvlText w:val="%3."/>
      <w:lvlJc w:val="right"/>
      <w:pPr>
        <w:ind w:left="2160" w:hanging="180"/>
      </w:pPr>
    </w:lvl>
    <w:lvl w:ilvl="3" w:tplc="D2F0EDF6">
      <w:start w:val="1"/>
      <w:numFmt w:val="decimal"/>
      <w:lvlText w:val="%4."/>
      <w:lvlJc w:val="left"/>
      <w:pPr>
        <w:ind w:left="2880" w:hanging="360"/>
      </w:pPr>
    </w:lvl>
    <w:lvl w:ilvl="4" w:tplc="A8684392">
      <w:start w:val="1"/>
      <w:numFmt w:val="lowerLetter"/>
      <w:lvlText w:val="%5."/>
      <w:lvlJc w:val="left"/>
      <w:pPr>
        <w:ind w:left="3600" w:hanging="360"/>
      </w:pPr>
    </w:lvl>
    <w:lvl w:ilvl="5" w:tplc="BDA27254">
      <w:start w:val="1"/>
      <w:numFmt w:val="lowerRoman"/>
      <w:lvlText w:val="%6."/>
      <w:lvlJc w:val="right"/>
      <w:pPr>
        <w:ind w:left="4320" w:hanging="180"/>
      </w:pPr>
    </w:lvl>
    <w:lvl w:ilvl="6" w:tplc="5E4E63E0">
      <w:start w:val="1"/>
      <w:numFmt w:val="decimal"/>
      <w:lvlText w:val="%7."/>
      <w:lvlJc w:val="left"/>
      <w:pPr>
        <w:ind w:left="5040" w:hanging="360"/>
      </w:pPr>
    </w:lvl>
    <w:lvl w:ilvl="7" w:tplc="087CBB76">
      <w:start w:val="1"/>
      <w:numFmt w:val="lowerLetter"/>
      <w:lvlText w:val="%8."/>
      <w:lvlJc w:val="left"/>
      <w:pPr>
        <w:ind w:left="5760" w:hanging="360"/>
      </w:pPr>
    </w:lvl>
    <w:lvl w:ilvl="8" w:tplc="2FD08E92">
      <w:start w:val="1"/>
      <w:numFmt w:val="lowerRoman"/>
      <w:lvlText w:val="%9."/>
      <w:lvlJc w:val="right"/>
      <w:pPr>
        <w:ind w:left="6480" w:hanging="180"/>
      </w:pPr>
    </w:lvl>
  </w:abstractNum>
  <w:abstractNum w:abstractNumId="3" w15:restartNumberingAfterBreak="0">
    <w:nsid w:val="0F544C3B"/>
    <w:multiLevelType w:val="hybridMultilevel"/>
    <w:tmpl w:val="7ADE35C8"/>
    <w:lvl w:ilvl="0" w:tplc="83E20B68">
      <w:start w:val="1"/>
      <w:numFmt w:val="decimal"/>
      <w:lvlText w:val="%1."/>
      <w:lvlJc w:val="left"/>
      <w:pPr>
        <w:ind w:left="1020" w:hanging="360"/>
      </w:pPr>
    </w:lvl>
    <w:lvl w:ilvl="1" w:tplc="071631B4">
      <w:start w:val="1"/>
      <w:numFmt w:val="decimal"/>
      <w:lvlText w:val="%2."/>
      <w:lvlJc w:val="left"/>
      <w:pPr>
        <w:ind w:left="1020" w:hanging="360"/>
      </w:pPr>
    </w:lvl>
    <w:lvl w:ilvl="2" w:tplc="245659A4">
      <w:start w:val="1"/>
      <w:numFmt w:val="decimal"/>
      <w:lvlText w:val="%3."/>
      <w:lvlJc w:val="left"/>
      <w:pPr>
        <w:ind w:left="1020" w:hanging="360"/>
      </w:pPr>
    </w:lvl>
    <w:lvl w:ilvl="3" w:tplc="6E7AC4EA">
      <w:start w:val="1"/>
      <w:numFmt w:val="decimal"/>
      <w:lvlText w:val="%4."/>
      <w:lvlJc w:val="left"/>
      <w:pPr>
        <w:ind w:left="1020" w:hanging="360"/>
      </w:pPr>
    </w:lvl>
    <w:lvl w:ilvl="4" w:tplc="D9ECAFD0">
      <w:start w:val="1"/>
      <w:numFmt w:val="decimal"/>
      <w:lvlText w:val="%5."/>
      <w:lvlJc w:val="left"/>
      <w:pPr>
        <w:ind w:left="1020" w:hanging="360"/>
      </w:pPr>
    </w:lvl>
    <w:lvl w:ilvl="5" w:tplc="34E0DB88">
      <w:start w:val="1"/>
      <w:numFmt w:val="decimal"/>
      <w:lvlText w:val="%6."/>
      <w:lvlJc w:val="left"/>
      <w:pPr>
        <w:ind w:left="1020" w:hanging="360"/>
      </w:pPr>
    </w:lvl>
    <w:lvl w:ilvl="6" w:tplc="9F6EBBAC">
      <w:start w:val="1"/>
      <w:numFmt w:val="decimal"/>
      <w:lvlText w:val="%7."/>
      <w:lvlJc w:val="left"/>
      <w:pPr>
        <w:ind w:left="1020" w:hanging="360"/>
      </w:pPr>
    </w:lvl>
    <w:lvl w:ilvl="7" w:tplc="2A6E395E">
      <w:start w:val="1"/>
      <w:numFmt w:val="decimal"/>
      <w:lvlText w:val="%8."/>
      <w:lvlJc w:val="left"/>
      <w:pPr>
        <w:ind w:left="1020" w:hanging="360"/>
      </w:pPr>
    </w:lvl>
    <w:lvl w:ilvl="8" w:tplc="4FB072C2">
      <w:start w:val="1"/>
      <w:numFmt w:val="decimal"/>
      <w:lvlText w:val="%9."/>
      <w:lvlJc w:val="left"/>
      <w:pPr>
        <w:ind w:left="1020" w:hanging="360"/>
      </w:pPr>
    </w:lvl>
  </w:abstractNum>
  <w:abstractNum w:abstractNumId="4" w15:restartNumberingAfterBreak="0">
    <w:nsid w:val="10B64EC0"/>
    <w:multiLevelType w:val="hybridMultilevel"/>
    <w:tmpl w:val="CAD04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DDC7AF"/>
    <w:multiLevelType w:val="hybridMultilevel"/>
    <w:tmpl w:val="3310375A"/>
    <w:lvl w:ilvl="0" w:tplc="093EE09E">
      <w:start w:val="1"/>
      <w:numFmt w:val="bullet"/>
      <w:lvlText w:val="-"/>
      <w:lvlJc w:val="left"/>
      <w:pPr>
        <w:ind w:left="720" w:hanging="360"/>
      </w:pPr>
      <w:rPr>
        <w:rFonts w:ascii="Calibri" w:hAnsi="Calibri" w:hint="default"/>
      </w:rPr>
    </w:lvl>
    <w:lvl w:ilvl="1" w:tplc="D1D675D4">
      <w:start w:val="1"/>
      <w:numFmt w:val="bullet"/>
      <w:lvlText w:val="o"/>
      <w:lvlJc w:val="left"/>
      <w:pPr>
        <w:ind w:left="1440" w:hanging="360"/>
      </w:pPr>
      <w:rPr>
        <w:rFonts w:ascii="Courier New" w:hAnsi="Courier New" w:hint="default"/>
      </w:rPr>
    </w:lvl>
    <w:lvl w:ilvl="2" w:tplc="AB78AE2C">
      <w:start w:val="1"/>
      <w:numFmt w:val="bullet"/>
      <w:lvlText w:val=""/>
      <w:lvlJc w:val="left"/>
      <w:pPr>
        <w:ind w:left="2160" w:hanging="360"/>
      </w:pPr>
      <w:rPr>
        <w:rFonts w:ascii="Wingdings" w:hAnsi="Wingdings" w:hint="default"/>
      </w:rPr>
    </w:lvl>
    <w:lvl w:ilvl="3" w:tplc="6DC0DDDE">
      <w:start w:val="1"/>
      <w:numFmt w:val="bullet"/>
      <w:lvlText w:val=""/>
      <w:lvlJc w:val="left"/>
      <w:pPr>
        <w:ind w:left="2880" w:hanging="360"/>
      </w:pPr>
      <w:rPr>
        <w:rFonts w:ascii="Symbol" w:hAnsi="Symbol" w:hint="default"/>
      </w:rPr>
    </w:lvl>
    <w:lvl w:ilvl="4" w:tplc="4AAAB282">
      <w:start w:val="1"/>
      <w:numFmt w:val="bullet"/>
      <w:lvlText w:val="o"/>
      <w:lvlJc w:val="left"/>
      <w:pPr>
        <w:ind w:left="3600" w:hanging="360"/>
      </w:pPr>
      <w:rPr>
        <w:rFonts w:ascii="Courier New" w:hAnsi="Courier New" w:hint="default"/>
      </w:rPr>
    </w:lvl>
    <w:lvl w:ilvl="5" w:tplc="BE5A01BE">
      <w:start w:val="1"/>
      <w:numFmt w:val="bullet"/>
      <w:lvlText w:val=""/>
      <w:lvlJc w:val="left"/>
      <w:pPr>
        <w:ind w:left="4320" w:hanging="360"/>
      </w:pPr>
      <w:rPr>
        <w:rFonts w:ascii="Wingdings" w:hAnsi="Wingdings" w:hint="default"/>
      </w:rPr>
    </w:lvl>
    <w:lvl w:ilvl="6" w:tplc="144648F2">
      <w:start w:val="1"/>
      <w:numFmt w:val="bullet"/>
      <w:lvlText w:val=""/>
      <w:lvlJc w:val="left"/>
      <w:pPr>
        <w:ind w:left="5040" w:hanging="360"/>
      </w:pPr>
      <w:rPr>
        <w:rFonts w:ascii="Symbol" w:hAnsi="Symbol" w:hint="default"/>
      </w:rPr>
    </w:lvl>
    <w:lvl w:ilvl="7" w:tplc="C40466F4">
      <w:start w:val="1"/>
      <w:numFmt w:val="bullet"/>
      <w:lvlText w:val="o"/>
      <w:lvlJc w:val="left"/>
      <w:pPr>
        <w:ind w:left="5760" w:hanging="360"/>
      </w:pPr>
      <w:rPr>
        <w:rFonts w:ascii="Courier New" w:hAnsi="Courier New" w:hint="default"/>
      </w:rPr>
    </w:lvl>
    <w:lvl w:ilvl="8" w:tplc="10CA5D9C">
      <w:start w:val="1"/>
      <w:numFmt w:val="bullet"/>
      <w:lvlText w:val=""/>
      <w:lvlJc w:val="left"/>
      <w:pPr>
        <w:ind w:left="6480" w:hanging="360"/>
      </w:pPr>
      <w:rPr>
        <w:rFonts w:ascii="Wingdings" w:hAnsi="Wingdings" w:hint="default"/>
      </w:rPr>
    </w:lvl>
  </w:abstractNum>
  <w:abstractNum w:abstractNumId="6" w15:restartNumberingAfterBreak="0">
    <w:nsid w:val="198E234F"/>
    <w:multiLevelType w:val="hybridMultilevel"/>
    <w:tmpl w:val="B0183A1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13616C"/>
    <w:multiLevelType w:val="hybridMultilevel"/>
    <w:tmpl w:val="7CB00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4D3A29"/>
    <w:multiLevelType w:val="multilevel"/>
    <w:tmpl w:val="D02CD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E93A36"/>
    <w:multiLevelType w:val="hybridMultilevel"/>
    <w:tmpl w:val="EBBAE2E0"/>
    <w:lvl w:ilvl="0" w:tplc="2000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EB366B1"/>
    <w:multiLevelType w:val="hybridMultilevel"/>
    <w:tmpl w:val="BAE2E34E"/>
    <w:lvl w:ilvl="0" w:tplc="A7D070CC">
      <w:start w:val="1"/>
      <w:numFmt w:val="decimal"/>
      <w:lvlText w:val="%1."/>
      <w:lvlJc w:val="left"/>
      <w:pPr>
        <w:ind w:left="1020" w:hanging="360"/>
      </w:pPr>
    </w:lvl>
    <w:lvl w:ilvl="1" w:tplc="E278A330">
      <w:start w:val="1"/>
      <w:numFmt w:val="decimal"/>
      <w:lvlText w:val="%2."/>
      <w:lvlJc w:val="left"/>
      <w:pPr>
        <w:ind w:left="1020" w:hanging="360"/>
      </w:pPr>
    </w:lvl>
    <w:lvl w:ilvl="2" w:tplc="EBD01CF8">
      <w:start w:val="1"/>
      <w:numFmt w:val="decimal"/>
      <w:lvlText w:val="%3."/>
      <w:lvlJc w:val="left"/>
      <w:pPr>
        <w:ind w:left="1020" w:hanging="360"/>
      </w:pPr>
    </w:lvl>
    <w:lvl w:ilvl="3" w:tplc="D65ACBB2">
      <w:start w:val="1"/>
      <w:numFmt w:val="decimal"/>
      <w:lvlText w:val="%4."/>
      <w:lvlJc w:val="left"/>
      <w:pPr>
        <w:ind w:left="1020" w:hanging="360"/>
      </w:pPr>
    </w:lvl>
    <w:lvl w:ilvl="4" w:tplc="0EBCB830">
      <w:start w:val="1"/>
      <w:numFmt w:val="decimal"/>
      <w:lvlText w:val="%5."/>
      <w:lvlJc w:val="left"/>
      <w:pPr>
        <w:ind w:left="1020" w:hanging="360"/>
      </w:pPr>
    </w:lvl>
    <w:lvl w:ilvl="5" w:tplc="B23C49C0">
      <w:start w:val="1"/>
      <w:numFmt w:val="decimal"/>
      <w:lvlText w:val="%6."/>
      <w:lvlJc w:val="left"/>
      <w:pPr>
        <w:ind w:left="1020" w:hanging="360"/>
      </w:pPr>
    </w:lvl>
    <w:lvl w:ilvl="6" w:tplc="D530268A">
      <w:start w:val="1"/>
      <w:numFmt w:val="decimal"/>
      <w:lvlText w:val="%7."/>
      <w:lvlJc w:val="left"/>
      <w:pPr>
        <w:ind w:left="1020" w:hanging="360"/>
      </w:pPr>
    </w:lvl>
    <w:lvl w:ilvl="7" w:tplc="CF4AEC0A">
      <w:start w:val="1"/>
      <w:numFmt w:val="decimal"/>
      <w:lvlText w:val="%8."/>
      <w:lvlJc w:val="left"/>
      <w:pPr>
        <w:ind w:left="1020" w:hanging="360"/>
      </w:pPr>
    </w:lvl>
    <w:lvl w:ilvl="8" w:tplc="BB08AC38">
      <w:start w:val="1"/>
      <w:numFmt w:val="decimal"/>
      <w:lvlText w:val="%9."/>
      <w:lvlJc w:val="left"/>
      <w:pPr>
        <w:ind w:left="1020" w:hanging="360"/>
      </w:pPr>
    </w:lvl>
  </w:abstractNum>
  <w:abstractNum w:abstractNumId="11" w15:restartNumberingAfterBreak="0">
    <w:nsid w:val="1EE0242C"/>
    <w:multiLevelType w:val="hybridMultilevel"/>
    <w:tmpl w:val="DC949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DD43BA"/>
    <w:multiLevelType w:val="multilevel"/>
    <w:tmpl w:val="C4E4D95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3E71AF1"/>
    <w:multiLevelType w:val="hybridMultilevel"/>
    <w:tmpl w:val="8DD6DA2A"/>
    <w:lvl w:ilvl="0" w:tplc="FF2E4BF2">
      <w:start w:val="1"/>
      <w:numFmt w:val="decimal"/>
      <w:lvlText w:val="%1."/>
      <w:lvlJc w:val="left"/>
      <w:pPr>
        <w:ind w:left="720" w:hanging="360"/>
      </w:pPr>
    </w:lvl>
    <w:lvl w:ilvl="1" w:tplc="DFD2345E">
      <w:start w:val="1"/>
      <w:numFmt w:val="decimal"/>
      <w:lvlText w:val="%2."/>
      <w:lvlJc w:val="left"/>
      <w:pPr>
        <w:ind w:left="720" w:hanging="360"/>
      </w:pPr>
    </w:lvl>
    <w:lvl w:ilvl="2" w:tplc="884A23F2">
      <w:start w:val="1"/>
      <w:numFmt w:val="decimal"/>
      <w:lvlText w:val="%3."/>
      <w:lvlJc w:val="left"/>
      <w:pPr>
        <w:ind w:left="720" w:hanging="360"/>
      </w:pPr>
    </w:lvl>
    <w:lvl w:ilvl="3" w:tplc="742C5EAE">
      <w:start w:val="1"/>
      <w:numFmt w:val="decimal"/>
      <w:lvlText w:val="%4."/>
      <w:lvlJc w:val="left"/>
      <w:pPr>
        <w:ind w:left="720" w:hanging="360"/>
      </w:pPr>
    </w:lvl>
    <w:lvl w:ilvl="4" w:tplc="D04A4DDC">
      <w:start w:val="1"/>
      <w:numFmt w:val="decimal"/>
      <w:lvlText w:val="%5."/>
      <w:lvlJc w:val="left"/>
      <w:pPr>
        <w:ind w:left="720" w:hanging="360"/>
      </w:pPr>
    </w:lvl>
    <w:lvl w:ilvl="5" w:tplc="63EA9938">
      <w:start w:val="1"/>
      <w:numFmt w:val="decimal"/>
      <w:lvlText w:val="%6."/>
      <w:lvlJc w:val="left"/>
      <w:pPr>
        <w:ind w:left="720" w:hanging="360"/>
      </w:pPr>
    </w:lvl>
    <w:lvl w:ilvl="6" w:tplc="9B48C2AE">
      <w:start w:val="1"/>
      <w:numFmt w:val="decimal"/>
      <w:lvlText w:val="%7."/>
      <w:lvlJc w:val="left"/>
      <w:pPr>
        <w:ind w:left="720" w:hanging="360"/>
      </w:pPr>
    </w:lvl>
    <w:lvl w:ilvl="7" w:tplc="17EE6058">
      <w:start w:val="1"/>
      <w:numFmt w:val="decimal"/>
      <w:lvlText w:val="%8."/>
      <w:lvlJc w:val="left"/>
      <w:pPr>
        <w:ind w:left="720" w:hanging="360"/>
      </w:pPr>
    </w:lvl>
    <w:lvl w:ilvl="8" w:tplc="A846F858">
      <w:start w:val="1"/>
      <w:numFmt w:val="decimal"/>
      <w:lvlText w:val="%9."/>
      <w:lvlJc w:val="left"/>
      <w:pPr>
        <w:ind w:left="720" w:hanging="360"/>
      </w:pPr>
    </w:lvl>
  </w:abstractNum>
  <w:abstractNum w:abstractNumId="14" w15:restartNumberingAfterBreak="0">
    <w:nsid w:val="28AD2EE4"/>
    <w:multiLevelType w:val="hybridMultilevel"/>
    <w:tmpl w:val="BB645AEC"/>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C4A53A9"/>
    <w:multiLevelType w:val="hybridMultilevel"/>
    <w:tmpl w:val="63E49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A90A42"/>
    <w:multiLevelType w:val="hybridMultilevel"/>
    <w:tmpl w:val="9388437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2E302046"/>
    <w:multiLevelType w:val="hybridMultilevel"/>
    <w:tmpl w:val="A0C4F472"/>
    <w:lvl w:ilvl="0" w:tplc="5EE888EE">
      <w:start w:val="1"/>
      <w:numFmt w:val="decimal"/>
      <w:lvlText w:val="%1."/>
      <w:lvlJc w:val="left"/>
      <w:pPr>
        <w:ind w:left="1020" w:hanging="360"/>
      </w:pPr>
    </w:lvl>
    <w:lvl w:ilvl="1" w:tplc="B38EF2E4">
      <w:start w:val="1"/>
      <w:numFmt w:val="decimal"/>
      <w:lvlText w:val="%2."/>
      <w:lvlJc w:val="left"/>
      <w:pPr>
        <w:ind w:left="1020" w:hanging="360"/>
      </w:pPr>
    </w:lvl>
    <w:lvl w:ilvl="2" w:tplc="D166B4E0">
      <w:start w:val="1"/>
      <w:numFmt w:val="decimal"/>
      <w:lvlText w:val="%3."/>
      <w:lvlJc w:val="left"/>
      <w:pPr>
        <w:ind w:left="1020" w:hanging="360"/>
      </w:pPr>
    </w:lvl>
    <w:lvl w:ilvl="3" w:tplc="79C4ED0C">
      <w:start w:val="1"/>
      <w:numFmt w:val="decimal"/>
      <w:lvlText w:val="%4."/>
      <w:lvlJc w:val="left"/>
      <w:pPr>
        <w:ind w:left="1020" w:hanging="360"/>
      </w:pPr>
    </w:lvl>
    <w:lvl w:ilvl="4" w:tplc="A6E2CB6C">
      <w:start w:val="1"/>
      <w:numFmt w:val="decimal"/>
      <w:lvlText w:val="%5."/>
      <w:lvlJc w:val="left"/>
      <w:pPr>
        <w:ind w:left="1020" w:hanging="360"/>
      </w:pPr>
    </w:lvl>
    <w:lvl w:ilvl="5" w:tplc="980EC4EC">
      <w:start w:val="1"/>
      <w:numFmt w:val="decimal"/>
      <w:lvlText w:val="%6."/>
      <w:lvlJc w:val="left"/>
      <w:pPr>
        <w:ind w:left="1020" w:hanging="360"/>
      </w:pPr>
    </w:lvl>
    <w:lvl w:ilvl="6" w:tplc="0D607712">
      <w:start w:val="1"/>
      <w:numFmt w:val="decimal"/>
      <w:lvlText w:val="%7."/>
      <w:lvlJc w:val="left"/>
      <w:pPr>
        <w:ind w:left="1020" w:hanging="360"/>
      </w:pPr>
    </w:lvl>
    <w:lvl w:ilvl="7" w:tplc="4F4C7B1E">
      <w:start w:val="1"/>
      <w:numFmt w:val="decimal"/>
      <w:lvlText w:val="%8."/>
      <w:lvlJc w:val="left"/>
      <w:pPr>
        <w:ind w:left="1020" w:hanging="360"/>
      </w:pPr>
    </w:lvl>
    <w:lvl w:ilvl="8" w:tplc="CA2EFB8A">
      <w:start w:val="1"/>
      <w:numFmt w:val="decimal"/>
      <w:lvlText w:val="%9."/>
      <w:lvlJc w:val="left"/>
      <w:pPr>
        <w:ind w:left="1020" w:hanging="360"/>
      </w:pPr>
    </w:lvl>
  </w:abstractNum>
  <w:abstractNum w:abstractNumId="18" w15:restartNumberingAfterBreak="0">
    <w:nsid w:val="323671DB"/>
    <w:multiLevelType w:val="hybridMultilevel"/>
    <w:tmpl w:val="07C43F80"/>
    <w:lvl w:ilvl="0" w:tplc="2000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4AD0A24"/>
    <w:multiLevelType w:val="hybridMultilevel"/>
    <w:tmpl w:val="709A1D4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55942B2"/>
    <w:multiLevelType w:val="hybridMultilevel"/>
    <w:tmpl w:val="AD8A2956"/>
    <w:lvl w:ilvl="0" w:tplc="0D04D052">
      <w:start w:val="1"/>
      <w:numFmt w:val="bullet"/>
      <w:lvlText w:val="•"/>
      <w:lvlJc w:val="left"/>
      <w:pPr>
        <w:tabs>
          <w:tab w:val="num" w:pos="720"/>
        </w:tabs>
        <w:ind w:left="720" w:hanging="360"/>
      </w:pPr>
      <w:rPr>
        <w:rFonts w:ascii="Arial" w:hAnsi="Arial" w:hint="default"/>
      </w:rPr>
    </w:lvl>
    <w:lvl w:ilvl="1" w:tplc="7F72C3B2" w:tentative="1">
      <w:start w:val="1"/>
      <w:numFmt w:val="bullet"/>
      <w:lvlText w:val="•"/>
      <w:lvlJc w:val="left"/>
      <w:pPr>
        <w:tabs>
          <w:tab w:val="num" w:pos="1440"/>
        </w:tabs>
        <w:ind w:left="1440" w:hanging="360"/>
      </w:pPr>
      <w:rPr>
        <w:rFonts w:ascii="Arial" w:hAnsi="Arial" w:hint="default"/>
      </w:rPr>
    </w:lvl>
    <w:lvl w:ilvl="2" w:tplc="F9C80ED6" w:tentative="1">
      <w:start w:val="1"/>
      <w:numFmt w:val="bullet"/>
      <w:lvlText w:val="•"/>
      <w:lvlJc w:val="left"/>
      <w:pPr>
        <w:tabs>
          <w:tab w:val="num" w:pos="2160"/>
        </w:tabs>
        <w:ind w:left="2160" w:hanging="360"/>
      </w:pPr>
      <w:rPr>
        <w:rFonts w:ascii="Arial" w:hAnsi="Arial" w:hint="default"/>
      </w:rPr>
    </w:lvl>
    <w:lvl w:ilvl="3" w:tplc="992CC5CA" w:tentative="1">
      <w:start w:val="1"/>
      <w:numFmt w:val="bullet"/>
      <w:lvlText w:val="•"/>
      <w:lvlJc w:val="left"/>
      <w:pPr>
        <w:tabs>
          <w:tab w:val="num" w:pos="2880"/>
        </w:tabs>
        <w:ind w:left="2880" w:hanging="360"/>
      </w:pPr>
      <w:rPr>
        <w:rFonts w:ascii="Arial" w:hAnsi="Arial" w:hint="default"/>
      </w:rPr>
    </w:lvl>
    <w:lvl w:ilvl="4" w:tplc="6750E88E" w:tentative="1">
      <w:start w:val="1"/>
      <w:numFmt w:val="bullet"/>
      <w:lvlText w:val="•"/>
      <w:lvlJc w:val="left"/>
      <w:pPr>
        <w:tabs>
          <w:tab w:val="num" w:pos="3600"/>
        </w:tabs>
        <w:ind w:left="3600" w:hanging="360"/>
      </w:pPr>
      <w:rPr>
        <w:rFonts w:ascii="Arial" w:hAnsi="Arial" w:hint="default"/>
      </w:rPr>
    </w:lvl>
    <w:lvl w:ilvl="5" w:tplc="26F28AF4" w:tentative="1">
      <w:start w:val="1"/>
      <w:numFmt w:val="bullet"/>
      <w:lvlText w:val="•"/>
      <w:lvlJc w:val="left"/>
      <w:pPr>
        <w:tabs>
          <w:tab w:val="num" w:pos="4320"/>
        </w:tabs>
        <w:ind w:left="4320" w:hanging="360"/>
      </w:pPr>
      <w:rPr>
        <w:rFonts w:ascii="Arial" w:hAnsi="Arial" w:hint="default"/>
      </w:rPr>
    </w:lvl>
    <w:lvl w:ilvl="6" w:tplc="1DCCA4F0" w:tentative="1">
      <w:start w:val="1"/>
      <w:numFmt w:val="bullet"/>
      <w:lvlText w:val="•"/>
      <w:lvlJc w:val="left"/>
      <w:pPr>
        <w:tabs>
          <w:tab w:val="num" w:pos="5040"/>
        </w:tabs>
        <w:ind w:left="5040" w:hanging="360"/>
      </w:pPr>
      <w:rPr>
        <w:rFonts w:ascii="Arial" w:hAnsi="Arial" w:hint="default"/>
      </w:rPr>
    </w:lvl>
    <w:lvl w:ilvl="7" w:tplc="17383D66" w:tentative="1">
      <w:start w:val="1"/>
      <w:numFmt w:val="bullet"/>
      <w:lvlText w:val="•"/>
      <w:lvlJc w:val="left"/>
      <w:pPr>
        <w:tabs>
          <w:tab w:val="num" w:pos="5760"/>
        </w:tabs>
        <w:ind w:left="5760" w:hanging="360"/>
      </w:pPr>
      <w:rPr>
        <w:rFonts w:ascii="Arial" w:hAnsi="Arial" w:hint="default"/>
      </w:rPr>
    </w:lvl>
    <w:lvl w:ilvl="8" w:tplc="002038B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6BC0281"/>
    <w:multiLevelType w:val="hybridMultilevel"/>
    <w:tmpl w:val="6B5E9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936DE6"/>
    <w:multiLevelType w:val="hybridMultilevel"/>
    <w:tmpl w:val="AFE21E08"/>
    <w:lvl w:ilvl="0" w:tplc="9D22C7F4">
      <w:start w:val="1"/>
      <w:numFmt w:val="bullet"/>
      <w:lvlText w:val="•"/>
      <w:lvlJc w:val="left"/>
      <w:pPr>
        <w:tabs>
          <w:tab w:val="num" w:pos="720"/>
        </w:tabs>
        <w:ind w:left="720" w:hanging="360"/>
      </w:pPr>
      <w:rPr>
        <w:rFonts w:ascii="Arial" w:hAnsi="Arial" w:hint="default"/>
      </w:rPr>
    </w:lvl>
    <w:lvl w:ilvl="1" w:tplc="984AD1F8" w:tentative="1">
      <w:start w:val="1"/>
      <w:numFmt w:val="bullet"/>
      <w:lvlText w:val="•"/>
      <w:lvlJc w:val="left"/>
      <w:pPr>
        <w:tabs>
          <w:tab w:val="num" w:pos="1440"/>
        </w:tabs>
        <w:ind w:left="1440" w:hanging="360"/>
      </w:pPr>
      <w:rPr>
        <w:rFonts w:ascii="Arial" w:hAnsi="Arial" w:hint="default"/>
      </w:rPr>
    </w:lvl>
    <w:lvl w:ilvl="2" w:tplc="A68A8A14" w:tentative="1">
      <w:start w:val="1"/>
      <w:numFmt w:val="bullet"/>
      <w:lvlText w:val="•"/>
      <w:lvlJc w:val="left"/>
      <w:pPr>
        <w:tabs>
          <w:tab w:val="num" w:pos="2160"/>
        </w:tabs>
        <w:ind w:left="2160" w:hanging="360"/>
      </w:pPr>
      <w:rPr>
        <w:rFonts w:ascii="Arial" w:hAnsi="Arial" w:hint="default"/>
      </w:rPr>
    </w:lvl>
    <w:lvl w:ilvl="3" w:tplc="B9801194" w:tentative="1">
      <w:start w:val="1"/>
      <w:numFmt w:val="bullet"/>
      <w:lvlText w:val="•"/>
      <w:lvlJc w:val="left"/>
      <w:pPr>
        <w:tabs>
          <w:tab w:val="num" w:pos="2880"/>
        </w:tabs>
        <w:ind w:left="2880" w:hanging="360"/>
      </w:pPr>
      <w:rPr>
        <w:rFonts w:ascii="Arial" w:hAnsi="Arial" w:hint="default"/>
      </w:rPr>
    </w:lvl>
    <w:lvl w:ilvl="4" w:tplc="BBF42B62" w:tentative="1">
      <w:start w:val="1"/>
      <w:numFmt w:val="bullet"/>
      <w:lvlText w:val="•"/>
      <w:lvlJc w:val="left"/>
      <w:pPr>
        <w:tabs>
          <w:tab w:val="num" w:pos="3600"/>
        </w:tabs>
        <w:ind w:left="3600" w:hanging="360"/>
      </w:pPr>
      <w:rPr>
        <w:rFonts w:ascii="Arial" w:hAnsi="Arial" w:hint="default"/>
      </w:rPr>
    </w:lvl>
    <w:lvl w:ilvl="5" w:tplc="BC7EB5FC" w:tentative="1">
      <w:start w:val="1"/>
      <w:numFmt w:val="bullet"/>
      <w:lvlText w:val="•"/>
      <w:lvlJc w:val="left"/>
      <w:pPr>
        <w:tabs>
          <w:tab w:val="num" w:pos="4320"/>
        </w:tabs>
        <w:ind w:left="4320" w:hanging="360"/>
      </w:pPr>
      <w:rPr>
        <w:rFonts w:ascii="Arial" w:hAnsi="Arial" w:hint="default"/>
      </w:rPr>
    </w:lvl>
    <w:lvl w:ilvl="6" w:tplc="F8A45554" w:tentative="1">
      <w:start w:val="1"/>
      <w:numFmt w:val="bullet"/>
      <w:lvlText w:val="•"/>
      <w:lvlJc w:val="left"/>
      <w:pPr>
        <w:tabs>
          <w:tab w:val="num" w:pos="5040"/>
        </w:tabs>
        <w:ind w:left="5040" w:hanging="360"/>
      </w:pPr>
      <w:rPr>
        <w:rFonts w:ascii="Arial" w:hAnsi="Arial" w:hint="default"/>
      </w:rPr>
    </w:lvl>
    <w:lvl w:ilvl="7" w:tplc="C97E82B4" w:tentative="1">
      <w:start w:val="1"/>
      <w:numFmt w:val="bullet"/>
      <w:lvlText w:val="•"/>
      <w:lvlJc w:val="left"/>
      <w:pPr>
        <w:tabs>
          <w:tab w:val="num" w:pos="5760"/>
        </w:tabs>
        <w:ind w:left="5760" w:hanging="360"/>
      </w:pPr>
      <w:rPr>
        <w:rFonts w:ascii="Arial" w:hAnsi="Arial" w:hint="default"/>
      </w:rPr>
    </w:lvl>
    <w:lvl w:ilvl="8" w:tplc="A0CAF17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F770124"/>
    <w:multiLevelType w:val="hybridMultilevel"/>
    <w:tmpl w:val="F0CE9772"/>
    <w:lvl w:ilvl="0" w:tplc="2000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427A0AC9"/>
    <w:multiLevelType w:val="hybridMultilevel"/>
    <w:tmpl w:val="D2D6D256"/>
    <w:lvl w:ilvl="0" w:tplc="2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4E0D58"/>
    <w:multiLevelType w:val="hybridMultilevel"/>
    <w:tmpl w:val="63E49E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D57541C"/>
    <w:multiLevelType w:val="hybridMultilevel"/>
    <w:tmpl w:val="DFFC6E16"/>
    <w:lvl w:ilvl="0" w:tplc="200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A8371D"/>
    <w:multiLevelType w:val="hybridMultilevel"/>
    <w:tmpl w:val="34726D28"/>
    <w:lvl w:ilvl="0" w:tplc="2000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24864A0"/>
    <w:multiLevelType w:val="multilevel"/>
    <w:tmpl w:val="10ACF15A"/>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26D63E0"/>
    <w:multiLevelType w:val="hybridMultilevel"/>
    <w:tmpl w:val="C3C87A96"/>
    <w:lvl w:ilvl="0" w:tplc="3022F292">
      <w:start w:val="1"/>
      <w:numFmt w:val="decimal"/>
      <w:lvlText w:val="%1."/>
      <w:lvlJc w:val="left"/>
      <w:pPr>
        <w:tabs>
          <w:tab w:val="num" w:pos="1080"/>
        </w:tabs>
        <w:ind w:left="1080" w:hanging="360"/>
      </w:pPr>
    </w:lvl>
    <w:lvl w:ilvl="1" w:tplc="69C29570">
      <w:start w:val="1"/>
      <w:numFmt w:val="decimal"/>
      <w:lvlText w:val="%2."/>
      <w:lvlJc w:val="left"/>
      <w:pPr>
        <w:tabs>
          <w:tab w:val="num" w:pos="1800"/>
        </w:tabs>
        <w:ind w:left="1800" w:hanging="360"/>
      </w:pPr>
    </w:lvl>
    <w:lvl w:ilvl="2" w:tplc="8C32E82E" w:tentative="1">
      <w:start w:val="1"/>
      <w:numFmt w:val="decimal"/>
      <w:lvlText w:val="%3."/>
      <w:lvlJc w:val="left"/>
      <w:pPr>
        <w:tabs>
          <w:tab w:val="num" w:pos="2520"/>
        </w:tabs>
        <w:ind w:left="2520" w:hanging="360"/>
      </w:pPr>
    </w:lvl>
    <w:lvl w:ilvl="3" w:tplc="CA4EB48E" w:tentative="1">
      <w:start w:val="1"/>
      <w:numFmt w:val="decimal"/>
      <w:lvlText w:val="%4."/>
      <w:lvlJc w:val="left"/>
      <w:pPr>
        <w:tabs>
          <w:tab w:val="num" w:pos="3240"/>
        </w:tabs>
        <w:ind w:left="3240" w:hanging="360"/>
      </w:pPr>
    </w:lvl>
    <w:lvl w:ilvl="4" w:tplc="4516D294" w:tentative="1">
      <w:start w:val="1"/>
      <w:numFmt w:val="decimal"/>
      <w:lvlText w:val="%5."/>
      <w:lvlJc w:val="left"/>
      <w:pPr>
        <w:tabs>
          <w:tab w:val="num" w:pos="3960"/>
        </w:tabs>
        <w:ind w:left="3960" w:hanging="360"/>
      </w:pPr>
    </w:lvl>
    <w:lvl w:ilvl="5" w:tplc="1EBC8C5A" w:tentative="1">
      <w:start w:val="1"/>
      <w:numFmt w:val="decimal"/>
      <w:lvlText w:val="%6."/>
      <w:lvlJc w:val="left"/>
      <w:pPr>
        <w:tabs>
          <w:tab w:val="num" w:pos="4680"/>
        </w:tabs>
        <w:ind w:left="4680" w:hanging="360"/>
      </w:pPr>
    </w:lvl>
    <w:lvl w:ilvl="6" w:tplc="023E524C" w:tentative="1">
      <w:start w:val="1"/>
      <w:numFmt w:val="decimal"/>
      <w:lvlText w:val="%7."/>
      <w:lvlJc w:val="left"/>
      <w:pPr>
        <w:tabs>
          <w:tab w:val="num" w:pos="5400"/>
        </w:tabs>
        <w:ind w:left="5400" w:hanging="360"/>
      </w:pPr>
    </w:lvl>
    <w:lvl w:ilvl="7" w:tplc="974CE2E8" w:tentative="1">
      <w:start w:val="1"/>
      <w:numFmt w:val="decimal"/>
      <w:lvlText w:val="%8."/>
      <w:lvlJc w:val="left"/>
      <w:pPr>
        <w:tabs>
          <w:tab w:val="num" w:pos="6120"/>
        </w:tabs>
        <w:ind w:left="6120" w:hanging="360"/>
      </w:pPr>
    </w:lvl>
    <w:lvl w:ilvl="8" w:tplc="9EFCB760" w:tentative="1">
      <w:start w:val="1"/>
      <w:numFmt w:val="decimal"/>
      <w:lvlText w:val="%9."/>
      <w:lvlJc w:val="left"/>
      <w:pPr>
        <w:tabs>
          <w:tab w:val="num" w:pos="6840"/>
        </w:tabs>
        <w:ind w:left="6840" w:hanging="360"/>
      </w:pPr>
    </w:lvl>
  </w:abstractNum>
  <w:abstractNum w:abstractNumId="30" w15:restartNumberingAfterBreak="0">
    <w:nsid w:val="5AAEA70F"/>
    <w:multiLevelType w:val="hybridMultilevel"/>
    <w:tmpl w:val="E8D0F47E"/>
    <w:lvl w:ilvl="0" w:tplc="2368CBD6">
      <w:start w:val="1"/>
      <w:numFmt w:val="bullet"/>
      <w:lvlText w:val="-"/>
      <w:lvlJc w:val="left"/>
      <w:pPr>
        <w:ind w:left="720" w:hanging="360"/>
      </w:pPr>
      <w:rPr>
        <w:rFonts w:ascii="Calibri" w:hAnsi="Calibri" w:hint="default"/>
      </w:rPr>
    </w:lvl>
    <w:lvl w:ilvl="1" w:tplc="46ACBDA4">
      <w:start w:val="1"/>
      <w:numFmt w:val="bullet"/>
      <w:lvlText w:val="o"/>
      <w:lvlJc w:val="left"/>
      <w:pPr>
        <w:ind w:left="1440" w:hanging="360"/>
      </w:pPr>
      <w:rPr>
        <w:rFonts w:ascii="Courier New" w:hAnsi="Courier New" w:hint="default"/>
      </w:rPr>
    </w:lvl>
    <w:lvl w:ilvl="2" w:tplc="D1A08A38">
      <w:start w:val="1"/>
      <w:numFmt w:val="bullet"/>
      <w:lvlText w:val=""/>
      <w:lvlJc w:val="left"/>
      <w:pPr>
        <w:ind w:left="2160" w:hanging="360"/>
      </w:pPr>
      <w:rPr>
        <w:rFonts w:ascii="Wingdings" w:hAnsi="Wingdings" w:hint="default"/>
      </w:rPr>
    </w:lvl>
    <w:lvl w:ilvl="3" w:tplc="F71EF10C">
      <w:start w:val="1"/>
      <w:numFmt w:val="bullet"/>
      <w:lvlText w:val=""/>
      <w:lvlJc w:val="left"/>
      <w:pPr>
        <w:ind w:left="2880" w:hanging="360"/>
      </w:pPr>
      <w:rPr>
        <w:rFonts w:ascii="Symbol" w:hAnsi="Symbol" w:hint="default"/>
      </w:rPr>
    </w:lvl>
    <w:lvl w:ilvl="4" w:tplc="1E2613EC">
      <w:start w:val="1"/>
      <w:numFmt w:val="bullet"/>
      <w:lvlText w:val="o"/>
      <w:lvlJc w:val="left"/>
      <w:pPr>
        <w:ind w:left="3600" w:hanging="360"/>
      </w:pPr>
      <w:rPr>
        <w:rFonts w:ascii="Courier New" w:hAnsi="Courier New" w:hint="default"/>
      </w:rPr>
    </w:lvl>
    <w:lvl w:ilvl="5" w:tplc="9E187DAC">
      <w:start w:val="1"/>
      <w:numFmt w:val="bullet"/>
      <w:lvlText w:val=""/>
      <w:lvlJc w:val="left"/>
      <w:pPr>
        <w:ind w:left="4320" w:hanging="360"/>
      </w:pPr>
      <w:rPr>
        <w:rFonts w:ascii="Wingdings" w:hAnsi="Wingdings" w:hint="default"/>
      </w:rPr>
    </w:lvl>
    <w:lvl w:ilvl="6" w:tplc="99EA17E6">
      <w:start w:val="1"/>
      <w:numFmt w:val="bullet"/>
      <w:lvlText w:val=""/>
      <w:lvlJc w:val="left"/>
      <w:pPr>
        <w:ind w:left="5040" w:hanging="360"/>
      </w:pPr>
      <w:rPr>
        <w:rFonts w:ascii="Symbol" w:hAnsi="Symbol" w:hint="default"/>
      </w:rPr>
    </w:lvl>
    <w:lvl w:ilvl="7" w:tplc="295AD7DC">
      <w:start w:val="1"/>
      <w:numFmt w:val="bullet"/>
      <w:lvlText w:val="o"/>
      <w:lvlJc w:val="left"/>
      <w:pPr>
        <w:ind w:left="5760" w:hanging="360"/>
      </w:pPr>
      <w:rPr>
        <w:rFonts w:ascii="Courier New" w:hAnsi="Courier New" w:hint="default"/>
      </w:rPr>
    </w:lvl>
    <w:lvl w:ilvl="8" w:tplc="BC92DE06">
      <w:start w:val="1"/>
      <w:numFmt w:val="bullet"/>
      <w:lvlText w:val=""/>
      <w:lvlJc w:val="left"/>
      <w:pPr>
        <w:ind w:left="6480" w:hanging="360"/>
      </w:pPr>
      <w:rPr>
        <w:rFonts w:ascii="Wingdings" w:hAnsi="Wingdings" w:hint="default"/>
      </w:rPr>
    </w:lvl>
  </w:abstractNum>
  <w:abstractNum w:abstractNumId="31" w15:restartNumberingAfterBreak="0">
    <w:nsid w:val="5C9508C0"/>
    <w:multiLevelType w:val="hybridMultilevel"/>
    <w:tmpl w:val="B84E275E"/>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2" w15:restartNumberingAfterBreak="0">
    <w:nsid w:val="667E4AED"/>
    <w:multiLevelType w:val="hybridMultilevel"/>
    <w:tmpl w:val="B4B4D906"/>
    <w:lvl w:ilvl="0" w:tplc="8D543C1E">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66C4402E"/>
    <w:multiLevelType w:val="hybridMultilevel"/>
    <w:tmpl w:val="E42E3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2632BD"/>
    <w:multiLevelType w:val="hybridMultilevel"/>
    <w:tmpl w:val="57387F60"/>
    <w:lvl w:ilvl="0" w:tplc="2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6B7DD1"/>
    <w:multiLevelType w:val="hybridMultilevel"/>
    <w:tmpl w:val="028404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66C61EA"/>
    <w:multiLevelType w:val="multilevel"/>
    <w:tmpl w:val="10ACF15A"/>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9406030"/>
    <w:multiLevelType w:val="hybridMultilevel"/>
    <w:tmpl w:val="AC42D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0117F9"/>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7F4D7C85"/>
    <w:multiLevelType w:val="multilevel"/>
    <w:tmpl w:val="32AE903A"/>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bullet"/>
      <w:lvlText w:val=""/>
      <w:lvlJc w:val="left"/>
      <w:pPr>
        <w:ind w:left="1800" w:hanging="360"/>
      </w:pPr>
      <w:rPr>
        <w:rFonts w:ascii="Symbol" w:hAnsi="Symbol" w:hint="default"/>
      </w:r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16cid:durableId="544684864">
    <w:abstractNumId w:val="5"/>
  </w:num>
  <w:num w:numId="2" w16cid:durableId="255479488">
    <w:abstractNumId w:val="30"/>
  </w:num>
  <w:num w:numId="3" w16cid:durableId="895891558">
    <w:abstractNumId w:val="2"/>
  </w:num>
  <w:num w:numId="4" w16cid:durableId="1049961595">
    <w:abstractNumId w:val="12"/>
  </w:num>
  <w:num w:numId="5" w16cid:durableId="2017800402">
    <w:abstractNumId w:val="11"/>
  </w:num>
  <w:num w:numId="6" w16cid:durableId="587079339">
    <w:abstractNumId w:val="21"/>
  </w:num>
  <w:num w:numId="7" w16cid:durableId="1089620435">
    <w:abstractNumId w:val="37"/>
  </w:num>
  <w:num w:numId="8" w16cid:durableId="423646334">
    <w:abstractNumId w:val="16"/>
  </w:num>
  <w:num w:numId="9" w16cid:durableId="1412435784">
    <w:abstractNumId w:val="33"/>
  </w:num>
  <w:num w:numId="10" w16cid:durableId="593243185">
    <w:abstractNumId w:val="18"/>
  </w:num>
  <w:num w:numId="11" w16cid:durableId="1304385963">
    <w:abstractNumId w:val="26"/>
  </w:num>
  <w:num w:numId="12" w16cid:durableId="2147042858">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48262953">
    <w:abstractNumId w:val="32"/>
  </w:num>
  <w:num w:numId="14" w16cid:durableId="1312712200">
    <w:abstractNumId w:val="4"/>
  </w:num>
  <w:num w:numId="15" w16cid:durableId="1869099107">
    <w:abstractNumId w:val="35"/>
  </w:num>
  <w:num w:numId="16" w16cid:durableId="2073967361">
    <w:abstractNumId w:val="20"/>
  </w:num>
  <w:num w:numId="17" w16cid:durableId="471366305">
    <w:abstractNumId w:val="22"/>
  </w:num>
  <w:num w:numId="18" w16cid:durableId="1056969278">
    <w:abstractNumId w:val="29"/>
  </w:num>
  <w:num w:numId="19" w16cid:durableId="1789738279">
    <w:abstractNumId w:val="8"/>
  </w:num>
  <w:num w:numId="20" w16cid:durableId="397482605">
    <w:abstractNumId w:val="28"/>
  </w:num>
  <w:num w:numId="21" w16cid:durableId="1511406161">
    <w:abstractNumId w:val="36"/>
  </w:num>
  <w:num w:numId="22" w16cid:durableId="1135221735">
    <w:abstractNumId w:val="39"/>
  </w:num>
  <w:num w:numId="23" w16cid:durableId="737438668">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454669403">
    <w:abstractNumId w:val="19"/>
  </w:num>
  <w:num w:numId="25" w16cid:durableId="176577535">
    <w:abstractNumId w:val="6"/>
  </w:num>
  <w:num w:numId="26" w16cid:durableId="2003193538">
    <w:abstractNumId w:val="9"/>
  </w:num>
  <w:num w:numId="27" w16cid:durableId="376900084">
    <w:abstractNumId w:val="1"/>
  </w:num>
  <w:num w:numId="28" w16cid:durableId="495850482">
    <w:abstractNumId w:val="14"/>
  </w:num>
  <w:num w:numId="29" w16cid:durableId="1728450215">
    <w:abstractNumId w:val="27"/>
  </w:num>
  <w:num w:numId="30" w16cid:durableId="1279020212">
    <w:abstractNumId w:val="31"/>
  </w:num>
  <w:num w:numId="31" w16cid:durableId="1776704801">
    <w:abstractNumId w:val="23"/>
  </w:num>
  <w:num w:numId="32" w16cid:durableId="1863740560">
    <w:abstractNumId w:val="7"/>
  </w:num>
  <w:num w:numId="33" w16cid:durableId="1607733901">
    <w:abstractNumId w:val="34"/>
  </w:num>
  <w:num w:numId="34" w16cid:durableId="920528692">
    <w:abstractNumId w:val="24"/>
  </w:num>
  <w:num w:numId="35" w16cid:durableId="1591163728">
    <w:abstractNumId w:val="15"/>
  </w:num>
  <w:num w:numId="36" w16cid:durableId="625818737">
    <w:abstractNumId w:val="25"/>
  </w:num>
  <w:num w:numId="37" w16cid:durableId="1962031787">
    <w:abstractNumId w:val="0"/>
  </w:num>
  <w:num w:numId="38" w16cid:durableId="117129088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136434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33842320">
    <w:abstractNumId w:val="38"/>
  </w:num>
  <w:num w:numId="41" w16cid:durableId="21057606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4583797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787235349">
    <w:abstractNumId w:val="10"/>
  </w:num>
  <w:num w:numId="44" w16cid:durableId="1348143604">
    <w:abstractNumId w:val="17"/>
  </w:num>
  <w:num w:numId="45" w16cid:durableId="1690595455">
    <w:abstractNumId w:val="13"/>
  </w:num>
  <w:num w:numId="46" w16cid:durableId="191262299">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335"/>
    <w:rsid w:val="00001CC5"/>
    <w:rsid w:val="00002D01"/>
    <w:rsid w:val="000050AA"/>
    <w:rsid w:val="0000704D"/>
    <w:rsid w:val="00013A09"/>
    <w:rsid w:val="00015905"/>
    <w:rsid w:val="00020AA6"/>
    <w:rsid w:val="000218BB"/>
    <w:rsid w:val="00022E1B"/>
    <w:rsid w:val="00027E09"/>
    <w:rsid w:val="00036DD2"/>
    <w:rsid w:val="0003717C"/>
    <w:rsid w:val="00041289"/>
    <w:rsid w:val="000423DD"/>
    <w:rsid w:val="0004428E"/>
    <w:rsid w:val="0004580C"/>
    <w:rsid w:val="00046227"/>
    <w:rsid w:val="00046DD7"/>
    <w:rsid w:val="00046F06"/>
    <w:rsid w:val="00055228"/>
    <w:rsid w:val="00055666"/>
    <w:rsid w:val="0005570C"/>
    <w:rsid w:val="00063F94"/>
    <w:rsid w:val="00064472"/>
    <w:rsid w:val="000658F4"/>
    <w:rsid w:val="00072EB4"/>
    <w:rsid w:val="00073924"/>
    <w:rsid w:val="00080491"/>
    <w:rsid w:val="00081469"/>
    <w:rsid w:val="000833C5"/>
    <w:rsid w:val="000840E0"/>
    <w:rsid w:val="00085490"/>
    <w:rsid w:val="00092F43"/>
    <w:rsid w:val="00093AE1"/>
    <w:rsid w:val="00096FD0"/>
    <w:rsid w:val="000A00D7"/>
    <w:rsid w:val="000A4575"/>
    <w:rsid w:val="000A5A0F"/>
    <w:rsid w:val="000A733A"/>
    <w:rsid w:val="000B10E1"/>
    <w:rsid w:val="000B14A1"/>
    <w:rsid w:val="000B45CC"/>
    <w:rsid w:val="000C7EF9"/>
    <w:rsid w:val="000D2159"/>
    <w:rsid w:val="000D313F"/>
    <w:rsid w:val="000D457A"/>
    <w:rsid w:val="000E1291"/>
    <w:rsid w:val="000E2006"/>
    <w:rsid w:val="000E6818"/>
    <w:rsid w:val="000F2436"/>
    <w:rsid w:val="000F751F"/>
    <w:rsid w:val="0010091B"/>
    <w:rsid w:val="001068D0"/>
    <w:rsid w:val="00107353"/>
    <w:rsid w:val="00111099"/>
    <w:rsid w:val="00111FC1"/>
    <w:rsid w:val="00114117"/>
    <w:rsid w:val="001149A0"/>
    <w:rsid w:val="00115B0D"/>
    <w:rsid w:val="001179D8"/>
    <w:rsid w:val="0012711D"/>
    <w:rsid w:val="00127209"/>
    <w:rsid w:val="001302DD"/>
    <w:rsid w:val="0013078A"/>
    <w:rsid w:val="00131DBA"/>
    <w:rsid w:val="00132F30"/>
    <w:rsid w:val="001332C8"/>
    <w:rsid w:val="00140D2A"/>
    <w:rsid w:val="00142F47"/>
    <w:rsid w:val="001459EA"/>
    <w:rsid w:val="00145D98"/>
    <w:rsid w:val="00151B29"/>
    <w:rsid w:val="0015737E"/>
    <w:rsid w:val="0016131C"/>
    <w:rsid w:val="00161E1A"/>
    <w:rsid w:val="00162325"/>
    <w:rsid w:val="00162A4B"/>
    <w:rsid w:val="001642FB"/>
    <w:rsid w:val="001647F9"/>
    <w:rsid w:val="00165708"/>
    <w:rsid w:val="00165B27"/>
    <w:rsid w:val="001677E7"/>
    <w:rsid w:val="0017226B"/>
    <w:rsid w:val="00175F7A"/>
    <w:rsid w:val="001771BE"/>
    <w:rsid w:val="00177445"/>
    <w:rsid w:val="0018518C"/>
    <w:rsid w:val="001866E2"/>
    <w:rsid w:val="00186BE8"/>
    <w:rsid w:val="00187837"/>
    <w:rsid w:val="00195292"/>
    <w:rsid w:val="001A0D45"/>
    <w:rsid w:val="001A5D50"/>
    <w:rsid w:val="001B1438"/>
    <w:rsid w:val="001B611F"/>
    <w:rsid w:val="001B7C01"/>
    <w:rsid w:val="001C32BE"/>
    <w:rsid w:val="001C3BFD"/>
    <w:rsid w:val="001C735D"/>
    <w:rsid w:val="001D31BB"/>
    <w:rsid w:val="001E2A8C"/>
    <w:rsid w:val="001E2D81"/>
    <w:rsid w:val="001E790F"/>
    <w:rsid w:val="001E7D77"/>
    <w:rsid w:val="001F0A6E"/>
    <w:rsid w:val="002020C9"/>
    <w:rsid w:val="00203C46"/>
    <w:rsid w:val="002050E7"/>
    <w:rsid w:val="00211866"/>
    <w:rsid w:val="00211D37"/>
    <w:rsid w:val="00212659"/>
    <w:rsid w:val="0022154D"/>
    <w:rsid w:val="00222BBE"/>
    <w:rsid w:val="00223722"/>
    <w:rsid w:val="002248D0"/>
    <w:rsid w:val="00230A1E"/>
    <w:rsid w:val="00235789"/>
    <w:rsid w:val="00235BF8"/>
    <w:rsid w:val="002408C0"/>
    <w:rsid w:val="00244C2B"/>
    <w:rsid w:val="00245837"/>
    <w:rsid w:val="00246271"/>
    <w:rsid w:val="00247DDA"/>
    <w:rsid w:val="0025056B"/>
    <w:rsid w:val="002517B6"/>
    <w:rsid w:val="00252DA9"/>
    <w:rsid w:val="0025490E"/>
    <w:rsid w:val="00255197"/>
    <w:rsid w:val="002551F5"/>
    <w:rsid w:val="00260440"/>
    <w:rsid w:val="00261988"/>
    <w:rsid w:val="00264243"/>
    <w:rsid w:val="00266567"/>
    <w:rsid w:val="0026774D"/>
    <w:rsid w:val="00270FF2"/>
    <w:rsid w:val="00280325"/>
    <w:rsid w:val="00295AED"/>
    <w:rsid w:val="002A1D6D"/>
    <w:rsid w:val="002A2742"/>
    <w:rsid w:val="002A3777"/>
    <w:rsid w:val="002A550F"/>
    <w:rsid w:val="002A5AC8"/>
    <w:rsid w:val="002A5ED6"/>
    <w:rsid w:val="002A6483"/>
    <w:rsid w:val="002A7BCC"/>
    <w:rsid w:val="002B63BF"/>
    <w:rsid w:val="002C1EBE"/>
    <w:rsid w:val="002C321E"/>
    <w:rsid w:val="002C68B7"/>
    <w:rsid w:val="002D08B0"/>
    <w:rsid w:val="002D24DF"/>
    <w:rsid w:val="002D3B45"/>
    <w:rsid w:val="002D3BBB"/>
    <w:rsid w:val="002D7ACE"/>
    <w:rsid w:val="002E302D"/>
    <w:rsid w:val="002E775B"/>
    <w:rsid w:val="002F259D"/>
    <w:rsid w:val="002F5444"/>
    <w:rsid w:val="002F56BD"/>
    <w:rsid w:val="002F6430"/>
    <w:rsid w:val="002F72A6"/>
    <w:rsid w:val="002F7669"/>
    <w:rsid w:val="002F7AAC"/>
    <w:rsid w:val="00302580"/>
    <w:rsid w:val="00306721"/>
    <w:rsid w:val="0031222E"/>
    <w:rsid w:val="003155D5"/>
    <w:rsid w:val="003165B0"/>
    <w:rsid w:val="00321874"/>
    <w:rsid w:val="00321DEF"/>
    <w:rsid w:val="00335A79"/>
    <w:rsid w:val="00337D8E"/>
    <w:rsid w:val="00340AA3"/>
    <w:rsid w:val="003433FD"/>
    <w:rsid w:val="00344269"/>
    <w:rsid w:val="0034457C"/>
    <w:rsid w:val="00357692"/>
    <w:rsid w:val="00360533"/>
    <w:rsid w:val="00360919"/>
    <w:rsid w:val="00361DB7"/>
    <w:rsid w:val="0036443F"/>
    <w:rsid w:val="0037098E"/>
    <w:rsid w:val="00373D69"/>
    <w:rsid w:val="003809E1"/>
    <w:rsid w:val="00382008"/>
    <w:rsid w:val="00386765"/>
    <w:rsid w:val="003875D0"/>
    <w:rsid w:val="0039274A"/>
    <w:rsid w:val="00394952"/>
    <w:rsid w:val="00396839"/>
    <w:rsid w:val="003A15B8"/>
    <w:rsid w:val="003A261B"/>
    <w:rsid w:val="003A2B59"/>
    <w:rsid w:val="003A61EE"/>
    <w:rsid w:val="003A64A0"/>
    <w:rsid w:val="003B40AE"/>
    <w:rsid w:val="003B77E2"/>
    <w:rsid w:val="003C1191"/>
    <w:rsid w:val="003D6036"/>
    <w:rsid w:val="003D6229"/>
    <w:rsid w:val="003D6957"/>
    <w:rsid w:val="003D776A"/>
    <w:rsid w:val="003D78DB"/>
    <w:rsid w:val="003E0295"/>
    <w:rsid w:val="003E1CFE"/>
    <w:rsid w:val="003E4F69"/>
    <w:rsid w:val="003E58AD"/>
    <w:rsid w:val="003E79E5"/>
    <w:rsid w:val="003F7973"/>
    <w:rsid w:val="00401C1E"/>
    <w:rsid w:val="00404502"/>
    <w:rsid w:val="0040548E"/>
    <w:rsid w:val="004119E5"/>
    <w:rsid w:val="00412EB3"/>
    <w:rsid w:val="00413684"/>
    <w:rsid w:val="0042036A"/>
    <w:rsid w:val="00421814"/>
    <w:rsid w:val="00423728"/>
    <w:rsid w:val="004264E3"/>
    <w:rsid w:val="00430DF2"/>
    <w:rsid w:val="00431DC5"/>
    <w:rsid w:val="00432B69"/>
    <w:rsid w:val="00437A96"/>
    <w:rsid w:val="004536C2"/>
    <w:rsid w:val="00456E5D"/>
    <w:rsid w:val="00456F18"/>
    <w:rsid w:val="00457E82"/>
    <w:rsid w:val="004649ED"/>
    <w:rsid w:val="0046659E"/>
    <w:rsid w:val="004761DE"/>
    <w:rsid w:val="0047708C"/>
    <w:rsid w:val="004800F8"/>
    <w:rsid w:val="00481792"/>
    <w:rsid w:val="00482F2B"/>
    <w:rsid w:val="00484291"/>
    <w:rsid w:val="004929B6"/>
    <w:rsid w:val="00492E77"/>
    <w:rsid w:val="004949AE"/>
    <w:rsid w:val="004B05E6"/>
    <w:rsid w:val="004B354C"/>
    <w:rsid w:val="004C5B77"/>
    <w:rsid w:val="004C69E4"/>
    <w:rsid w:val="004C7E6A"/>
    <w:rsid w:val="004D0CCF"/>
    <w:rsid w:val="004D19DF"/>
    <w:rsid w:val="004D2324"/>
    <w:rsid w:val="004D499B"/>
    <w:rsid w:val="004D618C"/>
    <w:rsid w:val="004D6B82"/>
    <w:rsid w:val="004D740D"/>
    <w:rsid w:val="004E036C"/>
    <w:rsid w:val="004E4493"/>
    <w:rsid w:val="004F1BC3"/>
    <w:rsid w:val="004F66BA"/>
    <w:rsid w:val="00504D94"/>
    <w:rsid w:val="005071C2"/>
    <w:rsid w:val="00510652"/>
    <w:rsid w:val="0051078E"/>
    <w:rsid w:val="00512F4C"/>
    <w:rsid w:val="00513CD8"/>
    <w:rsid w:val="0051677C"/>
    <w:rsid w:val="00522E31"/>
    <w:rsid w:val="0052538C"/>
    <w:rsid w:val="0053017A"/>
    <w:rsid w:val="00533006"/>
    <w:rsid w:val="0054628F"/>
    <w:rsid w:val="0055025B"/>
    <w:rsid w:val="005502ED"/>
    <w:rsid w:val="00551006"/>
    <w:rsid w:val="005577AF"/>
    <w:rsid w:val="00560F58"/>
    <w:rsid w:val="00566237"/>
    <w:rsid w:val="00570B7B"/>
    <w:rsid w:val="00572E33"/>
    <w:rsid w:val="00573E41"/>
    <w:rsid w:val="00573F05"/>
    <w:rsid w:val="00580770"/>
    <w:rsid w:val="00580B64"/>
    <w:rsid w:val="00582F0B"/>
    <w:rsid w:val="005846C5"/>
    <w:rsid w:val="00585335"/>
    <w:rsid w:val="0058682C"/>
    <w:rsid w:val="00590629"/>
    <w:rsid w:val="005919A7"/>
    <w:rsid w:val="0059426E"/>
    <w:rsid w:val="00594279"/>
    <w:rsid w:val="005A0F1F"/>
    <w:rsid w:val="005A438F"/>
    <w:rsid w:val="005A6B4F"/>
    <w:rsid w:val="005B19E9"/>
    <w:rsid w:val="005B1EFB"/>
    <w:rsid w:val="005B54A6"/>
    <w:rsid w:val="005B59C7"/>
    <w:rsid w:val="005C1E37"/>
    <w:rsid w:val="005C553A"/>
    <w:rsid w:val="005D1125"/>
    <w:rsid w:val="005D2D6E"/>
    <w:rsid w:val="005D7A29"/>
    <w:rsid w:val="005E11C4"/>
    <w:rsid w:val="005E29AC"/>
    <w:rsid w:val="005E36D3"/>
    <w:rsid w:val="005F27D7"/>
    <w:rsid w:val="005F3EB5"/>
    <w:rsid w:val="005F5D94"/>
    <w:rsid w:val="005F6790"/>
    <w:rsid w:val="005F68C8"/>
    <w:rsid w:val="005F69A6"/>
    <w:rsid w:val="00602B0B"/>
    <w:rsid w:val="00606D3B"/>
    <w:rsid w:val="006103CC"/>
    <w:rsid w:val="00612267"/>
    <w:rsid w:val="00614B74"/>
    <w:rsid w:val="00615119"/>
    <w:rsid w:val="006161A6"/>
    <w:rsid w:val="006217AB"/>
    <w:rsid w:val="00624259"/>
    <w:rsid w:val="006348F8"/>
    <w:rsid w:val="00635C7C"/>
    <w:rsid w:val="00637B76"/>
    <w:rsid w:val="00641518"/>
    <w:rsid w:val="006420F4"/>
    <w:rsid w:val="0064213D"/>
    <w:rsid w:val="00642245"/>
    <w:rsid w:val="00647D25"/>
    <w:rsid w:val="0065016D"/>
    <w:rsid w:val="00651333"/>
    <w:rsid w:val="0065424A"/>
    <w:rsid w:val="0065673F"/>
    <w:rsid w:val="006572EE"/>
    <w:rsid w:val="00661080"/>
    <w:rsid w:val="00664CEB"/>
    <w:rsid w:val="006659CF"/>
    <w:rsid w:val="00665FE9"/>
    <w:rsid w:val="0066653F"/>
    <w:rsid w:val="00667B15"/>
    <w:rsid w:val="0067073E"/>
    <w:rsid w:val="0067242F"/>
    <w:rsid w:val="0067642F"/>
    <w:rsid w:val="006802B0"/>
    <w:rsid w:val="00680E26"/>
    <w:rsid w:val="00681641"/>
    <w:rsid w:val="00685F0F"/>
    <w:rsid w:val="00686748"/>
    <w:rsid w:val="00692FBE"/>
    <w:rsid w:val="00694140"/>
    <w:rsid w:val="006961B7"/>
    <w:rsid w:val="006A0486"/>
    <w:rsid w:val="006A1FA2"/>
    <w:rsid w:val="006A2BC4"/>
    <w:rsid w:val="006A700C"/>
    <w:rsid w:val="006B0373"/>
    <w:rsid w:val="006B03F2"/>
    <w:rsid w:val="006B14C5"/>
    <w:rsid w:val="006B32A3"/>
    <w:rsid w:val="006B7710"/>
    <w:rsid w:val="006C13B2"/>
    <w:rsid w:val="006C218F"/>
    <w:rsid w:val="006C2ECD"/>
    <w:rsid w:val="006C30DC"/>
    <w:rsid w:val="006C4D7A"/>
    <w:rsid w:val="006D0210"/>
    <w:rsid w:val="006D069B"/>
    <w:rsid w:val="006D448B"/>
    <w:rsid w:val="006D656B"/>
    <w:rsid w:val="006D6B24"/>
    <w:rsid w:val="006D7D94"/>
    <w:rsid w:val="006E192A"/>
    <w:rsid w:val="006E22F7"/>
    <w:rsid w:val="006E3C31"/>
    <w:rsid w:val="006E6381"/>
    <w:rsid w:val="006E6DA3"/>
    <w:rsid w:val="006F1A4E"/>
    <w:rsid w:val="006F4515"/>
    <w:rsid w:val="006F730D"/>
    <w:rsid w:val="00701326"/>
    <w:rsid w:val="00706D1E"/>
    <w:rsid w:val="00707924"/>
    <w:rsid w:val="00713B6E"/>
    <w:rsid w:val="00713E90"/>
    <w:rsid w:val="00714D2B"/>
    <w:rsid w:val="007164D4"/>
    <w:rsid w:val="0072159E"/>
    <w:rsid w:val="0073260B"/>
    <w:rsid w:val="00733A21"/>
    <w:rsid w:val="00735763"/>
    <w:rsid w:val="007400EE"/>
    <w:rsid w:val="0074063F"/>
    <w:rsid w:val="0074347E"/>
    <w:rsid w:val="007456EE"/>
    <w:rsid w:val="0074707E"/>
    <w:rsid w:val="00761D52"/>
    <w:rsid w:val="00762EFA"/>
    <w:rsid w:val="00764414"/>
    <w:rsid w:val="00764DD7"/>
    <w:rsid w:val="00776524"/>
    <w:rsid w:val="00777FAA"/>
    <w:rsid w:val="00783C7F"/>
    <w:rsid w:val="00785EAD"/>
    <w:rsid w:val="007865E3"/>
    <w:rsid w:val="00787291"/>
    <w:rsid w:val="007901CB"/>
    <w:rsid w:val="00792139"/>
    <w:rsid w:val="007A46E8"/>
    <w:rsid w:val="007A59AE"/>
    <w:rsid w:val="007A6D61"/>
    <w:rsid w:val="007A70F0"/>
    <w:rsid w:val="007A7243"/>
    <w:rsid w:val="007A75B6"/>
    <w:rsid w:val="007A7C5D"/>
    <w:rsid w:val="007B71C8"/>
    <w:rsid w:val="007C1C99"/>
    <w:rsid w:val="007C2A0D"/>
    <w:rsid w:val="007C5B1C"/>
    <w:rsid w:val="007C7CBE"/>
    <w:rsid w:val="007D477A"/>
    <w:rsid w:val="007D5D0B"/>
    <w:rsid w:val="007D6651"/>
    <w:rsid w:val="007D6E0B"/>
    <w:rsid w:val="007E0A00"/>
    <w:rsid w:val="007E18A1"/>
    <w:rsid w:val="007E2C22"/>
    <w:rsid w:val="007E66A7"/>
    <w:rsid w:val="007E6FE8"/>
    <w:rsid w:val="007F1776"/>
    <w:rsid w:val="007F5302"/>
    <w:rsid w:val="008013A4"/>
    <w:rsid w:val="00807994"/>
    <w:rsid w:val="0081089B"/>
    <w:rsid w:val="00811D93"/>
    <w:rsid w:val="0081450C"/>
    <w:rsid w:val="00815D68"/>
    <w:rsid w:val="00820C2D"/>
    <w:rsid w:val="0082436C"/>
    <w:rsid w:val="00825F6D"/>
    <w:rsid w:val="008262CD"/>
    <w:rsid w:val="00827188"/>
    <w:rsid w:val="00827FB3"/>
    <w:rsid w:val="008378EB"/>
    <w:rsid w:val="0084122A"/>
    <w:rsid w:val="00843393"/>
    <w:rsid w:val="0084471D"/>
    <w:rsid w:val="0084645F"/>
    <w:rsid w:val="00851696"/>
    <w:rsid w:val="0085562B"/>
    <w:rsid w:val="00856737"/>
    <w:rsid w:val="00857E8C"/>
    <w:rsid w:val="00862E14"/>
    <w:rsid w:val="0086573B"/>
    <w:rsid w:val="00866778"/>
    <w:rsid w:val="00874D18"/>
    <w:rsid w:val="00875C8E"/>
    <w:rsid w:val="008804C2"/>
    <w:rsid w:val="00881A29"/>
    <w:rsid w:val="00885103"/>
    <w:rsid w:val="008872F3"/>
    <w:rsid w:val="00892D86"/>
    <w:rsid w:val="00894E55"/>
    <w:rsid w:val="008A39E6"/>
    <w:rsid w:val="008A6A91"/>
    <w:rsid w:val="008B05A3"/>
    <w:rsid w:val="008B54EB"/>
    <w:rsid w:val="008B7A10"/>
    <w:rsid w:val="008C0583"/>
    <w:rsid w:val="008D0D9E"/>
    <w:rsid w:val="008D4783"/>
    <w:rsid w:val="008D4D95"/>
    <w:rsid w:val="008D6DC8"/>
    <w:rsid w:val="008D6DEE"/>
    <w:rsid w:val="008F4DC9"/>
    <w:rsid w:val="008F50ED"/>
    <w:rsid w:val="008F5E45"/>
    <w:rsid w:val="008F66A6"/>
    <w:rsid w:val="00901028"/>
    <w:rsid w:val="0090285E"/>
    <w:rsid w:val="00903AE1"/>
    <w:rsid w:val="009044D2"/>
    <w:rsid w:val="00906C19"/>
    <w:rsid w:val="009076C6"/>
    <w:rsid w:val="00912F3F"/>
    <w:rsid w:val="00916EB3"/>
    <w:rsid w:val="00920A17"/>
    <w:rsid w:val="00923119"/>
    <w:rsid w:val="0092644C"/>
    <w:rsid w:val="00926488"/>
    <w:rsid w:val="0093061D"/>
    <w:rsid w:val="00933186"/>
    <w:rsid w:val="00934088"/>
    <w:rsid w:val="00934626"/>
    <w:rsid w:val="009364FD"/>
    <w:rsid w:val="0093674D"/>
    <w:rsid w:val="009376DF"/>
    <w:rsid w:val="00937A99"/>
    <w:rsid w:val="009409C3"/>
    <w:rsid w:val="0094288F"/>
    <w:rsid w:val="00943154"/>
    <w:rsid w:val="00946242"/>
    <w:rsid w:val="00951572"/>
    <w:rsid w:val="009538D9"/>
    <w:rsid w:val="00955EB8"/>
    <w:rsid w:val="00960FF9"/>
    <w:rsid w:val="00962E81"/>
    <w:rsid w:val="00964306"/>
    <w:rsid w:val="00964366"/>
    <w:rsid w:val="00966931"/>
    <w:rsid w:val="00967EA1"/>
    <w:rsid w:val="009724E2"/>
    <w:rsid w:val="009758B8"/>
    <w:rsid w:val="009767F1"/>
    <w:rsid w:val="00980BC1"/>
    <w:rsid w:val="00981600"/>
    <w:rsid w:val="009824E3"/>
    <w:rsid w:val="00983723"/>
    <w:rsid w:val="00987E6A"/>
    <w:rsid w:val="009909E7"/>
    <w:rsid w:val="00996AD8"/>
    <w:rsid w:val="00997885"/>
    <w:rsid w:val="009A1815"/>
    <w:rsid w:val="009A23A7"/>
    <w:rsid w:val="009A3543"/>
    <w:rsid w:val="009A4103"/>
    <w:rsid w:val="009A75E8"/>
    <w:rsid w:val="009B10DD"/>
    <w:rsid w:val="009B262E"/>
    <w:rsid w:val="009B3439"/>
    <w:rsid w:val="009C2349"/>
    <w:rsid w:val="009C2D22"/>
    <w:rsid w:val="009D0754"/>
    <w:rsid w:val="009D0B2B"/>
    <w:rsid w:val="009D5671"/>
    <w:rsid w:val="009D7500"/>
    <w:rsid w:val="009E0195"/>
    <w:rsid w:val="009E197B"/>
    <w:rsid w:val="009E1A0E"/>
    <w:rsid w:val="009E7FFD"/>
    <w:rsid w:val="009F01AA"/>
    <w:rsid w:val="00A00638"/>
    <w:rsid w:val="00A02AB3"/>
    <w:rsid w:val="00A036BC"/>
    <w:rsid w:val="00A04C03"/>
    <w:rsid w:val="00A058D4"/>
    <w:rsid w:val="00A15ED4"/>
    <w:rsid w:val="00A21FBC"/>
    <w:rsid w:val="00A27257"/>
    <w:rsid w:val="00A2796B"/>
    <w:rsid w:val="00A27EB3"/>
    <w:rsid w:val="00A33179"/>
    <w:rsid w:val="00A34D88"/>
    <w:rsid w:val="00A35F65"/>
    <w:rsid w:val="00A361E2"/>
    <w:rsid w:val="00A3646D"/>
    <w:rsid w:val="00A3667F"/>
    <w:rsid w:val="00A4131F"/>
    <w:rsid w:val="00A451DE"/>
    <w:rsid w:val="00A52661"/>
    <w:rsid w:val="00A528CD"/>
    <w:rsid w:val="00A546C0"/>
    <w:rsid w:val="00A61A4C"/>
    <w:rsid w:val="00A6677C"/>
    <w:rsid w:val="00A71038"/>
    <w:rsid w:val="00A72F38"/>
    <w:rsid w:val="00A8246C"/>
    <w:rsid w:val="00A83556"/>
    <w:rsid w:val="00A9426D"/>
    <w:rsid w:val="00A95EAA"/>
    <w:rsid w:val="00A97160"/>
    <w:rsid w:val="00AA0B14"/>
    <w:rsid w:val="00AA170B"/>
    <w:rsid w:val="00AA1DDA"/>
    <w:rsid w:val="00AA412E"/>
    <w:rsid w:val="00AA5689"/>
    <w:rsid w:val="00AA648C"/>
    <w:rsid w:val="00AA6FA3"/>
    <w:rsid w:val="00AB0EB9"/>
    <w:rsid w:val="00AB1D9A"/>
    <w:rsid w:val="00AB359D"/>
    <w:rsid w:val="00AB5E4B"/>
    <w:rsid w:val="00AB7889"/>
    <w:rsid w:val="00AC1B45"/>
    <w:rsid w:val="00AC4BB0"/>
    <w:rsid w:val="00AD2DC9"/>
    <w:rsid w:val="00AD3937"/>
    <w:rsid w:val="00AD46A6"/>
    <w:rsid w:val="00AE3046"/>
    <w:rsid w:val="00AE3EA6"/>
    <w:rsid w:val="00AE7152"/>
    <w:rsid w:val="00AE7246"/>
    <w:rsid w:val="00AE7AAA"/>
    <w:rsid w:val="00AF13F0"/>
    <w:rsid w:val="00AF1CAE"/>
    <w:rsid w:val="00AF1E5F"/>
    <w:rsid w:val="00AF355E"/>
    <w:rsid w:val="00AF42E6"/>
    <w:rsid w:val="00AF6F43"/>
    <w:rsid w:val="00AF79F8"/>
    <w:rsid w:val="00B00CAB"/>
    <w:rsid w:val="00B04575"/>
    <w:rsid w:val="00B059BA"/>
    <w:rsid w:val="00B0792F"/>
    <w:rsid w:val="00B1589E"/>
    <w:rsid w:val="00B23443"/>
    <w:rsid w:val="00B2440F"/>
    <w:rsid w:val="00B2783C"/>
    <w:rsid w:val="00B342B4"/>
    <w:rsid w:val="00B34739"/>
    <w:rsid w:val="00B36468"/>
    <w:rsid w:val="00B40306"/>
    <w:rsid w:val="00B40D14"/>
    <w:rsid w:val="00B410DB"/>
    <w:rsid w:val="00B429E2"/>
    <w:rsid w:val="00B47ED9"/>
    <w:rsid w:val="00B532C6"/>
    <w:rsid w:val="00B60CD5"/>
    <w:rsid w:val="00B66951"/>
    <w:rsid w:val="00B67868"/>
    <w:rsid w:val="00B67D9C"/>
    <w:rsid w:val="00B70B27"/>
    <w:rsid w:val="00B70D97"/>
    <w:rsid w:val="00B74255"/>
    <w:rsid w:val="00B75DC9"/>
    <w:rsid w:val="00B75F3D"/>
    <w:rsid w:val="00B91132"/>
    <w:rsid w:val="00B94962"/>
    <w:rsid w:val="00BA19B7"/>
    <w:rsid w:val="00BA2FE4"/>
    <w:rsid w:val="00BA4A2C"/>
    <w:rsid w:val="00BA780A"/>
    <w:rsid w:val="00BB2F7D"/>
    <w:rsid w:val="00BB589F"/>
    <w:rsid w:val="00BC0CBE"/>
    <w:rsid w:val="00BC2B57"/>
    <w:rsid w:val="00BD394A"/>
    <w:rsid w:val="00BD40B3"/>
    <w:rsid w:val="00BD5277"/>
    <w:rsid w:val="00BD57DE"/>
    <w:rsid w:val="00BD78ED"/>
    <w:rsid w:val="00BE0EBA"/>
    <w:rsid w:val="00BE62B3"/>
    <w:rsid w:val="00BF1012"/>
    <w:rsid w:val="00BF7C3E"/>
    <w:rsid w:val="00BF7E97"/>
    <w:rsid w:val="00C0003C"/>
    <w:rsid w:val="00C01B90"/>
    <w:rsid w:val="00C02B2C"/>
    <w:rsid w:val="00C05E5D"/>
    <w:rsid w:val="00C1109A"/>
    <w:rsid w:val="00C11B76"/>
    <w:rsid w:val="00C16AEB"/>
    <w:rsid w:val="00C20E60"/>
    <w:rsid w:val="00C230D2"/>
    <w:rsid w:val="00C2448A"/>
    <w:rsid w:val="00C24BD1"/>
    <w:rsid w:val="00C24BE8"/>
    <w:rsid w:val="00C30F26"/>
    <w:rsid w:val="00C35660"/>
    <w:rsid w:val="00C35D21"/>
    <w:rsid w:val="00C405B5"/>
    <w:rsid w:val="00C52DE9"/>
    <w:rsid w:val="00C65578"/>
    <w:rsid w:val="00C66F78"/>
    <w:rsid w:val="00C67584"/>
    <w:rsid w:val="00C76413"/>
    <w:rsid w:val="00C81CBE"/>
    <w:rsid w:val="00C823EA"/>
    <w:rsid w:val="00C826F8"/>
    <w:rsid w:val="00C91E42"/>
    <w:rsid w:val="00C91E84"/>
    <w:rsid w:val="00C9743A"/>
    <w:rsid w:val="00CA3C24"/>
    <w:rsid w:val="00CA56A2"/>
    <w:rsid w:val="00CA5CAF"/>
    <w:rsid w:val="00CB05A2"/>
    <w:rsid w:val="00CB1A05"/>
    <w:rsid w:val="00CB4929"/>
    <w:rsid w:val="00CB5251"/>
    <w:rsid w:val="00CC3C2B"/>
    <w:rsid w:val="00CC5885"/>
    <w:rsid w:val="00CE4EDB"/>
    <w:rsid w:val="00CE60A8"/>
    <w:rsid w:val="00CF3BAC"/>
    <w:rsid w:val="00D03372"/>
    <w:rsid w:val="00D03852"/>
    <w:rsid w:val="00D03C12"/>
    <w:rsid w:val="00D05F02"/>
    <w:rsid w:val="00D20594"/>
    <w:rsid w:val="00D241AF"/>
    <w:rsid w:val="00D3259F"/>
    <w:rsid w:val="00D32633"/>
    <w:rsid w:val="00D34569"/>
    <w:rsid w:val="00D34FE9"/>
    <w:rsid w:val="00D357F3"/>
    <w:rsid w:val="00D35C87"/>
    <w:rsid w:val="00D3750D"/>
    <w:rsid w:val="00D40BCF"/>
    <w:rsid w:val="00D43481"/>
    <w:rsid w:val="00D464F1"/>
    <w:rsid w:val="00D47664"/>
    <w:rsid w:val="00D55A56"/>
    <w:rsid w:val="00D65F15"/>
    <w:rsid w:val="00D66E0C"/>
    <w:rsid w:val="00D67D25"/>
    <w:rsid w:val="00D701FD"/>
    <w:rsid w:val="00D80250"/>
    <w:rsid w:val="00D812EC"/>
    <w:rsid w:val="00D82835"/>
    <w:rsid w:val="00D82F64"/>
    <w:rsid w:val="00D85B63"/>
    <w:rsid w:val="00D94595"/>
    <w:rsid w:val="00D951EE"/>
    <w:rsid w:val="00D973E2"/>
    <w:rsid w:val="00DA0D87"/>
    <w:rsid w:val="00DA7745"/>
    <w:rsid w:val="00DB0222"/>
    <w:rsid w:val="00DB1730"/>
    <w:rsid w:val="00DB4CB7"/>
    <w:rsid w:val="00DB75B5"/>
    <w:rsid w:val="00DB7863"/>
    <w:rsid w:val="00DC0832"/>
    <w:rsid w:val="00DC20E2"/>
    <w:rsid w:val="00DC2D12"/>
    <w:rsid w:val="00DD0064"/>
    <w:rsid w:val="00DD1F3C"/>
    <w:rsid w:val="00DD3EA1"/>
    <w:rsid w:val="00DD4057"/>
    <w:rsid w:val="00DD4BF9"/>
    <w:rsid w:val="00DD6A47"/>
    <w:rsid w:val="00DD6C0B"/>
    <w:rsid w:val="00DD7602"/>
    <w:rsid w:val="00DE0AF8"/>
    <w:rsid w:val="00DE332D"/>
    <w:rsid w:val="00DE4740"/>
    <w:rsid w:val="00DF5327"/>
    <w:rsid w:val="00DF67B6"/>
    <w:rsid w:val="00DF69FE"/>
    <w:rsid w:val="00DF7CA4"/>
    <w:rsid w:val="00DF7DD3"/>
    <w:rsid w:val="00E02EBF"/>
    <w:rsid w:val="00E11033"/>
    <w:rsid w:val="00E127A2"/>
    <w:rsid w:val="00E14530"/>
    <w:rsid w:val="00E14D79"/>
    <w:rsid w:val="00E17E94"/>
    <w:rsid w:val="00E20A61"/>
    <w:rsid w:val="00E214B9"/>
    <w:rsid w:val="00E216D4"/>
    <w:rsid w:val="00E23CE8"/>
    <w:rsid w:val="00E256C9"/>
    <w:rsid w:val="00E302ED"/>
    <w:rsid w:val="00E313B6"/>
    <w:rsid w:val="00E428C6"/>
    <w:rsid w:val="00E47E51"/>
    <w:rsid w:val="00E50F65"/>
    <w:rsid w:val="00E51010"/>
    <w:rsid w:val="00E55082"/>
    <w:rsid w:val="00E558AA"/>
    <w:rsid w:val="00E60A5E"/>
    <w:rsid w:val="00E71E0C"/>
    <w:rsid w:val="00E739C7"/>
    <w:rsid w:val="00E74D2F"/>
    <w:rsid w:val="00E80DB3"/>
    <w:rsid w:val="00E83B25"/>
    <w:rsid w:val="00E85344"/>
    <w:rsid w:val="00E96957"/>
    <w:rsid w:val="00EA0EE2"/>
    <w:rsid w:val="00EA1080"/>
    <w:rsid w:val="00EA6650"/>
    <w:rsid w:val="00EB7978"/>
    <w:rsid w:val="00EC0171"/>
    <w:rsid w:val="00EC3524"/>
    <w:rsid w:val="00ED2B7E"/>
    <w:rsid w:val="00ED34A2"/>
    <w:rsid w:val="00ED51CB"/>
    <w:rsid w:val="00EE1A8F"/>
    <w:rsid w:val="00EE2A5B"/>
    <w:rsid w:val="00EE2F41"/>
    <w:rsid w:val="00EE5BD3"/>
    <w:rsid w:val="00EE6111"/>
    <w:rsid w:val="00EE6499"/>
    <w:rsid w:val="00EE713D"/>
    <w:rsid w:val="00EF01DD"/>
    <w:rsid w:val="00EF0541"/>
    <w:rsid w:val="00EF668D"/>
    <w:rsid w:val="00EF6F3D"/>
    <w:rsid w:val="00F01D2C"/>
    <w:rsid w:val="00F06BCE"/>
    <w:rsid w:val="00F127D9"/>
    <w:rsid w:val="00F13487"/>
    <w:rsid w:val="00F14CA3"/>
    <w:rsid w:val="00F16C89"/>
    <w:rsid w:val="00F17F4A"/>
    <w:rsid w:val="00F227DC"/>
    <w:rsid w:val="00F238A0"/>
    <w:rsid w:val="00F253B8"/>
    <w:rsid w:val="00F3135E"/>
    <w:rsid w:val="00F321FE"/>
    <w:rsid w:val="00F40C61"/>
    <w:rsid w:val="00F416F8"/>
    <w:rsid w:val="00F475A5"/>
    <w:rsid w:val="00F506FC"/>
    <w:rsid w:val="00F50912"/>
    <w:rsid w:val="00F518AC"/>
    <w:rsid w:val="00F619C0"/>
    <w:rsid w:val="00F64263"/>
    <w:rsid w:val="00F67F62"/>
    <w:rsid w:val="00F70F9E"/>
    <w:rsid w:val="00F76899"/>
    <w:rsid w:val="00F76AB2"/>
    <w:rsid w:val="00F77796"/>
    <w:rsid w:val="00F8199E"/>
    <w:rsid w:val="00F83625"/>
    <w:rsid w:val="00F84DC2"/>
    <w:rsid w:val="00F852C5"/>
    <w:rsid w:val="00F85DB8"/>
    <w:rsid w:val="00F86764"/>
    <w:rsid w:val="00F87632"/>
    <w:rsid w:val="00F87EE0"/>
    <w:rsid w:val="00F919CC"/>
    <w:rsid w:val="00F920CD"/>
    <w:rsid w:val="00F93AD7"/>
    <w:rsid w:val="00F93D5A"/>
    <w:rsid w:val="00F94B1E"/>
    <w:rsid w:val="00F96FF6"/>
    <w:rsid w:val="00F97032"/>
    <w:rsid w:val="00FA79A2"/>
    <w:rsid w:val="00FA7F7B"/>
    <w:rsid w:val="00FB0713"/>
    <w:rsid w:val="00FB2D67"/>
    <w:rsid w:val="00FB415D"/>
    <w:rsid w:val="00FB41A9"/>
    <w:rsid w:val="00FB4241"/>
    <w:rsid w:val="00FB57D0"/>
    <w:rsid w:val="00FB6C1F"/>
    <w:rsid w:val="00FC693E"/>
    <w:rsid w:val="00FD2E28"/>
    <w:rsid w:val="00FD4785"/>
    <w:rsid w:val="00FD62D8"/>
    <w:rsid w:val="00FD63BB"/>
    <w:rsid w:val="00FD7206"/>
    <w:rsid w:val="00FE0385"/>
    <w:rsid w:val="00FE0A75"/>
    <w:rsid w:val="00FE4F12"/>
    <w:rsid w:val="00FE5387"/>
    <w:rsid w:val="00FE6874"/>
    <w:rsid w:val="00FF0E5A"/>
    <w:rsid w:val="00FF2A6F"/>
    <w:rsid w:val="00FF4BFE"/>
    <w:rsid w:val="034E35CD"/>
    <w:rsid w:val="060781C3"/>
    <w:rsid w:val="07B96D21"/>
    <w:rsid w:val="07E5EB33"/>
    <w:rsid w:val="093D4FB9"/>
    <w:rsid w:val="0FB26018"/>
    <w:rsid w:val="12AD876B"/>
    <w:rsid w:val="12C39D11"/>
    <w:rsid w:val="1723AA0E"/>
    <w:rsid w:val="173AD932"/>
    <w:rsid w:val="1A7279F4"/>
    <w:rsid w:val="1ADEF733"/>
    <w:rsid w:val="1D6781A7"/>
    <w:rsid w:val="1EE5AC7D"/>
    <w:rsid w:val="1F24CC37"/>
    <w:rsid w:val="209F2269"/>
    <w:rsid w:val="23A11FCB"/>
    <w:rsid w:val="24195C3A"/>
    <w:rsid w:val="2572938C"/>
    <w:rsid w:val="2634F70D"/>
    <w:rsid w:val="270E63ED"/>
    <w:rsid w:val="2DC82C06"/>
    <w:rsid w:val="2E0ACA90"/>
    <w:rsid w:val="2F46C7BF"/>
    <w:rsid w:val="3298DAA2"/>
    <w:rsid w:val="329B9D29"/>
    <w:rsid w:val="338F4D2C"/>
    <w:rsid w:val="3483B98C"/>
    <w:rsid w:val="35A2E66A"/>
    <w:rsid w:val="36187ACD"/>
    <w:rsid w:val="3D44EC88"/>
    <w:rsid w:val="4054A7D7"/>
    <w:rsid w:val="41407D44"/>
    <w:rsid w:val="42705ABB"/>
    <w:rsid w:val="438C5B89"/>
    <w:rsid w:val="452CAC81"/>
    <w:rsid w:val="46409A32"/>
    <w:rsid w:val="46C3E95B"/>
    <w:rsid w:val="46FCF5E2"/>
    <w:rsid w:val="49FB8A1D"/>
    <w:rsid w:val="506ADE91"/>
    <w:rsid w:val="51C415E3"/>
    <w:rsid w:val="53401E7F"/>
    <w:rsid w:val="537227D2"/>
    <w:rsid w:val="550DF833"/>
    <w:rsid w:val="574DA81D"/>
    <w:rsid w:val="57B1D2A2"/>
    <w:rsid w:val="5845E06E"/>
    <w:rsid w:val="58EE9B4E"/>
    <w:rsid w:val="5AA1D4D8"/>
    <w:rsid w:val="5AEC487D"/>
    <w:rsid w:val="5B9597CB"/>
    <w:rsid w:val="5C8818DE"/>
    <w:rsid w:val="5E23E93F"/>
    <w:rsid w:val="5EEA5CF9"/>
    <w:rsid w:val="5F22B087"/>
    <w:rsid w:val="6450A60C"/>
    <w:rsid w:val="64D9DC3E"/>
    <w:rsid w:val="66624B47"/>
    <w:rsid w:val="685E3D15"/>
    <w:rsid w:val="6D969322"/>
    <w:rsid w:val="726570BE"/>
    <w:rsid w:val="73D90C81"/>
    <w:rsid w:val="75F4AF9F"/>
    <w:rsid w:val="7665E21F"/>
    <w:rsid w:val="7B209087"/>
    <w:rsid w:val="7E9BF9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6E71A9"/>
  <w15:chartTrackingRefBased/>
  <w15:docId w15:val="{CF21D4EC-D4CA-4A11-962D-AD9736DA9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0B27"/>
    <w:pPr>
      <w:spacing w:before="120" w:after="120"/>
      <w:jc w:val="both"/>
    </w:pPr>
    <w:rPr>
      <w:rFonts w:eastAsia="Times New Roman" w:cs="Times New Roman"/>
      <w:szCs w:val="24"/>
      <w:lang w:eastAsia="es-MX"/>
    </w:rPr>
  </w:style>
  <w:style w:type="paragraph" w:styleId="Heading1">
    <w:name w:val="heading 1"/>
    <w:basedOn w:val="Normal"/>
    <w:next w:val="Normal"/>
    <w:link w:val="Heading1Char"/>
    <w:uiPriority w:val="9"/>
    <w:qFormat/>
    <w:rsid w:val="00B70B27"/>
    <w:pPr>
      <w:keepNext/>
      <w:keepLines/>
      <w:numPr>
        <w:numId w:val="4"/>
      </w:numPr>
      <w:spacing w:before="240" w:after="240"/>
      <w:ind w:left="357" w:hanging="357"/>
      <w:outlineLvl w:val="0"/>
    </w:pPr>
    <w:rPr>
      <w:rFonts w:asciiTheme="majorHAnsi" w:eastAsiaTheme="majorEastAsia" w:hAnsiTheme="majorHAnsi" w:cstheme="majorBidi"/>
      <w:b/>
      <w:bCs/>
      <w:color w:val="365F91" w:themeColor="accent1" w:themeShade="BF"/>
      <w:sz w:val="28"/>
      <w:szCs w:val="28"/>
      <w:lang w:val="en-GB" w:eastAsia="en-US"/>
    </w:rPr>
  </w:style>
  <w:style w:type="paragraph" w:styleId="Heading2">
    <w:name w:val="heading 2"/>
    <w:basedOn w:val="Normal"/>
    <w:next w:val="Normal"/>
    <w:link w:val="Heading2Char"/>
    <w:uiPriority w:val="9"/>
    <w:unhideWhenUsed/>
    <w:qFormat/>
    <w:rsid w:val="00642245"/>
    <w:pPr>
      <w:keepNext/>
      <w:keepLines/>
      <w:numPr>
        <w:ilvl w:val="1"/>
        <w:numId w:val="4"/>
      </w:numPr>
      <w:spacing w:before="40"/>
      <w:outlineLvl w:val="1"/>
    </w:pPr>
    <w:rPr>
      <w:rFonts w:asciiTheme="majorHAnsi" w:eastAsiaTheme="majorEastAsia" w:hAnsiTheme="majorHAnsi" w:cstheme="majorBidi"/>
      <w:color w:val="365F91" w:themeColor="accent1" w:themeShade="BF"/>
      <w:sz w:val="26"/>
      <w:szCs w:val="26"/>
      <w:lang w:val="en-GB" w:eastAsia="en-US"/>
    </w:rPr>
  </w:style>
  <w:style w:type="paragraph" w:styleId="Heading3">
    <w:name w:val="heading 3"/>
    <w:basedOn w:val="Normal"/>
    <w:next w:val="Normal"/>
    <w:link w:val="Heading3Char"/>
    <w:uiPriority w:val="9"/>
    <w:unhideWhenUsed/>
    <w:qFormat/>
    <w:rsid w:val="00642245"/>
    <w:pPr>
      <w:keepNext/>
      <w:keepLines/>
      <w:numPr>
        <w:ilvl w:val="2"/>
        <w:numId w:val="4"/>
      </w:numPr>
      <w:spacing w:before="240"/>
      <w:outlineLvl w:val="2"/>
    </w:pPr>
    <w:rPr>
      <w:rFonts w:asciiTheme="majorHAnsi" w:eastAsiaTheme="majorEastAsia" w:hAnsiTheme="majorHAnsi" w:cstheme="majorBidi"/>
      <w:color w:val="243F60" w:themeColor="accent1" w:themeShade="7F"/>
      <w:szCs w:val="22"/>
      <w:lang w:val="en-GB" w:eastAsia="en-US"/>
    </w:rPr>
  </w:style>
  <w:style w:type="paragraph" w:styleId="Heading4">
    <w:name w:val="heading 4"/>
    <w:basedOn w:val="Normal"/>
    <w:next w:val="Normal"/>
    <w:link w:val="Heading4Char"/>
    <w:uiPriority w:val="9"/>
    <w:unhideWhenUsed/>
    <w:qFormat/>
    <w:rsid w:val="00642245"/>
    <w:pPr>
      <w:keepNext/>
      <w:keepLines/>
      <w:spacing w:before="40"/>
      <w:outlineLvl w:val="3"/>
    </w:pPr>
    <w:rPr>
      <w:rFonts w:asciiTheme="majorHAnsi" w:eastAsiaTheme="majorEastAsia" w:hAnsiTheme="majorHAnsi" w:cstheme="majorBidi"/>
      <w:i/>
      <w:iCs/>
      <w:color w:val="365F91" w:themeColor="accent1" w:themeShade="BF"/>
      <w:szCs w:val="22"/>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2245"/>
    <w:rPr>
      <w:rFonts w:ascii="Tahoma" w:eastAsiaTheme="minorHAnsi" w:hAnsi="Tahoma" w:cs="Tahoma"/>
      <w:sz w:val="16"/>
      <w:szCs w:val="16"/>
      <w:lang w:val="en-GB" w:eastAsia="en-US"/>
    </w:rPr>
  </w:style>
  <w:style w:type="character" w:customStyle="1" w:styleId="BalloonTextChar">
    <w:name w:val="Balloon Text Char"/>
    <w:basedOn w:val="DefaultParagraphFont"/>
    <w:link w:val="BalloonText"/>
    <w:uiPriority w:val="99"/>
    <w:semiHidden/>
    <w:rsid w:val="00642245"/>
    <w:rPr>
      <w:rFonts w:ascii="Tahoma" w:hAnsi="Tahoma" w:cs="Tahoma"/>
      <w:sz w:val="16"/>
      <w:szCs w:val="16"/>
      <w:lang w:val="en-GB"/>
    </w:rPr>
  </w:style>
  <w:style w:type="character" w:styleId="CommentReference">
    <w:name w:val="annotation reference"/>
    <w:basedOn w:val="DefaultParagraphFont"/>
    <w:uiPriority w:val="99"/>
    <w:semiHidden/>
    <w:unhideWhenUsed/>
    <w:rsid w:val="00642245"/>
    <w:rPr>
      <w:sz w:val="16"/>
      <w:szCs w:val="16"/>
    </w:rPr>
  </w:style>
  <w:style w:type="paragraph" w:styleId="CommentText">
    <w:name w:val="annotation text"/>
    <w:basedOn w:val="Normal"/>
    <w:link w:val="CommentTextChar"/>
    <w:uiPriority w:val="99"/>
    <w:unhideWhenUsed/>
    <w:rsid w:val="00642245"/>
    <w:rPr>
      <w:rFonts w:eastAsiaTheme="minorHAnsi" w:cstheme="minorBidi"/>
      <w:sz w:val="20"/>
      <w:szCs w:val="20"/>
      <w:lang w:val="en-GB" w:eastAsia="en-US"/>
    </w:rPr>
  </w:style>
  <w:style w:type="character" w:customStyle="1" w:styleId="CommentTextChar">
    <w:name w:val="Comment Text Char"/>
    <w:basedOn w:val="DefaultParagraphFont"/>
    <w:link w:val="CommentText"/>
    <w:uiPriority w:val="99"/>
    <w:rsid w:val="00642245"/>
    <w:rPr>
      <w:sz w:val="20"/>
      <w:szCs w:val="20"/>
      <w:lang w:val="en-GB"/>
    </w:rPr>
  </w:style>
  <w:style w:type="paragraph" w:styleId="CommentSubject">
    <w:name w:val="annotation subject"/>
    <w:basedOn w:val="CommentText"/>
    <w:next w:val="CommentText"/>
    <w:link w:val="CommentSubjectChar"/>
    <w:uiPriority w:val="99"/>
    <w:semiHidden/>
    <w:unhideWhenUsed/>
    <w:rsid w:val="00642245"/>
    <w:rPr>
      <w:b/>
      <w:bCs/>
    </w:rPr>
  </w:style>
  <w:style w:type="character" w:customStyle="1" w:styleId="CommentSubjectChar">
    <w:name w:val="Comment Subject Char"/>
    <w:basedOn w:val="CommentTextChar"/>
    <w:link w:val="CommentSubject"/>
    <w:uiPriority w:val="99"/>
    <w:semiHidden/>
    <w:rsid w:val="00642245"/>
    <w:rPr>
      <w:b/>
      <w:bCs/>
      <w:sz w:val="20"/>
      <w:szCs w:val="20"/>
      <w:lang w:val="en-GB"/>
    </w:rPr>
  </w:style>
  <w:style w:type="character" w:styleId="FollowedHyperlink">
    <w:name w:val="FollowedHyperlink"/>
    <w:basedOn w:val="DefaultParagraphFont"/>
    <w:uiPriority w:val="99"/>
    <w:semiHidden/>
    <w:unhideWhenUsed/>
    <w:rsid w:val="00642245"/>
    <w:rPr>
      <w:color w:val="800080" w:themeColor="followedHyperlink"/>
      <w:u w:val="single"/>
    </w:rPr>
  </w:style>
  <w:style w:type="paragraph" w:styleId="Footer">
    <w:name w:val="footer"/>
    <w:basedOn w:val="Normal"/>
    <w:link w:val="FooterChar"/>
    <w:uiPriority w:val="99"/>
    <w:unhideWhenUsed/>
    <w:rsid w:val="00642245"/>
    <w:pPr>
      <w:tabs>
        <w:tab w:val="center" w:pos="4513"/>
        <w:tab w:val="right" w:pos="9026"/>
      </w:tabs>
    </w:pPr>
    <w:rPr>
      <w:rFonts w:eastAsiaTheme="minorHAnsi" w:cstheme="minorBidi"/>
      <w:szCs w:val="22"/>
      <w:lang w:val="en-GB" w:eastAsia="en-US"/>
    </w:rPr>
  </w:style>
  <w:style w:type="character" w:customStyle="1" w:styleId="FooterChar">
    <w:name w:val="Footer Char"/>
    <w:basedOn w:val="DefaultParagraphFont"/>
    <w:link w:val="Footer"/>
    <w:uiPriority w:val="99"/>
    <w:rsid w:val="00642245"/>
    <w:rPr>
      <w:lang w:val="en-GB"/>
    </w:rPr>
  </w:style>
  <w:style w:type="character" w:styleId="FootnoteReference">
    <w:name w:val="footnote reference"/>
    <w:basedOn w:val="DefaultParagraphFont"/>
    <w:uiPriority w:val="99"/>
    <w:semiHidden/>
    <w:unhideWhenUsed/>
    <w:rsid w:val="00642245"/>
    <w:rPr>
      <w:vertAlign w:val="superscript"/>
    </w:rPr>
  </w:style>
  <w:style w:type="paragraph" w:styleId="FootnoteText">
    <w:name w:val="footnote text"/>
    <w:basedOn w:val="Normal"/>
    <w:link w:val="FootnoteTextChar"/>
    <w:uiPriority w:val="99"/>
    <w:unhideWhenUsed/>
    <w:rsid w:val="00642245"/>
    <w:rPr>
      <w:rFonts w:eastAsiaTheme="minorHAnsi" w:cstheme="minorBidi"/>
      <w:sz w:val="20"/>
      <w:szCs w:val="20"/>
      <w:lang w:val="en-GB" w:eastAsia="en-US"/>
    </w:rPr>
  </w:style>
  <w:style w:type="character" w:customStyle="1" w:styleId="FootnoteTextChar">
    <w:name w:val="Footnote Text Char"/>
    <w:basedOn w:val="DefaultParagraphFont"/>
    <w:link w:val="FootnoteText"/>
    <w:uiPriority w:val="99"/>
    <w:rsid w:val="00642245"/>
    <w:rPr>
      <w:sz w:val="20"/>
      <w:szCs w:val="20"/>
      <w:lang w:val="en-GB"/>
    </w:rPr>
  </w:style>
  <w:style w:type="paragraph" w:styleId="Header">
    <w:name w:val="header"/>
    <w:basedOn w:val="Normal"/>
    <w:link w:val="HeaderChar"/>
    <w:uiPriority w:val="99"/>
    <w:unhideWhenUsed/>
    <w:rsid w:val="00642245"/>
    <w:pPr>
      <w:tabs>
        <w:tab w:val="center" w:pos="4513"/>
        <w:tab w:val="right" w:pos="9026"/>
      </w:tabs>
    </w:pPr>
    <w:rPr>
      <w:rFonts w:eastAsiaTheme="minorHAnsi" w:cstheme="minorBidi"/>
      <w:szCs w:val="22"/>
      <w:lang w:val="en-GB" w:eastAsia="en-US"/>
    </w:rPr>
  </w:style>
  <w:style w:type="character" w:customStyle="1" w:styleId="HeaderChar">
    <w:name w:val="Header Char"/>
    <w:basedOn w:val="DefaultParagraphFont"/>
    <w:link w:val="Header"/>
    <w:uiPriority w:val="99"/>
    <w:rsid w:val="00642245"/>
    <w:rPr>
      <w:lang w:val="en-GB"/>
    </w:rPr>
  </w:style>
  <w:style w:type="character" w:customStyle="1" w:styleId="Heading1Char">
    <w:name w:val="Heading 1 Char"/>
    <w:basedOn w:val="DefaultParagraphFont"/>
    <w:link w:val="Heading1"/>
    <w:uiPriority w:val="9"/>
    <w:rsid w:val="00B70B27"/>
    <w:rPr>
      <w:rFonts w:asciiTheme="majorHAnsi" w:eastAsiaTheme="majorEastAsia" w:hAnsiTheme="majorHAnsi" w:cstheme="majorBidi"/>
      <w:b/>
      <w:bCs/>
      <w:color w:val="365F91" w:themeColor="accent1" w:themeShade="BF"/>
      <w:sz w:val="28"/>
      <w:szCs w:val="28"/>
      <w:lang w:val="en-GB"/>
    </w:rPr>
  </w:style>
  <w:style w:type="character" w:customStyle="1" w:styleId="Heading2Char">
    <w:name w:val="Heading 2 Char"/>
    <w:basedOn w:val="DefaultParagraphFont"/>
    <w:link w:val="Heading2"/>
    <w:uiPriority w:val="9"/>
    <w:rsid w:val="00642245"/>
    <w:rPr>
      <w:rFonts w:asciiTheme="majorHAnsi" w:eastAsiaTheme="majorEastAsia" w:hAnsiTheme="majorHAnsi" w:cstheme="majorBidi"/>
      <w:color w:val="365F91" w:themeColor="accent1" w:themeShade="BF"/>
      <w:sz w:val="26"/>
      <w:szCs w:val="26"/>
      <w:lang w:val="en-GB"/>
    </w:rPr>
  </w:style>
  <w:style w:type="character" w:customStyle="1" w:styleId="Heading3Char">
    <w:name w:val="Heading 3 Char"/>
    <w:basedOn w:val="DefaultParagraphFont"/>
    <w:link w:val="Heading3"/>
    <w:uiPriority w:val="9"/>
    <w:rsid w:val="00642245"/>
    <w:rPr>
      <w:rFonts w:asciiTheme="majorHAnsi" w:eastAsiaTheme="majorEastAsia" w:hAnsiTheme="majorHAnsi" w:cstheme="majorBidi"/>
      <w:color w:val="243F60" w:themeColor="accent1" w:themeShade="7F"/>
      <w:lang w:val="en-GB"/>
    </w:rPr>
  </w:style>
  <w:style w:type="character" w:customStyle="1" w:styleId="Heading4Char">
    <w:name w:val="Heading 4 Char"/>
    <w:basedOn w:val="DefaultParagraphFont"/>
    <w:link w:val="Heading4"/>
    <w:uiPriority w:val="9"/>
    <w:rsid w:val="00642245"/>
    <w:rPr>
      <w:rFonts w:asciiTheme="majorHAnsi" w:eastAsiaTheme="majorEastAsia" w:hAnsiTheme="majorHAnsi" w:cstheme="majorBidi"/>
      <w:i/>
      <w:iCs/>
      <w:color w:val="365F91" w:themeColor="accent1" w:themeShade="BF"/>
      <w:lang w:val="en-GB"/>
    </w:rPr>
  </w:style>
  <w:style w:type="character" w:styleId="Hyperlink">
    <w:name w:val="Hyperlink"/>
    <w:basedOn w:val="DefaultParagraphFont"/>
    <w:uiPriority w:val="99"/>
    <w:unhideWhenUsed/>
    <w:qFormat/>
    <w:rsid w:val="00642245"/>
    <w:rPr>
      <w:color w:val="0000FF" w:themeColor="hyperlink"/>
      <w:u w:val="single"/>
    </w:rPr>
  </w:style>
  <w:style w:type="paragraph" w:styleId="ListParagraph">
    <w:name w:val="List Paragraph"/>
    <w:basedOn w:val="Normal"/>
    <w:uiPriority w:val="34"/>
    <w:qFormat/>
    <w:rsid w:val="00642245"/>
    <w:pPr>
      <w:ind w:left="720"/>
    </w:pPr>
    <w:rPr>
      <w:rFonts w:eastAsiaTheme="minorHAnsi" w:cstheme="minorBidi"/>
      <w:szCs w:val="22"/>
      <w:lang w:val="en-GB" w:eastAsia="en-US"/>
    </w:rPr>
  </w:style>
  <w:style w:type="paragraph" w:styleId="NormalWeb">
    <w:name w:val="Normal (Web)"/>
    <w:basedOn w:val="Normal"/>
    <w:uiPriority w:val="99"/>
    <w:semiHidden/>
    <w:unhideWhenUsed/>
    <w:rsid w:val="00642245"/>
    <w:pPr>
      <w:spacing w:before="100" w:beforeAutospacing="1" w:after="100" w:afterAutospacing="1"/>
    </w:pPr>
    <w:rPr>
      <w:rFonts w:eastAsiaTheme="minorEastAsia"/>
      <w:szCs w:val="22"/>
      <w:lang w:val="en-GB" w:eastAsia="en-GB"/>
    </w:rPr>
  </w:style>
  <w:style w:type="paragraph" w:styleId="PlainText">
    <w:name w:val="Plain Text"/>
    <w:basedOn w:val="Normal"/>
    <w:link w:val="PlainTextChar"/>
    <w:uiPriority w:val="99"/>
    <w:unhideWhenUsed/>
    <w:rsid w:val="00642245"/>
    <w:rPr>
      <w:rFonts w:ascii="Calibri" w:eastAsiaTheme="minorHAnsi" w:hAnsi="Calibri" w:cstheme="minorBidi"/>
      <w:szCs w:val="21"/>
      <w:lang w:val="en-GB" w:eastAsia="en-US"/>
    </w:rPr>
  </w:style>
  <w:style w:type="character" w:customStyle="1" w:styleId="PlainTextChar">
    <w:name w:val="Plain Text Char"/>
    <w:basedOn w:val="DefaultParagraphFont"/>
    <w:link w:val="PlainText"/>
    <w:uiPriority w:val="99"/>
    <w:rsid w:val="00642245"/>
    <w:rPr>
      <w:rFonts w:ascii="Calibri" w:hAnsi="Calibri"/>
      <w:szCs w:val="21"/>
      <w:lang w:val="en-GB"/>
    </w:rPr>
  </w:style>
  <w:style w:type="table" w:styleId="TableGrid">
    <w:name w:val="Table Grid"/>
    <w:basedOn w:val="TableNormal"/>
    <w:uiPriority w:val="39"/>
    <w:rsid w:val="00642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642245"/>
    <w:pPr>
      <w:contextualSpacing/>
    </w:pPr>
    <w:rPr>
      <w:rFonts w:asciiTheme="majorHAnsi" w:eastAsiaTheme="majorEastAsia" w:hAnsiTheme="majorHAnsi" w:cstheme="majorBidi"/>
      <w:b/>
      <w:spacing w:val="-10"/>
      <w:kern w:val="28"/>
      <w:sz w:val="36"/>
      <w:szCs w:val="36"/>
      <w:lang w:val="en-GB" w:eastAsia="en-US"/>
    </w:rPr>
  </w:style>
  <w:style w:type="character" w:customStyle="1" w:styleId="TitleChar">
    <w:name w:val="Title Char"/>
    <w:basedOn w:val="DefaultParagraphFont"/>
    <w:link w:val="Title"/>
    <w:uiPriority w:val="10"/>
    <w:rsid w:val="00642245"/>
    <w:rPr>
      <w:rFonts w:asciiTheme="majorHAnsi" w:eastAsiaTheme="majorEastAsia" w:hAnsiTheme="majorHAnsi" w:cstheme="majorBidi"/>
      <w:b/>
      <w:spacing w:val="-10"/>
      <w:kern w:val="28"/>
      <w:sz w:val="36"/>
      <w:szCs w:val="36"/>
      <w:lang w:val="en-GB"/>
    </w:rPr>
  </w:style>
  <w:style w:type="character" w:styleId="UnresolvedMention">
    <w:name w:val="Unresolved Mention"/>
    <w:basedOn w:val="DefaultParagraphFont"/>
    <w:uiPriority w:val="99"/>
    <w:semiHidden/>
    <w:unhideWhenUsed/>
    <w:rsid w:val="00642245"/>
    <w:rPr>
      <w:color w:val="808080"/>
      <w:shd w:val="clear" w:color="auto" w:fill="E6E6E6"/>
    </w:rPr>
  </w:style>
  <w:style w:type="character" w:customStyle="1" w:styleId="UnresolvedMention1">
    <w:name w:val="Unresolved Mention1"/>
    <w:basedOn w:val="DefaultParagraphFont"/>
    <w:uiPriority w:val="99"/>
    <w:semiHidden/>
    <w:unhideWhenUsed/>
    <w:rsid w:val="00642245"/>
    <w:rPr>
      <w:color w:val="808080"/>
      <w:shd w:val="clear" w:color="auto" w:fill="E6E6E6"/>
    </w:rPr>
  </w:style>
  <w:style w:type="paragraph" w:styleId="Caption">
    <w:name w:val="caption"/>
    <w:basedOn w:val="Normal"/>
    <w:next w:val="Normal"/>
    <w:uiPriority w:val="35"/>
    <w:unhideWhenUsed/>
    <w:qFormat/>
    <w:rsid w:val="001068D0"/>
    <w:pPr>
      <w:spacing w:after="200"/>
    </w:pPr>
    <w:rPr>
      <w:rFonts w:eastAsiaTheme="minorHAnsi" w:cstheme="minorBidi"/>
      <w:i/>
      <w:iCs/>
      <w:color w:val="1F497D" w:themeColor="text2"/>
      <w:sz w:val="18"/>
      <w:szCs w:val="18"/>
      <w:lang w:val="en-GB" w:eastAsia="en-US"/>
    </w:rPr>
  </w:style>
  <w:style w:type="table" w:styleId="ListTable4-Accent1">
    <w:name w:val="List Table 4 Accent 1"/>
    <w:basedOn w:val="TableNormal"/>
    <w:uiPriority w:val="49"/>
    <w:rsid w:val="00096FD0"/>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1">
    <w:name w:val="Grid Table 4 Accent 1"/>
    <w:basedOn w:val="TableNormal"/>
    <w:uiPriority w:val="49"/>
    <w:rsid w:val="00096FD0"/>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Revision">
    <w:name w:val="Revision"/>
    <w:hidden/>
    <w:uiPriority w:val="99"/>
    <w:semiHidden/>
    <w:rsid w:val="00CF3BAC"/>
    <w:pPr>
      <w:spacing w:after="0" w:line="240" w:lineRule="auto"/>
    </w:pPr>
    <w:rPr>
      <w:lang w:val="en-GB"/>
    </w:rPr>
  </w:style>
  <w:style w:type="table" w:customStyle="1" w:styleId="TableGrid1">
    <w:name w:val="Table Grid1"/>
    <w:basedOn w:val="TableNormal"/>
    <w:next w:val="TableGrid"/>
    <w:rsid w:val="00820C2D"/>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3433F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3433F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01050">
      <w:bodyDiv w:val="1"/>
      <w:marLeft w:val="0"/>
      <w:marRight w:val="0"/>
      <w:marTop w:val="0"/>
      <w:marBottom w:val="0"/>
      <w:divBdr>
        <w:top w:val="none" w:sz="0" w:space="0" w:color="auto"/>
        <w:left w:val="none" w:sz="0" w:space="0" w:color="auto"/>
        <w:bottom w:val="none" w:sz="0" w:space="0" w:color="auto"/>
        <w:right w:val="none" w:sz="0" w:space="0" w:color="auto"/>
      </w:divBdr>
    </w:div>
    <w:div w:id="184440826">
      <w:bodyDiv w:val="1"/>
      <w:marLeft w:val="0"/>
      <w:marRight w:val="0"/>
      <w:marTop w:val="0"/>
      <w:marBottom w:val="0"/>
      <w:divBdr>
        <w:top w:val="none" w:sz="0" w:space="0" w:color="auto"/>
        <w:left w:val="none" w:sz="0" w:space="0" w:color="auto"/>
        <w:bottom w:val="none" w:sz="0" w:space="0" w:color="auto"/>
        <w:right w:val="none" w:sz="0" w:space="0" w:color="auto"/>
      </w:divBdr>
    </w:div>
    <w:div w:id="349527703">
      <w:bodyDiv w:val="1"/>
      <w:marLeft w:val="0"/>
      <w:marRight w:val="0"/>
      <w:marTop w:val="0"/>
      <w:marBottom w:val="0"/>
      <w:divBdr>
        <w:top w:val="none" w:sz="0" w:space="0" w:color="auto"/>
        <w:left w:val="none" w:sz="0" w:space="0" w:color="auto"/>
        <w:bottom w:val="none" w:sz="0" w:space="0" w:color="auto"/>
        <w:right w:val="none" w:sz="0" w:space="0" w:color="auto"/>
      </w:divBdr>
    </w:div>
    <w:div w:id="356665308">
      <w:bodyDiv w:val="1"/>
      <w:marLeft w:val="0"/>
      <w:marRight w:val="0"/>
      <w:marTop w:val="0"/>
      <w:marBottom w:val="0"/>
      <w:divBdr>
        <w:top w:val="none" w:sz="0" w:space="0" w:color="auto"/>
        <w:left w:val="none" w:sz="0" w:space="0" w:color="auto"/>
        <w:bottom w:val="none" w:sz="0" w:space="0" w:color="auto"/>
        <w:right w:val="none" w:sz="0" w:space="0" w:color="auto"/>
      </w:divBdr>
    </w:div>
    <w:div w:id="362677986">
      <w:bodyDiv w:val="1"/>
      <w:marLeft w:val="0"/>
      <w:marRight w:val="0"/>
      <w:marTop w:val="0"/>
      <w:marBottom w:val="0"/>
      <w:divBdr>
        <w:top w:val="none" w:sz="0" w:space="0" w:color="auto"/>
        <w:left w:val="none" w:sz="0" w:space="0" w:color="auto"/>
        <w:bottom w:val="none" w:sz="0" w:space="0" w:color="auto"/>
        <w:right w:val="none" w:sz="0" w:space="0" w:color="auto"/>
      </w:divBdr>
    </w:div>
    <w:div w:id="422260650">
      <w:bodyDiv w:val="1"/>
      <w:marLeft w:val="0"/>
      <w:marRight w:val="0"/>
      <w:marTop w:val="0"/>
      <w:marBottom w:val="0"/>
      <w:divBdr>
        <w:top w:val="none" w:sz="0" w:space="0" w:color="auto"/>
        <w:left w:val="none" w:sz="0" w:space="0" w:color="auto"/>
        <w:bottom w:val="none" w:sz="0" w:space="0" w:color="auto"/>
        <w:right w:val="none" w:sz="0" w:space="0" w:color="auto"/>
      </w:divBdr>
    </w:div>
    <w:div w:id="432820476">
      <w:bodyDiv w:val="1"/>
      <w:marLeft w:val="0"/>
      <w:marRight w:val="0"/>
      <w:marTop w:val="0"/>
      <w:marBottom w:val="0"/>
      <w:divBdr>
        <w:top w:val="none" w:sz="0" w:space="0" w:color="auto"/>
        <w:left w:val="none" w:sz="0" w:space="0" w:color="auto"/>
        <w:bottom w:val="none" w:sz="0" w:space="0" w:color="auto"/>
        <w:right w:val="none" w:sz="0" w:space="0" w:color="auto"/>
      </w:divBdr>
    </w:div>
    <w:div w:id="888879010">
      <w:bodyDiv w:val="1"/>
      <w:marLeft w:val="0"/>
      <w:marRight w:val="0"/>
      <w:marTop w:val="0"/>
      <w:marBottom w:val="0"/>
      <w:divBdr>
        <w:top w:val="none" w:sz="0" w:space="0" w:color="auto"/>
        <w:left w:val="none" w:sz="0" w:space="0" w:color="auto"/>
        <w:bottom w:val="none" w:sz="0" w:space="0" w:color="auto"/>
        <w:right w:val="none" w:sz="0" w:space="0" w:color="auto"/>
      </w:divBdr>
    </w:div>
    <w:div w:id="890773003">
      <w:bodyDiv w:val="1"/>
      <w:marLeft w:val="0"/>
      <w:marRight w:val="0"/>
      <w:marTop w:val="0"/>
      <w:marBottom w:val="0"/>
      <w:divBdr>
        <w:top w:val="none" w:sz="0" w:space="0" w:color="auto"/>
        <w:left w:val="none" w:sz="0" w:space="0" w:color="auto"/>
        <w:bottom w:val="none" w:sz="0" w:space="0" w:color="auto"/>
        <w:right w:val="none" w:sz="0" w:space="0" w:color="auto"/>
      </w:divBdr>
    </w:div>
    <w:div w:id="892690515">
      <w:bodyDiv w:val="1"/>
      <w:marLeft w:val="0"/>
      <w:marRight w:val="0"/>
      <w:marTop w:val="0"/>
      <w:marBottom w:val="0"/>
      <w:divBdr>
        <w:top w:val="none" w:sz="0" w:space="0" w:color="auto"/>
        <w:left w:val="none" w:sz="0" w:space="0" w:color="auto"/>
        <w:bottom w:val="none" w:sz="0" w:space="0" w:color="auto"/>
        <w:right w:val="none" w:sz="0" w:space="0" w:color="auto"/>
      </w:divBdr>
    </w:div>
    <w:div w:id="1012103486">
      <w:bodyDiv w:val="1"/>
      <w:marLeft w:val="0"/>
      <w:marRight w:val="0"/>
      <w:marTop w:val="0"/>
      <w:marBottom w:val="0"/>
      <w:divBdr>
        <w:top w:val="none" w:sz="0" w:space="0" w:color="auto"/>
        <w:left w:val="none" w:sz="0" w:space="0" w:color="auto"/>
        <w:bottom w:val="none" w:sz="0" w:space="0" w:color="auto"/>
        <w:right w:val="none" w:sz="0" w:space="0" w:color="auto"/>
      </w:divBdr>
    </w:div>
    <w:div w:id="1137987768">
      <w:bodyDiv w:val="1"/>
      <w:marLeft w:val="0"/>
      <w:marRight w:val="0"/>
      <w:marTop w:val="0"/>
      <w:marBottom w:val="0"/>
      <w:divBdr>
        <w:top w:val="none" w:sz="0" w:space="0" w:color="auto"/>
        <w:left w:val="none" w:sz="0" w:space="0" w:color="auto"/>
        <w:bottom w:val="none" w:sz="0" w:space="0" w:color="auto"/>
        <w:right w:val="none" w:sz="0" w:space="0" w:color="auto"/>
      </w:divBdr>
      <w:divsChild>
        <w:div w:id="520777688">
          <w:marLeft w:val="360"/>
          <w:marRight w:val="0"/>
          <w:marTop w:val="200"/>
          <w:marBottom w:val="0"/>
          <w:divBdr>
            <w:top w:val="none" w:sz="0" w:space="0" w:color="auto"/>
            <w:left w:val="none" w:sz="0" w:space="0" w:color="auto"/>
            <w:bottom w:val="none" w:sz="0" w:space="0" w:color="auto"/>
            <w:right w:val="none" w:sz="0" w:space="0" w:color="auto"/>
          </w:divBdr>
        </w:div>
        <w:div w:id="943079845">
          <w:marLeft w:val="360"/>
          <w:marRight w:val="0"/>
          <w:marTop w:val="200"/>
          <w:marBottom w:val="0"/>
          <w:divBdr>
            <w:top w:val="none" w:sz="0" w:space="0" w:color="auto"/>
            <w:left w:val="none" w:sz="0" w:space="0" w:color="auto"/>
            <w:bottom w:val="none" w:sz="0" w:space="0" w:color="auto"/>
            <w:right w:val="none" w:sz="0" w:space="0" w:color="auto"/>
          </w:divBdr>
        </w:div>
        <w:div w:id="2077169660">
          <w:marLeft w:val="1166"/>
          <w:marRight w:val="0"/>
          <w:marTop w:val="100"/>
          <w:marBottom w:val="0"/>
          <w:divBdr>
            <w:top w:val="none" w:sz="0" w:space="0" w:color="auto"/>
            <w:left w:val="none" w:sz="0" w:space="0" w:color="auto"/>
            <w:bottom w:val="none" w:sz="0" w:space="0" w:color="auto"/>
            <w:right w:val="none" w:sz="0" w:space="0" w:color="auto"/>
          </w:divBdr>
        </w:div>
        <w:div w:id="270475200">
          <w:marLeft w:val="1166"/>
          <w:marRight w:val="0"/>
          <w:marTop w:val="100"/>
          <w:marBottom w:val="0"/>
          <w:divBdr>
            <w:top w:val="none" w:sz="0" w:space="0" w:color="auto"/>
            <w:left w:val="none" w:sz="0" w:space="0" w:color="auto"/>
            <w:bottom w:val="none" w:sz="0" w:space="0" w:color="auto"/>
            <w:right w:val="none" w:sz="0" w:space="0" w:color="auto"/>
          </w:divBdr>
        </w:div>
        <w:div w:id="1509370733">
          <w:marLeft w:val="360"/>
          <w:marRight w:val="0"/>
          <w:marTop w:val="200"/>
          <w:marBottom w:val="0"/>
          <w:divBdr>
            <w:top w:val="none" w:sz="0" w:space="0" w:color="auto"/>
            <w:left w:val="none" w:sz="0" w:space="0" w:color="auto"/>
            <w:bottom w:val="none" w:sz="0" w:space="0" w:color="auto"/>
            <w:right w:val="none" w:sz="0" w:space="0" w:color="auto"/>
          </w:divBdr>
        </w:div>
        <w:div w:id="309601290">
          <w:marLeft w:val="360"/>
          <w:marRight w:val="0"/>
          <w:marTop w:val="200"/>
          <w:marBottom w:val="0"/>
          <w:divBdr>
            <w:top w:val="none" w:sz="0" w:space="0" w:color="auto"/>
            <w:left w:val="none" w:sz="0" w:space="0" w:color="auto"/>
            <w:bottom w:val="none" w:sz="0" w:space="0" w:color="auto"/>
            <w:right w:val="none" w:sz="0" w:space="0" w:color="auto"/>
          </w:divBdr>
        </w:div>
        <w:div w:id="543636673">
          <w:marLeft w:val="360"/>
          <w:marRight w:val="0"/>
          <w:marTop w:val="200"/>
          <w:marBottom w:val="0"/>
          <w:divBdr>
            <w:top w:val="none" w:sz="0" w:space="0" w:color="auto"/>
            <w:left w:val="none" w:sz="0" w:space="0" w:color="auto"/>
            <w:bottom w:val="none" w:sz="0" w:space="0" w:color="auto"/>
            <w:right w:val="none" w:sz="0" w:space="0" w:color="auto"/>
          </w:divBdr>
        </w:div>
      </w:divsChild>
    </w:div>
    <w:div w:id="1172331694">
      <w:bodyDiv w:val="1"/>
      <w:marLeft w:val="0"/>
      <w:marRight w:val="0"/>
      <w:marTop w:val="0"/>
      <w:marBottom w:val="0"/>
      <w:divBdr>
        <w:top w:val="none" w:sz="0" w:space="0" w:color="auto"/>
        <w:left w:val="none" w:sz="0" w:space="0" w:color="auto"/>
        <w:bottom w:val="none" w:sz="0" w:space="0" w:color="auto"/>
        <w:right w:val="none" w:sz="0" w:space="0" w:color="auto"/>
      </w:divBdr>
    </w:div>
    <w:div w:id="1200358860">
      <w:bodyDiv w:val="1"/>
      <w:marLeft w:val="0"/>
      <w:marRight w:val="0"/>
      <w:marTop w:val="0"/>
      <w:marBottom w:val="0"/>
      <w:divBdr>
        <w:top w:val="none" w:sz="0" w:space="0" w:color="auto"/>
        <w:left w:val="none" w:sz="0" w:space="0" w:color="auto"/>
        <w:bottom w:val="none" w:sz="0" w:space="0" w:color="auto"/>
        <w:right w:val="none" w:sz="0" w:space="0" w:color="auto"/>
      </w:divBdr>
    </w:div>
    <w:div w:id="1240019828">
      <w:bodyDiv w:val="1"/>
      <w:marLeft w:val="0"/>
      <w:marRight w:val="0"/>
      <w:marTop w:val="0"/>
      <w:marBottom w:val="0"/>
      <w:divBdr>
        <w:top w:val="none" w:sz="0" w:space="0" w:color="auto"/>
        <w:left w:val="none" w:sz="0" w:space="0" w:color="auto"/>
        <w:bottom w:val="none" w:sz="0" w:space="0" w:color="auto"/>
        <w:right w:val="none" w:sz="0" w:space="0" w:color="auto"/>
      </w:divBdr>
    </w:div>
    <w:div w:id="1257441429">
      <w:bodyDiv w:val="1"/>
      <w:marLeft w:val="0"/>
      <w:marRight w:val="0"/>
      <w:marTop w:val="0"/>
      <w:marBottom w:val="0"/>
      <w:divBdr>
        <w:top w:val="none" w:sz="0" w:space="0" w:color="auto"/>
        <w:left w:val="none" w:sz="0" w:space="0" w:color="auto"/>
        <w:bottom w:val="none" w:sz="0" w:space="0" w:color="auto"/>
        <w:right w:val="none" w:sz="0" w:space="0" w:color="auto"/>
      </w:divBdr>
    </w:div>
    <w:div w:id="1325890359">
      <w:bodyDiv w:val="1"/>
      <w:marLeft w:val="0"/>
      <w:marRight w:val="0"/>
      <w:marTop w:val="0"/>
      <w:marBottom w:val="0"/>
      <w:divBdr>
        <w:top w:val="none" w:sz="0" w:space="0" w:color="auto"/>
        <w:left w:val="none" w:sz="0" w:space="0" w:color="auto"/>
        <w:bottom w:val="none" w:sz="0" w:space="0" w:color="auto"/>
        <w:right w:val="none" w:sz="0" w:space="0" w:color="auto"/>
      </w:divBdr>
    </w:div>
    <w:div w:id="1391883620">
      <w:bodyDiv w:val="1"/>
      <w:marLeft w:val="0"/>
      <w:marRight w:val="0"/>
      <w:marTop w:val="0"/>
      <w:marBottom w:val="0"/>
      <w:divBdr>
        <w:top w:val="none" w:sz="0" w:space="0" w:color="auto"/>
        <w:left w:val="none" w:sz="0" w:space="0" w:color="auto"/>
        <w:bottom w:val="none" w:sz="0" w:space="0" w:color="auto"/>
        <w:right w:val="none" w:sz="0" w:space="0" w:color="auto"/>
      </w:divBdr>
      <w:divsChild>
        <w:div w:id="920218339">
          <w:marLeft w:val="360"/>
          <w:marRight w:val="0"/>
          <w:marTop w:val="200"/>
          <w:marBottom w:val="0"/>
          <w:divBdr>
            <w:top w:val="none" w:sz="0" w:space="0" w:color="auto"/>
            <w:left w:val="none" w:sz="0" w:space="0" w:color="auto"/>
            <w:bottom w:val="none" w:sz="0" w:space="0" w:color="auto"/>
            <w:right w:val="none" w:sz="0" w:space="0" w:color="auto"/>
          </w:divBdr>
        </w:div>
        <w:div w:id="532502825">
          <w:marLeft w:val="360"/>
          <w:marRight w:val="0"/>
          <w:marTop w:val="200"/>
          <w:marBottom w:val="0"/>
          <w:divBdr>
            <w:top w:val="none" w:sz="0" w:space="0" w:color="auto"/>
            <w:left w:val="none" w:sz="0" w:space="0" w:color="auto"/>
            <w:bottom w:val="none" w:sz="0" w:space="0" w:color="auto"/>
            <w:right w:val="none" w:sz="0" w:space="0" w:color="auto"/>
          </w:divBdr>
        </w:div>
        <w:div w:id="280379425">
          <w:marLeft w:val="360"/>
          <w:marRight w:val="0"/>
          <w:marTop w:val="200"/>
          <w:marBottom w:val="0"/>
          <w:divBdr>
            <w:top w:val="none" w:sz="0" w:space="0" w:color="auto"/>
            <w:left w:val="none" w:sz="0" w:space="0" w:color="auto"/>
            <w:bottom w:val="none" w:sz="0" w:space="0" w:color="auto"/>
            <w:right w:val="none" w:sz="0" w:space="0" w:color="auto"/>
          </w:divBdr>
        </w:div>
        <w:div w:id="789321413">
          <w:marLeft w:val="360"/>
          <w:marRight w:val="0"/>
          <w:marTop w:val="200"/>
          <w:marBottom w:val="0"/>
          <w:divBdr>
            <w:top w:val="none" w:sz="0" w:space="0" w:color="auto"/>
            <w:left w:val="none" w:sz="0" w:space="0" w:color="auto"/>
            <w:bottom w:val="none" w:sz="0" w:space="0" w:color="auto"/>
            <w:right w:val="none" w:sz="0" w:space="0" w:color="auto"/>
          </w:divBdr>
        </w:div>
        <w:div w:id="338626856">
          <w:marLeft w:val="360"/>
          <w:marRight w:val="0"/>
          <w:marTop w:val="200"/>
          <w:marBottom w:val="0"/>
          <w:divBdr>
            <w:top w:val="none" w:sz="0" w:space="0" w:color="auto"/>
            <w:left w:val="none" w:sz="0" w:space="0" w:color="auto"/>
            <w:bottom w:val="none" w:sz="0" w:space="0" w:color="auto"/>
            <w:right w:val="none" w:sz="0" w:space="0" w:color="auto"/>
          </w:divBdr>
        </w:div>
      </w:divsChild>
    </w:div>
    <w:div w:id="1489712116">
      <w:bodyDiv w:val="1"/>
      <w:marLeft w:val="0"/>
      <w:marRight w:val="0"/>
      <w:marTop w:val="0"/>
      <w:marBottom w:val="0"/>
      <w:divBdr>
        <w:top w:val="none" w:sz="0" w:space="0" w:color="auto"/>
        <w:left w:val="none" w:sz="0" w:space="0" w:color="auto"/>
        <w:bottom w:val="none" w:sz="0" w:space="0" w:color="auto"/>
        <w:right w:val="none" w:sz="0" w:space="0" w:color="auto"/>
      </w:divBdr>
    </w:div>
    <w:div w:id="1558082050">
      <w:bodyDiv w:val="1"/>
      <w:marLeft w:val="0"/>
      <w:marRight w:val="0"/>
      <w:marTop w:val="0"/>
      <w:marBottom w:val="0"/>
      <w:divBdr>
        <w:top w:val="none" w:sz="0" w:space="0" w:color="auto"/>
        <w:left w:val="none" w:sz="0" w:space="0" w:color="auto"/>
        <w:bottom w:val="none" w:sz="0" w:space="0" w:color="auto"/>
        <w:right w:val="none" w:sz="0" w:space="0" w:color="auto"/>
      </w:divBdr>
      <w:divsChild>
        <w:div w:id="1488354821">
          <w:marLeft w:val="0"/>
          <w:marRight w:val="0"/>
          <w:marTop w:val="0"/>
          <w:marBottom w:val="0"/>
          <w:divBdr>
            <w:top w:val="none" w:sz="0" w:space="0" w:color="auto"/>
            <w:left w:val="none" w:sz="0" w:space="0" w:color="auto"/>
            <w:bottom w:val="none" w:sz="0" w:space="0" w:color="auto"/>
            <w:right w:val="none" w:sz="0" w:space="0" w:color="auto"/>
          </w:divBdr>
        </w:div>
        <w:div w:id="1069422107">
          <w:marLeft w:val="0"/>
          <w:marRight w:val="0"/>
          <w:marTop w:val="0"/>
          <w:marBottom w:val="0"/>
          <w:divBdr>
            <w:top w:val="none" w:sz="0" w:space="0" w:color="auto"/>
            <w:left w:val="none" w:sz="0" w:space="0" w:color="auto"/>
            <w:bottom w:val="none" w:sz="0" w:space="0" w:color="auto"/>
            <w:right w:val="none" w:sz="0" w:space="0" w:color="auto"/>
          </w:divBdr>
        </w:div>
        <w:div w:id="425350639">
          <w:marLeft w:val="0"/>
          <w:marRight w:val="0"/>
          <w:marTop w:val="0"/>
          <w:marBottom w:val="0"/>
          <w:divBdr>
            <w:top w:val="none" w:sz="0" w:space="0" w:color="auto"/>
            <w:left w:val="none" w:sz="0" w:space="0" w:color="auto"/>
            <w:bottom w:val="none" w:sz="0" w:space="0" w:color="auto"/>
            <w:right w:val="none" w:sz="0" w:space="0" w:color="auto"/>
          </w:divBdr>
        </w:div>
      </w:divsChild>
    </w:div>
    <w:div w:id="1673559115">
      <w:bodyDiv w:val="1"/>
      <w:marLeft w:val="0"/>
      <w:marRight w:val="0"/>
      <w:marTop w:val="0"/>
      <w:marBottom w:val="0"/>
      <w:divBdr>
        <w:top w:val="none" w:sz="0" w:space="0" w:color="auto"/>
        <w:left w:val="none" w:sz="0" w:space="0" w:color="auto"/>
        <w:bottom w:val="none" w:sz="0" w:space="0" w:color="auto"/>
        <w:right w:val="none" w:sz="0" w:space="0" w:color="auto"/>
      </w:divBdr>
      <w:divsChild>
        <w:div w:id="2041543828">
          <w:marLeft w:val="0"/>
          <w:marRight w:val="0"/>
          <w:marTop w:val="0"/>
          <w:marBottom w:val="0"/>
          <w:divBdr>
            <w:top w:val="none" w:sz="0" w:space="0" w:color="auto"/>
            <w:left w:val="none" w:sz="0" w:space="0" w:color="auto"/>
            <w:bottom w:val="none" w:sz="0" w:space="0" w:color="auto"/>
            <w:right w:val="none" w:sz="0" w:space="0" w:color="auto"/>
          </w:divBdr>
        </w:div>
        <w:div w:id="2027749545">
          <w:marLeft w:val="0"/>
          <w:marRight w:val="0"/>
          <w:marTop w:val="0"/>
          <w:marBottom w:val="0"/>
          <w:divBdr>
            <w:top w:val="none" w:sz="0" w:space="0" w:color="auto"/>
            <w:left w:val="none" w:sz="0" w:space="0" w:color="auto"/>
            <w:bottom w:val="none" w:sz="0" w:space="0" w:color="auto"/>
            <w:right w:val="none" w:sz="0" w:space="0" w:color="auto"/>
          </w:divBdr>
        </w:div>
        <w:div w:id="1852378546">
          <w:marLeft w:val="0"/>
          <w:marRight w:val="0"/>
          <w:marTop w:val="0"/>
          <w:marBottom w:val="0"/>
          <w:divBdr>
            <w:top w:val="none" w:sz="0" w:space="0" w:color="auto"/>
            <w:left w:val="none" w:sz="0" w:space="0" w:color="auto"/>
            <w:bottom w:val="none" w:sz="0" w:space="0" w:color="auto"/>
            <w:right w:val="none" w:sz="0" w:space="0" w:color="auto"/>
          </w:divBdr>
        </w:div>
      </w:divsChild>
    </w:div>
    <w:div w:id="1763211703">
      <w:bodyDiv w:val="1"/>
      <w:marLeft w:val="0"/>
      <w:marRight w:val="0"/>
      <w:marTop w:val="0"/>
      <w:marBottom w:val="0"/>
      <w:divBdr>
        <w:top w:val="none" w:sz="0" w:space="0" w:color="auto"/>
        <w:left w:val="none" w:sz="0" w:space="0" w:color="auto"/>
        <w:bottom w:val="none" w:sz="0" w:space="0" w:color="auto"/>
        <w:right w:val="none" w:sz="0" w:space="0" w:color="auto"/>
      </w:divBdr>
    </w:div>
    <w:div w:id="1882325207">
      <w:bodyDiv w:val="1"/>
      <w:marLeft w:val="0"/>
      <w:marRight w:val="0"/>
      <w:marTop w:val="0"/>
      <w:marBottom w:val="0"/>
      <w:divBdr>
        <w:top w:val="none" w:sz="0" w:space="0" w:color="auto"/>
        <w:left w:val="none" w:sz="0" w:space="0" w:color="auto"/>
        <w:bottom w:val="none" w:sz="0" w:space="0" w:color="auto"/>
        <w:right w:val="none" w:sz="0" w:space="0" w:color="auto"/>
      </w:divBdr>
    </w:div>
    <w:div w:id="1965699223">
      <w:bodyDiv w:val="1"/>
      <w:marLeft w:val="0"/>
      <w:marRight w:val="0"/>
      <w:marTop w:val="0"/>
      <w:marBottom w:val="0"/>
      <w:divBdr>
        <w:top w:val="none" w:sz="0" w:space="0" w:color="auto"/>
        <w:left w:val="none" w:sz="0" w:space="0" w:color="auto"/>
        <w:bottom w:val="none" w:sz="0" w:space="0" w:color="auto"/>
        <w:right w:val="none" w:sz="0" w:space="0" w:color="auto"/>
      </w:divBdr>
    </w:div>
    <w:div w:id="2062973437">
      <w:bodyDiv w:val="1"/>
      <w:marLeft w:val="0"/>
      <w:marRight w:val="0"/>
      <w:marTop w:val="0"/>
      <w:marBottom w:val="0"/>
      <w:divBdr>
        <w:top w:val="none" w:sz="0" w:space="0" w:color="auto"/>
        <w:left w:val="none" w:sz="0" w:space="0" w:color="auto"/>
        <w:bottom w:val="none" w:sz="0" w:space="0" w:color="auto"/>
        <w:right w:val="none" w:sz="0" w:space="0" w:color="auto"/>
      </w:divBdr>
      <w:divsChild>
        <w:div w:id="1827475812">
          <w:marLeft w:val="360"/>
          <w:marRight w:val="0"/>
          <w:marTop w:val="200"/>
          <w:marBottom w:val="0"/>
          <w:divBdr>
            <w:top w:val="none" w:sz="0" w:space="0" w:color="auto"/>
            <w:left w:val="none" w:sz="0" w:space="0" w:color="auto"/>
            <w:bottom w:val="none" w:sz="0" w:space="0" w:color="auto"/>
            <w:right w:val="none" w:sz="0" w:space="0" w:color="auto"/>
          </w:divBdr>
        </w:div>
        <w:div w:id="2083018481">
          <w:marLeft w:val="360"/>
          <w:marRight w:val="0"/>
          <w:marTop w:val="200"/>
          <w:marBottom w:val="0"/>
          <w:divBdr>
            <w:top w:val="none" w:sz="0" w:space="0" w:color="auto"/>
            <w:left w:val="none" w:sz="0" w:space="0" w:color="auto"/>
            <w:bottom w:val="none" w:sz="0" w:space="0" w:color="auto"/>
            <w:right w:val="none" w:sz="0" w:space="0" w:color="auto"/>
          </w:divBdr>
        </w:div>
      </w:divsChild>
    </w:div>
    <w:div w:id="2084252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armaud.sterckx@un-igrac.org" TargetMode="External"/><Relationship Id="rId18" Type="http://schemas.openxmlformats.org/officeDocument/2006/relationships/image" Target="media/image5.gif"/><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www.un-igrac.org" TargetMode="Externa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github.com/UNIGRAC/Global-Reporting-Groundwater-Level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S\Documents\Custom%20Office%20Templates\Template_IGRA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ff277171-c026-4a33-b878-f40c5abd78d4">
      <UserInfo>
        <DisplayName>Elie Gerges</DisplayName>
        <AccountId>12</AccountId>
        <AccountType/>
      </UserInfo>
      <UserInfo>
        <DisplayName>Elisabeth Lictevout</DisplayName>
        <AccountId>13</AccountId>
        <AccountType/>
      </UserInfo>
    </SharedWithUser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510789CCC8C9642AFE4C6BAF4AE4F59" ma:contentTypeVersion="5" ma:contentTypeDescription="Create a new document." ma:contentTypeScope="" ma:versionID="726c9605442f7f9ac2bac99422fc5d05">
  <xsd:schema xmlns:xsd="http://www.w3.org/2001/XMLSchema" xmlns:xs="http://www.w3.org/2001/XMLSchema" xmlns:p="http://schemas.microsoft.com/office/2006/metadata/properties" xmlns:ns2="2e550e51-938f-4050-a512-f0dc88701138" xmlns:ns3="ff277171-c026-4a33-b878-f40c5abd78d4" targetNamespace="http://schemas.microsoft.com/office/2006/metadata/properties" ma:root="true" ma:fieldsID="cb028478c3eed13753a065140cf0b7f3" ns2:_="" ns3:_="">
    <xsd:import namespace="2e550e51-938f-4050-a512-f0dc88701138"/>
    <xsd:import namespace="ff277171-c026-4a33-b878-f40c5abd78d4"/>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550e51-938f-4050-a512-f0dc887011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f277171-c026-4a33-b878-f40c5abd78d4"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B3D3F2D-0FAB-4511-B7EB-A93CDC952453}">
  <ds:schemaRefs>
    <ds:schemaRef ds:uri="http://schemas.openxmlformats.org/officeDocument/2006/bibliography"/>
  </ds:schemaRefs>
</ds:datastoreItem>
</file>

<file path=customXml/itemProps2.xml><?xml version="1.0" encoding="utf-8"?>
<ds:datastoreItem xmlns:ds="http://schemas.openxmlformats.org/officeDocument/2006/customXml" ds:itemID="{3189F029-5FC0-4D09-B52B-419F31712BB8}">
  <ds:schemaRefs>
    <ds:schemaRef ds:uri="http://schemas.microsoft.com/sharepoint/v3/contenttype/forms"/>
  </ds:schemaRefs>
</ds:datastoreItem>
</file>

<file path=customXml/itemProps3.xml><?xml version="1.0" encoding="utf-8"?>
<ds:datastoreItem xmlns:ds="http://schemas.openxmlformats.org/officeDocument/2006/customXml" ds:itemID="{F47E5CC7-4D01-4FD4-850C-5A6603987E5D}">
  <ds:schemaRefs>
    <ds:schemaRef ds:uri="http://schemas.microsoft.com/office/2006/metadata/properties"/>
    <ds:schemaRef ds:uri="http://schemas.microsoft.com/office/infopath/2007/PartnerControls"/>
    <ds:schemaRef ds:uri="ff277171-c026-4a33-b878-f40c5abd78d4"/>
  </ds:schemaRefs>
</ds:datastoreItem>
</file>

<file path=customXml/itemProps4.xml><?xml version="1.0" encoding="utf-8"?>
<ds:datastoreItem xmlns:ds="http://schemas.openxmlformats.org/officeDocument/2006/customXml" ds:itemID="{B1AC6BBF-5412-4F87-9FC5-471F96C0DE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550e51-938f-4050-a512-f0dc88701138"/>
    <ds:schemaRef ds:uri="ff277171-c026-4a33-b878-f40c5abd78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Template_IGRAC.dotx</Template>
  <TotalTime>0</TotalTime>
  <Pages>10</Pages>
  <Words>2177</Words>
  <Characters>12413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Admin-AS</dc:creator>
  <cp:keywords/>
  <dc:description/>
  <cp:lastModifiedBy>Arnaud Sterckx</cp:lastModifiedBy>
  <cp:revision>13</cp:revision>
  <cp:lastPrinted>2023-06-28T08:58:00Z</cp:lastPrinted>
  <dcterms:created xsi:type="dcterms:W3CDTF">2024-01-30T10:14:00Z</dcterms:created>
  <dcterms:modified xsi:type="dcterms:W3CDTF">2024-02-29T09:49:00Z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http://www.zotero.org/styles/science-of-the-total-environment</vt:lpwstr>
  </property>
  <property fmtid="{D5CDD505-2E9C-101B-9397-08002B2CF9AE}" pid="19" name="Mendeley Recent Style Name 8_1">
    <vt:lpwstr>Science of the Total Environment</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2401c8f7-f692-30c5-99e7-eebeafa04747</vt:lpwstr>
  </property>
  <property fmtid="{D5CDD505-2E9C-101B-9397-08002B2CF9AE}" pid="24" name="Mendeley Citation Style_1">
    <vt:lpwstr>http://www.zotero.org/styles/science-of-the-total-environment</vt:lpwstr>
  </property>
  <property fmtid="{D5CDD505-2E9C-101B-9397-08002B2CF9AE}" pid="25" name="ContentTypeId">
    <vt:lpwstr>0x0101005510789CCC8C9642AFE4C6BAF4AE4F59</vt:lpwstr>
  </property>
</Properties>
</file>