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pPr>
      <w:r>
        <w:rPr>
          <w:rFonts w:ascii="Arial" w:cs="Arial" w:eastAsia="Arial" w:hAnsi="Arial"/>
          <w:sz w:val="20"/>
          <w:szCs w:val="20"/>
        </w:rPr>
        <w:t xml:space="preserve"/>
      </w:r>
    </w:p>
    <w:p>
      <w:pPr>
        <w:spacing w:after="0" w:before="0" w:line="240"/>
      </w:pPr>
      <w:r>
        <w:rPr>
          <w:rFonts w:ascii="Arial" w:cs="Arial" w:eastAsia="Arial" w:hAnsi="Arial"/>
          <w:sz w:val="20"/>
          <w:szCs w:val="20"/>
        </w:rPr>
        <w:t xml:space="preserve"/>
      </w:r>
    </w:p>
    <w:p>
      <w:pPr>
        <w:spacing w:after="0" w:before="0" w:line="240"/>
      </w:pPr>
      <w:r>
        <w:rPr>
          <w:rFonts w:ascii="Arial" w:cs="Arial" w:eastAsia="Arial" w:hAnsi="Arial"/>
          <w:sz w:val="20"/>
          <w:szCs w:val="20"/>
        </w:rPr>
        <w:t xml:space="preserve"/>
      </w:r>
    </w:p>
    <w:p>
      <w:pPr>
        <w:spacing w:after="0" w:before="0" w:line="240"/>
      </w:pPr>
      <w:r>
        <w:rPr>
          <w:rFonts w:ascii="Arial" w:cs="Arial" w:eastAsia="Arial" w:hAnsi="Arial"/>
          <w:sz w:val="20"/>
          <w:szCs w:val="20"/>
        </w:rPr>
        <w:t xml:space="preserve"/>
      </w:r>
    </w:p>
    <w:p>
      <w:pPr>
        <w:spacing w:after="120" w:before="0"/>
        <w:jc w:val="center"/>
      </w:pPr>
      <w:r>
        <w:rPr>
          <w:rFonts w:ascii="Arial" w:cs="Arial" w:eastAsia="Arial" w:hAnsi="Arial"/>
          <w:b/>
          <w:bCs/>
          <w:color w:val="1F3864"/>
          <w:sz w:val="64"/>
          <w:szCs w:val="64"/>
        </w:rPr>
        <w:t xml:space="preserve">MobileKT</w:t>
      </w:r>
    </w:p>
    <w:p>
      <w:pPr>
        <w:spacing w:after="200" w:before="0"/>
        <w:jc w:val="center"/>
      </w:pPr>
      <w:r>
        <w:rPr>
          <w:rFonts w:ascii="Arial" w:cs="Arial" w:eastAsia="Arial" w:hAnsi="Arial"/>
          <w:i/>
          <w:iCs/>
          <w:color w:val="2E75B6"/>
          <w:sz w:val="32"/>
          <w:szCs w:val="32"/>
        </w:rPr>
        <w:t xml:space="preserve">Mobile-Optimized Knowledge Tracing Architecture</w:t>
      </w:r>
    </w:p>
    <w:p>
      <w:pPr>
        <w:pBdr>
          <w:bottom w:val="single" w:color="2E75B6" w:sz="12" w:space="2"/>
        </w:pBdr>
        <w:spacing w:after="320" w:before="0"/>
        <w:jc w:val="center"/>
      </w:pPr>
      <w:r>
        <w:rPr>
          <w:rFonts w:ascii="Arial" w:cs="Arial" w:eastAsia="Arial" w:hAnsi="Arial"/>
          <w:sz w:val="22"/>
          <w:szCs w:val="22"/>
        </w:rPr>
        <w:t xml:space="preserve"/>
      </w:r>
    </w:p>
    <w:p>
      <w:pPr>
        <w:spacing w:after="0" w:before="0" w:line="240"/>
      </w:pPr>
      <w:r>
        <w:rPr>
          <w:rFonts w:ascii="Arial" w:cs="Arial" w:eastAsia="Arial" w:hAnsi="Arial"/>
          <w:sz w:val="20"/>
          <w:szCs w:val="20"/>
        </w:rPr>
        <w:t xml:space="preserve"/>
      </w:r>
    </w:p>
    <w:p>
      <w:pPr>
        <w:spacing w:after="80" w:before="0"/>
        <w:jc w:val="center"/>
      </w:pPr>
      <w:r>
        <w:rPr>
          <w:rFonts w:ascii="Arial" w:cs="Arial" w:eastAsia="Arial" w:hAnsi="Arial"/>
          <w:b/>
          <w:bCs/>
          <w:color w:val="1F3864"/>
          <w:sz w:val="28"/>
          <w:szCs w:val="28"/>
        </w:rPr>
        <w:t xml:space="preserve">Technical Analysis Report</w:t>
      </w:r>
    </w:p>
    <w:p>
      <w:pPr>
        <w:spacing w:after="80" w:before="0"/>
        <w:jc w:val="center"/>
      </w:pPr>
      <w:r>
        <w:rPr>
          <w:rFonts w:ascii="Arial" w:cs="Arial" w:eastAsia="Arial" w:hAnsi="Arial"/>
          <w:color w:val="595959"/>
          <w:sz w:val="24"/>
          <w:szCs w:val="24"/>
        </w:rPr>
        <w:t xml:space="preserve">Comparative Study vs. SimpleKT, MIKT, and ReKT</w:t>
      </w:r>
    </w:p>
    <w:p>
      <w:pPr>
        <w:spacing w:after="80" w:before="0"/>
        <w:jc w:val="center"/>
      </w:pPr>
      <w:r>
        <w:rPr>
          <w:rFonts w:ascii="Arial" w:cs="Arial" w:eastAsia="Arial" w:hAnsi="Arial"/>
          <w:i/>
          <w:iCs/>
          <w:color w:val="595959"/>
          <w:sz w:val="22"/>
          <w:szCs w:val="22"/>
        </w:rPr>
        <w:t xml:space="preserve">Parameter Efficiency  |  Computational Complexity  |  Mobile Suitability</w:t>
      </w:r>
    </w:p>
    <w:p>
      <w:pPr>
        <w:spacing w:after="0" w:before="0" w:line="240"/>
      </w:pPr>
      <w:r>
        <w:rPr>
          <w:rFonts w:ascii="Arial" w:cs="Arial" w:eastAsia="Arial" w:hAnsi="Arial"/>
          <w:sz w:val="20"/>
          <w:szCs w:val="20"/>
        </w:rPr>
        <w:t xml:space="preserve"/>
      </w:r>
    </w:p>
    <w:p>
      <w:pPr>
        <w:spacing w:after="0" w:before="0" w:line="240"/>
      </w:pPr>
      <w:r>
        <w:rPr>
          <w:rFonts w:ascii="Arial" w:cs="Arial" w:eastAsia="Arial" w:hAnsi="Arial"/>
          <w:sz w:val="20"/>
          <w:szCs w:val="20"/>
        </w:rPr>
        <w:t xml:space="preserve"/>
      </w:r>
    </w:p>
    <w:p>
      <w:pPr>
        <w:spacing w:after="60" w:before="0"/>
        <w:jc w:val="center"/>
      </w:pPr>
      <w:r>
        <w:rPr>
          <w:rFonts w:ascii="Arial" w:cs="Arial" w:eastAsia="Arial" w:hAnsi="Arial"/>
          <w:color w:val="595959"/>
          <w:sz w:val="22"/>
          <w:szCs w:val="22"/>
        </w:rPr>
        <w:t xml:space="preserve">UnknownH  |  UNIST CSE 465 Mobile Computing</w:t>
      </w:r>
    </w:p>
    <w:p>
      <w:pPr>
        <w:spacing w:after="0" w:before="0"/>
        <w:jc w:val="center"/>
      </w:pPr>
      <w:r>
        <w:rPr>
          <w:rFonts w:ascii="Arial" w:cs="Arial" w:eastAsia="Arial" w:hAnsi="Arial"/>
          <w:color w:val="A6A6A6"/>
          <w:sz w:val="22"/>
          <w:szCs w:val="22"/>
        </w:rPr>
        <w:t xml:space="preserve">April 2026</w:t>
      </w:r>
    </w:p>
    <w:p>
      <w:r>
        <w:br w:type="page"/>
      </w:r>
    </w:p>
    <w:p>
      <w:pPr>
        <w:pStyle w:val="Heading1"/>
        <w:pBdr>
          <w:bottom w:val="single" w:color="2E75B6" w:sz="8" w:space="4"/>
        </w:pBdr>
        <w:spacing w:after="160" w:before="320"/>
      </w:pPr>
      <w:r>
        <w:rPr>
          <w:rFonts w:ascii="Arial" w:cs="Arial" w:eastAsia="Arial" w:hAnsi="Arial"/>
          <w:b/>
          <w:bCs/>
          <w:color w:val="1F3864"/>
          <w:sz w:val="32"/>
          <w:szCs w:val="32"/>
        </w:rPr>
        <w:t xml:space="preserve">1. Abstract</w:t>
      </w:r>
    </w:p>
    <w:p>
      <w:pPr>
        <w:spacing w:after="100" w:before="100" w:line="300"/>
        <w:jc w:val="left"/>
      </w:pPr>
      <w:r>
        <w:rPr>
          <w:rFonts w:ascii="Arial" w:cs="Arial" w:eastAsia="Arial" w:hAnsi="Arial"/>
          <w:b w:val="false"/>
          <w:bCs w:val="false"/>
          <w:i w:val="false"/>
          <w:iCs w:val="false"/>
          <w:color w:val="000000"/>
          <w:sz w:val="22"/>
          <w:szCs w:val="22"/>
        </w:rPr>
        <w:t xml:space="preserve">Knowledge Tracing (KT) aims to model a student's evolving knowledge state over time, enabling adaptive learning systems to predict performance on future questions. Existing state-of-the-art methods — including SimpleKT, MIKT, and ReKT — achieve strong predictive accuracy but rely on opaque hidden-state representations and require full server-side inference, making them unsuitable for privacy-preserving, low-latency mobile deployment.</w:t>
      </w:r>
    </w:p>
    <w:p>
      <w:pPr>
        <w:spacing w:after="100" w:before="60" w:line="300"/>
        <w:jc w:val="left"/>
      </w:pPr>
      <w:r>
        <w:rPr>
          <w:rFonts w:ascii="Arial" w:cs="Arial" w:eastAsia="Arial" w:hAnsi="Arial"/>
          <w:b w:val="false"/>
          <w:bCs w:val="false"/>
          <w:i w:val="false"/>
          <w:iCs w:val="false"/>
          <w:color w:val="000000"/>
          <w:sz w:val="22"/>
          <w:szCs w:val="22"/>
        </w:rPr>
        <w:t xml:space="preserve">This report presents </w:t>
      </w:r>
      <w:r>
        <w:rPr>
          <w:rFonts w:ascii="Arial" w:cs="Arial" w:eastAsia="Arial" w:hAnsi="Arial"/>
          <w:b/>
          <w:bCs/>
          <w:i w:val="false"/>
          <w:iCs w:val="false"/>
          <w:color w:val="000000"/>
          <w:sz w:val="22"/>
          <w:szCs w:val="22"/>
        </w:rPr>
        <w:t xml:space="preserve">MobileKT</w:t>
      </w:r>
      <w:r>
        <w:rPr>
          <w:rFonts w:ascii="Arial" w:cs="Arial" w:eastAsia="Arial" w:hAnsi="Arial"/>
          <w:b w:val="false"/>
          <w:bCs w:val="false"/>
          <w:i w:val="false"/>
          <w:iCs w:val="false"/>
          <w:color w:val="000000"/>
          <w:sz w:val="22"/>
          <w:szCs w:val="22"/>
        </w:rPr>
        <w:t xml:space="preserve">, a novel KT architecture explicitly designed for mobile on-device deployment. MobileKT introduces (1) a fully interpretable scalar knowledge state stored on-device, (2) a Temporal Basis Domain Embedding (DE) matrix that captures longitudinal learning trends without requiring inference-time parameter updates, and (3) a Cloud/Device split inference paradigm that preserves student privacy while minimizing on-device computational overhead. We provide detailed parameter analysis, FLOPs estimation, and mobile suitability benchmarks compared to three baseline KT systems.</w:t>
      </w:r>
    </w:p>
    <w:p>
      <w:pPr>
        <w:spacing w:after="0" w:before="0" w:line="240"/>
      </w:pPr>
      <w:r>
        <w:rPr>
          <w:rFonts w:ascii="Arial" w:cs="Arial" w:eastAsia="Arial" w:hAnsi="Arial"/>
          <w:sz w:val="20"/>
          <w:szCs w:val="20"/>
        </w:rPr>
        <w:t xml:space="preserve"/>
      </w:r>
    </w:p>
    <w:p>
      <w:pPr>
        <w:pStyle w:val="Heading1"/>
        <w:pBdr>
          <w:bottom w:val="single" w:color="2E75B6" w:sz="8" w:space="4"/>
        </w:pBdr>
        <w:spacing w:after="160" w:before="320"/>
      </w:pPr>
      <w:r>
        <w:rPr>
          <w:rFonts w:ascii="Arial" w:cs="Arial" w:eastAsia="Arial" w:hAnsi="Arial"/>
          <w:b/>
          <w:bCs/>
          <w:color w:val="1F3864"/>
          <w:sz w:val="32"/>
          <w:szCs w:val="32"/>
        </w:rPr>
        <w:t xml:space="preserve">2. Experimental Setup &amp; Assumptions</w:t>
      </w:r>
    </w:p>
    <w:p>
      <w:pPr>
        <w:spacing w:after="80" w:before="80" w:line="276"/>
        <w:jc w:val="left"/>
      </w:pPr>
      <w:r>
        <w:rPr>
          <w:rFonts w:ascii="Arial" w:cs="Arial" w:eastAsia="Arial" w:hAnsi="Arial"/>
          <w:b w:val="false"/>
          <w:bCs w:val="false"/>
          <w:i w:val="false"/>
          <w:iCs w:val="false"/>
          <w:color w:val="000000"/>
          <w:sz w:val="22"/>
          <w:szCs w:val="22"/>
        </w:rPr>
        <w:t xml:space="preserve">All quantitative analyses in this report are conducted under the following unified assumptions, reflecting realistic Knowledge Tracing deployment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Parameter</w:t>
            </w:r>
          </w:p>
        </w:tc>
        <w:tc>
          <w:tcPr>
            <w:tcW w:type="dxa" w:w="34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Value</w:t>
            </w:r>
          </w:p>
        </w:tc>
        <w:tc>
          <w:tcPr>
            <w:tcW w:type="dxa" w:w="34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Rationale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K (# concepts)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500</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Typical for ASSISTments, EdNet datasets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 (embedding dim)</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64</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Standard for lightweight KT models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h (hidden dim)</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128</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GRU/Transformer baseline hidden size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 (domain window)</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10</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Recent interaction window for trend modeling</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|C_q| (avg. concepts/q)</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MIKT paper empirical value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n (sequence length)</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100</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Standard evaluation window</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FP32 byte size</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 bytes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Standard float32</w:t>
            </w:r>
          </w:p>
        </w:tc>
      </w:tr>
    </w:tbl>
    <w:p>
      <w:pPr>
        <w:spacing w:after="120" w:before="40" w:line="276"/>
        <w:jc w:val="center"/>
      </w:pPr>
      <w:r>
        <w:rPr>
          <w:rFonts w:ascii="Arial" w:cs="Arial" w:eastAsia="Arial" w:hAnsi="Arial"/>
          <w:b w:val="false"/>
          <w:bCs w:val="false"/>
          <w:i/>
          <w:iCs/>
          <w:color w:val="595959"/>
          <w:sz w:val="18"/>
          <w:szCs w:val="18"/>
        </w:rPr>
        <w:t xml:space="preserve">Table 1. Unified experimental assumptions for all quantitative comparisons.</w:t>
      </w:r>
    </w:p>
    <w:p>
      <w:pPr>
        <w:spacing w:after="0" w:before="0" w:line="240"/>
      </w:pPr>
      <w:r>
        <w:rPr>
          <w:rFonts w:ascii="Arial" w:cs="Arial" w:eastAsia="Arial" w:hAnsi="Arial"/>
          <w:sz w:val="20"/>
          <w:szCs w:val="20"/>
        </w:rPr>
        <w:t xml:space="preserve"/>
      </w:r>
    </w:p>
    <w:p>
      <w:pPr>
        <w:pStyle w:val="Heading1"/>
        <w:pBdr>
          <w:bottom w:val="single" w:color="2E75B6" w:sz="8" w:space="4"/>
        </w:pBdr>
        <w:spacing w:after="160" w:before="320"/>
      </w:pPr>
      <w:r>
        <w:rPr>
          <w:rFonts w:ascii="Arial" w:cs="Arial" w:eastAsia="Arial" w:hAnsi="Arial"/>
          <w:b/>
          <w:bCs/>
          <w:color w:val="1F3864"/>
          <w:sz w:val="32"/>
          <w:szCs w:val="32"/>
        </w:rPr>
        <w:t xml:space="preserve">3. MobileKT Architecture Overview</w:t>
      </w:r>
    </w:p>
    <w:p>
      <w:pPr>
        <w:spacing w:after="80" w:before="80" w:line="276"/>
        <w:jc w:val="left"/>
      </w:pPr>
      <w:r>
        <w:rPr>
          <w:rFonts w:ascii="Arial" w:cs="Arial" w:eastAsia="Arial" w:hAnsi="Arial"/>
          <w:b w:val="false"/>
          <w:bCs w:val="false"/>
          <w:i w:val="false"/>
          <w:iCs w:val="false"/>
          <w:color w:val="000000"/>
          <w:sz w:val="22"/>
          <w:szCs w:val="22"/>
        </w:rPr>
        <w:t xml:space="preserve">MobileKT is structured around five major components, partitioned between a Cloud side (heavy inference, shared infrastructure) and a Device side (lightweight, privacy-preserving, on-device). The architecture is summarized below.</w:t>
      </w:r>
    </w:p>
    <w:p>
      <w:pPr>
        <w:pStyle w:val="Heading2"/>
        <w:spacing w:after="120" w:before="240"/>
      </w:pPr>
      <w:r>
        <w:rPr>
          <w:rFonts w:ascii="Arial" w:cs="Arial" w:eastAsia="Arial" w:hAnsi="Arial"/>
          <w:b/>
          <w:bCs/>
          <w:color w:val="2E75B6"/>
          <w:sz w:val="26"/>
          <w:szCs w:val="26"/>
        </w:rPr>
        <w:t xml:space="preserve">3.1 Cloud-Side Components</w:t>
      </w:r>
    </w:p>
    <w:p>
      <w:pPr>
        <w:pStyle w:val="Heading3"/>
        <w:spacing w:after="80" w:before="180"/>
      </w:pPr>
      <w:r>
        <w:rPr>
          <w:rFonts w:ascii="Arial" w:cs="Arial" w:eastAsia="Arial" w:hAnsi="Arial"/>
          <w:b/>
          <w:bCs/>
          <w:color w:val="4472C4"/>
          <w:sz w:val="24"/>
          <w:szCs w:val="24"/>
        </w:rPr>
        <w:t xml:space="preserve">3.1.1 Question-to-Vector (QTV)</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Projects raw question text to a d-dimensional embedding vector q_t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Implemented as a pre-trained language model (e.g., BERT-small) — the heaviest component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Run once per unique question; result cached for reuse</w:t>
      </w:r>
    </w:p>
    <w:p>
      <w:pPr>
        <w:spacing w:after="0" w:before="0" w:line="240"/>
      </w:pPr>
      <w:r>
        <w:rPr>
          <w:rFonts w:ascii="Arial" w:cs="Arial" w:eastAsia="Arial" w:hAnsi="Arial"/>
          <w:sz w:val="20"/>
          <w:szCs w:val="20"/>
        </w:rPr>
        <w:t xml:space="preserve"/>
      </w:r>
    </w:p>
    <w:p>
      <w:pPr>
        <w:pStyle w:val="Heading3"/>
        <w:spacing w:after="80" w:before="180"/>
      </w:pPr>
      <w:r>
        <w:rPr>
          <w:rFonts w:ascii="Arial" w:cs="Arial" w:eastAsia="Arial" w:hAnsi="Arial"/>
          <w:b/>
          <w:bCs/>
          <w:color w:val="4472C4"/>
          <w:sz w:val="24"/>
          <w:szCs w:val="24"/>
        </w:rPr>
        <w:t xml:space="preserve">3.1.2 Question Difficulty Estimator (QDE)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Estimates scalar difficulty Diff_qt from the question embedding q_t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Implemented as a shallow MLP with non-linear activations</w:t>
      </w:r>
    </w:p>
    <w:p>
      <w:pPr>
        <w:shd w:fill="F2F2F2" w:val="clear"/>
        <w:spacing w:after="100" w:before="100"/>
        <w:jc w:val="center"/>
      </w:pPr>
      <w:r>
        <w:rPr>
          <w:rFonts w:ascii="Courier New" w:cs="Courier New" w:eastAsia="Courier New" w:hAnsi="Courier New"/>
          <w:color w:val="1F3864"/>
          <w:sz w:val="20"/>
          <w:szCs w:val="20"/>
        </w:rPr>
        <w:t xml:space="preserve">Diff_qt = MLP_QDE(q_t)  =&gt;  scalar in [0, 1]</w:t>
      </w:r>
    </w:p>
    <w:p>
      <w:pPr>
        <w:spacing w:after="0" w:before="0" w:line="240"/>
      </w:pPr>
      <w:r>
        <w:rPr>
          <w:rFonts w:ascii="Arial" w:cs="Arial" w:eastAsia="Arial" w:hAnsi="Arial"/>
          <w:sz w:val="20"/>
          <w:szCs w:val="20"/>
        </w:rPr>
        <w:t xml:space="preserve"/>
      </w:r>
    </w:p>
    <w:p>
      <w:pPr>
        <w:pStyle w:val="Heading3"/>
        <w:spacing w:after="80" w:before="180"/>
      </w:pPr>
      <w:r>
        <w:rPr>
          <w:rFonts w:ascii="Arial" w:cs="Arial" w:eastAsia="Arial" w:hAnsi="Arial"/>
          <w:b/>
          <w:bCs/>
          <w:color w:val="4472C4"/>
          <w:sz w:val="24"/>
          <w:szCs w:val="24"/>
        </w:rPr>
        <w:t xml:space="preserve">3.1.3 Expanded Rasch Model (ERM) — from MIKT 2024</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Generates multi-concept projected question embedding q't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Question-Concept attention (softmax-normalized):</w:t>
      </w:r>
    </w:p>
    <w:p>
      <w:pPr>
        <w:shd w:fill="F2F2F2" w:val="clear"/>
        <w:spacing w:after="100" w:before="100"/>
        <w:jc w:val="center"/>
      </w:pPr>
      <w:r>
        <w:rPr>
          <w:rFonts w:ascii="Courier New" w:cs="Courier New" w:eastAsia="Courier New" w:hAnsi="Courier New"/>
          <w:color w:val="1F3864"/>
          <w:sz w:val="20"/>
          <w:szCs w:val="20"/>
        </w:rPr>
        <w:t xml:space="preserve">alpha_j = softmax( q_t^T CE_j / sqrt(d) )   for j in C_qt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Weighted concept embedding:</w:t>
      </w:r>
    </w:p>
    <w:p>
      <w:pPr>
        <w:shd w:fill="F2F2F2" w:val="clear"/>
        <w:spacing w:after="100" w:before="100"/>
        <w:jc w:val="center"/>
      </w:pPr>
      <w:r>
        <w:rPr>
          <w:rFonts w:ascii="Courier New" w:cs="Courier New" w:eastAsia="Courier New" w:hAnsi="Courier New"/>
          <w:color w:val="1F3864"/>
          <w:sz w:val="20"/>
          <w:szCs w:val="20"/>
        </w:rPr>
        <w:t xml:space="preserve">MC_qt = sum_j( alpha_j * CE_j )</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Multi-concept difficulty offset:</w:t>
      </w:r>
    </w:p>
    <w:p>
      <w:pPr>
        <w:shd w:fill="F2F2F2" w:val="clear"/>
        <w:spacing w:after="100" w:before="100"/>
        <w:jc w:val="center"/>
      </w:pPr>
      <w:r>
        <w:rPr>
          <w:rFonts w:ascii="Courier New" w:cs="Courier New" w:eastAsia="Courier New" w:hAnsi="Courier New"/>
          <w:color w:val="1F3864"/>
          <w:sz w:val="20"/>
          <w:szCs w:val="20"/>
        </w:rPr>
        <w:t xml:space="preserve">OF_qt = Diff_qt * ( W1 * avg(CE_j) + b1 )</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Final projected embedding:</w:t>
      </w:r>
    </w:p>
    <w:p>
      <w:pPr>
        <w:shd w:fill="F2F2F2" w:val="clear"/>
        <w:spacing w:after="100" w:before="100"/>
        <w:jc w:val="center"/>
      </w:pPr>
      <w:r>
        <w:rPr>
          <w:rFonts w:ascii="Courier New" w:cs="Courier New" w:eastAsia="Courier New" w:hAnsi="Courier New"/>
          <w:color w:val="1F3864"/>
          <w:sz w:val="20"/>
          <w:szCs w:val="20"/>
        </w:rPr>
        <w:t xml:space="preserve">q't = MC_qt + OF_qt</w:t>
      </w:r>
    </w:p>
    <w:p>
      <w:pPr>
        <w:spacing w:after="0" w:before="0" w:line="240"/>
      </w:pPr>
      <w:r>
        <w:rPr>
          <w:rFonts w:ascii="Arial" w:cs="Arial" w:eastAsia="Arial" w:hAnsi="Arial"/>
          <w:sz w:val="20"/>
          <w:szCs w:val="20"/>
        </w:rPr>
        <w:t xml:space="preserve"/>
      </w:r>
    </w:p>
    <w:p>
      <w:pPr>
        <w:pStyle w:val="Heading3"/>
        <w:spacing w:after="80" w:before="180"/>
      </w:pPr>
      <w:r>
        <w:rPr>
          <w:rFonts w:ascii="Arial" w:cs="Arial" w:eastAsia="Arial" w:hAnsi="Arial"/>
          <w:b/>
          <w:bCs/>
          <w:color w:val="4472C4"/>
          <w:sz w:val="24"/>
          <w:szCs w:val="24"/>
        </w:rPr>
        <w:t xml:space="preserve">3.1.4 Domain Relevance Extractor (DRE)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Computes domain-weighted student knowledge vector D_bar and relevance score D_alpha</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Temporal Basis Domain Embedding aggregation (1/T normalized):</w:t>
      </w:r>
    </w:p>
    <w:p>
      <w:pPr>
        <w:shd w:fill="F2F2F2" w:val="clear"/>
        <w:spacing w:after="100" w:before="100"/>
        <w:jc w:val="center"/>
      </w:pPr>
      <w:r>
        <w:rPr>
          <w:rFonts w:ascii="Courier New" w:cs="Courier New" w:eastAsia="Courier New" w:hAnsi="Courier New"/>
          <w:color w:val="1F3864"/>
          <w:sz w:val="20"/>
          <w:szCs w:val="20"/>
        </w:rPr>
        <w:t xml:space="preserve">D_bar = (1/T) * sum_{i=1}^{T}( DS_i * DE_i )   [in R^d]</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Domain relevance score:</w:t>
      </w:r>
    </w:p>
    <w:p>
      <w:pPr>
        <w:shd w:fill="F2F2F2" w:val="clear"/>
        <w:spacing w:after="100" w:before="100"/>
        <w:jc w:val="center"/>
      </w:pPr>
      <w:r>
        <w:rPr>
          <w:rFonts w:ascii="Courier New" w:cs="Courier New" w:eastAsia="Courier New" w:hAnsi="Courier New"/>
          <w:color w:val="1F3864"/>
          <w:sz w:val="20"/>
          <w:szCs w:val="20"/>
        </w:rPr>
        <w:t xml:space="preserve">D_alpha = sigma( (W2 * q't) . D_bar  +  W3 * sum_j(alpha_j * CS_j^Decay) )</w:t>
      </w:r>
    </w:p>
    <w:p>
      <w:pPr>
        <w:spacing w:after="0" w:before="0" w:line="24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6"/>
          <w:szCs w:val="26"/>
        </w:rPr>
        <w:t xml:space="preserve">3.2 Device-Side Components</w:t>
      </w:r>
    </w:p>
    <w:p>
      <w:pPr>
        <w:pStyle w:val="Heading3"/>
        <w:spacing w:after="80" w:before="180"/>
      </w:pPr>
      <w:r>
        <w:rPr>
          <w:rFonts w:ascii="Arial" w:cs="Arial" w:eastAsia="Arial" w:hAnsi="Arial"/>
          <w:b/>
          <w:bCs/>
          <w:color w:val="4472C4"/>
          <w:sz w:val="24"/>
          <w:szCs w:val="24"/>
        </w:rPr>
        <w:t xml:space="preserve">3.2.1 Student Concept State (CS)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Stores (mastery, time_since_update) per concept: CS in R^{K x 2}</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Fully interpretable: each value in [0, 1] readable by educators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Forgetting-adjusted concept mastery:</w:t>
      </w:r>
    </w:p>
    <w:p>
      <w:pPr>
        <w:shd w:fill="F2F2F2" w:val="clear"/>
        <w:spacing w:after="100" w:before="100"/>
        <w:jc w:val="center"/>
      </w:pPr>
      <w:r>
        <w:rPr>
          <w:rFonts w:ascii="Courier New" w:cs="Courier New" w:eastAsia="Courier New" w:hAnsi="Courier New"/>
          <w:color w:val="1F3864"/>
          <w:sz w:val="20"/>
          <w:szCs w:val="20"/>
        </w:rPr>
        <w:t xml:space="preserve">CS_j^Decay = CS_j * sigma( W_f . encode(I_j) + b_f )</w:t>
      </w:r>
    </w:p>
    <w:p>
      <w:pPr>
        <w:shd w:fill="F2F2F2" w:val="clear"/>
        <w:spacing w:after="100" w:before="100"/>
        <w:jc w:val="center"/>
      </w:pPr>
      <w:r>
        <w:rPr>
          <w:rFonts w:ascii="Courier New" w:cs="Courier New" w:eastAsia="Courier New" w:hAnsi="Courier New"/>
          <w:color w:val="1F3864"/>
          <w:sz w:val="20"/>
          <w:szCs w:val="20"/>
        </w:rPr>
        <w:t xml:space="preserve">encode(I) = tile( log(I+1), d )  in R^d</w:t>
      </w:r>
    </w:p>
    <w:p>
      <w:pPr>
        <w:spacing w:after="0" w:before="0" w:line="240"/>
      </w:pPr>
      <w:r>
        <w:rPr>
          <w:rFonts w:ascii="Arial" w:cs="Arial" w:eastAsia="Arial" w:hAnsi="Arial"/>
          <w:sz w:val="20"/>
          <w:szCs w:val="20"/>
        </w:rPr>
        <w:t xml:space="preserve"/>
      </w:r>
    </w:p>
    <w:p>
      <w:pPr>
        <w:pStyle w:val="Heading3"/>
        <w:spacing w:after="80" w:before="180"/>
      </w:pPr>
      <w:r>
        <w:rPr>
          <w:rFonts w:ascii="Arial" w:cs="Arial" w:eastAsia="Arial" w:hAnsi="Arial"/>
          <w:b/>
          <w:bCs/>
          <w:color w:val="4472C4"/>
          <w:sz w:val="24"/>
          <w:szCs w:val="24"/>
        </w:rPr>
        <w:t xml:space="preserve">3.2.2 Student Domain State (DS)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Sliding window of T recent domain mastery scalars + 1 global timer: DS in R^{T+1}</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Captures temporal learning trend at domain level</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Combined with DE to produce directional domain knowledge vector D_bar</w:t>
      </w:r>
    </w:p>
    <w:p>
      <w:pPr>
        <w:spacing w:after="0" w:before="0" w:line="240"/>
      </w:pPr>
      <w:r>
        <w:rPr>
          <w:rFonts w:ascii="Arial" w:cs="Arial" w:eastAsia="Arial" w:hAnsi="Arial"/>
          <w:sz w:val="20"/>
          <w:szCs w:val="20"/>
        </w:rPr>
        <w:t xml:space="preserve"/>
      </w:r>
    </w:p>
    <w:p>
      <w:pPr>
        <w:pStyle w:val="Heading3"/>
        <w:spacing w:after="80" w:before="180"/>
      </w:pPr>
      <w:r>
        <w:rPr>
          <w:rFonts w:ascii="Arial" w:cs="Arial" w:eastAsia="Arial" w:hAnsi="Arial"/>
          <w:b/>
          <w:bCs/>
          <w:color w:val="4472C4"/>
          <w:sz w:val="24"/>
          <w:szCs w:val="24"/>
        </w:rPr>
        <w:t xml:space="preserve">3.2.3 Knowledge Gathering</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Domain Knowledge weighted by D_alpha:</w:t>
      </w:r>
    </w:p>
    <w:p>
      <w:pPr>
        <w:shd w:fill="F2F2F2" w:val="clear"/>
        <w:spacing w:after="100" w:before="100"/>
        <w:jc w:val="center"/>
      </w:pPr>
      <w:r>
        <w:rPr>
          <w:rFonts w:ascii="Courier New" w:cs="Courier New" w:eastAsia="Courier New" w:hAnsi="Courier New"/>
          <w:color w:val="1F3864"/>
          <w:sz w:val="20"/>
          <w:szCs w:val="20"/>
        </w:rPr>
        <w:t xml:space="preserve">DK_qt = D_alpha * D_bar = (D_alpha / T) * sum_{i=1}^T ( DS_i * DE_i )  in R^d</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Concept Knowledge weighted by (1 - D_alpha):</w:t>
      </w:r>
    </w:p>
    <w:p>
      <w:pPr>
        <w:shd w:fill="F2F2F2" w:val="clear"/>
        <w:spacing w:after="100" w:before="100"/>
        <w:jc w:val="center"/>
      </w:pPr>
      <w:r>
        <w:rPr>
          <w:rFonts w:ascii="Courier New" w:cs="Courier New" w:eastAsia="Courier New" w:hAnsi="Courier New"/>
          <w:color w:val="1F3864"/>
          <w:sz w:val="20"/>
          <w:szCs w:val="20"/>
        </w:rPr>
        <w:t xml:space="preserve">CK_qt = (1 - D_alpha) * sum_j( alpha_j * CS_j^Decay * CE_j )  in R^d</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Final concatenated knowledge vector:</w:t>
      </w:r>
    </w:p>
    <w:p>
      <w:pPr>
        <w:shd w:fill="F2F2F2" w:val="clear"/>
        <w:spacing w:after="100" w:before="100"/>
        <w:jc w:val="center"/>
      </w:pPr>
      <w:r>
        <w:rPr>
          <w:rFonts w:ascii="Courier New" w:cs="Courier New" w:eastAsia="Courier New" w:hAnsi="Courier New"/>
          <w:color w:val="1F3864"/>
          <w:sz w:val="20"/>
          <w:szCs w:val="20"/>
        </w:rPr>
        <w:t xml:space="preserve">FK_qt = [ DK_qt ; CK_qt ]  in R^{2d}</w:t>
      </w:r>
    </w:p>
    <w:p>
      <w:pPr>
        <w:spacing w:after="0" w:before="0" w:line="240"/>
      </w:pPr>
      <w:r>
        <w:rPr>
          <w:rFonts w:ascii="Arial" w:cs="Arial" w:eastAsia="Arial" w:hAnsi="Arial"/>
          <w:sz w:val="20"/>
          <w:szCs w:val="20"/>
        </w:rPr>
        <w:t xml:space="preserve"/>
      </w:r>
    </w:p>
    <w:p>
      <w:pPr>
        <w:pStyle w:val="Heading3"/>
        <w:spacing w:after="80" w:before="180"/>
      </w:pPr>
      <w:r>
        <w:rPr>
          <w:rFonts w:ascii="Arial" w:cs="Arial" w:eastAsia="Arial" w:hAnsi="Arial"/>
          <w:b/>
          <w:bCs/>
          <w:color w:val="4472C4"/>
          <w:sz w:val="24"/>
          <w:szCs w:val="24"/>
        </w:rPr>
        <w:t xml:space="preserve">3.2.4 IRT Module — Student Ability Estimator (SAE) &amp; Final Prediction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SAE: maps FK_qt (vector) to FA_qt (scalar ability) via MLP</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Final prediction (IRT 1-PL / Rasch):</w:t>
      </w:r>
    </w:p>
    <w:p>
      <w:pPr>
        <w:shd w:fill="F2F2F2" w:val="clear"/>
        <w:spacing w:after="100" w:before="100"/>
        <w:jc w:val="center"/>
      </w:pPr>
      <w:r>
        <w:rPr>
          <w:rFonts w:ascii="Courier New" w:cs="Courier New" w:eastAsia="Courier New" w:hAnsi="Courier New"/>
          <w:color w:val="1F3864"/>
          <w:sz w:val="20"/>
          <w:szCs w:val="20"/>
        </w:rPr>
        <w:t xml:space="preserve">y_t = sigma( C * ( FA_qt - Diff_qt ) )</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Loss: Binary Cross-Entropy (BCE)</w:t>
      </w:r>
    </w:p>
    <w:p>
      <w:pPr>
        <w:shd w:fill="F2F2F2" w:val="clear"/>
        <w:spacing w:after="100" w:before="100"/>
        <w:jc w:val="center"/>
      </w:pPr>
      <w:r>
        <w:rPr>
          <w:rFonts w:ascii="Courier New" w:cs="Courier New" w:eastAsia="Courier New" w:hAnsi="Courier New"/>
          <w:color w:val="1F3864"/>
          <w:sz w:val="20"/>
          <w:szCs w:val="20"/>
        </w:rPr>
        <w:t xml:space="preserve">Loss = - sum[ a_t * log(y_t) + (1 - a_t) * log(1 - y_t) ]</w:t>
      </w:r>
    </w:p>
    <w:p>
      <w:pPr>
        <w:spacing w:after="0" w:before="0" w:line="240"/>
      </w:pPr>
      <w:r>
        <w:rPr>
          <w:rFonts w:ascii="Arial" w:cs="Arial" w:eastAsia="Arial" w:hAnsi="Arial"/>
          <w:sz w:val="20"/>
          <w:szCs w:val="20"/>
        </w:rPr>
        <w:t xml:space="preserve"/>
      </w:r>
    </w:p>
    <w:p>
      <w:pPr>
        <w:pStyle w:val="Heading3"/>
        <w:spacing w:after="80" w:before="180"/>
      </w:pPr>
      <w:r>
        <w:rPr>
          <w:rFonts w:ascii="Arial" w:cs="Arial" w:eastAsia="Arial" w:hAnsi="Arial"/>
          <w:b/>
          <w:bCs/>
          <w:color w:val="4472C4"/>
          <w:sz w:val="24"/>
          <w:szCs w:val="24"/>
        </w:rPr>
        <w:t xml:space="preserve">3.2.5 Knowledge Updater</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Concept Updater — run for each related concept j after response:</w:t>
      </w:r>
    </w:p>
    <w:p>
      <w:pPr>
        <w:shd w:fill="F2F2F2" w:val="clear"/>
        <w:spacing w:after="100" w:before="100"/>
        <w:jc w:val="center"/>
      </w:pPr>
      <w:r>
        <w:rPr>
          <w:rFonts w:ascii="Courier New" w:cs="Courier New" w:eastAsia="Courier New" w:hAnsi="Courier New"/>
          <w:color w:val="1F3864"/>
          <w:sz w:val="20"/>
          <w:szCs w:val="20"/>
        </w:rPr>
        <w:t xml:space="preserve">Delta_CS_j = Tanh( CU( X_t, I_j ) )</w:t>
      </w:r>
    </w:p>
    <w:p>
      <w:pPr>
        <w:shd w:fill="F2F2F2" w:val="clear"/>
        <w:spacing w:after="100" w:before="100"/>
        <w:jc w:val="center"/>
      </w:pPr>
      <w:r>
        <w:rPr>
          <w:rFonts w:ascii="Courier New" w:cs="Courier New" w:eastAsia="Courier New" w:hAnsi="Courier New"/>
          <w:color w:val="1F3864"/>
          <w:sz w:val="20"/>
          <w:szCs w:val="20"/>
        </w:rPr>
        <w:t xml:space="preserve">CS_j  &lt;-  sigma( logit(CS_j) + alpha_j * Delta_CS_j ),   I_j = 0</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Domain Updater (with new response X_t):</w:t>
      </w:r>
    </w:p>
    <w:p>
      <w:pPr>
        <w:shd w:fill="F2F2F2" w:val="clear"/>
        <w:spacing w:after="100" w:before="100"/>
        <w:jc w:val="center"/>
      </w:pPr>
      <w:r>
        <w:rPr>
          <w:rFonts w:ascii="Courier New" w:cs="Courier New" w:eastAsia="Courier New" w:hAnsi="Courier New"/>
          <w:color w:val="1F3864"/>
          <w:sz w:val="20"/>
          <w:szCs w:val="20"/>
        </w:rPr>
        <w:t xml:space="preserve">DS_s_bar = (1/T) * sum DS_i</w:t>
      </w:r>
    </w:p>
    <w:p>
      <w:pPr>
        <w:shd w:fill="F2F2F2" w:val="clear"/>
        <w:spacing w:after="100" w:before="100"/>
        <w:jc w:val="center"/>
      </w:pPr>
      <w:r>
        <w:rPr>
          <w:rFonts w:ascii="Courier New" w:cs="Courier New" w:eastAsia="Courier New" w:hAnsi="Courier New"/>
          <w:color w:val="1F3864"/>
          <w:sz w:val="20"/>
          <w:szCs w:val="20"/>
        </w:rPr>
        <w:t xml:space="preserve">DS  &lt;-push  sigma( logit(DS_s_bar) + Delta_DS ),   I = 0</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Domain Updater (no response — auto-regressive forgetting):</w:t>
      </w:r>
    </w:p>
    <w:p>
      <w:pPr>
        <w:shd w:fill="F2F2F2" w:val="clear"/>
        <w:spacing w:after="100" w:before="100"/>
        <w:jc w:val="center"/>
      </w:pPr>
      <w:r>
        <w:rPr>
          <w:rFonts w:ascii="Courier New" w:cs="Courier New" w:eastAsia="Courier New" w:hAnsi="Courier New"/>
          <w:color w:val="1F3864"/>
          <w:sz w:val="20"/>
          <w:szCs w:val="20"/>
        </w:rPr>
        <w:t xml:space="preserve">DS  &lt;-push  DS_s_bar * sigma( W_f . encode(I) + b_f )</w:t>
      </w:r>
    </w:p>
    <w:p>
      <w:r>
        <w:br w:type="page"/>
      </w:r>
    </w:p>
    <w:p>
      <w:pPr>
        <w:pStyle w:val="Heading1"/>
        <w:pBdr>
          <w:bottom w:val="single" w:color="2E75B6" w:sz="8" w:space="4"/>
        </w:pBdr>
        <w:spacing w:after="160" w:before="320"/>
      </w:pPr>
      <w:r>
        <w:rPr>
          <w:rFonts w:ascii="Arial" w:cs="Arial" w:eastAsia="Arial" w:hAnsi="Arial"/>
          <w:b/>
          <w:bCs/>
          <w:color w:val="1F3864"/>
          <w:sz w:val="32"/>
          <w:szCs w:val="32"/>
        </w:rPr>
        <w:t xml:space="preserve">4. Comparative Architecture Analysis</w:t>
      </w:r>
    </w:p>
    <w:p>
      <w:pPr>
        <w:spacing w:after="100" w:before="80" w:line="276"/>
        <w:jc w:val="left"/>
      </w:pPr>
      <w:r>
        <w:rPr>
          <w:rFonts w:ascii="Arial" w:cs="Arial" w:eastAsia="Arial" w:hAnsi="Arial"/>
          <w:b w:val="false"/>
          <w:bCs w:val="false"/>
          <w:i w:val="false"/>
          <w:iCs w:val="false"/>
          <w:color w:val="000000"/>
          <w:sz w:val="22"/>
          <w:szCs w:val="22"/>
        </w:rPr>
        <w:t xml:space="preserve">We compare MobileKT against three representative baselines along architectural dimensions critical for practical deployment.</w:t>
      </w:r>
    </w:p>
    <w:p>
      <w:pPr>
        <w:pStyle w:val="Heading2"/>
        <w:spacing w:after="120" w:before="240"/>
      </w:pPr>
      <w:r>
        <w:rPr>
          <w:rFonts w:ascii="Arial" w:cs="Arial" w:eastAsia="Arial" w:hAnsi="Arial"/>
          <w:b/>
          <w:bCs/>
          <w:color w:val="2E75B6"/>
          <w:sz w:val="26"/>
          <w:szCs w:val="26"/>
        </w:rPr>
        <w:t xml:space="preserve">4.1 Feature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20"/>
        <w:gridCol w:w="1620"/>
        <w:gridCol w:w="1620"/>
        <w:gridCol w:w="2400"/>
      </w:tblGrid>
      <w:tr>
        <w:trPr>
          <w:tblHeader/>
        </w:trPr>
        <w:tc>
          <w:tcPr>
            <w:tcW w:type="dxa" w:w="2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Feature</w:t>
            </w:r>
          </w:p>
        </w:tc>
        <w:tc>
          <w:tcPr>
            <w:tcW w:type="dxa" w:w="16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SimpleKT</w:t>
            </w:r>
          </w:p>
        </w:tc>
        <w:tc>
          <w:tcPr>
            <w:tcW w:type="dxa" w:w="16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MIKT
(2024)</w:t>
            </w:r>
          </w:p>
        </w:tc>
        <w:tc>
          <w:tcPr>
            <w:tcW w:type="dxa" w:w="16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ReKT</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MobileKT
(Ours)</w:t>
            </w:r>
          </w:p>
        </w:tc>
      </w:tr>
      <w:tr>
        <w:trPr>
          <w:tblHeader w:val="false"/>
        </w:trP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Core Architecture</w:t>
            </w:r>
          </w:p>
        </w:tc>
        <w:tc>
          <w:tcPr>
            <w:tcW w:type="dxa" w:w="16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Transformer</w:t>
            </w:r>
          </w:p>
        </w:tc>
        <w:tc>
          <w:tcPr>
            <w:tcW w:type="dxa" w:w="16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Rasch + GRU</w:t>
            </w:r>
          </w:p>
        </w:tc>
        <w:tc>
          <w:tcPr>
            <w:tcW w:type="dxa" w:w="16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GRU + FRU</w:t>
            </w:r>
          </w:p>
        </w:tc>
        <w:tc>
          <w:tcPr>
            <w:tcW w:type="dxa" w:w="24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Rasch + Scalar State + IRT</w:t>
            </w:r>
          </w:p>
        </w:tc>
      </w:tr>
      <w:tr>
        <w:trPr>
          <w:tblHeader w:val="false"/>
        </w:trP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Multi-concept Handling</w:t>
            </w:r>
          </w:p>
        </w:tc>
        <w:tc>
          <w:tcPr>
            <w:tcW w:type="dxa" w:w="16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No</w:t>
            </w:r>
          </w:p>
        </w:tc>
        <w:tc>
          <w:tcPr>
            <w:tcW w:type="dxa" w:w="162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Yes (ERM)</w:t>
            </w:r>
          </w:p>
        </w:tc>
        <w:tc>
          <w:tcPr>
            <w:tcW w:type="dxa" w:w="16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No</w:t>
            </w:r>
          </w:p>
        </w:tc>
        <w:tc>
          <w:tcPr>
            <w:tcW w:type="dxa" w:w="24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Yes (ERM)</w:t>
            </w:r>
          </w:p>
        </w:tc>
      </w:tr>
      <w:tr>
        <w:trPr>
          <w:tblHeader w:val="false"/>
        </w:trP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Domain-Level Modeling</w:t>
            </w:r>
          </w:p>
        </w:tc>
        <w:tc>
          <w:tcPr>
            <w:tcW w:type="dxa" w:w="16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No</w:t>
            </w:r>
          </w:p>
        </w:tc>
        <w:tc>
          <w:tcPr>
            <w:tcW w:type="dxa" w:w="16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No</w:t>
            </w:r>
          </w:p>
        </w:tc>
        <w:tc>
          <w:tcPr>
            <w:tcW w:type="dxa" w:w="16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No</w:t>
            </w:r>
          </w:p>
        </w:tc>
        <w:tc>
          <w:tcPr>
            <w:tcW w:type="dxa" w:w="24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Yes (DS + Temporal DE)</w:t>
            </w:r>
          </w:p>
        </w:tc>
      </w:tr>
      <w:tr>
        <w:trPr>
          <w:tblHeader w:val="false"/>
        </w:trP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Forgetting Modeling</w:t>
            </w:r>
          </w:p>
        </w:tc>
        <w:tc>
          <w:tcPr>
            <w:tcW w:type="dxa" w:w="16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No</w:t>
            </w:r>
          </w:p>
        </w:tc>
        <w:tc>
          <w:tcPr>
            <w:tcW w:type="dxa" w:w="16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No</w:t>
            </w:r>
          </w:p>
        </w:tc>
        <w:tc>
          <w:tcPr>
            <w:tcW w:type="dxa" w:w="162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Yes (FRU)</w:t>
            </w:r>
          </w:p>
        </w:tc>
        <w:tc>
          <w:tcPr>
            <w:tcW w:type="dxa" w:w="24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Yes (Time-decay)</w:t>
            </w:r>
          </w:p>
        </w:tc>
      </w:tr>
      <w:tr>
        <w:trPr>
          <w:tblHeader w:val="false"/>
        </w:trP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Knowledge State Interpretability</w:t>
            </w:r>
          </w:p>
        </w:tc>
        <w:tc>
          <w:tcPr>
            <w:tcW w:type="dxa" w:w="16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No</w:t>
            </w:r>
          </w:p>
        </w:tc>
        <w:tc>
          <w:tcPr>
            <w:tcW w:type="dxa" w:w="16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No</w:t>
            </w:r>
          </w:p>
        </w:tc>
        <w:tc>
          <w:tcPr>
            <w:tcW w:type="dxa" w:w="16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No</w:t>
            </w:r>
          </w:p>
        </w:tc>
        <w:tc>
          <w:tcPr>
            <w:tcW w:type="dxa" w:w="24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Yes (scalar, 0~1)</w:t>
            </w:r>
          </w:p>
        </w:tc>
      </w:tr>
      <w:tr>
        <w:trPr>
          <w:tblHeader w:val="false"/>
        </w:trP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On-Device Inference</w:t>
            </w:r>
          </w:p>
        </w:tc>
        <w:tc>
          <w:tcPr>
            <w:tcW w:type="dxa" w:w="16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No</w:t>
            </w:r>
          </w:p>
        </w:tc>
        <w:tc>
          <w:tcPr>
            <w:tcW w:type="dxa" w:w="16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No</w:t>
            </w:r>
          </w:p>
        </w:tc>
        <w:tc>
          <w:tcPr>
            <w:tcW w:type="dxa" w:w="16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No</w:t>
            </w:r>
          </w:p>
        </w:tc>
        <w:tc>
          <w:tcPr>
            <w:tcW w:type="dxa" w:w="24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Yes (Cloud/Device split)</w:t>
            </w:r>
          </w:p>
        </w:tc>
      </w:tr>
      <w:tr>
        <w:trPr>
          <w:tblHeader w:val="false"/>
        </w:trP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Student Privacy</w:t>
            </w:r>
          </w:p>
        </w:tc>
        <w:tc>
          <w:tcPr>
            <w:tcW w:type="dxa" w:w="162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Low</w:t>
            </w:r>
          </w:p>
        </w:tc>
        <w:tc>
          <w:tcPr>
            <w:tcW w:type="dxa" w:w="162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Low</w:t>
            </w:r>
          </w:p>
        </w:tc>
        <w:tc>
          <w:tcPr>
            <w:tcW w:type="dxa" w:w="162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Low</w:t>
            </w:r>
          </w:p>
        </w:tc>
        <w:tc>
          <w:tcPr>
            <w:tcW w:type="dxa" w:w="24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High (state on-device only)</w:t>
            </w:r>
          </w:p>
        </w:tc>
      </w:tr>
      <w:tr>
        <w:trPr>
          <w:tblHeader w:val="false"/>
        </w:trP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Offline Inference</w:t>
            </w:r>
          </w:p>
        </w:tc>
        <w:tc>
          <w:tcPr>
            <w:tcW w:type="dxa" w:w="16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No</w:t>
            </w:r>
          </w:p>
        </w:tc>
        <w:tc>
          <w:tcPr>
            <w:tcW w:type="dxa" w:w="16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No</w:t>
            </w:r>
          </w:p>
        </w:tc>
        <w:tc>
          <w:tcPr>
            <w:tcW w:type="dxa" w:w="16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No</w:t>
            </w:r>
          </w:p>
        </w:tc>
        <w:tc>
          <w:tcPr>
            <w:tcW w:type="dxa" w:w="24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Partial (q't cached)</w:t>
            </w:r>
          </w:p>
        </w:tc>
      </w:tr>
      <w:tr>
        <w:trPr>
          <w:tblHeader w:val="false"/>
        </w:trP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Temporal Trend Modeling</w:t>
            </w:r>
          </w:p>
        </w:tc>
        <w:tc>
          <w:tcPr>
            <w:tcW w:type="dxa" w:w="16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Via attention</w:t>
            </w:r>
          </w:p>
        </w:tc>
        <w:tc>
          <w:tcPr>
            <w:tcW w:type="dxa" w:w="16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Via GRU</w:t>
            </w:r>
          </w:p>
        </w:tc>
        <w:tc>
          <w:tcPr>
            <w:tcW w:type="dxa" w:w="16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Via GRU + FRU</w:t>
            </w:r>
          </w:p>
        </w:tc>
        <w:tc>
          <w:tcPr>
            <w:tcW w:type="dxa" w:w="24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Via DS window + DE basis</w:t>
            </w:r>
          </w:p>
        </w:tc>
      </w:tr>
    </w:tbl>
    <w:p>
      <w:pPr>
        <w:spacing w:after="120" w:before="40" w:line="276"/>
        <w:jc w:val="center"/>
      </w:pPr>
      <w:r>
        <w:rPr>
          <w:rFonts w:ascii="Arial" w:cs="Arial" w:eastAsia="Arial" w:hAnsi="Arial"/>
          <w:b w:val="false"/>
          <w:bCs w:val="false"/>
          <w:i/>
          <w:iCs/>
          <w:color w:val="595959"/>
          <w:sz w:val="18"/>
          <w:szCs w:val="18"/>
        </w:rPr>
        <w:t xml:space="preserve">Table 2. Feature-level comparison across KT architectures.</w:t>
      </w:r>
    </w:p>
    <w:p>
      <w:pPr>
        <w:spacing w:after="0" w:before="0" w:line="24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6"/>
          <w:szCs w:val="26"/>
        </w:rPr>
        <w:t xml:space="preserve">4.2 Key Differentiators from Each Baseline</w:t>
      </w:r>
    </w:p>
    <w:p>
      <w:pPr>
        <w:pStyle w:val="Heading3"/>
        <w:spacing w:after="80" w:before="180"/>
      </w:pPr>
      <w:r>
        <w:rPr>
          <w:rFonts w:ascii="Arial" w:cs="Arial" w:eastAsia="Arial" w:hAnsi="Arial"/>
          <w:b/>
          <w:bCs/>
          <w:color w:val="4472C4"/>
          <w:sz w:val="24"/>
          <w:szCs w:val="24"/>
        </w:rPr>
        <w:t xml:space="preserve">4.2.1 vs. SimpleKT</w:t>
      </w:r>
    </w:p>
    <w:p>
      <w:pPr>
        <w:spacing w:after="60" w:before="60" w:line="300"/>
        <w:jc w:val="left"/>
      </w:pPr>
      <w:r>
        <w:rPr>
          <w:rFonts w:ascii="Arial" w:cs="Arial" w:eastAsia="Arial" w:hAnsi="Arial"/>
          <w:b w:val="false"/>
          <w:bCs w:val="false"/>
          <w:i w:val="false"/>
          <w:iCs w:val="false"/>
          <w:color w:val="000000"/>
          <w:sz w:val="22"/>
          <w:szCs w:val="22"/>
        </w:rPr>
        <w:t xml:space="preserve">SimpleKT applies a standard Transformer over the interaction sequence. Its self-attention mechanism implicitly captures temporal dependencies, but the quadratic complexity O(n²d) with sequence length n is prohibitive for mobile inference. More critically, SimpleKT treats all concepts as single-label and stores no interpretable student state. MobileKT replaces the Transformer with a lightweight scalar state + IRT prediction, eliminating both the quadratic complexity and the interpretability barrier.</w:t>
      </w:r>
    </w:p>
    <w:p>
      <w:pPr>
        <w:pStyle w:val="Heading3"/>
        <w:spacing w:after="80" w:before="180"/>
      </w:pPr>
      <w:r>
        <w:rPr>
          <w:rFonts w:ascii="Arial" w:cs="Arial" w:eastAsia="Arial" w:hAnsi="Arial"/>
          <w:b/>
          <w:bCs/>
          <w:color w:val="4472C4"/>
          <w:sz w:val="24"/>
          <w:szCs w:val="24"/>
        </w:rPr>
        <w:t xml:space="preserve">4.2.2 vs. MIKT (2024)</w:t>
      </w:r>
    </w:p>
    <w:p>
      <w:pPr>
        <w:spacing w:after="60" w:before="60" w:line="300"/>
        <w:jc w:val="left"/>
      </w:pPr>
      <w:r>
        <w:rPr>
          <w:rFonts w:ascii="Arial" w:cs="Arial" w:eastAsia="Arial" w:hAnsi="Arial"/>
          <w:b w:val="false"/>
          <w:bCs w:val="false"/>
          <w:i w:val="false"/>
          <w:iCs w:val="false"/>
          <w:color w:val="000000"/>
          <w:sz w:val="22"/>
          <w:szCs w:val="22"/>
        </w:rPr>
        <w:t xml:space="preserve">MobileKT directly inherits MIKT's Expanded Rasch Model (ERM) for multi-concept question representation, which is a core strength. However, MIKT relies on a GRU-based hidden state to accumulate student knowledge, which: (1) is uninterpretable, (2) requires server-side inference, and (3) lacks explicit domain-level modeling. MobileKT replaces the GRU with an interpretable scalar CS/DS state and introduces the Temporal Basis DE matrix to capture domain-level trends without any recurrent computation.</w:t>
      </w:r>
    </w:p>
    <w:p>
      <w:pPr>
        <w:pStyle w:val="Heading3"/>
        <w:spacing w:after="80" w:before="180"/>
      </w:pPr>
      <w:r>
        <w:rPr>
          <w:rFonts w:ascii="Arial" w:cs="Arial" w:eastAsia="Arial" w:hAnsi="Arial"/>
          <w:b/>
          <w:bCs/>
          <w:color w:val="4472C4"/>
          <w:sz w:val="24"/>
          <w:szCs w:val="24"/>
        </w:rPr>
        <w:t xml:space="preserve">4.2.3 vs. ReKT</w:t>
      </w:r>
    </w:p>
    <w:p>
      <w:pPr>
        <w:spacing w:after="60" w:before="60" w:line="300"/>
        <w:jc w:val="left"/>
      </w:pPr>
      <w:r>
        <w:rPr>
          <w:rFonts w:ascii="Arial" w:cs="Arial" w:eastAsia="Arial" w:hAnsi="Arial"/>
          <w:b w:val="false"/>
          <w:bCs w:val="false"/>
          <w:i w:val="false"/>
          <w:iCs w:val="false"/>
          <w:color w:val="000000"/>
          <w:sz w:val="22"/>
          <w:szCs w:val="22"/>
        </w:rPr>
        <w:t xml:space="preserve">ReKT introduces the Forgetting-Recovery Unit (FRU), which retrieves historically similar interactions to model recovery from forgetting — a more expressive forgetting mechanism than MobileKT's time-decay. However, FRU requires O(n) history retrieval per step, which is expensive on mobile. MobileKT approximates forgetting via learned time-decay parameters (W_f, b_f), shared across concept and domain levels. The DS window indirectly captures recovery patterns through sequential mastery tracking. Whether this approximation is sufficient is an open empirical question identified as future work.</w:t>
      </w:r>
    </w:p>
    <w:p>
      <w:r>
        <w:br w:type="page"/>
      </w:r>
    </w:p>
    <w:p>
      <w:pPr>
        <w:pStyle w:val="Heading1"/>
        <w:pBdr>
          <w:bottom w:val="single" w:color="2E75B6" w:sz="8" w:space="4"/>
        </w:pBdr>
        <w:spacing w:after="160" w:before="320"/>
      </w:pPr>
      <w:r>
        <w:rPr>
          <w:rFonts w:ascii="Arial" w:cs="Arial" w:eastAsia="Arial" w:hAnsi="Arial"/>
          <w:b/>
          <w:bCs/>
          <w:color w:val="1F3864"/>
          <w:sz w:val="32"/>
          <w:szCs w:val="32"/>
        </w:rPr>
        <w:t xml:space="preserve">5. Parameter Count Analysis</w:t>
      </w:r>
    </w:p>
    <w:p>
      <w:pPr>
        <w:spacing w:after="100" w:before="80" w:line="276"/>
        <w:jc w:val="left"/>
      </w:pPr>
      <w:r>
        <w:rPr>
          <w:rFonts w:ascii="Arial" w:cs="Arial" w:eastAsia="Arial" w:hAnsi="Arial"/>
          <w:b w:val="false"/>
          <w:bCs w:val="false"/>
          <w:i w:val="false"/>
          <w:iCs w:val="false"/>
          <w:color w:val="000000"/>
          <w:sz w:val="22"/>
          <w:szCs w:val="22"/>
        </w:rPr>
        <w:t xml:space="preserve">We enumerate all trainable parameters for each model under our unified assumptions (K=500, d=64, h=128, T=10). Parameters are separated by deployment location (Server vs. Device) for MobileKT.</w:t>
      </w:r>
    </w:p>
    <w:p>
      <w:pPr>
        <w:pStyle w:val="Heading2"/>
        <w:spacing w:after="120" w:before="240"/>
      </w:pPr>
      <w:r>
        <w:rPr>
          <w:rFonts w:ascii="Arial" w:cs="Arial" w:eastAsia="Arial" w:hAnsi="Arial"/>
          <w:b/>
          <w:bCs/>
          <w:color w:val="2E75B6"/>
          <w:sz w:val="26"/>
          <w:szCs w:val="26"/>
        </w:rPr>
        <w:t xml:space="preserve">5.1 SimpleKT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Module</w:t>
            </w:r>
          </w:p>
        </w:tc>
        <w:tc>
          <w:tcPr>
            <w:tcW w:type="dxa" w:w="30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Formula</w:t>
            </w:r>
          </w:p>
        </w:tc>
        <w:tc>
          <w:tcPr>
            <w:tcW w:type="dxa" w:w="30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Count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Interaction Embedding</w:t>
            </w:r>
          </w:p>
        </w:tc>
        <w:tc>
          <w:tcPr>
            <w:tcW w:type="dxa" w:w="3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2*K * h</w:t>
            </w:r>
          </w:p>
        </w:tc>
        <w:tc>
          <w:tcPr>
            <w:tcW w:type="dxa" w:w="3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128,000</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Transformer (4-head, 1-layer)</w:t>
            </w:r>
          </w:p>
        </w:tc>
        <w:tc>
          <w:tcPr>
            <w:tcW w:type="dxa" w:w="3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 * 3 * h^2 + 2*h*4h</w:t>
            </w:r>
          </w:p>
        </w:tc>
        <w:tc>
          <w:tcPr>
            <w:tcW w:type="dxa" w:w="3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327,680</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Output Projection</w:t>
            </w:r>
          </w:p>
        </w:tc>
        <w:tc>
          <w:tcPr>
            <w:tcW w:type="dxa" w:w="3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h * 1</w:t>
            </w:r>
          </w:p>
        </w:tc>
        <w:tc>
          <w:tcPr>
            <w:tcW w:type="dxa" w:w="3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128</w:t>
            </w:r>
          </w:p>
        </w:tc>
      </w:tr>
      <w:tr>
        <w:trPr>
          <w:tblHeader w:val="false"/>
        </w:trPr>
        <w:tc>
          <w:tcPr>
            <w:tcW w:type="dxa" w:w="3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TOTAL (all server-side)</w:t>
            </w:r>
          </w:p>
        </w:tc>
        <w:tc>
          <w:tcPr>
            <w:tcW w:type="dxa" w:w="308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308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~455,808</w:t>
            </w:r>
          </w:p>
        </w:tc>
      </w:tr>
    </w:tbl>
    <w:p>
      <w:pPr>
        <w:spacing w:after="120" w:before="40" w:line="276"/>
        <w:jc w:val="center"/>
      </w:pPr>
      <w:r>
        <w:rPr>
          <w:rFonts w:ascii="Arial" w:cs="Arial" w:eastAsia="Arial" w:hAnsi="Arial"/>
          <w:b w:val="false"/>
          <w:bCs w:val="false"/>
          <w:i/>
          <w:iCs/>
          <w:color w:val="595959"/>
          <w:sz w:val="18"/>
          <w:szCs w:val="18"/>
        </w:rPr>
        <w:t xml:space="preserve">Table 3. SimpleKT parameter breakdown.</w:t>
      </w:r>
    </w:p>
    <w:p>
      <w:pPr>
        <w:spacing w:after="0" w:before="0" w:line="24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6"/>
          <w:szCs w:val="26"/>
        </w:rPr>
        <w:t xml:space="preserve">5.2 MIKT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Module</w:t>
            </w:r>
          </w:p>
        </w:tc>
        <w:tc>
          <w:tcPr>
            <w:tcW w:type="dxa" w:w="30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Formula</w:t>
            </w:r>
          </w:p>
        </w:tc>
        <w:tc>
          <w:tcPr>
            <w:tcW w:type="dxa" w:w="30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Count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Concept Embedding (CE)</w:t>
            </w:r>
          </w:p>
        </w:tc>
        <w:tc>
          <w:tcPr>
            <w:tcW w:type="dxa" w:w="3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K * d</w:t>
            </w:r>
          </w:p>
        </w:tc>
        <w:tc>
          <w:tcPr>
            <w:tcW w:type="dxa" w:w="3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32,000</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ERM (W1, b1)</w:t>
            </w:r>
          </w:p>
        </w:tc>
        <w:tc>
          <w:tcPr>
            <w:tcW w:type="dxa" w:w="3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d*d + d</w:t>
            </w:r>
          </w:p>
        </w:tc>
        <w:tc>
          <w:tcPr>
            <w:tcW w:type="dxa" w:w="3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4,160</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QDE MLP (2-layer)</w:t>
            </w:r>
          </w:p>
        </w:tc>
        <w:tc>
          <w:tcPr>
            <w:tcW w:type="dxa" w:w="3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d*(d/2) + (d/2)*1 + biases</w:t>
            </w:r>
          </w:p>
        </w:tc>
        <w:tc>
          <w:tcPr>
            <w:tcW w:type="dxa" w:w="3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2,144</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GRU (knowledge state)</w:t>
            </w:r>
          </w:p>
        </w:tc>
        <w:tc>
          <w:tcPr>
            <w:tcW w:type="dxa" w:w="3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 * (d+h) * h</w:t>
            </w:r>
          </w:p>
        </w:tc>
        <w:tc>
          <w:tcPr>
            <w:tcW w:type="dxa" w:w="3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73,728</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Output MLP</w:t>
            </w:r>
          </w:p>
        </w:tc>
        <w:tc>
          <w:tcPr>
            <w:tcW w:type="dxa" w:w="3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h * 1</w:t>
            </w:r>
          </w:p>
        </w:tc>
        <w:tc>
          <w:tcPr>
            <w:tcW w:type="dxa" w:w="3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128</w:t>
            </w:r>
          </w:p>
        </w:tc>
      </w:tr>
      <w:tr>
        <w:trPr>
          <w:tblHeader w:val="false"/>
        </w:trPr>
        <w:tc>
          <w:tcPr>
            <w:tcW w:type="dxa" w:w="3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TOTAL (all server-side)</w:t>
            </w:r>
          </w:p>
        </w:tc>
        <w:tc>
          <w:tcPr>
            <w:tcW w:type="dxa" w:w="308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308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~112,160</w:t>
            </w:r>
          </w:p>
        </w:tc>
      </w:tr>
    </w:tbl>
    <w:p>
      <w:pPr>
        <w:spacing w:after="120" w:before="40" w:line="276"/>
        <w:jc w:val="center"/>
      </w:pPr>
      <w:r>
        <w:rPr>
          <w:rFonts w:ascii="Arial" w:cs="Arial" w:eastAsia="Arial" w:hAnsi="Arial"/>
          <w:b w:val="false"/>
          <w:bCs w:val="false"/>
          <w:i/>
          <w:iCs/>
          <w:color w:val="595959"/>
          <w:sz w:val="18"/>
          <w:szCs w:val="18"/>
        </w:rPr>
        <w:t xml:space="preserve">Table 4. MIKT parameter breakdown.</w:t>
      </w:r>
    </w:p>
    <w:p>
      <w:pPr>
        <w:spacing w:after="0" w:before="0" w:line="24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6"/>
          <w:szCs w:val="26"/>
        </w:rPr>
        <w:t xml:space="preserve">5.3 ReKT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Module</w:t>
            </w:r>
          </w:p>
        </w:tc>
        <w:tc>
          <w:tcPr>
            <w:tcW w:type="dxa" w:w="30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Formula</w:t>
            </w:r>
          </w:p>
        </w:tc>
        <w:tc>
          <w:tcPr>
            <w:tcW w:type="dxa" w:w="30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Count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Interaction Embedding</w:t>
            </w:r>
          </w:p>
        </w:tc>
        <w:tc>
          <w:tcPr>
            <w:tcW w:type="dxa" w:w="3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2*K * h</w:t>
            </w:r>
          </w:p>
        </w:tc>
        <w:tc>
          <w:tcPr>
            <w:tcW w:type="dxa" w:w="3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128,000</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GRU (knowledge state)</w:t>
            </w:r>
          </w:p>
        </w:tc>
        <w:tc>
          <w:tcPr>
            <w:tcW w:type="dxa" w:w="3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 * (d+h) * h</w:t>
            </w:r>
          </w:p>
        </w:tc>
        <w:tc>
          <w:tcPr>
            <w:tcW w:type="dxa" w:w="3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73,728</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FRU (query, key, value proj.)</w:t>
            </w:r>
          </w:p>
        </w:tc>
        <w:tc>
          <w:tcPr>
            <w:tcW w:type="dxa" w:w="3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 * h * h</w:t>
            </w:r>
          </w:p>
        </w:tc>
        <w:tc>
          <w:tcPr>
            <w:tcW w:type="dxa" w:w="3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49,152</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FRU (recovery gate)</w:t>
            </w:r>
          </w:p>
        </w:tc>
        <w:tc>
          <w:tcPr>
            <w:tcW w:type="dxa" w:w="3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 * h * h</w:t>
            </w:r>
          </w:p>
        </w:tc>
        <w:tc>
          <w:tcPr>
            <w:tcW w:type="dxa" w:w="3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32,768</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Output MLP</w:t>
            </w:r>
          </w:p>
        </w:tc>
        <w:tc>
          <w:tcPr>
            <w:tcW w:type="dxa" w:w="3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h * 1</w:t>
            </w:r>
          </w:p>
        </w:tc>
        <w:tc>
          <w:tcPr>
            <w:tcW w:type="dxa" w:w="3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128</w:t>
            </w:r>
          </w:p>
        </w:tc>
      </w:tr>
      <w:tr>
        <w:trPr>
          <w:tblHeader w:val="false"/>
        </w:trPr>
        <w:tc>
          <w:tcPr>
            <w:tcW w:type="dxa" w:w="3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TOTAL (all server-side)</w:t>
            </w:r>
          </w:p>
        </w:tc>
        <w:tc>
          <w:tcPr>
            <w:tcW w:type="dxa" w:w="308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308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~283,776</w:t>
            </w:r>
          </w:p>
        </w:tc>
      </w:tr>
    </w:tbl>
    <w:p>
      <w:pPr>
        <w:spacing w:after="120" w:before="40" w:line="276"/>
        <w:jc w:val="center"/>
      </w:pPr>
      <w:r>
        <w:rPr>
          <w:rFonts w:ascii="Arial" w:cs="Arial" w:eastAsia="Arial" w:hAnsi="Arial"/>
          <w:b w:val="false"/>
          <w:bCs w:val="false"/>
          <w:i/>
          <w:iCs/>
          <w:color w:val="595959"/>
          <w:sz w:val="18"/>
          <w:szCs w:val="18"/>
        </w:rPr>
        <w:t xml:space="preserve">Table 5. ReKT parameter breakdown (FRU included).</w:t>
      </w:r>
    </w:p>
    <w:p>
      <w:pPr>
        <w:spacing w:after="0" w:before="0" w:line="24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6"/>
          <w:szCs w:val="26"/>
        </w:rPr>
        <w:t xml:space="preserve">5.4 MobileKT — Cloud/Device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080"/>
        <w:gridCol w:w="248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Side</w:t>
            </w:r>
          </w:p>
        </w:tc>
        <w:tc>
          <w:tcPr>
            <w:tcW w:type="dxa" w:w="2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Module</w:t>
            </w:r>
          </w:p>
        </w:tc>
        <w:tc>
          <w:tcPr>
            <w:tcW w:type="dxa" w:w="20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Formula</w:t>
            </w:r>
          </w:p>
        </w:tc>
        <w:tc>
          <w:tcPr>
            <w:tcW w:type="dxa" w:w="24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Count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E75B6"/>
                <w:sz w:val="20"/>
                <w:szCs w:val="20"/>
              </w:rPr>
              <w:t xml:space="preserve">Cloud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QTV (BERT-small, frozen)</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~14.5M (fixed)</w:t>
            </w:r>
          </w:p>
        </w:tc>
        <w:tc>
          <w:tcPr>
            <w:tcW w:type="dxa" w:w="2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~14,500,000</w:t>
            </w:r>
          </w:p>
        </w:tc>
      </w:tr>
      <w:tr>
        <w:trPr>
          <w:tblHeader w:val="false"/>
        </w:trP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2E75B6"/>
                <w:sz w:val="20"/>
                <w:szCs w:val="20"/>
              </w:rPr>
              <w:t xml:space="preserve">Cloud</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CE — Concept Embeddings</w:t>
            </w:r>
          </w:p>
        </w:tc>
        <w:tc>
          <w:tcPr>
            <w:tcW w:type="dxa" w:w="2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K * d = 500*64</w:t>
            </w:r>
          </w:p>
        </w:tc>
        <w:tc>
          <w:tcPr>
            <w:tcW w:type="dxa" w:w="2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32,000</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E75B6"/>
                <w:sz w:val="20"/>
                <w:szCs w:val="20"/>
              </w:rPr>
              <w:t xml:space="preserve">Cloud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 — Domain Temporal Basis</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T * d = 10*64</w:t>
            </w:r>
          </w:p>
        </w:tc>
        <w:tc>
          <w:tcPr>
            <w:tcW w:type="dxa" w:w="2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640</w:t>
            </w:r>
          </w:p>
        </w:tc>
      </w:tr>
      <w:tr>
        <w:trPr>
          <w:tblHeader w:val="false"/>
        </w:trP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2E75B6"/>
                <w:sz w:val="20"/>
                <w:szCs w:val="20"/>
              </w:rPr>
              <w:t xml:space="preserve">Cloud</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QDE MLP</w:t>
            </w:r>
          </w:p>
        </w:tc>
        <w:tc>
          <w:tcPr>
            <w:tcW w:type="dxa" w:w="2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d*(d/2)+(d/2)*1+b</w:t>
            </w:r>
          </w:p>
        </w:tc>
        <w:tc>
          <w:tcPr>
            <w:tcW w:type="dxa" w:w="2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2,144</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E75B6"/>
                <w:sz w:val="20"/>
                <w:szCs w:val="20"/>
              </w:rPr>
              <w:t xml:space="preserve">Cloud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ERM (W1, b1)</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d*d + d</w:t>
            </w:r>
          </w:p>
        </w:tc>
        <w:tc>
          <w:tcPr>
            <w:tcW w:type="dxa" w:w="2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4,160</w:t>
            </w:r>
          </w:p>
        </w:tc>
      </w:tr>
      <w:tr>
        <w:trPr>
          <w:tblHeader w:val="false"/>
        </w:trP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2E75B6"/>
                <w:sz w:val="20"/>
                <w:szCs w:val="20"/>
              </w:rPr>
              <w:t xml:space="preserve">Cloud</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DRE (W2, W3)</w:t>
            </w:r>
          </w:p>
        </w:tc>
        <w:tc>
          <w:tcPr>
            <w:tcW w:type="dxa" w:w="2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d*d + 1</w:t>
            </w:r>
          </w:p>
        </w:tc>
        <w:tc>
          <w:tcPr>
            <w:tcW w:type="dxa" w:w="2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4,097</w:t>
            </w:r>
          </w:p>
        </w:tc>
      </w:tr>
      <w:tr>
        <w:trPr>
          <w:tblHeader w:val="false"/>
        </w:trPr>
        <w:tc>
          <w:tcPr>
            <w:tcW w:type="dxa" w:w="2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Cloud subtotal</w:t>
            </w:r>
          </w:p>
        </w:tc>
        <w:tc>
          <w:tcPr>
            <w:tcW w:type="dxa" w:w="2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(excl. QTV frozen)</w:t>
            </w:r>
          </w:p>
        </w:tc>
        <w:tc>
          <w:tcPr>
            <w:tcW w:type="dxa" w:w="208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42,641</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375623"/>
                <w:sz w:val="20"/>
                <w:szCs w:val="20"/>
              </w:rPr>
              <w:t xml:space="preserve">Device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W_f, b_f (shared forgetting)</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d + 1</w:t>
            </w:r>
          </w:p>
        </w:tc>
        <w:tc>
          <w:tcPr>
            <w:tcW w:type="dxa" w:w="2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65</w:t>
            </w:r>
          </w:p>
        </w:tc>
      </w:tr>
      <w:tr>
        <w:trPr>
          <w:tblHeader w:val="false"/>
        </w:trP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75623"/>
                <w:sz w:val="20"/>
                <w:szCs w:val="20"/>
              </w:rPr>
              <w:t xml:space="preserve">Device</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CU — Concept Updater MLP (2-layer)</w:t>
            </w:r>
          </w:p>
        </w:tc>
        <w:tc>
          <w:tcPr>
            <w:tcW w:type="dxa" w:w="2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(d+1)*d + d*1 + b</w:t>
            </w:r>
          </w:p>
        </w:tc>
        <w:tc>
          <w:tcPr>
            <w:tcW w:type="dxa" w:w="2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4,225</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375623"/>
                <w:sz w:val="20"/>
                <w:szCs w:val="20"/>
              </w:rPr>
              <w:t xml:space="preserve">Device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DU — Domain Updater MLP (2-layer)</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(d+1)*d + d*1 + b</w:t>
            </w:r>
          </w:p>
        </w:tc>
        <w:tc>
          <w:tcPr>
            <w:tcW w:type="dxa" w:w="2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4,225</w:t>
            </w:r>
          </w:p>
        </w:tc>
      </w:tr>
      <w:tr>
        <w:trPr>
          <w:tblHeader w:val="false"/>
        </w:trP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75623"/>
                <w:sz w:val="20"/>
                <w:szCs w:val="20"/>
              </w:rPr>
              <w:t xml:space="preserve">Device</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AE — Answer Embeddings</w:t>
            </w:r>
          </w:p>
        </w:tc>
        <w:tc>
          <w:tcPr>
            <w:tcW w:type="dxa" w:w="2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 * d</w:t>
            </w:r>
          </w:p>
        </w:tc>
        <w:tc>
          <w:tcPr>
            <w:tcW w:type="dxa" w:w="2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128</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375623"/>
                <w:sz w:val="20"/>
                <w:szCs w:val="20"/>
              </w:rPr>
              <w:t xml:space="preserve">Device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SAE — Student Ability Estimator (2-layer)</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2d*d + d*1 + b</w:t>
            </w:r>
          </w:p>
        </w:tc>
        <w:tc>
          <w:tcPr>
            <w:tcW w:type="dxa" w:w="2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8,321</w:t>
            </w:r>
          </w:p>
        </w:tc>
      </w:tr>
      <w:tr>
        <w:trPr>
          <w:tblHeader w:val="false"/>
        </w:trPr>
        <w:tc>
          <w:tcPr>
            <w:tcW w:type="dxa" w:w="2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Device subtotal</w:t>
            </w:r>
          </w:p>
        </w:tc>
        <w:tc>
          <w:tcPr>
            <w:tcW w:type="dxa" w:w="2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Trainable on-device params</w:t>
            </w:r>
          </w:p>
        </w:tc>
        <w:tc>
          <w:tcPr>
            <w:tcW w:type="dxa" w:w="208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16,964</w:t>
            </w:r>
          </w:p>
        </w:tc>
      </w:tr>
      <w:tr>
        <w:trPr>
          <w:tblHeader w:val="false"/>
        </w:trP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75623"/>
                <w:sz w:val="20"/>
                <w:szCs w:val="20"/>
              </w:rPr>
              <w:t xml:space="preserve">Device</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CS — Student Concept State (per user)</w:t>
            </w:r>
          </w:p>
        </w:tc>
        <w:tc>
          <w:tcPr>
            <w:tcW w:type="dxa" w:w="2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K*2 scalars = 1000 floats</w:t>
            </w:r>
          </w:p>
        </w:tc>
        <w:tc>
          <w:tcPr>
            <w:tcW w:type="dxa" w:w="2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 KB / user</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375623"/>
                <w:sz w:val="20"/>
                <w:szCs w:val="20"/>
              </w:rPr>
              <w:t xml:space="preserve">Device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DS — Student Domain State (per user)</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(T+1) scalars = 11 floats</w:t>
            </w:r>
          </w:p>
        </w:tc>
        <w:tc>
          <w:tcPr>
            <w:tcW w:type="dxa" w:w="2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~44 B / user</w:t>
            </w:r>
          </w:p>
        </w:tc>
      </w:tr>
    </w:tbl>
    <w:p>
      <w:pPr>
        <w:spacing w:after="120" w:before="40" w:line="276"/>
        <w:jc w:val="center"/>
      </w:pPr>
      <w:r>
        <w:rPr>
          <w:rFonts w:ascii="Arial" w:cs="Arial" w:eastAsia="Arial" w:hAnsi="Arial"/>
          <w:b w:val="false"/>
          <w:bCs w:val="false"/>
          <w:i/>
          <w:iCs/>
          <w:color w:val="595959"/>
          <w:sz w:val="18"/>
          <w:szCs w:val="18"/>
        </w:rPr>
        <w:t xml:space="preserve">Table 6. MobileKT complete parameter breakdown by deployment location.</w:t>
      </w:r>
    </w:p>
    <w:p>
      <w:pPr>
        <w:spacing w:after="0" w:before="0" w:line="24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6"/>
          <w:szCs w:val="26"/>
        </w:rPr>
        <w:t xml:space="preserve">5.5 Parameter Summary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16"/>
        <w:gridCol w:w="1716"/>
        <w:gridCol w:w="1716"/>
        <w:gridCol w:w="1712"/>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Metric</w:t>
            </w:r>
          </w:p>
        </w:tc>
        <w:tc>
          <w:tcPr>
            <w:tcW w:type="dxa" w:w="171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SimpleKT</w:t>
            </w:r>
          </w:p>
        </w:tc>
        <w:tc>
          <w:tcPr>
            <w:tcW w:type="dxa" w:w="171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MIKT</w:t>
            </w:r>
          </w:p>
        </w:tc>
        <w:tc>
          <w:tcPr>
            <w:tcW w:type="dxa" w:w="171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ReKT</w:t>
            </w:r>
          </w:p>
        </w:tc>
        <w:tc>
          <w:tcPr>
            <w:tcW w:type="dxa" w:w="171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MobileKT</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Total Params</w:t>
            </w:r>
          </w:p>
        </w:tc>
        <w:tc>
          <w:tcPr>
            <w:tcW w:type="dxa" w:w="171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455,808</w:t>
            </w:r>
          </w:p>
        </w:tc>
        <w:tc>
          <w:tcPr>
            <w:tcW w:type="dxa" w:w="171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112,160</w:t>
            </w:r>
          </w:p>
        </w:tc>
        <w:tc>
          <w:tcPr>
            <w:tcW w:type="dxa" w:w="171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283,776</w:t>
            </w:r>
          </w:p>
        </w:tc>
        <w:tc>
          <w:tcPr>
            <w:tcW w:type="dxa" w:w="1712"/>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~59,605*</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Server-Side Params</w:t>
            </w:r>
          </w:p>
        </w:tc>
        <w:tc>
          <w:tcPr>
            <w:tcW w:type="dxa" w:w="171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455,808</w:t>
            </w:r>
          </w:p>
        </w:tc>
        <w:tc>
          <w:tcPr>
            <w:tcW w:type="dxa" w:w="171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112,160</w:t>
            </w:r>
          </w:p>
        </w:tc>
        <w:tc>
          <w:tcPr>
            <w:tcW w:type="dxa" w:w="171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283,776</w:t>
            </w:r>
          </w:p>
        </w:tc>
        <w:tc>
          <w:tcPr>
            <w:tcW w:type="dxa" w:w="171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42,641</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Device-Side Params</w:t>
            </w:r>
          </w:p>
        </w:tc>
        <w:tc>
          <w:tcPr>
            <w:tcW w:type="dxa" w:w="171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w:t>
            </w:r>
          </w:p>
        </w:tc>
        <w:tc>
          <w:tcPr>
            <w:tcW w:type="dxa" w:w="171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w:t>
            </w:r>
          </w:p>
        </w:tc>
        <w:tc>
          <w:tcPr>
            <w:tcW w:type="dxa" w:w="171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w:t>
            </w:r>
          </w:p>
        </w:tc>
        <w:tc>
          <w:tcPr>
            <w:tcW w:type="dxa" w:w="1712"/>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16,964</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Per-User State Storage</w:t>
            </w:r>
          </w:p>
        </w:tc>
        <w:tc>
          <w:tcPr>
            <w:tcW w:type="dxa" w:w="171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 (server DB)</w:t>
            </w:r>
          </w:p>
        </w:tc>
        <w:tc>
          <w:tcPr>
            <w:tcW w:type="dxa" w:w="171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 (server DB)</w:t>
            </w:r>
          </w:p>
        </w:tc>
        <w:tc>
          <w:tcPr>
            <w:tcW w:type="dxa" w:w="171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n*h history buffer</w:t>
            </w:r>
          </w:p>
        </w:tc>
        <w:tc>
          <w:tcPr>
            <w:tcW w:type="dxa" w:w="1712"/>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~4.04 KB</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Device Model Size (FP32)</w:t>
            </w:r>
          </w:p>
        </w:tc>
        <w:tc>
          <w:tcPr>
            <w:tcW w:type="dxa" w:w="171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N/A</w:t>
            </w:r>
          </w:p>
        </w:tc>
        <w:tc>
          <w:tcPr>
            <w:tcW w:type="dxa" w:w="171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N/A</w:t>
            </w:r>
          </w:p>
        </w:tc>
        <w:tc>
          <w:tcPr>
            <w:tcW w:type="dxa" w:w="171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N/A</w:t>
            </w:r>
          </w:p>
        </w:tc>
        <w:tc>
          <w:tcPr>
            <w:tcW w:type="dxa" w:w="1712"/>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~66 KB</w:t>
            </w:r>
          </w:p>
        </w:tc>
      </w:tr>
    </w:tbl>
    <w:p>
      <w:pPr>
        <w:spacing w:after="120" w:before="40" w:line="276"/>
        <w:jc w:val="center"/>
      </w:pPr>
      <w:r>
        <w:rPr>
          <w:rFonts w:ascii="Arial" w:cs="Arial" w:eastAsia="Arial" w:hAnsi="Arial"/>
          <w:b w:val="false"/>
          <w:bCs w:val="false"/>
          <w:i/>
          <w:iCs/>
          <w:color w:val="595959"/>
          <w:sz w:val="18"/>
          <w:szCs w:val="18"/>
        </w:rPr>
        <w:t xml:space="preserve">Table 7. Parameter summary. (*MobileKT excl. frozen QTV. With QTV: ~14.56M server-side.)</w:t>
      </w:r>
    </w:p>
    <w:p>
      <w:r>
        <w:br w:type="page"/>
      </w:r>
    </w:p>
    <w:p>
      <w:pPr>
        <w:pStyle w:val="Heading1"/>
        <w:pBdr>
          <w:bottom w:val="single" w:color="2E75B6" w:sz="8" w:space="4"/>
        </w:pBdr>
        <w:spacing w:after="160" w:before="320"/>
      </w:pPr>
      <w:r>
        <w:rPr>
          <w:rFonts w:ascii="Arial" w:cs="Arial" w:eastAsia="Arial" w:hAnsi="Arial"/>
          <w:b/>
          <w:bCs/>
          <w:color w:val="1F3864"/>
          <w:sz w:val="32"/>
          <w:szCs w:val="32"/>
        </w:rPr>
        <w:t xml:space="preserve">6. Computational Complexity Analysis</w:t>
      </w:r>
    </w:p>
    <w:p>
      <w:pPr>
        <w:spacing w:after="100" w:before="80" w:line="276"/>
        <w:jc w:val="left"/>
      </w:pPr>
      <w:r>
        <w:rPr>
          <w:rFonts w:ascii="Arial" w:cs="Arial" w:eastAsia="Arial" w:hAnsi="Arial"/>
          <w:b w:val="false"/>
          <w:bCs w:val="false"/>
          <w:i w:val="false"/>
          <w:iCs w:val="false"/>
          <w:color w:val="000000"/>
          <w:sz w:val="22"/>
          <w:szCs w:val="22"/>
        </w:rPr>
        <w:t xml:space="preserve">We analyze FLOPs per single inference step (one question-response pair). For MobileKT, we separately report Cloud-side and Device-side FLOPs.</w:t>
      </w:r>
    </w:p>
    <w:p>
      <w:pPr>
        <w:pStyle w:val="Heading2"/>
        <w:spacing w:after="120" w:before="240"/>
      </w:pPr>
      <w:r>
        <w:rPr>
          <w:rFonts w:ascii="Arial" w:cs="Arial" w:eastAsia="Arial" w:hAnsi="Arial"/>
          <w:b/>
          <w:bCs/>
          <w:color w:val="2E75B6"/>
          <w:sz w:val="26"/>
          <w:szCs w:val="26"/>
        </w:rPr>
        <w:t xml:space="preserve">6.1 SimpleKT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Operation</w:t>
            </w:r>
          </w:p>
        </w:tc>
        <w:tc>
          <w:tcPr>
            <w:tcW w:type="dxa" w:w="28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Formula</w:t>
            </w:r>
          </w:p>
        </w:tc>
        <w:tc>
          <w:tcPr>
            <w:tcW w:type="dxa" w:w="28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FLOPs</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Embedding Lookup</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O(h)</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~256</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Multi-head Attention (4-head)</w:t>
            </w:r>
          </w:p>
        </w:tc>
        <w:tc>
          <w:tcPr>
            <w:tcW w:type="dxa" w:w="28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 * (n*d*h + n^2*d)</w:t>
            </w:r>
          </w:p>
        </w:tc>
        <w:tc>
          <w:tcPr>
            <w:tcW w:type="dxa" w:w="28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~2,867,200</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FFN (2-layer)</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n * (2 * h * 4h)</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~13,107,200</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Output Projection</w:t>
            </w:r>
          </w:p>
        </w:tc>
        <w:tc>
          <w:tcPr>
            <w:tcW w:type="dxa" w:w="28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h * 2</w:t>
            </w:r>
          </w:p>
        </w:tc>
        <w:tc>
          <w:tcPr>
            <w:tcW w:type="dxa" w:w="28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~256</w:t>
            </w:r>
          </w:p>
        </w:tc>
      </w:tr>
      <w:tr>
        <w:trPr>
          <w:tblHeader w:val="false"/>
        </w:trPr>
        <w:tc>
          <w:tcPr>
            <w:tcW w:type="dxa" w:w="3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TOTAL</w:t>
            </w:r>
          </w:p>
        </w:tc>
        <w:tc>
          <w:tcPr>
            <w:tcW w:type="dxa" w:w="288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O(n^2 * d) dominant</w:t>
            </w:r>
          </w:p>
        </w:tc>
        <w:tc>
          <w:tcPr>
            <w:tcW w:type="dxa" w:w="288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~15.97M</w:t>
            </w:r>
          </w:p>
        </w:tc>
      </w:tr>
    </w:tbl>
    <w:p>
      <w:pPr>
        <w:spacing w:after="120" w:before="40" w:line="276"/>
        <w:jc w:val="center"/>
      </w:pPr>
      <w:r>
        <w:rPr>
          <w:rFonts w:ascii="Arial" w:cs="Arial" w:eastAsia="Arial" w:hAnsi="Arial"/>
          <w:b w:val="false"/>
          <w:bCs w:val="false"/>
          <w:i/>
          <w:iCs/>
          <w:color w:val="595959"/>
          <w:sz w:val="18"/>
          <w:szCs w:val="18"/>
        </w:rPr>
        <w:t xml:space="preserve">Table 8. SimpleKT FLOPs per step (n=100, h=128, d=64).</w:t>
      </w:r>
    </w:p>
    <w:p>
      <w:pPr>
        <w:spacing w:after="0" w:before="0" w:line="24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6"/>
          <w:szCs w:val="26"/>
        </w:rPr>
        <w:t xml:space="preserve">6.2 MIKT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Operation</w:t>
            </w:r>
          </w:p>
        </w:tc>
        <w:tc>
          <w:tcPr>
            <w:tcW w:type="dxa" w:w="28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Formula</w:t>
            </w:r>
          </w:p>
        </w:tc>
        <w:tc>
          <w:tcPr>
            <w:tcW w:type="dxa" w:w="28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FLOPs</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ERM attention (|C_q|=3)</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|C_q| * (d*2 + d)</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576</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ERM W1 transform</w:t>
            </w:r>
          </w:p>
        </w:tc>
        <w:tc>
          <w:tcPr>
            <w:tcW w:type="dxa" w:w="28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d*d*2 + d*2</w:t>
            </w:r>
          </w:p>
        </w:tc>
        <w:tc>
          <w:tcPr>
            <w:tcW w:type="dxa" w:w="28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8,320</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QDE MLP</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d*(d/2)*2 + (d/2)*1*2</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4,224</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GRU step</w:t>
            </w:r>
          </w:p>
        </w:tc>
        <w:tc>
          <w:tcPr>
            <w:tcW w:type="dxa" w:w="28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3*(d+h)*h*2</w:t>
            </w:r>
          </w:p>
        </w:tc>
        <w:tc>
          <w:tcPr>
            <w:tcW w:type="dxa" w:w="28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147,456</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Output</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h*1*2</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256</w:t>
            </w:r>
          </w:p>
        </w:tc>
      </w:tr>
      <w:tr>
        <w:trPr>
          <w:tblHeader w:val="false"/>
        </w:trPr>
        <w:tc>
          <w:tcPr>
            <w:tcW w:type="dxa" w:w="3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TOTAL</w:t>
            </w:r>
          </w:p>
        </w:tc>
        <w:tc>
          <w:tcPr>
            <w:tcW w:type="dxa" w:w="288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O(h^2) dominant (GRU)</w:t>
            </w:r>
          </w:p>
        </w:tc>
        <w:tc>
          <w:tcPr>
            <w:tcW w:type="dxa" w:w="288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~160,832</w:t>
            </w:r>
          </w:p>
        </w:tc>
      </w:tr>
    </w:tbl>
    <w:p>
      <w:pPr>
        <w:spacing w:after="120" w:before="40" w:line="276"/>
        <w:jc w:val="center"/>
      </w:pPr>
      <w:r>
        <w:rPr>
          <w:rFonts w:ascii="Arial" w:cs="Arial" w:eastAsia="Arial" w:hAnsi="Arial"/>
          <w:b w:val="false"/>
          <w:bCs w:val="false"/>
          <w:i/>
          <w:iCs/>
          <w:color w:val="595959"/>
          <w:sz w:val="18"/>
          <w:szCs w:val="18"/>
        </w:rPr>
        <w:t xml:space="preserve">Table 9. MIKT FLOPs per step.</w:t>
      </w:r>
    </w:p>
    <w:p>
      <w:pPr>
        <w:spacing w:after="0" w:before="0" w:line="24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6"/>
          <w:szCs w:val="26"/>
        </w:rPr>
        <w:t xml:space="preserve">6.3 ReKT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Operation</w:t>
            </w:r>
          </w:p>
        </w:tc>
        <w:tc>
          <w:tcPr>
            <w:tcW w:type="dxa" w:w="28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Formula</w:t>
            </w:r>
          </w:p>
        </w:tc>
        <w:tc>
          <w:tcPr>
            <w:tcW w:type="dxa" w:w="28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FLOPs</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GRU step (same as MIKT)</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3*(d+h)*h*2</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147,456</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FRU Query/Key/Value proj.</w:t>
            </w:r>
          </w:p>
        </w:tc>
        <w:tc>
          <w:tcPr>
            <w:tcW w:type="dxa" w:w="28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 * h*h*2</w:t>
            </w:r>
          </w:p>
        </w:tc>
        <w:tc>
          <w:tcPr>
            <w:tcW w:type="dxa" w:w="28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98,304</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FRU Attention over history (n=100)</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n * h * 2 + n * h</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38,400</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FRU Recovery Gate</w:t>
            </w:r>
          </w:p>
        </w:tc>
        <w:tc>
          <w:tcPr>
            <w:tcW w:type="dxa" w:w="28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2*h*h*2</w:t>
            </w:r>
          </w:p>
        </w:tc>
        <w:tc>
          <w:tcPr>
            <w:tcW w:type="dxa" w:w="28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65,536</w:t>
            </w:r>
          </w:p>
        </w:tc>
      </w:tr>
      <w:tr>
        <w:trPr>
          <w:tblHeader w:val="false"/>
        </w:trPr>
        <w:tc>
          <w:tcPr>
            <w:tcW w:type="dxa" w:w="3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TOTAL</w:t>
            </w:r>
          </w:p>
        </w:tc>
        <w:tc>
          <w:tcPr>
            <w:tcW w:type="dxa" w:w="288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O(h^2 + n*h)</w:t>
            </w:r>
          </w:p>
        </w:tc>
        <w:tc>
          <w:tcPr>
            <w:tcW w:type="dxa" w:w="288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~349,696</w:t>
            </w:r>
          </w:p>
        </w:tc>
      </w:tr>
    </w:tbl>
    <w:p>
      <w:pPr>
        <w:spacing w:after="120" w:before="40" w:line="276"/>
        <w:jc w:val="center"/>
      </w:pPr>
      <w:r>
        <w:rPr>
          <w:rFonts w:ascii="Arial" w:cs="Arial" w:eastAsia="Arial" w:hAnsi="Arial"/>
          <w:b w:val="false"/>
          <w:bCs w:val="false"/>
          <w:i/>
          <w:iCs/>
          <w:color w:val="595959"/>
          <w:sz w:val="18"/>
          <w:szCs w:val="18"/>
        </w:rPr>
        <w:t xml:space="preserve">Table 10. ReKT FLOPs per step (history size n=100).</w:t>
      </w:r>
    </w:p>
    <w:p>
      <w:pPr>
        <w:spacing w:after="0" w:before="0" w:line="24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6"/>
          <w:szCs w:val="26"/>
        </w:rPr>
        <w:t xml:space="preserve">6.4 MobileKT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080"/>
        <w:gridCol w:w="248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Side</w:t>
            </w:r>
          </w:p>
        </w:tc>
        <w:tc>
          <w:tcPr>
            <w:tcW w:type="dxa" w:w="2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Operation</w:t>
            </w:r>
          </w:p>
        </w:tc>
        <w:tc>
          <w:tcPr>
            <w:tcW w:type="dxa" w:w="20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Formula</w:t>
            </w:r>
          </w:p>
        </w:tc>
        <w:tc>
          <w:tcPr>
            <w:tcW w:type="dxa" w:w="24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FLOPs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E75B6"/>
                <w:sz w:val="20"/>
                <w:szCs w:val="20"/>
              </w:rPr>
              <w:t xml:space="preserve">Cloud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QDE MLP</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d*(d/2)*2 + (d/2)*2</w:t>
            </w:r>
          </w:p>
        </w:tc>
        <w:tc>
          <w:tcPr>
            <w:tcW w:type="dxa" w:w="2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4,224</w:t>
            </w:r>
          </w:p>
        </w:tc>
      </w:tr>
      <w:tr>
        <w:trPr>
          <w:tblHeader w:val="false"/>
        </w:trP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2E75B6"/>
                <w:sz w:val="20"/>
                <w:szCs w:val="20"/>
              </w:rPr>
              <w:t xml:space="preserve">Cloud</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ERM attention (|C_q|=3)</w:t>
            </w:r>
          </w:p>
        </w:tc>
        <w:tc>
          <w:tcPr>
            <w:tcW w:type="dxa" w:w="2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|C_q| * d * 4</w:t>
            </w:r>
          </w:p>
        </w:tc>
        <w:tc>
          <w:tcPr>
            <w:tcW w:type="dxa" w:w="2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768</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E75B6"/>
                <w:sz w:val="20"/>
                <w:szCs w:val="20"/>
              </w:rPr>
              <w:t xml:space="preserve">Cloud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ERM W1 transform (OF)</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d*d*2 + d*2</w:t>
            </w:r>
          </w:p>
        </w:tc>
        <w:tc>
          <w:tcPr>
            <w:tcW w:type="dxa" w:w="2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8,320</w:t>
            </w:r>
          </w:p>
        </w:tc>
      </w:tr>
      <w:tr>
        <w:trPr>
          <w:tblHeader w:val="false"/>
        </w:trPr>
        <w:tc>
          <w:tcPr>
            <w:tcW w:type="dxa" w:w="2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Cloud subtotal</w:t>
            </w:r>
          </w:p>
        </w:tc>
        <w:tc>
          <w:tcPr>
            <w:tcW w:type="dxa" w:w="2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(per question — cacheable)</w:t>
            </w:r>
          </w:p>
        </w:tc>
        <w:tc>
          <w:tcPr>
            <w:tcW w:type="dxa" w:w="208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~13,312</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375623"/>
                <w:sz w:val="20"/>
                <w:szCs w:val="20"/>
              </w:rPr>
              <w:t xml:space="preserve">Device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CS Decay (|C_q|=3 only)</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|C_q| * d * 4</w:t>
            </w:r>
          </w:p>
        </w:tc>
        <w:tc>
          <w:tcPr>
            <w:tcW w:type="dxa" w:w="2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768</w:t>
            </w:r>
          </w:p>
        </w:tc>
      </w:tr>
      <w:tr>
        <w:trPr>
          <w:tblHeader w:val="false"/>
        </w:trP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75623"/>
                <w:sz w:val="20"/>
                <w:szCs w:val="20"/>
              </w:rPr>
              <w:t xml:space="preserve">Device</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D_bar computation</w:t>
            </w:r>
          </w:p>
        </w:tc>
        <w:tc>
          <w:tcPr>
            <w:tcW w:type="dxa" w:w="2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T * d * 2</w:t>
            </w:r>
          </w:p>
        </w:tc>
        <w:tc>
          <w:tcPr>
            <w:tcW w:type="dxa" w:w="2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1,280</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375623"/>
                <w:sz w:val="20"/>
                <w:szCs w:val="20"/>
              </w:rPr>
              <w:t xml:space="preserve">Device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DRE: W2 * q't</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d*d*2</w:t>
            </w:r>
          </w:p>
        </w:tc>
        <w:tc>
          <w:tcPr>
            <w:tcW w:type="dxa" w:w="2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8,192</w:t>
            </w:r>
          </w:p>
        </w:tc>
      </w:tr>
      <w:tr>
        <w:trPr>
          <w:tblHeader w:val="false"/>
        </w:trP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75623"/>
                <w:sz w:val="20"/>
                <w:szCs w:val="20"/>
              </w:rPr>
              <w:t xml:space="preserve">Device</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DRE: dot product + D_alpha</w:t>
            </w:r>
          </w:p>
        </w:tc>
        <w:tc>
          <w:tcPr>
            <w:tcW w:type="dxa" w:w="2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d*2 + 1</w:t>
            </w:r>
          </w:p>
        </w:tc>
        <w:tc>
          <w:tcPr>
            <w:tcW w:type="dxa" w:w="2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129</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375623"/>
                <w:sz w:val="20"/>
                <w:szCs w:val="20"/>
              </w:rPr>
              <w:t xml:space="preserve">Device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DK, CK computation</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d*2 + |C_q|*d*4</w:t>
            </w:r>
          </w:p>
        </w:tc>
        <w:tc>
          <w:tcPr>
            <w:tcW w:type="dxa" w:w="2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896</w:t>
            </w:r>
          </w:p>
        </w:tc>
      </w:tr>
      <w:tr>
        <w:trPr>
          <w:tblHeader w:val="false"/>
        </w:trP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75623"/>
                <w:sz w:val="20"/>
                <w:szCs w:val="20"/>
              </w:rPr>
              <w:t xml:space="preserve">Device</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SAE MLP (FK -&gt; scalar)</w:t>
            </w:r>
          </w:p>
        </w:tc>
        <w:tc>
          <w:tcPr>
            <w:tcW w:type="dxa" w:w="2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2d*d*2 + d*2</w:t>
            </w:r>
          </w:p>
        </w:tc>
        <w:tc>
          <w:tcPr>
            <w:tcW w:type="dxa" w:w="2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16,640</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375623"/>
                <w:sz w:val="20"/>
                <w:szCs w:val="20"/>
              </w:rPr>
              <w:t xml:space="preserve">Device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CU (3 concepts)</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|C_q| * (d+1)*d*2</w:t>
            </w:r>
          </w:p>
        </w:tc>
        <w:tc>
          <w:tcPr>
            <w:tcW w:type="dxa" w:w="2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24,960</w:t>
            </w:r>
          </w:p>
        </w:tc>
      </w:tr>
      <w:tr>
        <w:trPr>
          <w:tblHeader w:val="false"/>
        </w:trP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75623"/>
                <w:sz w:val="20"/>
                <w:szCs w:val="20"/>
              </w:rPr>
              <w:t xml:space="preserve">Device</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DU</w:t>
            </w:r>
          </w:p>
        </w:tc>
        <w:tc>
          <w:tcPr>
            <w:tcW w:type="dxa" w:w="2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(d+1)*d*2</w:t>
            </w:r>
          </w:p>
        </w:tc>
        <w:tc>
          <w:tcPr>
            <w:tcW w:type="dxa" w:w="2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8,320</w:t>
            </w:r>
          </w:p>
        </w:tc>
      </w:tr>
      <w:tr>
        <w:trPr>
          <w:tblHeader w:val="false"/>
        </w:trPr>
        <w:tc>
          <w:tcPr>
            <w:tcW w:type="dxa" w:w="2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Device subtotal</w:t>
            </w:r>
          </w:p>
        </w:tc>
        <w:tc>
          <w:tcPr>
            <w:tcW w:type="dxa" w:w="2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08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~61,185</w:t>
            </w:r>
          </w:p>
        </w:tc>
      </w:tr>
      <w:tr>
        <w:trPr>
          <w:tblHeader w:val="false"/>
        </w:trPr>
        <w:tc>
          <w:tcPr>
            <w:tcW w:type="dxa" w:w="2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TOTAL</w:t>
            </w:r>
          </w:p>
        </w:tc>
        <w:tc>
          <w:tcPr>
            <w:tcW w:type="dxa" w:w="2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Cloud + Device</w:t>
            </w:r>
          </w:p>
        </w:tc>
        <w:tc>
          <w:tcPr>
            <w:tcW w:type="dxa" w:w="208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48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~74,497</w:t>
            </w:r>
          </w:p>
        </w:tc>
      </w:tr>
    </w:tbl>
    <w:p>
      <w:pPr>
        <w:spacing w:after="120" w:before="40" w:line="276"/>
        <w:jc w:val="center"/>
      </w:pPr>
      <w:r>
        <w:rPr>
          <w:rFonts w:ascii="Arial" w:cs="Arial" w:eastAsia="Arial" w:hAnsi="Arial"/>
          <w:b w:val="false"/>
          <w:bCs w:val="false"/>
          <w:i/>
          <w:iCs/>
          <w:color w:val="595959"/>
          <w:sz w:val="18"/>
          <w:szCs w:val="18"/>
        </w:rPr>
        <w:t xml:space="preserve">Table 11. MobileKT FLOPs per step by deployment side. Cloud operations are cacheable per question.</w:t>
      </w:r>
    </w:p>
    <w:p>
      <w:pPr>
        <w:spacing w:after="0" w:before="0" w:line="24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6"/>
          <w:szCs w:val="26"/>
        </w:rPr>
        <w:t xml:space="preserve">6.5 FLOPs Summary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Metric</w:t>
            </w:r>
          </w:p>
        </w:tc>
        <w:tc>
          <w:tcPr>
            <w:tcW w:type="dxa" w:w="17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SimpleKT</w:t>
            </w:r>
          </w:p>
        </w:tc>
        <w:tc>
          <w:tcPr>
            <w:tcW w:type="dxa" w:w="17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MIKT</w:t>
            </w:r>
          </w:p>
        </w:tc>
        <w:tc>
          <w:tcPr>
            <w:tcW w:type="dxa" w:w="17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ReKT</w:t>
            </w:r>
          </w:p>
        </w:tc>
        <w:tc>
          <w:tcPr>
            <w:tcW w:type="dxa" w:w="17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MobileKT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Total FLOPs / step</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~15.97M</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~160K</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~350K</w:t>
            </w:r>
          </w:p>
        </w:tc>
        <w:tc>
          <w:tcPr>
            <w:tcW w:type="dxa" w:w="174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~74.5K</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Device FLOPs / step</w:t>
            </w:r>
          </w:p>
        </w:tc>
        <w:tc>
          <w:tcPr>
            <w:tcW w:type="dxa" w:w="17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w:t>
            </w:r>
          </w:p>
        </w:tc>
        <w:tc>
          <w:tcPr>
            <w:tcW w:type="dxa" w:w="17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w:t>
            </w:r>
          </w:p>
        </w:tc>
        <w:tc>
          <w:tcPr>
            <w:tcW w:type="dxa" w:w="17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w:t>
            </w:r>
          </w:p>
        </w:tc>
        <w:tc>
          <w:tcPr>
            <w:tcW w:type="dxa" w:w="174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~61.2K</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Reduction vs. SimpleKT</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baseline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~99x fewer</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~46x fewer</w:t>
            </w:r>
          </w:p>
        </w:tc>
        <w:tc>
          <w:tcPr>
            <w:tcW w:type="dxa" w:w="174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~214x fewer</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Reduction vs. MIKT</w:t>
            </w:r>
          </w:p>
        </w:tc>
        <w:tc>
          <w:tcPr>
            <w:tcW w:type="dxa" w:w="17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w:t>
            </w:r>
          </w:p>
        </w:tc>
        <w:tc>
          <w:tcPr>
            <w:tcW w:type="dxa" w:w="17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baseline</w:t>
            </w:r>
          </w:p>
        </w:tc>
        <w:tc>
          <w:tcPr>
            <w:tcW w:type="dxa" w:w="17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2.2x more</w:t>
            </w:r>
          </w:p>
        </w:tc>
        <w:tc>
          <w:tcPr>
            <w:tcW w:type="dxa" w:w="174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~2.2x fewer</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Reduction vs. ReKT</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baseline</w:t>
            </w:r>
          </w:p>
        </w:tc>
        <w:tc>
          <w:tcPr>
            <w:tcW w:type="dxa" w:w="174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~4.7x fewer</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Complexity Class</w:t>
            </w:r>
          </w:p>
        </w:tc>
        <w:tc>
          <w:tcPr>
            <w:tcW w:type="dxa" w:w="17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O(n^2 d)</w:t>
            </w:r>
          </w:p>
        </w:tc>
        <w:tc>
          <w:tcPr>
            <w:tcW w:type="dxa" w:w="17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O(h^2)</w:t>
            </w:r>
          </w:p>
        </w:tc>
        <w:tc>
          <w:tcPr>
            <w:tcW w:type="dxa" w:w="17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O(h^2 + nh)</w:t>
            </w:r>
          </w:p>
        </w:tc>
        <w:tc>
          <w:tcPr>
            <w:tcW w:type="dxa" w:w="174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O(d^2 + Td)</w:t>
            </w:r>
          </w:p>
        </w:tc>
      </w:tr>
    </w:tbl>
    <w:p>
      <w:pPr>
        <w:spacing w:after="120" w:before="40" w:line="276"/>
        <w:jc w:val="center"/>
      </w:pPr>
      <w:r>
        <w:rPr>
          <w:rFonts w:ascii="Arial" w:cs="Arial" w:eastAsia="Arial" w:hAnsi="Arial"/>
          <w:b w:val="false"/>
          <w:bCs w:val="false"/>
          <w:i/>
          <w:iCs/>
          <w:color w:val="595959"/>
          <w:sz w:val="18"/>
          <w:szCs w:val="18"/>
        </w:rPr>
        <w:t xml:space="preserve">Table 12. FLOPs comparison summary. MobileKT achieves the lowest total FLOPs across all baselines.</w:t>
      </w:r>
    </w:p>
    <w:p>
      <w:r>
        <w:br w:type="page"/>
      </w:r>
    </w:p>
    <w:p>
      <w:pPr>
        <w:pStyle w:val="Heading1"/>
        <w:pBdr>
          <w:bottom w:val="single" w:color="2E75B6" w:sz="8" w:space="4"/>
        </w:pBdr>
        <w:spacing w:after="160" w:before="320"/>
      </w:pPr>
      <w:r>
        <w:rPr>
          <w:rFonts w:ascii="Arial" w:cs="Arial" w:eastAsia="Arial" w:hAnsi="Arial"/>
          <w:b/>
          <w:bCs/>
          <w:color w:val="1F3864"/>
          <w:sz w:val="32"/>
          <w:szCs w:val="32"/>
        </w:rPr>
        <w:t xml:space="preserve">7. Mobile Suitability Analysis</w:t>
      </w:r>
    </w:p>
    <w:p>
      <w:pPr>
        <w:spacing w:after="100" w:before="80" w:line="276"/>
        <w:jc w:val="left"/>
      </w:pPr>
      <w:r>
        <w:rPr>
          <w:rFonts w:ascii="Arial" w:cs="Arial" w:eastAsia="Arial" w:hAnsi="Arial"/>
          <w:b w:val="false"/>
          <w:bCs w:val="false"/>
          <w:i w:val="false"/>
          <w:iCs w:val="false"/>
          <w:color w:val="000000"/>
          <w:sz w:val="22"/>
          <w:szCs w:val="22"/>
        </w:rPr>
        <w:t xml:space="preserve">We evaluate MobileKT across four critical dimensions for mobile deployment: memory, latency, privacy, and reliability.</w:t>
      </w:r>
    </w:p>
    <w:p>
      <w:pPr>
        <w:pStyle w:val="Heading2"/>
        <w:spacing w:after="120" w:before="240"/>
      </w:pPr>
      <w:r>
        <w:rPr>
          <w:rFonts w:ascii="Arial" w:cs="Arial" w:eastAsia="Arial" w:hAnsi="Arial"/>
          <w:b/>
          <w:bCs/>
          <w:color w:val="2E75B6"/>
          <w:sz w:val="26"/>
          <w:szCs w:val="26"/>
        </w:rPr>
        <w:t xml:space="preserve">7.1 Memory Footprint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Memory Item</w:t>
            </w:r>
          </w:p>
        </w:tc>
        <w:tc>
          <w:tcPr>
            <w:tcW w:type="dxa" w:w="16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SimpleKT</w:t>
            </w:r>
          </w:p>
        </w:tc>
        <w:tc>
          <w:tcPr>
            <w:tcW w:type="dxa" w:w="16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MIKT</w:t>
            </w:r>
          </w:p>
        </w:tc>
        <w:tc>
          <w:tcPr>
            <w:tcW w:type="dxa" w:w="16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ReKT</w:t>
            </w:r>
          </w:p>
        </w:tc>
        <w:tc>
          <w:tcPr>
            <w:tcW w:type="dxa" w:w="16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MobileKT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Server Model Size (FP32)</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~1.82 MB</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~449 KB</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~1.14 MB</w:t>
            </w:r>
          </w:p>
        </w:tc>
        <w:tc>
          <w:tcPr>
            <w:tcW w:type="dxa" w:w="164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~171 KB*</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Device Model Size</w:t>
            </w:r>
          </w:p>
        </w:tc>
        <w:tc>
          <w:tcPr>
            <w:tcW w:type="dxa" w:w="16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N/A</w:t>
            </w:r>
          </w:p>
        </w:tc>
        <w:tc>
          <w:tcPr>
            <w:tcW w:type="dxa" w:w="16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N/A</w:t>
            </w:r>
          </w:p>
        </w:tc>
        <w:tc>
          <w:tcPr>
            <w:tcW w:type="dxa" w:w="16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N/A</w:t>
            </w:r>
          </w:p>
        </w:tc>
        <w:tc>
          <w:tcPr>
            <w:tcW w:type="dxa" w:w="164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~66 KB</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Per-User State (on device)</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 (server DB)</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 (server DB)</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51.2 KB (n*h buffer)</w:t>
            </w:r>
          </w:p>
        </w:tc>
        <w:tc>
          <w:tcPr>
            <w:tcW w:type="dxa" w:w="164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~4.04 KB</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Peak Runtime Memory (device)</w:t>
            </w:r>
          </w:p>
        </w:tc>
        <w:tc>
          <w:tcPr>
            <w:tcW w:type="dxa" w:w="16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N/A</w:t>
            </w:r>
          </w:p>
        </w:tc>
        <w:tc>
          <w:tcPr>
            <w:tcW w:type="dxa" w:w="16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N/A</w:t>
            </w:r>
          </w:p>
        </w:tc>
        <w:tc>
          <w:tcPr>
            <w:tcW w:type="dxa" w:w="16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N/A</w:t>
            </w:r>
          </w:p>
        </w:tc>
        <w:tc>
          <w:tcPr>
            <w:tcW w:type="dxa" w:w="164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&lt; 1 MB</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INT8 Device Model Size</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N/A</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N/A</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N/A</w:t>
            </w:r>
          </w:p>
        </w:tc>
        <w:tc>
          <w:tcPr>
            <w:tcW w:type="dxa" w:w="164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~16.5 KB</w:t>
            </w:r>
          </w:p>
        </w:tc>
      </w:tr>
    </w:tbl>
    <w:p>
      <w:pPr>
        <w:spacing w:after="120" w:before="40" w:line="276"/>
        <w:jc w:val="center"/>
      </w:pPr>
      <w:r>
        <w:rPr>
          <w:rFonts w:ascii="Arial" w:cs="Arial" w:eastAsia="Arial" w:hAnsi="Arial"/>
          <w:b w:val="false"/>
          <w:bCs w:val="false"/>
          <w:i/>
          <w:iCs/>
          <w:color w:val="595959"/>
          <w:sz w:val="18"/>
          <w:szCs w:val="18"/>
        </w:rPr>
        <w:t xml:space="preserve">Table 13. Memory comparison. *Server model excludes frozen QTV (14.5M params). Device model = 16,964 params * 4B.</w:t>
      </w:r>
    </w:p>
    <w:p>
      <w:pPr>
        <w:spacing w:after="0" w:before="0" w:line="24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6"/>
          <w:szCs w:val="26"/>
        </w:rPr>
        <w:t xml:space="preserve">7.2 Latency Estimation (Device-Side)</w:t>
      </w:r>
    </w:p>
    <w:p>
      <w:pPr>
        <w:spacing w:after="60" w:before="60" w:line="276"/>
        <w:jc w:val="left"/>
      </w:pPr>
      <w:r>
        <w:rPr>
          <w:rFonts w:ascii="Arial" w:cs="Arial" w:eastAsia="Arial" w:hAnsi="Arial"/>
          <w:b w:val="false"/>
          <w:bCs w:val="false"/>
          <w:i w:val="false"/>
          <w:iCs w:val="false"/>
          <w:color w:val="000000"/>
          <w:sz w:val="22"/>
          <w:szCs w:val="22"/>
        </w:rPr>
        <w:t xml:space="preserve">Modern mid-range smartphones achieve ~2-10 TOPS (INT8) via dedicated NPUs. Device FLOPs of 61.2K are negligible: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20"/>
        <w:gridCol w:w="1720"/>
        <w:gridCol w:w="272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Device Tier</w:t>
            </w:r>
          </w:p>
        </w:tc>
        <w:tc>
          <w:tcPr>
            <w:tcW w:type="dxa" w:w="17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NPU Perf.</w:t>
            </w:r>
          </w:p>
        </w:tc>
        <w:tc>
          <w:tcPr>
            <w:tcW w:type="dxa" w:w="17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Device FLOPs</w:t>
            </w:r>
          </w:p>
        </w:tc>
        <w:tc>
          <w:tcPr>
            <w:tcW w:type="dxa" w:w="27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Estimated Latency</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Low-end (e.g., Snapdragon 680)</w:t>
            </w:r>
          </w:p>
        </w:tc>
        <w:tc>
          <w:tcPr>
            <w:tcW w:type="dxa" w:w="1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~0.5 TOPS</w:t>
            </w:r>
          </w:p>
        </w:tc>
        <w:tc>
          <w:tcPr>
            <w:tcW w:type="dxa" w:w="1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61.2K</w:t>
            </w:r>
          </w:p>
        </w:tc>
        <w:tc>
          <w:tcPr>
            <w:tcW w:type="dxa" w:w="272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&lt; 0.15 ms</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Mid-range (e.g., Snapdragon 778G)</w:t>
            </w:r>
          </w:p>
        </w:tc>
        <w:tc>
          <w:tcPr>
            <w:tcW w:type="dxa" w:w="1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 TOPS</w:t>
            </w:r>
          </w:p>
        </w:tc>
        <w:tc>
          <w:tcPr>
            <w:tcW w:type="dxa" w:w="1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61.2K</w:t>
            </w:r>
          </w:p>
        </w:tc>
        <w:tc>
          <w:tcPr>
            <w:tcW w:type="dxa" w:w="272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&lt; 0.04 ms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High-end (e.g., Apple A17 Pro)</w:t>
            </w:r>
          </w:p>
        </w:tc>
        <w:tc>
          <w:tcPr>
            <w:tcW w:type="dxa" w:w="1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~35 TOPS</w:t>
            </w:r>
          </w:p>
        </w:tc>
        <w:tc>
          <w:tcPr>
            <w:tcW w:type="dxa" w:w="1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61.2K</w:t>
            </w:r>
          </w:p>
        </w:tc>
        <w:tc>
          <w:tcPr>
            <w:tcW w:type="dxa" w:w="272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&lt; 0.002 ms</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Network Latency (for q't from server)</w:t>
            </w:r>
          </w:p>
        </w:tc>
        <w:tc>
          <w:tcPr>
            <w:tcW w:type="dxa" w:w="1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4G LTE</w:t>
            </w:r>
          </w:p>
        </w:tc>
        <w:tc>
          <w:tcPr>
            <w:tcW w:type="dxa" w:w="1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w:t>
            </w:r>
          </w:p>
        </w:tc>
        <w:tc>
          <w:tcPr>
            <w:tcW w:type="dxa" w:w="2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~50-150 ms</w:t>
            </w:r>
          </w:p>
        </w:tc>
      </w:tr>
    </w:tbl>
    <w:p>
      <w:pPr>
        <w:spacing w:after="120" w:before="40" w:line="276"/>
        <w:jc w:val="center"/>
      </w:pPr>
      <w:r>
        <w:rPr>
          <w:rFonts w:ascii="Arial" w:cs="Arial" w:eastAsia="Arial" w:hAnsi="Arial"/>
          <w:b w:val="false"/>
          <w:bCs w:val="false"/>
          <w:i/>
          <w:iCs/>
          <w:color w:val="595959"/>
          <w:sz w:val="18"/>
          <w:szCs w:val="18"/>
        </w:rPr>
        <w:t xml:space="preserve">Table 14. Device-side latency estimates. On-device inference is negligible; network latency dominates.</w:t>
      </w:r>
    </w:p>
    <w:p>
      <w:pPr>
        <w:spacing w:after="80" w:before="80" w:line="276"/>
        <w:jc w:val="left"/>
      </w:pPr>
      <w:r>
        <w:rPr>
          <w:rFonts w:ascii="Arial" w:cs="Arial" w:eastAsia="Arial" w:hAnsi="Arial"/>
          <w:b/>
          <w:bCs/>
          <w:i w:val="false"/>
          <w:iCs w:val="false"/>
          <w:color w:val="000000"/>
          <w:sz w:val="22"/>
          <w:szCs w:val="22"/>
        </w:rPr>
        <w:t xml:space="preserve">Key insight: </w:t>
      </w:r>
      <w:r>
        <w:rPr>
          <w:rFonts w:ascii="Arial" w:cs="Arial" w:eastAsia="Arial" w:hAnsi="Arial"/>
          <w:b w:val="false"/>
          <w:bCs w:val="false"/>
          <w:i w:val="false"/>
          <w:iCs w:val="false"/>
          <w:color w:val="000000"/>
          <w:sz w:val="22"/>
          <w:szCs w:val="22"/>
        </w:rPr>
        <w:t xml:space="preserve">On-device KT inference is effectively free in terms of latency. The bottleneck is cloud-to-device communication for q't and Diff_qt, both of which are cacheable per question.</w:t>
      </w:r>
    </w:p>
    <w:p>
      <w:pPr>
        <w:spacing w:after="0" w:before="0" w:line="24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6"/>
          <w:szCs w:val="26"/>
        </w:rPr>
        <w:t xml:space="preserve">7.3 Privacy &amp; Data Sovereignty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Dimension</w:t>
            </w:r>
          </w:p>
        </w:tc>
        <w:tc>
          <w:tcPr>
            <w:tcW w:type="dxa" w:w="58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Analysis</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Student Response History</w:t>
            </w:r>
          </w:p>
        </w:tc>
        <w:tc>
          <w:tcPr>
            <w:tcW w:type="dxa" w:w="5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Stored exclusively on-device (CS, DS). Server never receives raw responses.</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Data Minimization (GDPR Art. 5)</w:t>
            </w:r>
          </w:p>
        </w:tc>
        <w:tc>
          <w:tcPr>
            <w:tcW w:type="dxa" w:w="5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Server receives only anonymized question IDs. No student-identifiable data transmitted.</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Right to Erasure (GDPR Art. 17)</w:t>
            </w:r>
          </w:p>
        </w:tc>
        <w:tc>
          <w:tcPr>
            <w:tcW w:type="dxa" w:w="5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Deleting user account = wiping device storage. No server-side cleanup required.</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User Transparency</w:t>
            </w:r>
          </w:p>
        </w:tc>
        <w:tc>
          <w:tcPr>
            <w:tcW w:type="dxa" w:w="5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CS values (0~1 per concept) are human-readable and can be surfaced directly in UI.</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Comparison vs. Baselines</w:t>
            </w:r>
          </w:p>
        </w:tc>
        <w:tc>
          <w:tcPr>
            <w:tcW w:type="dxa" w:w="58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SimpleKT / MIKT / ReKT all transmit and store full interaction histories server-side, creating significant privacy risks and regulatory complexity.</w:t>
            </w:r>
          </w:p>
        </w:tc>
      </w:tr>
    </w:tbl>
    <w:p>
      <w:pPr>
        <w:spacing w:after="120" w:before="40" w:line="276"/>
        <w:jc w:val="center"/>
      </w:pPr>
      <w:r>
        <w:rPr>
          <w:rFonts w:ascii="Arial" w:cs="Arial" w:eastAsia="Arial" w:hAnsi="Arial"/>
          <w:b w:val="false"/>
          <w:bCs w:val="false"/>
          <w:i/>
          <w:iCs/>
          <w:color w:val="595959"/>
          <w:sz w:val="18"/>
          <w:szCs w:val="18"/>
        </w:rPr>
        <w:t xml:space="preserve">Table 15. Privacy analysis of MobileKT vs. baselines.</w:t>
      </w:r>
    </w:p>
    <w:p>
      <w:pPr>
        <w:spacing w:after="0" w:before="0" w:line="24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6"/>
          <w:szCs w:val="26"/>
        </w:rPr>
        <w:t xml:space="preserve">7.4 Offline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Scenario</w:t>
            </w:r>
          </w:p>
        </w:tc>
        <w:tc>
          <w:tcPr>
            <w:tcW w:type="dxa" w:w="58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MobileKT Behavior</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Full Online (server available)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Cloud computes q't, Diff_qt, alpha_j. Device runs Knowledge Gathering + SAE + Updater.</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Partial Offline (cached questions)</w:t>
            </w:r>
          </w:p>
        </w:tc>
        <w:tc>
          <w:tcPr>
            <w:tcW w:type="dxa" w:w="5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If q't, Diff_qt, alpha_j cached from prior online session: full KT inference runs on-device. Zero server dependency.</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Full Offline (no cache)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KT prediction unavailable. CS/DS state still updated via time-decay (forgetting) automatically.</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Baseline comparison</w:t>
            </w:r>
          </w:p>
        </w:tc>
        <w:tc>
          <w:tcPr>
            <w:tcW w:type="dxa" w:w="58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SimpleKT / MIKT / ReKT: all require live server connection for any inference. Zero offline capability.</w:t>
            </w:r>
          </w:p>
        </w:tc>
      </w:tr>
    </w:tbl>
    <w:p>
      <w:pPr>
        <w:spacing w:after="120" w:before="40" w:line="276"/>
        <w:jc w:val="center"/>
      </w:pPr>
      <w:r>
        <w:rPr>
          <w:rFonts w:ascii="Arial" w:cs="Arial" w:eastAsia="Arial" w:hAnsi="Arial"/>
          <w:b w:val="false"/>
          <w:bCs w:val="false"/>
          <w:i/>
          <w:iCs/>
          <w:color w:val="595959"/>
          <w:sz w:val="18"/>
          <w:szCs w:val="18"/>
        </w:rPr>
        <w:t xml:space="preserve">Table 16. Offline capability analysis.</w:t>
      </w:r>
    </w:p>
    <w:p>
      <w:pPr>
        <w:spacing w:after="0" w:before="0" w:line="24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6"/>
          <w:szCs w:val="26"/>
        </w:rPr>
        <w:t xml:space="preserve">7.5 Overall Mobile Suitability Scorecard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1300"/>
        <w:gridCol w:w="1560"/>
      </w:tblGrid>
      <w:tr>
        <w:trPr>
          <w:tblHeader/>
        </w:trPr>
        <w:tc>
          <w:tcPr>
            <w:tcW w:type="dxa" w:w="2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Criterion</w:t>
            </w:r>
          </w:p>
        </w:tc>
        <w:tc>
          <w:tcPr>
            <w:tcW w:type="dxa" w:w="13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SimpleKT</w:t>
            </w:r>
          </w:p>
        </w:tc>
        <w:tc>
          <w:tcPr>
            <w:tcW w:type="dxa" w:w="13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MIKT</w:t>
            </w:r>
          </w:p>
        </w:tc>
        <w:tc>
          <w:tcPr>
            <w:tcW w:type="dxa" w:w="13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ReKT</w:t>
            </w:r>
          </w:p>
        </w:tc>
        <w:tc>
          <w:tcPr>
            <w:tcW w:type="dxa" w:w="1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MobileKT</w:t>
            </w:r>
          </w:p>
        </w:tc>
      </w:tr>
      <w:tr>
        <w:trPr>
          <w:tblHeader w:val="false"/>
        </w:trPr>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On-Device Inference</w:t>
            </w:r>
          </w:p>
        </w:tc>
        <w:tc>
          <w:tcPr>
            <w:tcW w:type="dxa" w:w="13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X</w:t>
            </w:r>
          </w:p>
        </w:tc>
        <w:tc>
          <w:tcPr>
            <w:tcW w:type="dxa" w:w="13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X</w:t>
            </w:r>
          </w:p>
        </w:tc>
        <w:tc>
          <w:tcPr>
            <w:tcW w:type="dxa" w:w="13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X</w:t>
            </w:r>
          </w:p>
        </w:tc>
        <w:tc>
          <w:tcPr>
            <w:tcW w:type="dxa" w:w="15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O</w:t>
            </w:r>
          </w:p>
        </w:tc>
      </w:tr>
      <w:tr>
        <w:trPr>
          <w:tblHeader w:val="false"/>
        </w:trPr>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Low Device Memory (&lt; 10MB)</w:t>
            </w:r>
          </w:p>
        </w:tc>
        <w:tc>
          <w:tcPr>
            <w:tcW w:type="dxa" w:w="13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X</w:t>
            </w:r>
          </w:p>
        </w:tc>
        <w:tc>
          <w:tcPr>
            <w:tcW w:type="dxa" w:w="13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X</w:t>
            </w:r>
          </w:p>
        </w:tc>
        <w:tc>
          <w:tcPr>
            <w:tcW w:type="dxa" w:w="13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X</w:t>
            </w:r>
          </w:p>
        </w:tc>
        <w:tc>
          <w:tcPr>
            <w:tcW w:type="dxa" w:w="15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O (~70KB)</w:t>
            </w:r>
          </w:p>
        </w:tc>
      </w:tr>
      <w:tr>
        <w:trPr>
          <w:tblHeader w:val="false"/>
        </w:trPr>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Sub-ms Device Latency</w:t>
            </w:r>
          </w:p>
        </w:tc>
        <w:tc>
          <w:tcPr>
            <w:tcW w:type="dxa" w:w="13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X</w:t>
            </w:r>
          </w:p>
        </w:tc>
        <w:tc>
          <w:tcPr>
            <w:tcW w:type="dxa" w:w="13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X</w:t>
            </w:r>
          </w:p>
        </w:tc>
        <w:tc>
          <w:tcPr>
            <w:tcW w:type="dxa" w:w="13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X</w:t>
            </w:r>
          </w:p>
        </w:tc>
        <w:tc>
          <w:tcPr>
            <w:tcW w:type="dxa" w:w="15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O (&lt; 0.15ms)</w:t>
            </w:r>
          </w:p>
        </w:tc>
      </w:tr>
      <w:tr>
        <w:trPr>
          <w:tblHeader w:val="false"/>
        </w:trPr>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Student Privacy (state on-device)</w:t>
            </w:r>
          </w:p>
        </w:tc>
        <w:tc>
          <w:tcPr>
            <w:tcW w:type="dxa" w:w="13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X</w:t>
            </w:r>
          </w:p>
        </w:tc>
        <w:tc>
          <w:tcPr>
            <w:tcW w:type="dxa" w:w="13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X</w:t>
            </w:r>
          </w:p>
        </w:tc>
        <w:tc>
          <w:tcPr>
            <w:tcW w:type="dxa" w:w="13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X</w:t>
            </w:r>
          </w:p>
        </w:tc>
        <w:tc>
          <w:tcPr>
            <w:tcW w:type="dxa" w:w="15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O</w:t>
            </w:r>
          </w:p>
        </w:tc>
      </w:tr>
      <w:tr>
        <w:trPr>
          <w:tblHeader w:val="false"/>
        </w:trPr>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Interpretable Knowledge State</w:t>
            </w:r>
          </w:p>
        </w:tc>
        <w:tc>
          <w:tcPr>
            <w:tcW w:type="dxa" w:w="13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X</w:t>
            </w:r>
          </w:p>
        </w:tc>
        <w:tc>
          <w:tcPr>
            <w:tcW w:type="dxa" w:w="13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X</w:t>
            </w:r>
          </w:p>
        </w:tc>
        <w:tc>
          <w:tcPr>
            <w:tcW w:type="dxa" w:w="13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X</w:t>
            </w:r>
          </w:p>
        </w:tc>
        <w:tc>
          <w:tcPr>
            <w:tcW w:type="dxa" w:w="15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O (0~1 scalar)</w:t>
            </w:r>
          </w:p>
        </w:tc>
      </w:tr>
      <w:tr>
        <w:trPr>
          <w:tblHeader w:val="false"/>
        </w:trPr>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GDPR-Compatible Architecture</w:t>
            </w:r>
          </w:p>
        </w:tc>
        <w:tc>
          <w:tcPr>
            <w:tcW w:type="dxa" w:w="13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X</w:t>
            </w:r>
          </w:p>
        </w:tc>
        <w:tc>
          <w:tcPr>
            <w:tcW w:type="dxa" w:w="13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X</w:t>
            </w:r>
          </w:p>
        </w:tc>
        <w:tc>
          <w:tcPr>
            <w:tcW w:type="dxa" w:w="13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X</w:t>
            </w:r>
          </w:p>
        </w:tc>
        <w:tc>
          <w:tcPr>
            <w:tcW w:type="dxa" w:w="15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O</w:t>
            </w:r>
          </w:p>
        </w:tc>
      </w:tr>
      <w:tr>
        <w:trPr>
          <w:tblHeader w:val="false"/>
        </w:trPr>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Offline Question Inference (cached)</w:t>
            </w:r>
          </w:p>
        </w:tc>
        <w:tc>
          <w:tcPr>
            <w:tcW w:type="dxa" w:w="13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X</w:t>
            </w:r>
          </w:p>
        </w:tc>
        <w:tc>
          <w:tcPr>
            <w:tcW w:type="dxa" w:w="13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X</w:t>
            </w:r>
          </w:p>
        </w:tc>
        <w:tc>
          <w:tcPr>
            <w:tcW w:type="dxa" w:w="13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X</w:t>
            </w:r>
          </w:p>
        </w:tc>
        <w:tc>
          <w:tcPr>
            <w:tcW w:type="dxa" w:w="15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O (partial)</w:t>
            </w:r>
          </w:p>
        </w:tc>
      </w:tr>
      <w:tr>
        <w:trPr>
          <w:tblHeader w:val="false"/>
        </w:trPr>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Multi-concept Handling</w:t>
            </w:r>
          </w:p>
        </w:tc>
        <w:tc>
          <w:tcPr>
            <w:tcW w:type="dxa" w:w="13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X</w:t>
            </w:r>
          </w:p>
        </w:tc>
        <w:tc>
          <w:tcPr>
            <w:tcW w:type="dxa" w:w="13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O</w:t>
            </w:r>
          </w:p>
        </w:tc>
        <w:tc>
          <w:tcPr>
            <w:tcW w:type="dxa" w:w="13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X</w:t>
            </w:r>
          </w:p>
        </w:tc>
        <w:tc>
          <w:tcPr>
            <w:tcW w:type="dxa" w:w="15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O (ERM)</w:t>
            </w:r>
          </w:p>
        </w:tc>
      </w:tr>
      <w:tr>
        <w:trPr>
          <w:tblHeader w:val="false"/>
        </w:trPr>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Forgetting Modeling</w:t>
            </w:r>
          </w:p>
        </w:tc>
        <w:tc>
          <w:tcPr>
            <w:tcW w:type="dxa" w:w="13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X</w:t>
            </w:r>
          </w:p>
        </w:tc>
        <w:tc>
          <w:tcPr>
            <w:tcW w:type="dxa" w:w="13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X</w:t>
            </w:r>
          </w:p>
        </w:tc>
        <w:tc>
          <w:tcPr>
            <w:tcW w:type="dxa" w:w="13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O (FRU)</w:t>
            </w:r>
          </w:p>
        </w:tc>
        <w:tc>
          <w:tcPr>
            <w:tcW w:type="dxa" w:w="15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O (time-decay)</w:t>
            </w:r>
          </w:p>
        </w:tc>
      </w:tr>
      <w:tr>
        <w:trPr>
          <w:tblHeader w:val="false"/>
        </w:trPr>
        <w:tc>
          <w:tcPr>
            <w:tcW w:type="dxa" w:w="2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Mobile Score</w:t>
            </w:r>
          </w:p>
        </w:tc>
        <w:tc>
          <w:tcPr>
            <w:tcW w:type="dxa" w:w="13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1 / 9</w:t>
            </w:r>
          </w:p>
        </w:tc>
        <w:tc>
          <w:tcPr>
            <w:tcW w:type="dxa" w:w="13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2 / 9</w:t>
            </w:r>
          </w:p>
        </w:tc>
        <w:tc>
          <w:tcPr>
            <w:tcW w:type="dxa" w:w="13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2 / 9</w:t>
            </w:r>
          </w:p>
        </w:tc>
        <w:tc>
          <w:tcPr>
            <w:tcW w:type="dxa" w:w="15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9 / 9</w:t>
            </w:r>
          </w:p>
        </w:tc>
      </w:tr>
    </w:tbl>
    <w:p>
      <w:pPr>
        <w:spacing w:after="120" w:before="40" w:line="276"/>
        <w:jc w:val="center"/>
      </w:pPr>
      <w:r>
        <w:rPr>
          <w:rFonts w:ascii="Arial" w:cs="Arial" w:eastAsia="Arial" w:hAnsi="Arial"/>
          <w:b w:val="false"/>
          <w:bCs w:val="false"/>
          <w:i/>
          <w:iCs/>
          <w:color w:val="595959"/>
          <w:sz w:val="18"/>
          <w:szCs w:val="18"/>
        </w:rPr>
        <w:t xml:space="preserve">Table 17. Mobile suitability scorecard. O = satisfied, X = not satisfied.</w:t>
      </w:r>
    </w:p>
    <w:p>
      <w:r>
        <w:br w:type="page"/>
      </w:r>
    </w:p>
    <w:p>
      <w:pPr>
        <w:pStyle w:val="Heading1"/>
        <w:pBdr>
          <w:bottom w:val="single" w:color="2E75B6" w:sz="8" w:space="4"/>
        </w:pBdr>
        <w:spacing w:after="160" w:before="320"/>
      </w:pPr>
      <w:r>
        <w:rPr>
          <w:rFonts w:ascii="Arial" w:cs="Arial" w:eastAsia="Arial" w:hAnsi="Arial"/>
          <w:b/>
          <w:bCs/>
          <w:color w:val="1F3864"/>
          <w:sz w:val="32"/>
          <w:szCs w:val="32"/>
        </w:rPr>
        <w:t xml:space="preserve">8. Limitations &amp; Future Work</w:t>
      </w:r>
    </w:p>
    <w:p>
      <w:pPr>
        <w:pStyle w:val="Heading2"/>
        <w:spacing w:after="120" w:before="240"/>
      </w:pPr>
      <w:r>
        <w:rPr>
          <w:rFonts w:ascii="Arial" w:cs="Arial" w:eastAsia="Arial" w:hAnsi="Arial"/>
          <w:b/>
          <w:bCs/>
          <w:color w:val="2E75B6"/>
          <w:sz w:val="26"/>
          <w:szCs w:val="26"/>
        </w:rPr>
        <w:t xml:space="preserve">8.1 Known Limitations</w:t>
      </w:r>
    </w:p>
    <w:p>
      <w:pPr>
        <w:pStyle w:val="Heading3"/>
        <w:spacing w:after="80" w:before="180"/>
      </w:pPr>
      <w:r>
        <w:rPr>
          <w:rFonts w:ascii="Arial" w:cs="Arial" w:eastAsia="Arial" w:hAnsi="Arial"/>
          <w:b/>
          <w:bCs/>
          <w:color w:val="4472C4"/>
          <w:sz w:val="24"/>
          <w:szCs w:val="24"/>
        </w:rPr>
        <w:t xml:space="preserve">8.1.1 Forgetting Model Expressiveness</w:t>
      </w:r>
    </w:p>
    <w:p>
      <w:pPr>
        <w:spacing w:after="60" w:before="60" w:line="300"/>
        <w:jc w:val="left"/>
      </w:pPr>
      <w:r>
        <w:rPr>
          <w:rFonts w:ascii="Arial" w:cs="Arial" w:eastAsia="Arial" w:hAnsi="Arial"/>
          <w:b w:val="false"/>
          <w:bCs w:val="false"/>
          <w:i w:val="false"/>
          <w:iCs w:val="false"/>
          <w:color w:val="000000"/>
          <w:sz w:val="22"/>
          <w:szCs w:val="22"/>
        </w:rPr>
        <w:t xml:space="preserve">MobileKT models forgetting via a shared time-decay parameterization (W_f, b_f), applied uniformly across concept-level and domain-level decay. In contrast, ReKT's FRU explicitly retrieves historically similar interactions to model context-dependent recovery from forgetting — a fundamentally richer mechanism. MobileKT's time-decay cannot distinguish between a student who forgot due to disuse versus one who misunderstood fundamentally. The empirical gap between these two forgetting strategies is currently unmeasured and is a primary subject for future experimental evaluation.</w:t>
      </w:r>
    </w:p>
    <w:p>
      <w:pPr>
        <w:pStyle w:val="Heading3"/>
        <w:spacing w:after="80" w:before="180"/>
      </w:pPr>
      <w:r>
        <w:rPr>
          <w:rFonts w:ascii="Arial" w:cs="Arial" w:eastAsia="Arial" w:hAnsi="Arial"/>
          <w:b/>
          <w:bCs/>
          <w:color w:val="4472C4"/>
          <w:sz w:val="24"/>
          <w:szCs w:val="24"/>
        </w:rPr>
        <w:t xml:space="preserve">8.1.2 W_f Parameter Sharing</w:t>
      </w:r>
    </w:p>
    <w:p>
      <w:pPr>
        <w:spacing w:after="60" w:before="60" w:line="300"/>
        <w:jc w:val="left"/>
      </w:pPr>
      <w:r>
        <w:rPr>
          <w:rFonts w:ascii="Arial" w:cs="Arial" w:eastAsia="Arial" w:hAnsi="Arial"/>
          <w:b w:val="false"/>
          <w:bCs w:val="false"/>
          <w:i w:val="false"/>
          <w:iCs w:val="false"/>
          <w:color w:val="000000"/>
          <w:sz w:val="22"/>
          <w:szCs w:val="22"/>
        </w:rPr>
        <w:t xml:space="preserve">The forgetting parameters W_f and b_f are shared between concept-level decay (CS^Decay, R^d) and domain-level auto-regressive update (R^T). While this reduces parameter count, concept forgetting and domain trend forgetting are physically distinct phenomena — a student may forget a narrow concept while maintaining broad domain fluency. Separate W_f^C and W_f^D parameters could improve forgetting discrimination, at the cost of 65 additional parameters.</w:t>
      </w:r>
    </w:p>
    <w:p>
      <w:pPr>
        <w:pStyle w:val="Heading3"/>
        <w:spacing w:after="80" w:before="180"/>
      </w:pPr>
      <w:r>
        <w:rPr>
          <w:rFonts w:ascii="Arial" w:cs="Arial" w:eastAsia="Arial" w:hAnsi="Arial"/>
          <w:b/>
          <w:bCs/>
          <w:color w:val="4472C4"/>
          <w:sz w:val="24"/>
          <w:szCs w:val="24"/>
        </w:rPr>
        <w:t xml:space="preserve">8.1.3 Knowledge State Compression</w:t>
      </w:r>
    </w:p>
    <w:p>
      <w:pPr>
        <w:spacing w:after="60" w:before="60" w:line="300"/>
        <w:jc w:val="left"/>
      </w:pPr>
      <w:r>
        <w:rPr>
          <w:rFonts w:ascii="Arial" w:cs="Arial" w:eastAsia="Arial" w:hAnsi="Arial"/>
          <w:b w:val="false"/>
          <w:bCs w:val="false"/>
          <w:i w:val="false"/>
          <w:iCs w:val="false"/>
          <w:color w:val="000000"/>
          <w:sz w:val="22"/>
          <w:szCs w:val="22"/>
        </w:rPr>
        <w:t xml:space="preserve">While the introduction of FK in R^{2d} substantially improves over the previous scalar representation, the student state feeding into FK remains compressed: CS contributes only a single scalar per concept (mastery * CE_j direction), and DS contributes T scalars aggregated via temporal basis weighting. Richer statistics — such as minimum mastery concept, inter-concept mastery variance, or domain state increment/decrement trajectory — could improve SAE accuracy without compromising mobile deployability.</w:t>
      </w:r>
    </w:p>
    <w:p>
      <w:pPr>
        <w:pStyle w:val="Heading3"/>
        <w:spacing w:after="80" w:before="180"/>
      </w:pPr>
      <w:r>
        <w:rPr>
          <w:rFonts w:ascii="Arial" w:cs="Arial" w:eastAsia="Arial" w:hAnsi="Arial"/>
          <w:b/>
          <w:bCs/>
          <w:color w:val="4472C4"/>
          <w:sz w:val="24"/>
          <w:szCs w:val="24"/>
        </w:rPr>
        <w:t xml:space="preserve">8.1.4 CE Lookup Location Ambiguity</w:t>
      </w:r>
    </w:p>
    <w:p>
      <w:pPr>
        <w:spacing w:after="60" w:before="60" w:line="300"/>
        <w:jc w:val="left"/>
      </w:pPr>
      <w:r>
        <w:rPr>
          <w:rFonts w:ascii="Arial" w:cs="Arial" w:eastAsia="Arial" w:hAnsi="Arial"/>
          <w:b w:val="false"/>
          <w:bCs w:val="false"/>
          <w:i w:val="false"/>
          <w:iCs w:val="false"/>
          <w:color w:val="000000"/>
          <w:sz w:val="22"/>
          <w:szCs w:val="22"/>
        </w:rPr>
        <w:t xml:space="preserve">The CK computation requires CE_j (concept embedding vectors) to compute the directional knowledge representation. If CK is computed device-side, CE (32KB) must be stored on device. If computed cloud-side, the cloud must also receive CS^Decay values, reducing privacy isolation. This Cloud/Device boundary decision should be explicitly addressed in the implementation specification.</w:t>
      </w:r>
    </w:p>
    <w:p>
      <w:pPr>
        <w:pStyle w:val="Heading2"/>
        <w:spacing w:after="120" w:before="240"/>
      </w:pPr>
      <w:r>
        <w:rPr>
          <w:rFonts w:ascii="Arial" w:cs="Arial" w:eastAsia="Arial" w:hAnsi="Arial"/>
          <w:b/>
          <w:bCs/>
          <w:color w:val="2E75B6"/>
          <w:sz w:val="26"/>
          <w:szCs w:val="26"/>
        </w:rPr>
        <w:t xml:space="preserve">8.2 Future Work</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Empirical validation on ASSISTments2009, EdNet, and NIPS34 datasets to measure accuracy gap vs. MIKT and ReKT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Ablation study: time-decay vs. FRU-inspired recovery on forgetting-sensitive subsets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Experiment: shared vs. separate W_f for concept/domain decay</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Test-Time Adaptation (TTA) or LoRA fine-tuning of device-side CU/DU for personalization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Exploration of additional statistical knowledge features (min-mastery, variance, trend slope) for Section 6 Further Study</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INT8/INT4 quantization of device-side MLPs for further size reduction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Federated Learning integration: aggregate CE/DE updates across users without sharing CS/DS</w:t>
      </w:r>
    </w:p>
    <w:p>
      <w:pPr>
        <w:spacing w:after="0" w:before="0" w:line="240"/>
      </w:pPr>
      <w:r>
        <w:rPr>
          <w:rFonts w:ascii="Arial" w:cs="Arial" w:eastAsia="Arial" w:hAnsi="Arial"/>
          <w:sz w:val="20"/>
          <w:szCs w:val="20"/>
        </w:rPr>
        <w:t xml:space="preserve"/>
      </w:r>
    </w:p>
    <w:p>
      <w:pPr>
        <w:pStyle w:val="Heading1"/>
        <w:pBdr>
          <w:bottom w:val="single" w:color="2E75B6" w:sz="8" w:space="4"/>
        </w:pBdr>
        <w:spacing w:after="160" w:before="320"/>
      </w:pPr>
      <w:r>
        <w:rPr>
          <w:rFonts w:ascii="Arial" w:cs="Arial" w:eastAsia="Arial" w:hAnsi="Arial"/>
          <w:b/>
          <w:bCs/>
          <w:color w:val="1F3864"/>
          <w:sz w:val="32"/>
          <w:szCs w:val="32"/>
        </w:rPr>
        <w:t xml:space="preserve">9. Conclusion</w:t>
      </w:r>
    </w:p>
    <w:p>
      <w:pPr>
        <w:spacing w:after="80" w:before="100" w:line="300"/>
        <w:jc w:val="left"/>
      </w:pPr>
      <w:r>
        <w:rPr>
          <w:rFonts w:ascii="Arial" w:cs="Arial" w:eastAsia="Arial" w:hAnsi="Arial"/>
          <w:b w:val="false"/>
          <w:bCs w:val="false"/>
          <w:i w:val="false"/>
          <w:iCs w:val="false"/>
          <w:color w:val="000000"/>
          <w:sz w:val="22"/>
          <w:szCs w:val="22"/>
        </w:rPr>
        <w:t xml:space="preserve">MobileKT presents a fundamentally re-architected Knowledge Tracing system designed from first principles for mobile deployment. By decomposing the KT pipeline into a cacheable Cloud side (question encoding, concept/domain embedding) and a lightweight Device side (interpretable scalar state management, IRT prediction), MobileKT achieves a 214x FLOPs reduction versus SimpleKT and a 4.7x reduction versus ReKT, while being the only architecture in this comparison to support on-device inference, interpretable student modeling, and structural GDPR compliance.</w:t>
      </w:r>
    </w:p>
    <w:p>
      <w:pPr>
        <w:spacing w:after="80" w:before="60" w:line="300"/>
        <w:jc w:val="left"/>
      </w:pPr>
      <w:r>
        <w:rPr>
          <w:rFonts w:ascii="Arial" w:cs="Arial" w:eastAsia="Arial" w:hAnsi="Arial"/>
          <w:b w:val="false"/>
          <w:bCs w:val="false"/>
          <w:i w:val="false"/>
          <w:iCs w:val="false"/>
          <w:color w:val="000000"/>
          <w:sz w:val="22"/>
          <w:szCs w:val="22"/>
        </w:rPr>
        <w:t xml:space="preserve">The introduction of the Temporal Basis Domain Embedding (DE in R^{T x d}) elegantly extends the CS+CE scalar-times-embedding paradigm to the domain level, capturing longitudinal learning trends without requiring inference-time parameter updates. The resulting architecture is symmetric, principled, and analytically tractable.</w:t>
      </w:r>
    </w:p>
    <w:p>
      <w:pPr>
        <w:spacing w:after="100" w:before="60" w:line="300"/>
        <w:jc w:val="left"/>
      </w:pPr>
      <w:r>
        <w:rPr>
          <w:rFonts w:ascii="Arial" w:cs="Arial" w:eastAsia="Arial" w:hAnsi="Arial"/>
          <w:b w:val="false"/>
          <w:bCs w:val="false"/>
          <w:i w:val="false"/>
          <w:iCs w:val="false"/>
          <w:color w:val="000000"/>
          <w:sz w:val="22"/>
          <w:szCs w:val="22"/>
        </w:rPr>
        <w:t xml:space="preserve">The primary open question — whether MobileKT's time-decay forgetting approximation meaningfully closes the gap with ReKT's FRU — is appropriately flagged as the central empirical hypothesis to be tested. We believe the architecture as specified represents a sound foundation for that experimental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EEAF1" w:val="clear"/>
            <w:tcMar>
              <w:top w:type="dxa" w:w="120"/>
              <w:left w:type="dxa" w:w="160"/>
              <w:bottom w:type="dxa" w:w="120"/>
              <w:right w:type="dxa" w:w="160"/>
            </w:tcMar>
          </w:tcPr>
          <w:p>
            <w:pPr>
              <w:spacing w:after="60" w:before="60"/>
            </w:pPr>
            <w:r>
              <w:rPr>
                <w:rFonts w:ascii="Arial" w:cs="Arial" w:eastAsia="Arial" w:hAnsi="Arial"/>
                <w:b/>
                <w:bCs/>
                <w:color w:val="1F3864"/>
                <w:sz w:val="22"/>
                <w:szCs w:val="22"/>
              </w:rPr>
              <w:t xml:space="preserve">Summary of Contributions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First KT architecture with full Cloud/Device split inference and interpretable on-device student state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Temporal Basis Domain Embedding (DE in R^{T x d}): captures domain learning trends without inference-time updates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2.2x - 214x FLOPs reduction vs. baselines; device-side inference in &lt; 0.15ms on any modern smartphone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Structural GDPR compliance: student response history never leaves the device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~70 KB on-device model footprint; ~4 KB per-user state storage</w:t>
            </w:r>
          </w:p>
        </w:tc>
      </w:tr>
    </w:tbl>
    <w:p>
      <w:pPr>
        <w:spacing w:after="0" w:before="0" w:line="240"/>
      </w:pPr>
      <w:r>
        <w:rPr>
          <w:rFonts w:ascii="Arial" w:cs="Arial" w:eastAsia="Arial" w:hAnsi="Arial"/>
          <w:sz w:val="20"/>
          <w:szCs w:val="20"/>
        </w:rPr>
        <w:t xml:space="preserve"/>
      </w:r>
    </w:p>
    <w:p>
      <w:pPr>
        <w:spacing w:after="0" w:before="0" w:line="240"/>
      </w:pPr>
      <w:r>
        <w:rPr>
          <w:rFonts w:ascii="Arial" w:cs="Arial" w:eastAsia="Arial" w:hAnsi="Arial"/>
          <w:sz w:val="20"/>
          <w:szCs w:val="20"/>
        </w:rPr>
        <w:t xml:space="preserve"/>
      </w:r>
    </w:p>
    <w:p>
      <w:pPr>
        <w:spacing w:after="60" w:before="60" w:line="276"/>
        <w:jc w:val="center"/>
      </w:pPr>
      <w:r>
        <w:rPr>
          <w:rFonts w:ascii="Arial" w:cs="Arial" w:eastAsia="Arial" w:hAnsi="Arial"/>
          <w:b w:val="false"/>
          <w:bCs w:val="false"/>
          <w:i/>
          <w:iCs/>
          <w:color w:val="A6A6A6"/>
          <w:sz w:val="18"/>
          <w:szCs w:val="18"/>
        </w:rPr>
        <w:t xml:space="preserve">Report Version 1.0  |  April 2026  |  UNIST CSE 465 Mobile Computing</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6A6A6" w:sz="4" w:space="4"/>
      </w:pBdr>
      <w:spacing w:before="80"/>
      <w:jc w:val="center"/>
    </w:pPr>
    <w:r>
      <w:rPr>
        <w:rFonts w:ascii="Arial" w:cs="Arial" w:eastAsia="Arial" w:hAnsi="Arial"/>
        <w:color w:val="595959"/>
        <w:sz w:val="18"/>
        <w:szCs w:val="18"/>
      </w:rPr>
      <w:t xml:space="preserve">MobileKT Architecture Analysis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jc w:val="right"/>
    </w:pPr>
    <w:r>
      <w:rPr>
        <w:rFonts w:ascii="Arial" w:cs="Arial" w:eastAsia="Arial" w:hAnsi="Arial"/>
        <w:i/>
        <w:iCs/>
        <w:color w:val="595959"/>
        <w:sz w:val="18"/>
        <w:szCs w:val="18"/>
      </w:rPr>
      <w:t xml:space="preserve">MobileKT: Technical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2026-04-15T04:08:25.602Z</dcterms:created>
  <dcterms:modified xsi:type="dcterms:W3CDTF">2026-04-15T04:08:25.638Z</dcterms:modified>
</cp:coreProperties>
</file>

<file path=docProps/custom.xml><?xml version="1.0" encoding="utf-8"?>
<Properties xmlns="http://schemas.openxmlformats.org/officeDocument/2006/custom-properties" xmlns:vt="http://schemas.openxmlformats.org/officeDocument/2006/docPropsVTypes"/>
</file>