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73.png" ContentType="image/png"/>
  <Override PartName="/word/media/rId67.png" ContentType="image/png"/>
  <Override PartName="/word/media/rId33.png" ContentType="image/png"/>
  <Override PartName="/word/media/rId39.png" ContentType="image/png"/>
  <Override PartName="/word/media/rId78.png" ContentType="image/png"/>
  <Override PartName="/word/media/rId56.png" ContentType="image/png"/>
  <Override PartName="/word/media/rId51.png" ContentType="image/png"/>
  <Override PartName="/word/media/rId2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3.3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1"/>
          <w:numId w:val="1005"/>
        </w:numPr>
        <w:pStyle w:val="Compact"/>
      </w:pPr>
      <w:r>
        <w:t xml:space="preserve">3.5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3.6 Library Features</w:t>
      </w:r>
    </w:p>
    <w:p>
      <w:pPr>
        <w:numPr>
          <w:ilvl w:val="1"/>
          <w:numId w:val="1005"/>
        </w:numPr>
        <w:pStyle w:val="Compact"/>
      </w:pPr>
      <w:r>
        <w:t xml:space="preserve">3.7 Board Topology</w:t>
      </w:r>
    </w:p>
    <w:p>
      <w:pPr>
        <w:numPr>
          <w:ilvl w:val="1"/>
          <w:numId w:val="1005"/>
        </w:numPr>
        <w:pStyle w:val="Compact"/>
      </w:pPr>
      <w:r>
        <w:t xml:space="preserve">3.8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Hardware Interface</w:t>
      </w:r>
    </w:p>
    <w:p>
      <w:pPr>
        <w:numPr>
          <w:ilvl w:val="1"/>
          <w:numId w:val="1007"/>
        </w:numPr>
        <w:pStyle w:val="Compact"/>
      </w:pPr>
      <w:r>
        <w:t xml:space="preserve">Example Operation</w:t>
      </w:r>
    </w:p>
    <w:p>
      <w:pPr>
        <w:numPr>
          <w:ilvl w:val="1"/>
          <w:numId w:val="1007"/>
        </w:numPr>
        <w:pStyle w:val="Compact"/>
      </w:pPr>
      <w:r>
        <w:t xml:space="preserve">Basic Operation</w:t>
      </w:r>
    </w:p>
    <w:p>
      <w:pPr>
        <w:numPr>
          <w:ilvl w:val="1"/>
          <w:numId w:val="1007"/>
        </w:numPr>
        <w:pStyle w:val="Compact"/>
      </w:pPr>
      <w:r>
        <w:t xml:space="preserve">Example Code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8"/>
        </w:numPr>
        <w:pStyle w:val="Compact"/>
      </w:pPr>
      <w:r>
        <w:t xml:space="preserve">9.1 Source Hierarchy</w:t>
      </w:r>
    </w:p>
    <w:p>
      <w:pPr>
        <w:numPr>
          <w:ilvl w:val="1"/>
          <w:numId w:val="1008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8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9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9"/>
        </w:numPr>
        <w:pStyle w:val="Compact"/>
      </w:pPr>
      <w:r>
        <w:t xml:space="preserve">Motion-sensing prototypes</w:t>
      </w:r>
    </w:p>
    <w:p>
      <w:pPr>
        <w:numPr>
          <w:ilvl w:val="0"/>
          <w:numId w:val="1009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9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0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10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10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10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10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10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10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10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10"/>
        </w:numPr>
        <w:pStyle w:val="Compact"/>
      </w:pPr>
      <w:r>
        <w:t xml:space="preserve">Red power indicator</w:t>
      </w:r>
    </w:p>
    <w:p>
      <w:pPr>
        <w:numPr>
          <w:ilvl w:val="0"/>
          <w:numId w:val="1010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1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1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1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1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6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The block diagram shows the main functional blocks of the MPU-6050 DevLab module and the</w:t>
      </w:r>
      <w:r>
        <w:t xml:space="preserve"> </w:t>
      </w:r>
      <w:r>
        <w:t xml:space="preserve">signals available.</w:t>
      </w:r>
    </w:p>
    <w:p>
      <w:pPr>
        <w:pStyle w:val="CaptionedFigure"/>
      </w:pPr>
      <w:r>
        <w:drawing>
          <wp:inline>
            <wp:extent cx="5760720" cy="2820795"/>
            <wp:effectExtent b="0" l="0" r="0" t="0"/>
            <wp:docPr descr="MPU-6050 block diagram." title="" id="34" name="Picture"/>
            <a:graphic>
              <a:graphicData uri="http://schemas.openxmlformats.org/drawingml/2006/picture">
                <pic:pic>
                  <pic:nvPicPr>
                    <pic:cNvPr descr="hardware/resources/unit_block_diagram_v_1_0_0_ue0129_mpu605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block diagram.</w:t>
      </w:r>
    </w:p>
    <w:bookmarkEnd w:id="36"/>
    <w:bookmarkStart w:id="37" w:name="sensor-and-main-i2c-path"/>
    <w:p>
      <w:pPr>
        <w:pStyle w:val="Heading3"/>
      </w:pPr>
      <w:r>
        <w:rPr>
          <w:bCs/>
          <w:b/>
        </w:rPr>
        <w:t xml:space="preserve">3.2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7"/>
    <w:bookmarkStart w:id="38" w:name="auxiliary-and-control-signals"/>
    <w:p>
      <w:pPr>
        <w:pStyle w:val="Heading3"/>
      </w:pPr>
      <w:r>
        <w:rPr>
          <w:bCs/>
          <w:b/>
        </w:rPr>
        <w:t xml:space="preserve">3.3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ground,</w:t>
      </w:r>
      <w:r>
        <w:t xml:space="preserve"> </w:t>
      </w:r>
      <w:r>
        <w:t xml:space="preserve">and the module’s default I2C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physical defaults of the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solder options shown in the artwork remain pending</w:t>
      </w:r>
      <w:r>
        <w:t xml:space="preserve"> </w:t>
      </w:r>
      <w:r>
        <w:t xml:space="preserve">validation.</w:t>
      </w:r>
    </w:p>
    <w:bookmarkEnd w:id="38"/>
    <w:bookmarkStart w:id="42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40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42"/>
    <w:bookmarkStart w:id="43" w:name="communication-interfaces"/>
    <w:p>
      <w:pPr>
        <w:pStyle w:val="Heading3"/>
      </w:pPr>
      <w:r>
        <w:rPr>
          <w:bCs/>
          <w:b/>
        </w:rPr>
        <w:t xml:space="preserve">3.5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2"/>
        </w:numPr>
        <w:pStyle w:val="Compact"/>
      </w:pPr>
      <w:r>
        <w:t xml:space="preserve">Standard Mode and Fast Mode</w:t>
      </w:r>
    </w:p>
    <w:p>
      <w:pPr>
        <w:numPr>
          <w:ilvl w:val="0"/>
          <w:numId w:val="1012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2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2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module’s default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</w:t>
      </w:r>
    </w:p>
    <w:bookmarkEnd w:id="43"/>
    <w:bookmarkStart w:id="45" w:name="library-features"/>
    <w:p>
      <w:pPr>
        <w:pStyle w:val="Heading3"/>
      </w:pPr>
      <w:r>
        <w:rPr>
          <w:bCs/>
          <w:b/>
        </w:rPr>
        <w:t xml:space="preserve">3.6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5"/>
    <w:bookmarkStart w:id="49" w:name="board-topology"/>
    <w:p>
      <w:pPr>
        <w:pStyle w:val="Heading3"/>
      </w:pPr>
      <w:r>
        <w:rPr>
          <w:bCs/>
          <w:b/>
        </w:rPr>
        <w:t xml:space="preserve">3.7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7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9"/>
    <w:bookmarkStart w:id="54" w:name="electrical-schematic"/>
    <w:p>
      <w:pPr>
        <w:pStyle w:val="Heading3"/>
      </w:pPr>
      <w:r>
        <w:rPr>
          <w:bCs/>
          <w:b/>
        </w:rPr>
        <w:t xml:space="preserve">3.8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50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52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4"/>
    <w:bookmarkEnd w:id="55"/>
    <w:bookmarkStart w:id="6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7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9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9"/>
    <w:bookmarkStart w:id="60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60"/>
    <w:bookmarkStart w:id="61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61"/>
    <w:bookmarkStart w:id="62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62"/>
    <w:bookmarkEnd w:id="63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DevLab MPU-6050 module can be integrated into Arduino-compatible</w:t>
      </w:r>
      <w:r>
        <w:t xml:space="preserve"> </w:t>
      </w:r>
      <w:r>
        <w:t xml:space="preserve">development boards through the I²C communication interface. Before running any</w:t>
      </w:r>
      <w:r>
        <w:t xml:space="preserve"> </w:t>
      </w:r>
      <w:r>
        <w:t xml:space="preserve">application, install 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from the Arduino Library Manager or download it from the official GitHub</w:t>
      </w:r>
      <w:r>
        <w:t xml:space="preserve"> </w:t>
      </w:r>
      <w:r>
        <w:t xml:space="preserve">repository.</w:t>
      </w:r>
    </w:p>
    <w:p>
      <w:pPr>
        <w:pStyle w:val="CaptionedFigure"/>
      </w:pPr>
      <w:r>
        <w:drawing>
          <wp:inline>
            <wp:extent cx="4114800" cy="2879256"/>
            <wp:effectExtent b="0" l="0" r="0" t="0"/>
            <wp:docPr descr="DevLab_MPU6050 library in the Arduino Library Manager." title="" id="65" name="Picture"/>
            <a:graphic>
              <a:graphicData uri="http://schemas.openxmlformats.org/drawingml/2006/picture">
                <pic:pic>
                  <pic:nvPicPr>
                    <pic:cNvPr descr="hardware/resources/img/arduinolibrar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879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DevLab_MPU6050 library in the Arduino Library Manager.</w:t>
      </w:r>
    </w:p>
    <w:bookmarkStart w:id="70" w:name="hardware-interface"/>
    <w:p>
      <w:pPr>
        <w:pStyle w:val="Heading3"/>
      </w:pPr>
      <w:r>
        <w:rPr>
          <w:bCs/>
          <w:b/>
        </w:rPr>
        <w:t xml:space="preserve">Hardware Interface</w:t>
      </w:r>
    </w:p>
    <w:p>
      <w:pPr>
        <w:pStyle w:val="FirstParagraph"/>
      </w:pPr>
      <w:r>
        <w:rPr>
          <w:bCs/>
          <w:b/>
        </w:rPr>
        <w:t xml:space="preserve">I²C Connection</w:t>
      </w:r>
    </w:p>
    <w:p>
      <w:pPr>
        <w:pStyle w:val="BodyText"/>
      </w:pPr>
      <w:r>
        <w:t xml:space="preserve">Connect the module to the host board using the main I²C interface, available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header or the</w:t>
      </w:r>
      <w:r>
        <w:t xml:space="preserve"> </w:t>
      </w:r>
      <w:r>
        <w:rPr>
          <w:rStyle w:val="VerbatimChar"/>
        </w:rPr>
        <w:t xml:space="preserve">J1</w:t>
      </w:r>
      <w:r>
        <w:t xml:space="preserve">/</w:t>
      </w:r>
      <w:r>
        <w:rPr>
          <w:rStyle w:val="VerbatimChar"/>
        </w:rPr>
        <w:t xml:space="preserve">J3</w:t>
      </w:r>
      <w:r>
        <w:t xml:space="preserve"> </w:t>
      </w:r>
      <w:r>
        <w:t xml:space="preserve">QWIIC connectors: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supply (approved range pending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is optional and is only needed for interrupt-driven</w:t>
      </w:r>
      <w:r>
        <w:t xml:space="preserve"> </w:t>
      </w:r>
      <w:r>
        <w:t xml:space="preserve">applications. Host GPIO numbers belong to the controller, not the module. The</w:t>
      </w:r>
      <w:r>
        <w:t xml:space="preserve"> </w:t>
      </w:r>
      <w:r>
        <w:t xml:space="preserve">example below uses GPIO 6 for SDA and GPIO 7 for SCL on an ESP32 board(you can modify for your specific board):</w:t>
      </w:r>
    </w:p>
    <w:p>
      <w:pPr>
        <w:pStyle w:val="SourceCode"/>
      </w:pP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Default I²C Address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0x68</w:t>
            </w:r>
          </w:p>
        </w:tc>
      </w:tr>
    </w:tbl>
    <w:p>
      <w:pPr>
        <w:pStyle w:val="BodyText"/>
      </w:pPr>
      <w:r>
        <w:t xml:space="preserve">The module’s default 7-bit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sensor datasheet assigns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 is high.</w:t>
      </w:r>
    </w:p>
    <w:p>
      <w:pPr>
        <w:pStyle w:val="CaptionedFigure"/>
      </w:pPr>
      <w:r>
        <w:drawing>
          <wp:inline>
            <wp:extent cx="5029200" cy="2828925"/>
            <wp:effectExtent b="0" l="0" r="0" t="0"/>
            <wp:docPr descr="MPU-6050 module connected to the host board through I²C." title="" id="68" name="Picture"/>
            <a:graphic>
              <a:graphicData uri="http://schemas.openxmlformats.org/drawingml/2006/picture">
                <pic:pic>
                  <pic:nvPicPr>
                    <pic:cNvPr descr="hardware/resources/img/connmpu6050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module connected to the host board through I²C.</w:t>
      </w:r>
    </w:p>
    <w:bookmarkEnd w:id="70"/>
    <w:bookmarkStart w:id="71" w:name="example-operation"/>
    <w:p>
      <w:pPr>
        <w:pStyle w:val="Heading3"/>
      </w:pPr>
      <w:r>
        <w:rPr>
          <w:bCs/>
          <w:b/>
        </w:rPr>
        <w:t xml:space="preserve">Example Operation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applies the following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Resulting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kHz</w:t>
            </w:r>
          </w:p>
        </w:tc>
      </w:tr>
    </w:tbl>
    <w:bookmarkEnd w:id="71"/>
    <w:bookmarkStart w:id="72" w:name="basic-operation"/>
    <w:p>
      <w:pPr>
        <w:pStyle w:val="Heading3"/>
      </w:pPr>
      <w:r>
        <w:rPr>
          <w:bCs/>
          <w:b/>
        </w:rPr>
        <w:t xml:space="preserve">Basic Operation</w:t>
      </w:r>
    </w:p>
    <w:p>
      <w:pPr>
        <w:pStyle w:val="FirstParagraph"/>
      </w:pPr>
      <w:r>
        <w:t xml:space="preserve">The sensor reads three groups of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acceleration for each axis (</w:t>
            </w:r>
            <w:r>
              <w:rPr>
                <w:rStyle w:val="VerbatimChar"/>
              </w:rPr>
              <w:t xml:space="preserve">accX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angular rate for each axis (</w:t>
            </w:r>
            <w:r>
              <w:rPr>
                <w:rStyle w:val="VerbatimChar"/>
              </w:rPr>
              <w:t xml:space="preserve">gyrX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die temperature, in °C (</w:t>
            </w:r>
            <w:r>
              <w:rPr>
                <w:rStyle w:val="VerbatimChar"/>
              </w:rPr>
              <w:t xml:space="preserve">temperatureC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accelerometer and gyroscope values are raw counts; their scale depends on</w:t>
      </w:r>
      <w:r>
        <w:t xml:space="preserve"> </w:t>
      </w:r>
      <w:r>
        <w:t xml:space="preserve">the selected full-scale range.</w:t>
      </w:r>
    </w:p>
    <w:p>
      <w:pPr>
        <w:numPr>
          <w:ilvl w:val="0"/>
          <w:numId w:val="1014"/>
        </w:numPr>
        <w:pStyle w:val="Compact"/>
      </w:pPr>
      <w:r>
        <w:t xml:space="preserve">Connect the module to the microcontroller using the I²C interface.</w:t>
      </w:r>
    </w:p>
    <w:p>
      <w:pPr>
        <w:numPr>
          <w:ilvl w:val="0"/>
          <w:numId w:val="1014"/>
        </w:numPr>
        <w:pStyle w:val="Compact"/>
      </w:pPr>
      <w:r>
        <w:t xml:space="preserve">Open the Arduino IDE.</w:t>
      </w:r>
    </w:p>
    <w:p>
      <w:pPr>
        <w:numPr>
          <w:ilvl w:val="0"/>
          <w:numId w:val="1014"/>
        </w:numPr>
        <w:pStyle w:val="Compact"/>
      </w:pPr>
      <w:r>
        <w:t xml:space="preserve">Install the DevLab_MPU6050 library.</w:t>
      </w:r>
    </w:p>
    <w:p>
      <w:pPr>
        <w:numPr>
          <w:ilvl w:val="0"/>
          <w:numId w:val="1014"/>
        </w:numPr>
        <w:pStyle w:val="Compact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BasicRead</w:t>
      </w:r>
      <w:r>
        <w:t xml:space="preserve"> </w:t>
      </w:r>
      <w:r>
        <w:t xml:space="preserve">example sketch provided with the library.</w:t>
      </w:r>
    </w:p>
    <w:p>
      <w:pPr>
        <w:numPr>
          <w:ilvl w:val="0"/>
          <w:numId w:val="1014"/>
        </w:numPr>
        <w:pStyle w:val="Compact"/>
      </w:pPr>
      <w:r>
        <w:t xml:space="preserve">Select the correct board and serial port.</w:t>
      </w:r>
    </w:p>
    <w:p>
      <w:pPr>
        <w:numPr>
          <w:ilvl w:val="0"/>
          <w:numId w:val="1014"/>
        </w:numPr>
        <w:pStyle w:val="Compact"/>
      </w:pPr>
      <w:r>
        <w:t xml:space="preserve">Compile and upload the example.</w:t>
      </w:r>
    </w:p>
    <w:p>
      <w:pPr>
        <w:numPr>
          <w:ilvl w:val="0"/>
          <w:numId w:val="1014"/>
        </w:numPr>
        <w:pStyle w:val="Compact"/>
      </w:pPr>
      <w:r>
        <w:t xml:space="preserve">Open the Serial Monitor to display the accelerometer, gyroscope, and</w:t>
      </w:r>
      <w:r>
        <w:t xml:space="preserve"> </w:t>
      </w:r>
      <w:r>
        <w:t xml:space="preserve">temperature measurements.</w:t>
      </w:r>
    </w:p>
    <w:p>
      <w:pPr>
        <w:pStyle w:val="FirstParagraph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verifies communication by reading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 (expected value</w:t>
      </w:r>
      <w:r>
        <w:t xml:space="preserve"> </w:t>
      </w:r>
      <w:r>
        <w:rPr>
          <w:rStyle w:val="VerbatimChar"/>
        </w:rPr>
        <w:t xml:space="preserve">0x68</w:t>
      </w:r>
      <w:r>
        <w:t xml:space="preserve">), wakes the sensor, and applies the</w:t>
      </w:r>
      <w:r>
        <w:t xml:space="preserve"> </w:t>
      </w:r>
      <w:r>
        <w:t xml:space="preserve">default configuration. If initialization fails, check the wiring, the supply,</w:t>
      </w:r>
      <w:r>
        <w:t xml:space="preserve"> </w:t>
      </w:r>
      <w:r>
        <w:t xml:space="preserve">and the I²C address.</w:t>
      </w:r>
    </w:p>
    <w:p>
      <w:pPr>
        <w:pStyle w:val="BodyText"/>
      </w:pPr>
      <w:r>
        <w:t xml:space="preserve">Developers can modify the example code to configure:</w:t>
      </w:r>
    </w:p>
    <w:p>
      <w:pPr>
        <w:numPr>
          <w:ilvl w:val="0"/>
          <w:numId w:val="1015"/>
        </w:numPr>
        <w:pStyle w:val="Compact"/>
      </w:pPr>
      <w:r>
        <w:t xml:space="preserve">Accelerometer measurement range</w:t>
      </w:r>
    </w:p>
    <w:p>
      <w:pPr>
        <w:numPr>
          <w:ilvl w:val="0"/>
          <w:numId w:val="1015"/>
        </w:numPr>
        <w:pStyle w:val="Compact"/>
      </w:pPr>
      <w:r>
        <w:t xml:space="preserve">Gyroscope measurement range</w:t>
      </w:r>
    </w:p>
    <w:p>
      <w:pPr>
        <w:numPr>
          <w:ilvl w:val="0"/>
          <w:numId w:val="1015"/>
        </w:numPr>
        <w:pStyle w:val="Compact"/>
      </w:pPr>
      <w:r>
        <w:t xml:space="preserve">Digital low-pass filter</w:t>
      </w:r>
    </w:p>
    <w:p>
      <w:pPr>
        <w:numPr>
          <w:ilvl w:val="0"/>
          <w:numId w:val="1015"/>
        </w:numPr>
        <w:pStyle w:val="Compact"/>
      </w:pPr>
      <w:r>
        <w:t xml:space="preserve">Sample rate</w:t>
      </w:r>
    </w:p>
    <w:p>
      <w:pPr>
        <w:numPr>
          <w:ilvl w:val="0"/>
          <w:numId w:val="1015"/>
        </w:numPr>
        <w:pStyle w:val="Compact"/>
      </w:pPr>
      <w:r>
        <w:t xml:space="preserve">Clock source</w:t>
      </w:r>
    </w:p>
    <w:p>
      <w:pPr>
        <w:numPr>
          <w:ilvl w:val="0"/>
          <w:numId w:val="1015"/>
        </w:numPr>
        <w:pStyle w:val="Compact"/>
      </w:pPr>
      <w:r>
        <w:t xml:space="preserve">Interrupt generation</w:t>
      </w:r>
    </w:p>
    <w:bookmarkEnd w:id="72"/>
    <w:bookmarkStart w:id="76" w:name="example-code"/>
    <w:p>
      <w:pPr>
        <w:pStyle w:val="Heading3"/>
      </w:pPr>
      <w:r>
        <w:rPr>
          <w:bCs/>
          <w:b/>
        </w:rPr>
        <w:t xml:space="preserve">Example Code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BasicRead</w:t>
      </w:r>
      <w:r>
        <w:t xml:space="preserve"> </w:t>
      </w:r>
      <w:r>
        <w:t xml:space="preserve">example included with the library, or copy the</w:t>
      </w:r>
      <w:r>
        <w:t xml:space="preserve"> </w:t>
      </w:r>
      <w:r>
        <w:t xml:space="preserve">following sketch into a new sketch: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&lt;DevLab_MPU6050.h&gt;</w:t>
      </w:r>
      <w:r>
        <w:br/>
      </w:r>
      <w:r>
        <w:br/>
      </w: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6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7</w:t>
      </w:r>
      <w:r>
        <w:br/>
      </w:r>
      <w:r>
        <w:rPr>
          <w:rStyle w:val="PreprocessorTok"/>
        </w:rPr>
        <w:t xml:space="preserve">#define MPU6050_ADDR </w:t>
      </w:r>
      <w:r>
        <w:rPr>
          <w:rStyle w:val="BaseNTok"/>
        </w:rPr>
        <w:t xml:space="preserve">0x68</w:t>
      </w:r>
      <w:r>
        <w:br/>
      </w:r>
      <w:r>
        <w:br/>
      </w:r>
      <w:r>
        <w:rPr>
          <w:rStyle w:val="NormalTok"/>
        </w:rPr>
        <w:t xml:space="preserve">DevLab_MPU6050 imu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MPU6050_ADDR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SensorData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"Inicializando MPU6050..."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SDA_PIN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SCL_PIN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MPU6050 no encontrado."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"MPU6050 inicializado correctamente."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"aX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aY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aZ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4096.0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temp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temperatureC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gX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gY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| gZ =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fallo en la lectura del MPU6050."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Important</w:t>
      </w:r>
    </w:p>
    <w:p>
      <w:pPr>
        <w:pStyle w:val="BlockText"/>
      </w:pPr>
      <w:r>
        <w:t xml:space="preserve">Make sure</w:t>
      </w:r>
      <w:r>
        <w:t xml:space="preserve"> </w:t>
      </w:r>
      <w:r>
        <w:rPr>
          <w:bCs/>
          <w:b/>
        </w:rPr>
        <w:t xml:space="preserve">USB CDC On Boot</w:t>
      </w:r>
      <w:r>
        <w:t xml:space="preserve"> </w:t>
      </w:r>
      <w:r>
        <w:t xml:space="preserve">is set to</w:t>
      </w:r>
      <w:r>
        <w:t xml:space="preserve"> </w:t>
      </w:r>
      <w:r>
        <w:rPr>
          <w:bCs/>
          <w:b/>
        </w:rPr>
        <w:t xml:space="preserve">Enabled</w:t>
      </w:r>
      <w:r>
        <w:t xml:space="preserve">. This allows the ESP32-C6</w:t>
      </w:r>
      <w:r>
        <w:t xml:space="preserve"> </w:t>
      </w:r>
      <w:r>
        <w:t xml:space="preserve">to expose the USB Serial interface after boot, so the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output can be</w:t>
      </w:r>
      <w:r>
        <w:t xml:space="preserve"> </w:t>
      </w:r>
      <w:r>
        <w:t xml:space="preserve">viewed in the Arduino Serial Monitor. If this option is disabled, the sketch</w:t>
      </w:r>
      <w:r>
        <w:t xml:space="preserve"> </w:t>
      </w:r>
      <w:r>
        <w:t xml:space="preserve">will still run, but you may not see any serial messages.</w:t>
      </w:r>
    </w:p>
    <w:p>
      <w:pPr>
        <w:pStyle w:val="CaptionedFigure"/>
      </w:pPr>
      <w:r>
        <w:drawing>
          <wp:inline>
            <wp:extent cx="4572000" cy="1897571"/>
            <wp:effectExtent b="0" l="0" r="0" t="0"/>
            <wp:docPr descr="USB CDC On Boot option enabled in the Arduino IDE." title="" id="74" name="Picture"/>
            <a:graphic>
              <a:graphicData uri="http://schemas.openxmlformats.org/drawingml/2006/picture">
                <pic:pic>
                  <pic:nvPicPr>
                    <pic:cNvPr descr="hardware/resources/img/cdcesp3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97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USB CDC On Boot option enabled in the Arduino IDE.</w:t>
      </w:r>
    </w:p>
    <w:p>
      <w:pPr>
        <w:pStyle w:val="BodyText"/>
      </w:pPr>
      <w:r>
        <w:t xml:space="preserve">Module-level I²C clock validation and the approved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remain pending</w:t>
      </w:r>
      <w:r>
        <w:t xml:space="preserve"> </w:t>
      </w:r>
      <w:r>
        <w:t xml:space="preserve">testing.</w:t>
      </w:r>
    </w:p>
    <w:bookmarkEnd w:id="76"/>
    <w:bookmarkEnd w:id="77"/>
    <w:bookmarkStart w:id="8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79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81"/>
    <w:bookmarkStart w:id="8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83"/>
    <w:bookmarkStart w:id="9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94"/>
    <w:bookmarkStart w:id="9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5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95"/>
    <w:bookmarkStart w:id="96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6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6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6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6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6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6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6"/>
        </w:numPr>
        <w:pStyle w:val="Compact"/>
      </w:pPr>
      <w:r>
        <w:t xml:space="preserve">Validated firmware examples and measurement results</w:t>
      </w:r>
    </w:p>
    <w:bookmarkEnd w:id="96"/>
    <w:bookmarkStart w:id="9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97"/>
    <w:bookmarkEnd w:id="9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73" Target="media/rId73.png" /><Relationship Type="http://schemas.openxmlformats.org/officeDocument/2006/relationships/image" Id="rId67" Target="media/rId6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78" Target="media/rId78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46" Target="media/rId46.png" /><Relationship Type="http://schemas.openxmlformats.org/officeDocument/2006/relationships/hyperlink" Id="rId84" Target="https://github.com/UNIT-Electronics-MX/unit_devlab_i2c_mpu6050_6_axis_imu" TargetMode="External" /><Relationship Type="http://schemas.openxmlformats.org/officeDocument/2006/relationships/hyperlink" Id="rId85" Target="https://github.com/UNIT-Electronics-MX/unit_devlab_i2c_mpu6050_6_axis_imu/blob/main/hardware/README.md" TargetMode="External" /><Relationship Type="http://schemas.openxmlformats.org/officeDocument/2006/relationships/hyperlink" Id="rId92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86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91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87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90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88" Target="https://github.com/UNIT-Electronics-MX/unit_devlab_i2c_mpu6050_6_axis_imu/blob/main/hardware/unit_pinout_v_1_0_0_ue0129_mpu6050_en.pdf" TargetMode="External" /><Relationship Type="http://schemas.openxmlformats.org/officeDocument/2006/relationships/hyperlink" Id="rId89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93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8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github.com/UNIT-Electronics-MX/unit_devlab_i2c_mpu6050_6_axis_imu" TargetMode="External" /><Relationship Type="http://schemas.openxmlformats.org/officeDocument/2006/relationships/hyperlink" Id="rId85" Target="https://github.com/UNIT-Electronics-MX/unit_devlab_i2c_mpu6050_6_axis_imu/blob/main/hardware/README.md" TargetMode="External" /><Relationship Type="http://schemas.openxmlformats.org/officeDocument/2006/relationships/hyperlink" Id="rId92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86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91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87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90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88" Target="https://github.com/UNIT-Electronics-MX/unit_devlab_i2c_mpu6050_6_axis_imu/blob/main/hardware/unit_pinout_v_1_0_0_ue0129_mpu6050_en.pdf" TargetMode="External" /><Relationship Type="http://schemas.openxmlformats.org/officeDocument/2006/relationships/hyperlink" Id="rId89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93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8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2026-10-27T21:56:11Z</dcterms:created>
  <dcterms:modified xsi:type="dcterms:W3CDTF">2026-10-27T21:56:11Z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