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05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Paths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I2C Mode {.section-page}</w:t>
      </w:r>
    </w:p>
    <w:p>
      <w:pPr>
        <w:numPr>
          <w:ilvl w:val="1"/>
          <w:numId w:val="1005"/>
        </w:numPr>
        <w:pStyle w:val="Compact"/>
      </w:pPr>
      <w:r>
        <w:t xml:space="preserve">3.4 I2C Address and DDP Command Map {.section-page}</w:t>
      </w:r>
    </w:p>
    <w:p>
      <w:pPr>
        <w:numPr>
          <w:ilvl w:val="1"/>
          <w:numId w:val="1005"/>
        </w:numPr>
        <w:pStyle w:val="Compact"/>
      </w:pPr>
      <w:r>
        <w:t xml:space="preserve">3.5 Direct Analog Mode</w:t>
      </w:r>
    </w:p>
    <w:p>
      <w:pPr>
        <w:numPr>
          <w:ilvl w:val="1"/>
          <w:numId w:val="1005"/>
        </w:numPr>
        <w:pStyle w:val="Compact"/>
      </w:pPr>
      <w:r>
        <w:t xml:space="preserve">3.6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3.7 Optical Response</w:t>
      </w:r>
    </w:p>
    <w:p>
      <w:pPr>
        <w:numPr>
          <w:ilvl w:val="1"/>
          <w:numId w:val="1005"/>
        </w:numPr>
        <w:pStyle w:val="Compact"/>
      </w:pPr>
      <w:r>
        <w:t xml:space="preserve">3.8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DDP Measurement Transaction</w:t>
      </w:r>
    </w:p>
    <w:p>
      <w:pPr>
        <w:numPr>
          <w:ilvl w:val="1"/>
          <w:numId w:val="1007"/>
        </w:numPr>
        <w:pStyle w:val="Compact"/>
      </w:pPr>
      <w:r>
        <w:t xml:space="preserve">5.3 Address, Indicator, and Averaged Capture {.section-page}</w:t>
      </w:r>
    </w:p>
    <w:p>
      <w:pPr>
        <w:numPr>
          <w:ilvl w:val="1"/>
          <w:numId w:val="1007"/>
        </w:numPr>
        <w:pStyle w:val="Compact"/>
      </w:pPr>
      <w:r>
        <w:t xml:space="preserve">5.4 Averaged Capture</w:t>
      </w:r>
    </w:p>
    <w:p>
      <w:pPr>
        <w:numPr>
          <w:ilvl w:val="1"/>
          <w:numId w:val="1007"/>
        </w:numPr>
        <w:pStyle w:val="Compact"/>
      </w:pPr>
      <w:r>
        <w:t xml:space="preserve">5.5 Built-in Indicator</w:t>
      </w:r>
    </w:p>
    <w:p>
      <w:pPr>
        <w:numPr>
          <w:ilvl w:val="1"/>
          <w:numId w:val="1007"/>
        </w:numPr>
        <w:pStyle w:val="Compact"/>
      </w:pPr>
      <w:r>
        <w:t xml:space="preserve">5.6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controller, up to 32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also does not provide the exact memory/package option,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Cortex-M0+, up to 32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acquired by the onboard controller through ADC input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for DDP access.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 The</w:t>
      </w:r>
      <w:r>
        <w:t xml:space="preserve"> </w:t>
      </w:r>
      <w:r>
        <w:t xml:space="preserve">missing V0.3.1 schematic must still confirm the passive circuitry and</w:t>
      </w:r>
      <w:r>
        <w:t xml:space="preserve"> </w:t>
      </w:r>
      <w:r>
        <w:t xml:space="preserve">electrical characteristics around these mapped signals.</w:t>
      </w:r>
    </w:p>
    <w:bookmarkStart w:id="50" w:name="functional-paths"/>
    <w:p>
      <w:pPr>
        <w:pStyle w:val="Heading3"/>
      </w:pPr>
      <w:r>
        <w:rPr>
          <w:bCs/>
          <w:b/>
        </w:rPr>
        <w:t xml:space="preserve">3.1 Functional Paths</w:t>
      </w:r>
    </w:p>
    <w:p>
      <w:pPr>
        <w:pStyle w:val="FirstParagraph"/>
      </w:pPr>
      <w:r>
        <w:drawing>
          <wp:inline>
            <wp:extent cx="6108700" cy="330887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functional-block-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DDP publishes the averaged</w:t>
      </w:r>
      <w:r>
        <w:t xml:space="preserve"> </w:t>
      </w:r>
      <w:r>
        <w:t xml:space="preserve">sample through I2C and controls the internal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indicator.</w:t>
      </w:r>
    </w:p>
    <w:bookmarkEnd w:id="50"/>
    <w:bookmarkStart w:id="51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Direct-contact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analog access and reserved GPIO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sensor and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Optical sensing; internal ADC acquisition on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Mounting hole and product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attachment and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Indicators, bus routing, optional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and I2C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Qwiic, reset, and SWD aliases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connector; I2C/SWD share the same physical port</w:t>
            </w:r>
          </w:p>
        </w:tc>
      </w:tr>
    </w:tbl>
    <w:bookmarkEnd w:id="51"/>
    <w:bookmarkStart w:id="52" w:name="i2c-mode"/>
    <w:p>
      <w:pPr>
        <w:pStyle w:val="Heading3"/>
      </w:pPr>
      <w:r>
        <w:rPr>
          <w:bCs/>
          <w:b/>
        </w:rPr>
        <w:t xml:space="preserve">3.3 I2C Mode</w:t>
      </w:r>
    </w:p>
    <w:p>
      <w:pPr>
        <w:pStyle w:val="FirstParagraph"/>
      </w:pPr>
      <w:r>
        <w:t xml:space="preserve">With the I2C bridge intact, the onboard controller is connected to the module’s</w:t>
      </w:r>
      <w:r>
        <w:t xml:space="preserve"> </w:t>
      </w:r>
      <w:r>
        <w:t xml:space="preserve">I2C path. Either populated Qwiic position can route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pinout labels connectors as optional. The module operates as a</w:t>
      </w:r>
      <w:r>
        <w:t xml:space="preserve"> </w:t>
      </w:r>
      <w:r>
        <w:t xml:space="preserve">7-bit slave at bus clocks from 100 kHz through 400 kHz. In normal operation,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are used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factory-only SWD aliases on</w:t>
      </w:r>
      <w:r>
        <w:t xml:space="preserve"> </w:t>
      </w:r>
      <w:r>
        <w:t xml:space="preserve">those pins cannot operate simultaneously with I2C.</w:t>
      </w:r>
    </w:p>
    <w:p>
      <w:pPr>
        <w:pStyle w:val="BodyText"/>
      </w:pPr>
      <w:r>
        <w:t xml:space="preserve">The onboard controller firmware uses DevLab Device Protocol v1.0. A host writes one</w:t>
      </w:r>
      <w:r>
        <w:t xml:space="preserve"> </w:t>
      </w:r>
      <w:r>
        <w:t xml:space="preserve">command byte, issues STOP, waits 2 to 5 ms, and then performs a separate</w:t>
      </w:r>
      <w:r>
        <w:t xml:space="preserve"> </w:t>
      </w:r>
      <w:r>
        <w:t xml:space="preserve">exact-length read.</w:t>
      </w:r>
      <w:r>
        <w:t xml:space="preserve"> </w:t>
      </w:r>
      <w:r>
        <w:t xml:space="preserve">Discovery reads protocol version, Device ID, firmware version, hardware</w:t>
      </w:r>
      <w:r>
        <w:t xml:space="preserve"> </w:t>
      </w:r>
      <w:r>
        <w:t xml:space="preserve">version, and capabilities before any feature command is used. The TEMT6000 is</w:t>
      </w:r>
      <w:r>
        <w:t xml:space="preserve"> </w:t>
      </w:r>
      <w:r>
        <w:t xml:space="preserve">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 a 12-bit ADC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4095</w:t>
      </w:r>
      <w:r>
        <w:t xml:space="preserve">) as unsigned 16-bit little endian. Common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returns the same published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factory 7-bit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configurable values are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  <w:r>
        <w:t xml:space="preserve"> </w:t>
      </w:r>
      <w:r>
        <w:t xml:space="preserve">Current firmware/hardware versions are 1.0 and capabilities are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</w:t>
      </w:r>
      <w:r>
        <w:t xml:space="preserve"> </w:t>
      </w:r>
      <w:r>
        <w:t xml:space="preserve">Hosts must still verify DDP identity rather than recognizing the product from</w:t>
      </w:r>
      <w:r>
        <w:t xml:space="preserve"> </w:t>
      </w:r>
      <w:r>
        <w:t xml:space="preserve">its address alone.</w:t>
      </w:r>
    </w:p>
    <w:bookmarkEnd w:id="52"/>
    <w:bookmarkStart w:id="53" w:name="i2c-address-and-ddp-command-map"/>
    <w:p>
      <w:pPr>
        <w:pStyle w:val="Heading3"/>
      </w:pPr>
      <w:r>
        <w:rPr>
          <w:bCs/>
          <w:b/>
        </w:rPr>
        <w:t xml:space="preserve">3.4 I2C Address and DDP Command Map</w:t>
      </w:r>
    </w:p>
    <w:p>
      <w:pPr>
        <w:pStyle w:val="FirstParagraph"/>
      </w:pPr>
      <w:r>
        <w:t xml:space="preserve">The bus address and command address are independent values. A library receives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and then sends one</w:t>
      </w:r>
      <w:r>
        <w:t xml:space="preserve"> </w:t>
      </w:r>
      <w:r>
        <w:rPr>
          <w:bCs/>
          <w:b/>
        </w:rPr>
        <w:t xml:space="preserve">DDP command byte</w:t>
      </w:r>
      <w:r>
        <w:t xml:space="preserve"> </w:t>
      </w:r>
      <w:r>
        <w:t xml:space="preserve">from the map below. Do not pass the shifted wire 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byte]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command-byte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GET_DEVICE_ID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0x01 GET_FIRMWARE_VERSION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0x02 GET_HARDWARE_VERSION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0x03 GET_CAPABILITIES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0x04 GET_PROTOCOL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these five values form the identity/discovery sequence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 GET_I2C_ADDR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0x21 SET_I2C_ADDR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0x22 SAVE_CONFIG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0x23 RESET_FACTORY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0x24 GET_I2C_STATUS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setters persist configuration and address changes require rediscovery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 READ_GPIO0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0x41 READ_GPIO1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0x42/0x43 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 READ_ADC0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0x62 SET_ADC_AVERAGING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0x63 GET_ADC_AVERAGING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for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0x61 READ_ADC1</w:t>
            </w:r>
            <w:r>
              <w:t xml:space="preserve"> </w:t>
            </w:r>
            <w:r>
              <w:t xml:space="preserve">is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 TEMT6000_RAW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same unsigned 12-bit sample as</w:t>
            </w:r>
            <w:r>
              <w:t xml:space="preserve"> </w:t>
            </w:r>
            <w:r>
              <w:rPr>
                <w:rStyle w:val="VerbatimChar"/>
              </w:rPr>
              <w:t xml:space="preserve">READ_ADC0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 RELAY_OFF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0xA1 RELAY_ON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0xA2 RELAY_TOGGLE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0xA3 SET_TOGGLE_TIME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0xA4 GET_TOGGLE_TIME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for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  <w:r>
              <w:t xml:space="preserve">; other actuator bytes are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is not announced; commands are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 RESET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0xF1 WATCHDOG_RESET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0xF2 GET_RESET_INFO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0xF3 DISABLE_NRST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0xF4 CHECK_NRST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is implemented without a reply; watchdog is experimental; reset-info/NRST functions are unsupported or incomplete</w:t>
            </w:r>
          </w:p>
        </w:tc>
      </w:tr>
    </w:tbl>
    <w:p>
      <w:pPr>
        <w:pStyle w:val="BodyText"/>
      </w:pPr>
      <w:r>
        <w:t xml:space="preserve">Any command byte not listed as implemented returns the current packed</w:t>
      </w:r>
      <w:r>
        <w:t xml:space="preserve"> </w:t>
      </w:r>
      <w:r>
        <w:t xml:space="preserve">unknown-command response. Staged commands (</w:t>
      </w:r>
      <w:r>
        <w:rPr>
          <w:rStyle w:val="VerbatimChar"/>
        </w:rPr>
        <w:t xml:space="preserve">0x21</w:t>
      </w:r>
      <w:r>
        <w:t xml:space="preserve">,</w:t>
      </w:r>
      <w:r>
        <w:t xml:space="preserve"> </w:t>
      </w:r>
      <w:r>
        <w:rPr>
          <w:rStyle w:val="VerbatimChar"/>
        </w:rPr>
        <w:t xml:space="preserve">0x62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0xA3</w:t>
      </w:r>
      <w:r>
        <w:t xml:space="preserve">) require</w:t>
      </w:r>
      <w:r>
        <w:t xml:space="preserve"> </w:t>
      </w:r>
      <w:r>
        <w:t xml:space="preserve">a separate value write within 250 ms; the command and value must not be sent in</w:t>
      </w:r>
      <w:r>
        <w:t xml:space="preserve"> </w:t>
      </w:r>
      <w:r>
        <w:t xml:space="preserve">the same I2C write transaction.</w:t>
      </w:r>
    </w:p>
    <w:bookmarkEnd w:id="53"/>
    <w:bookmarkStart w:id="54" w:name="direct-analog-mode"/>
    <w:p>
      <w:pPr>
        <w:pStyle w:val="Heading3"/>
      </w:pPr>
      <w:r>
        <w:rPr>
          <w:bCs/>
          <w:b/>
        </w:rPr>
        <w:t xml:space="preserve">3.5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 the module-specific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command are</w:t>
      </w:r>
      <w:r>
        <w:t xml:space="preserve"> </w:t>
      </w:r>
      <w:r>
        <w:t xml:space="preserve">equivalent in the current firmware.</w:t>
      </w:r>
    </w:p>
    <w:bookmarkEnd w:id="54"/>
    <w:bookmarkStart w:id="55" w:name="i2c-disable-bridge"/>
    <w:p>
      <w:pPr>
        <w:pStyle w:val="Heading3"/>
      </w:pPr>
      <w:r>
        <w:rPr>
          <w:bCs/>
          <w:b/>
        </w:rPr>
        <w:t xml:space="preserve">3.6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55"/>
    <w:bookmarkStart w:id="56" w:name="optical-response"/>
    <w:p>
      <w:pPr>
        <w:pStyle w:val="Heading3"/>
      </w:pPr>
      <w:r>
        <w:rPr>
          <w:bCs/>
          <w:b/>
        </w:rPr>
        <w:t xml:space="preserve">3.7 Optical Response</w:t>
      </w:r>
    </w:p>
    <w:p>
      <w:pPr>
        <w:pStyle w:val="FirstParagraph"/>
      </w:pPr>
      <w:r>
        <w:t xml:space="preserve">The reference-only Vishay document 81579 specifies a 570 nm peak, a 440 nm to</w:t>
      </w:r>
      <w:r>
        <w:t xml:space="preserve"> </w:t>
      </w:r>
      <w:r>
        <w:t xml:space="preserve">800 nm half-sensitivity spectral bandwidth, and a ±60° half-sensitivity angle</w:t>
      </w:r>
      <w:r>
        <w:t xml:space="preserve"> </w:t>
      </w:r>
      <w:r>
        <w:t xml:space="preserve">for its TEMT6000X01. These values are comparative, not guaranteed for the</w:t>
      </w:r>
      <w:r>
        <w:t xml:space="preserve"> </w:t>
      </w:r>
      <w:r>
        <w:t xml:space="preserve">unconfirmed fitted part. Source spectrum, temperature, sensor spread,</w:t>
      </w:r>
      <w:r>
        <w:t xml:space="preserve"> </w:t>
      </w:r>
      <w:r>
        <w:t xml:space="preserve">enclosure windows, and mechanical shadowing can also change the response.</w:t>
      </w:r>
    </w:p>
    <w:bookmarkEnd w:id="56"/>
    <w:bookmarkStart w:id="57" w:name="service-and-expansion-signals"/>
    <w:p>
      <w:pPr>
        <w:pStyle w:val="Heading3"/>
      </w:pPr>
      <w:r>
        <w:rPr>
          <w:bCs/>
          <w:b/>
        </w:rPr>
        <w:t xml:space="preserve">3.8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in the current firmware and are reserved for</w:t>
      </w:r>
      <w:r>
        <w:t xml:space="preserve"> </w:t>
      </w:r>
      <w:r>
        <w:t xml:space="preserve">future use.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is logical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;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is assigned internally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 through the relay-compatible command block.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/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</w:t>
      </w:r>
      <w:r>
        <w:t xml:space="preserve"> </w:t>
      </w:r>
      <w:r>
        <w:t xml:space="preserve">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 programming</w:t>
      </w:r>
      <w:r>
        <w:t xml:space="preserve"> </w:t>
      </w:r>
      <w:r>
        <w:t xml:space="preserve">and advanced factory diagnostics; user firmware replacement is unsupported.</w:t>
      </w:r>
    </w:p>
    <w:bookmarkEnd w:id="57"/>
    <w:bookmarkEnd w:id="58"/>
    <w:bookmarkStart w:id="6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3"/>
    <w:bookmarkStart w:id="64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4"/>
    <w:bookmarkStart w:id="65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5"/>
    <w:bookmarkStart w:id="66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6"/>
    <w:bookmarkEnd w:id="67"/>
    <w:bookmarkStart w:id="81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73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4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4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4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4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4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4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68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0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1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73"/>
    <w:bookmarkStart w:id="74" w:name="ddp-measurement-transaction"/>
    <w:p>
      <w:pPr>
        <w:pStyle w:val="Heading3"/>
      </w:pPr>
      <w:r>
        <w:rPr>
          <w:bCs/>
          <w:b/>
        </w:rPr>
        <w:t xml:space="preserve">5.2 DDP Measurement Transaction</w:t>
      </w:r>
    </w:p>
    <w:p>
      <w:pPr>
        <w:pStyle w:val="FirstParagraph"/>
      </w:pPr>
      <w:r>
        <w:t xml:space="preserve">DDP uses command transactions, not a memory-mapped register interface. For</w:t>
      </w:r>
      <w:r>
        <w:t xml:space="preserve"> </w:t>
      </w:r>
      <w:r>
        <w:t xml:space="preserve">each command, the master writes the command byte and issues STOP, waits 2 to</w:t>
      </w:r>
      <w:r>
        <w:t xml:space="preserve"> </w:t>
      </w:r>
      <w:r>
        <w:t xml:space="preserve">5 ms, then starts a separate read of the exact response length. Multi-byte</w:t>
      </w:r>
      <w:r>
        <w:t xml:space="preserve"> </w:t>
      </w:r>
      <w:r>
        <w:t xml:space="preserve">integers are little endian. A read does not start conversion; it returns the</w:t>
      </w:r>
      <w:r>
        <w:t xml:space="preserve"> </w:t>
      </w:r>
      <w:r>
        <w:t xml:space="preserve">latest background sample.</w:t>
      </w:r>
    </w:p>
    <w:p>
      <w:pPr>
        <w:pStyle w:val="BodyText"/>
      </w:pPr>
      <w:r>
        <w:t xml:space="preserve">The mandatory discovery order is</w:t>
      </w:r>
      <w:r>
        <w:t xml:space="preserve"> </w:t>
      </w:r>
      <w:r>
        <w:rPr>
          <w:rStyle w:val="VerbatimChar"/>
        </w:rPr>
        <w:t xml:space="preserve">GET_PROTOCOL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GET_HARDWARE_VERSION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0x03</w:t>
      </w:r>
      <w:r>
        <w:t xml:space="preserve">). Only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identify this profile. The measurement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</w:t>
      </w:r>
      <w:r>
        <w:t xml:space="preserve"> </w:t>
      </w:r>
      <w:r>
        <w:t xml:space="preserve">two bytes: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, with valid ADC codes from</w:t>
      </w:r>
      <w:r>
        <w:t xml:space="preserve"> </w:t>
      </w:r>
      <w:r>
        <w:t xml:space="preserve">0 through 4095.</w:t>
      </w:r>
    </w:p>
    <w:p>
      <w:pPr>
        <w:pStyle w:val="BodyText"/>
      </w:pPr>
      <w:r>
        <w:t xml:space="preserve">The current responses are Device ID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),</w:t>
      </w:r>
      <w:r>
        <w:t xml:space="preserve"> </w:t>
      </w:r>
      <w:r>
        <w:t xml:space="preserve">protocol/firmware/hardware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 </w:t>
      </w:r>
      <w:r>
        <w:t xml:space="preserve">(major 1, minor 0), and capabilities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). A library should</w:t>
      </w:r>
      <w:r>
        <w:t xml:space="preserve"> </w:t>
      </w:r>
      <w:r>
        <w:t xml:space="preserve">validate these values at startup, cache them, and repeat discovery after reset,</w:t>
      </w:r>
      <w:r>
        <w:t xml:space="preserve"> </w:t>
      </w:r>
      <w:r>
        <w:t xml:space="preserve">address change, or bus recovery.</w:t>
      </w:r>
    </w:p>
    <w:p>
      <w:pPr>
        <w:pStyle w:val="BodyText"/>
      </w:pPr>
      <w:r>
        <w:t xml:space="preserve">The byte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context-dependent, not a universal status code. It is the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command when written as a command; version major 1 in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;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; a</w:t>
      </w:r>
      <w:r>
        <w:t xml:space="preserve"> </w:t>
      </w:r>
      <w:r>
        <w:t xml:space="preserve">capability-bitmap byte in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; logical HIGH in a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 </w:t>
      </w:r>
      <w:r>
        <w:t xml:space="preserve">response; and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response. Interpret it only under the issuing command and expected length.</w:t>
      </w:r>
    </w:p>
    <w:bookmarkEnd w:id="74"/>
    <w:bookmarkStart w:id="75" w:name="address-indicator-and-averaged-capture"/>
    <w:p>
      <w:pPr>
        <w:pStyle w:val="Heading3"/>
      </w:pPr>
      <w:r>
        <w:rPr>
          <w:bCs/>
          <w:b/>
        </w:rPr>
        <w:t xml:space="preserve">5.3 Address, Indicator, and Averaged Capture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75"/>
    <w:bookmarkStart w:id="76" w:name="averaged-capture"/>
    <w:p>
      <w:pPr>
        <w:pStyle w:val="Heading3"/>
      </w:pPr>
      <w:r>
        <w:rPr>
          <w:bCs/>
          <w:b/>
        </w:rPr>
        <w:t xml:space="preserve">5.4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76"/>
    <w:bookmarkStart w:id="77" w:name="built-in-indicator"/>
    <w:p>
      <w:pPr>
        <w:pStyle w:val="Heading3"/>
      </w:pPr>
      <w:r>
        <w:rPr>
          <w:bCs/>
          <w:b/>
        </w:rPr>
        <w:t xml:space="preserve">5.5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77"/>
    <w:bookmarkStart w:id="78" w:name="direct-analog-bring-up"/>
    <w:p>
      <w:pPr>
        <w:pStyle w:val="Heading3"/>
      </w:pPr>
      <w:r>
        <w:rPr>
          <w:bCs/>
          <w:b/>
        </w:rPr>
        <w:t xml:space="preserve">5.6 Direct Analog Bring-up</w:t>
      </w:r>
    </w:p>
    <w:p>
      <w:pPr>
        <w:numPr>
          <w:ilvl w:val="0"/>
          <w:numId w:val="1015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5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5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5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78"/>
    <w:bookmarkStart w:id="79" w:name="modifying-the-i2c-bridge"/>
    <w:p>
      <w:pPr>
        <w:pStyle w:val="Heading3"/>
      </w:pPr>
      <w:r>
        <w:rPr>
          <w:bCs/>
          <w:b/>
        </w:rPr>
        <w:t xml:space="preserve">5.7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79"/>
    <w:bookmarkStart w:id="80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0"/>
    <w:bookmarkEnd w:id="81"/>
    <w:bookmarkStart w:id="89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6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6"/>
    <w:bookmarkStart w:id="87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7"/>
    <w:bookmarkStart w:id="88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6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6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6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6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6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6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6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8"/>
    <w:bookmarkEnd w:id="89"/>
    <w:bookmarkStart w:id="91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1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7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7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7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7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7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7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7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7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8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8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8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8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8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8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8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19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19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19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105" Target="media/rId105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2" Target="https://github.com/UNIT-Electronics-MX/unit_devlab_temt600_ambient_light_sensor" TargetMode="External" /><Relationship Type="http://schemas.openxmlformats.org/officeDocument/2006/relationships/hyperlink" Id="rId93" Target="https://github.com/UNIT-Electronics-MX/unit_devlab_temt600_ambient_light_sensor/blob/main/hardware/README.md" TargetMode="External" /><Relationship Type="http://schemas.openxmlformats.org/officeDocument/2006/relationships/hyperlink" Id="rId97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6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5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8" Target="https://github.com/UNIT-Electronics-MX/unit_devlab_temt600_ambient_light_sensor/blob/main/hardware/unit_sch_V_0_0_1_ue0098_TEMT6000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9" Target="https://github.com/UNIT-Electronics-MX/unit_devlab_temt600_ambient_light_sensor/tree/main/software/examples" TargetMode="External" /><Relationship Type="http://schemas.openxmlformats.org/officeDocument/2006/relationships/hyperlink" Id="rId90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Relationship Type="http://schemas.openxmlformats.org/officeDocument/2006/relationships/hyperlink" Id="rId68" Target="software/examples/i2c/cpp_examples/ddp_temt6000/ddp_temt6000.ino" TargetMode="External" /><Relationship Type="http://schemas.openxmlformats.org/officeDocument/2006/relationships/hyperlink" Id="rId71" Target="software/examples/i2c/cpp_examples/i2c_scanner/i2c_scanner.ino" TargetMode="External" /><Relationship Type="http://schemas.openxmlformats.org/officeDocument/2006/relationships/hyperlink" Id="rId69" Target="software/examples/i2c/micropython/ddp_temt6000.py" TargetMode="External" /><Relationship Type="http://schemas.openxmlformats.org/officeDocument/2006/relationships/hyperlink" Id="rId72" Target="software/examples/i2c/micropython/i2c_scan.py" TargetMode="External" /><Relationship Type="http://schemas.openxmlformats.org/officeDocument/2006/relationships/hyperlink" Id="rId70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2" Target="https://github.com/UNIT-Electronics-MX/unit_devlab_temt600_ambient_light_sensor" TargetMode="External" /><Relationship Type="http://schemas.openxmlformats.org/officeDocument/2006/relationships/hyperlink" Id="rId93" Target="https://github.com/UNIT-Electronics-MX/unit_devlab_temt600_ambient_light_sensor/blob/main/hardware/README.md" TargetMode="External" /><Relationship Type="http://schemas.openxmlformats.org/officeDocument/2006/relationships/hyperlink" Id="rId97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6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5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8" Target="https://github.com/UNIT-Electronics-MX/unit_devlab_temt600_ambient_light_sensor/blob/main/hardware/unit_sch_V_0_0_1_ue0098_TEMT6000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9" Target="https://github.com/UNIT-Electronics-MX/unit_devlab_temt600_ambient_light_sensor/tree/main/software/examples" TargetMode="External" /><Relationship Type="http://schemas.openxmlformats.org/officeDocument/2006/relationships/hyperlink" Id="rId90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Relationship Type="http://schemas.openxmlformats.org/officeDocument/2006/relationships/hyperlink" Id="rId68" Target="software/examples/i2c/cpp_examples/ddp_temt6000/ddp_temt6000.ino" TargetMode="External" /><Relationship Type="http://schemas.openxmlformats.org/officeDocument/2006/relationships/hyperlink" Id="rId71" Target="software/examples/i2c/cpp_examples/i2c_scanner/i2c_scanner.ino" TargetMode="External" /><Relationship Type="http://schemas.openxmlformats.org/officeDocument/2006/relationships/hyperlink" Id="rId69" Target="software/examples/i2c/micropython/ddp_temt6000.py" TargetMode="External" /><Relationship Type="http://schemas.openxmlformats.org/officeDocument/2006/relationships/hyperlink" Id="rId72" Target="software/examples/i2c/micropython/i2c_scan.py" TargetMode="External" /><Relationship Type="http://schemas.openxmlformats.org/officeDocument/2006/relationships/hyperlink" Id="rId70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2026-08-31T22:35:06Z</dcterms:created>
  <dcterms:modified xsi:type="dcterms:W3CDTF">2026-08-31T22:35:06Z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