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7.png" ContentType="image/png"/>
  <Override PartName="/word/media/rId112.png" ContentType="image/png"/>
  <Override PartName="/word/media/rId32.png" ContentType="image/png"/>
  <Override PartName="/word/media/rId28.png" ContentType="image/png"/>
  <Override PartName="/word/media/rId56.png" ContentType="image/png"/>
  <Override PartName="/word/media/rId79.png" ContentType="image/png"/>
  <Override PartName="/word/media/rId50.png" ContentType="image/png"/>
  <Override PartName="/word/media/rId75.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Identified Assemblies</w:t>
      </w:r>
    </w:p>
    <w:p>
      <w:pPr>
        <w:numPr>
          <w:ilvl w:val="1"/>
          <w:numId w:val="1003"/>
        </w:numPr>
        <w:pStyle w:val="Compact"/>
      </w:pPr>
      <w:r>
        <w:t xml:space="preserve">1.4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Interface Controller Characteristics</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Current Analog Circuit Scope</w:t>
      </w:r>
    </w:p>
    <w:p>
      <w:pPr>
        <w:numPr>
          <w:ilvl w:val="1"/>
          <w:numId w:val="1004"/>
        </w:numPr>
        <w:pStyle w:val="Compact"/>
      </w:pPr>
      <w:r>
        <w:t xml:space="preserve">2.7 Unspecified Current-Module Characteristics {.section-page}</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0"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No accessory bundle is specified. Typical integration items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orientation, and contact order against the populated connector</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 clock from 100 kHz through 400 kHz</w:t>
            </w:r>
          </w:p>
        </w:tc>
      </w:tr>
      <w:tr>
        <w:tc>
          <w:tcPr/>
          <w:p>
            <w:pPr>
              <w:pStyle w:val="Compact"/>
              <w:jc w:val="left"/>
            </w:pPr>
            <w:r>
              <w:t xml:space="preserve">Analog test lead or carrier</w:t>
            </w:r>
          </w:p>
        </w:tc>
        <w:tc>
          <w:tcPr/>
          <w:p>
            <w:pPr>
              <w:pStyle w:val="Compact"/>
              <w:jc w:val="left"/>
            </w:pPr>
            <w:r>
              <w:t xml:space="preserve">Accesses</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w:t>
            </w:r>
          </w:p>
        </w:tc>
        <w:tc>
          <w:tcPr/>
          <w:p>
            <w:pPr>
              <w:pStyle w:val="Compact"/>
              <w:jc w:val="left"/>
            </w:pPr>
            <w:r>
              <w:t xml:space="preserve">Required for quantitative illuminance validation</w:t>
            </w:r>
          </w:p>
        </w:tc>
      </w:tr>
    </w:tbl>
    <w:bookmarkEnd w:id="25"/>
    <w:bookmarkStart w:id="26" w:name="board-identification"/>
    <w:p>
      <w:pPr>
        <w:pStyle w:val="Heading3"/>
      </w:pPr>
      <w:r>
        <w:rPr>
          <w:bCs/>
          <w:b/>
        </w:rPr>
        <w:t xml:space="preserve">1.2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6"/>
    <w:bookmarkStart w:id="27" w:name="identified-assemblies"/>
    <w:p>
      <w:pPr>
        <w:pStyle w:val="Heading3"/>
      </w:pPr>
      <w:r>
        <w:rPr>
          <w:bCs/>
          <w:b/>
        </w:rPr>
        <w:t xml:space="preserve">1.3 Identified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Assembly</w:t>
            </w:r>
          </w:p>
        </w:tc>
        <w:tc>
          <w:tcPr/>
          <w:p>
            <w:pPr>
              <w:pStyle w:val="Compact"/>
              <w:jc w:val="left"/>
            </w:pPr>
            <w:r>
              <w:t xml:space="preserve">Function</w:t>
            </w:r>
          </w:p>
        </w:tc>
        <w:tc>
          <w:tcPr/>
          <w:p>
            <w:pPr>
              <w:pStyle w:val="Compact"/>
              <w:jc w:val="left"/>
            </w:pPr>
            <w:r>
              <w:t xml:space="preserve">Source status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Functional identity shown by board/pinout artwork; manufacturer and exact suffix unconfirmed</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16 KB Flash and 2 KB SRAM</w:t>
            </w:r>
          </w:p>
        </w:tc>
      </w:tr>
      <w:tr>
        <w:tc>
          <w:tcPr/>
          <w:p>
            <w:pPr>
              <w:pStyle w:val="Compact"/>
              <w:jc w:val="left"/>
            </w:pPr>
            <w:r>
              <w:t xml:space="preserve">I2C connection positions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are optional horizontal 4-pin, 1.00 mm-pitch JST/Qwiic-compatible connector positions</w:t>
            </w:r>
          </w:p>
        </w:tc>
      </w:tr>
      <w:tr>
        <w:tc>
          <w:tcPr/>
          <w:p>
            <w:pPr>
              <w:pStyle w:val="Compact"/>
              <w:jc w:val="left"/>
            </w:pPr>
            <w:r>
              <w:t xml:space="preserve">Direct contacts</w:t>
            </w:r>
          </w:p>
        </w:tc>
        <w:tc>
          <w:tcPr/>
          <w:p>
            <w:pPr>
              <w:pStyle w:val="Compact"/>
              <w:jc w:val="left"/>
            </w:pPr>
            <w:r>
              <w:t xml:space="preserve">Provide</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r>
              <w:t xml:space="preserve"> </w:t>
            </w:r>
            <w:r>
              <w:t xml:space="preserve">access</w:t>
            </w:r>
          </w:p>
        </w:tc>
        <w:tc>
          <w:tcPr/>
          <w:p>
            <w:pPr>
              <w:pStyle w:val="Compact"/>
              <w:jc w:val="left"/>
            </w:pPr>
            <w:r>
              <w:t xml:space="preserve">Identified on the top view</w:t>
            </w:r>
          </w:p>
        </w:tc>
      </w:tr>
      <w:tr>
        <w:tc>
          <w:tcPr/>
          <w:p>
            <w:pPr>
              <w:pStyle w:val="Compact"/>
              <w:jc w:val="left"/>
            </w:pPr>
            <w:r>
              <w:t xml:space="preserve">I2C disable bridge</w:t>
            </w:r>
          </w:p>
        </w:tc>
        <w:tc>
          <w:tcPr/>
          <w:p>
            <w:pPr>
              <w:pStyle w:val="Compact"/>
              <w:jc w:val="left"/>
            </w:pPr>
            <w:r>
              <w:t xml:space="preserve">Allows the I2C interface to be disconnected or disabled by cutting the bridge</w:t>
            </w:r>
          </w:p>
        </w:tc>
        <w:tc>
          <w:tcPr/>
          <w:p>
            <w:pPr>
              <w:pStyle w:val="Compact"/>
              <w:jc w:val="left"/>
            </w:pPr>
            <w:r>
              <w:t xml:space="preserve">Function identified; exact circuit implementation unspecified</w:t>
            </w:r>
          </w:p>
        </w:tc>
      </w:tr>
      <w:tr>
        <w:tc>
          <w:tcPr/>
          <w:p>
            <w:pPr>
              <w:pStyle w:val="Compact"/>
              <w:jc w:val="left"/>
            </w:pPr>
            <w:r>
              <w:t xml:space="preserve">Power and built-in indicators</w:t>
            </w:r>
          </w:p>
        </w:tc>
        <w:tc>
          <w:tcPr/>
          <w:p>
            <w:pPr>
              <w:pStyle w:val="Compact"/>
              <w:jc w:val="left"/>
            </w:pPr>
            <w:r>
              <w:t xml:space="preserve">Provide power and firmware-controlled status indication</w:t>
            </w:r>
          </w:p>
        </w:tc>
        <w:tc>
          <w:tcPr/>
          <w:p>
            <w:pPr>
              <w:pStyle w:val="Compact"/>
              <w:jc w:val="left"/>
            </w:pPr>
            <w:r>
              <w:t xml:space="preserve">Power and built-in indicators identified on the board</w:t>
            </w:r>
          </w:p>
        </w:tc>
      </w:tr>
      <w:tr>
        <w:tc>
          <w:tcPr/>
          <w:p>
            <w:pPr>
              <w:pStyle w:val="Compact"/>
              <w:jc w:val="left"/>
            </w:pPr>
            <w:r>
              <w:t xml:space="preserve">Reserved expansion pads</w:t>
            </w:r>
          </w:p>
        </w:tc>
        <w:tc>
          <w:tcPr/>
          <w:p>
            <w:pPr>
              <w:pStyle w:val="Compact"/>
              <w:jc w:val="left"/>
            </w:pPr>
            <w:r>
              <w:t xml:space="preserve">Reserved connections with no current application assignment</w:t>
            </w:r>
          </w:p>
        </w:tc>
        <w:tc>
          <w:tcPr/>
          <w:p>
            <w:pPr>
              <w:pStyle w:val="Compact"/>
              <w:jc w:val="left"/>
            </w:pPr>
            <w:r>
              <w:t xml:space="preserve">Two reserved pads identified on the board</w:t>
            </w:r>
          </w:p>
        </w:tc>
      </w:tr>
      <w:tr>
        <w:tc>
          <w:tcPr/>
          <w:p>
            <w:pPr>
              <w:pStyle w:val="Compact"/>
              <w:jc w:val="left"/>
            </w:pPr>
            <w:r>
              <w:t xml:space="preserve">Factory service functions</w:t>
            </w:r>
          </w:p>
        </w:tc>
        <w:tc>
          <w:tcPr/>
          <w:p>
            <w:pPr>
              <w:pStyle w:val="Compact"/>
              <w:jc w:val="left"/>
            </w:pPr>
            <w:r>
              <w:t xml:space="preserve">Provide controller programming, debug, and reset functions</w:t>
            </w:r>
          </w:p>
        </w:tc>
        <w:tc>
          <w:tcPr/>
          <w:p>
            <w:pPr>
              <w:pStyle w:val="Compact"/>
              <w:jc w:val="left"/>
            </w:pPr>
            <w:r>
              <w:t xml:space="preserve">Reserved for manufacturer use; programming signals share the I2C interface</w:t>
            </w:r>
          </w:p>
        </w:tc>
      </w:tr>
    </w:tbl>
    <w:bookmarkEnd w:id="27"/>
    <w:bookmarkStart w:id="31" w:name="board-layout-and-reference-designators"/>
    <w:p>
      <w:pPr>
        <w:pStyle w:val="Heading3"/>
      </w:pPr>
      <w:r>
        <w:rPr>
          <w:bCs/>
          <w:b/>
        </w:rPr>
        <w:t xml:space="preserve">1.4 Board Layout and Reference Designators</w:t>
      </w:r>
    </w:p>
    <w:p>
      <w:pPr>
        <w:pStyle w:val="FirstParagraph"/>
      </w:pPr>
      <w:r>
        <w:drawing>
          <wp:inline>
            <wp:extent cx="6108700" cy="4073328"/>
            <wp:effectExtent b="0" l="0" r="0" t="0"/>
            <wp:docPr descr="" title="" id="29" name="Picture"/>
            <a:graphic>
              <a:graphicData uri="http://schemas.openxmlformats.org/drawingml/2006/picture">
                <pic:pic>
                  <pic:nvPicPr>
                    <pic:cNvPr descr="../../../hardware/resources/unit_topology_v_3_1_0_ue0098_temt6000_ambient_light_sensor.png" id="30" name="Picture"/>
                    <pic:cNvPicPr>
                      <a:picLocks noChangeArrowheads="1" noChangeAspect="1"/>
                    </pic:cNvPicPr>
                  </pic:nvPicPr>
                  <pic:blipFill>
                    <a:blip r:embed="rId2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1"/>
    <w:bookmarkStart w:id="38" w:name="board-views"/>
    <w:p>
      <w:pPr>
        <w:pStyle w:val="Heading3"/>
      </w:pPr>
      <w:r>
        <w:rPr>
          <w:bCs/>
          <w:b/>
        </w:rPr>
        <w:t xml:space="preserve">1.5 Board Views</w:t>
      </w:r>
    </w:p>
    <w:p>
      <w:pPr>
        <w:pStyle w:val="FirstParagraph"/>
      </w:pPr>
      <w:r>
        <w:drawing>
          <wp:inline>
            <wp:extent cx="2148840" cy="1080507"/>
            <wp:effectExtent b="0" l="0" r="0" t="0"/>
            <wp:docPr descr="" title="" id="33" name="Picture"/>
            <a:graphic>
              <a:graphicData uri="http://schemas.openxmlformats.org/drawingml/2006/picture">
                <pic:pic>
                  <pic:nvPicPr>
                    <pic:cNvPr descr="../../../hardware/resources/unit_top_v_0_3_1_ue0098_temt6000.png" id="34" name="Picture"/>
                    <pic:cNvPicPr>
                      <a:picLocks noChangeArrowheads="1" noChangeAspect="1"/>
                    </pic:cNvPicPr>
                  </pic:nvPicPr>
                  <pic:blipFill>
                    <a:blip r:embed="rId32"/>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6" name="Picture"/>
            <a:graphic>
              <a:graphicData uri="http://schemas.openxmlformats.org/drawingml/2006/picture">
                <pic:pic>
                  <pic:nvPicPr>
                    <pic:cNvPr descr="../../../hardware/resources/unit_btm_v_0_3_1_ue0098_temt6000.png" id="37" name="Picture"/>
                    <pic:cNvPicPr>
                      <a:picLocks noChangeArrowheads="1" noChangeAspect="1"/>
                    </pic:cNvPicPr>
                  </pic:nvPicPr>
                  <pic:blipFill>
                    <a:blip r:embed="rId35"/>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8"/>
    <w:bookmarkStart w:id="39"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39"/>
    <w:bookmarkEnd w:id="40"/>
    <w:bookmarkStart w:id="49"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1"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1"/>
    <w:bookmarkStart w:id="42"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2"/>
    <w:bookmarkStart w:id="43" w:name="interface-controller-characteristics"/>
    <w:p>
      <w:pPr>
        <w:pStyle w:val="Heading3"/>
      </w:pPr>
      <w:r>
        <w:rPr>
          <w:bCs/>
          <w:b/>
        </w:rPr>
        <w:t xml:space="preserve">2.3 Interface Controller Characteristics</w:t>
      </w:r>
    </w:p>
    <w:p>
      <w:pPr>
        <w:pStyle w:val="FirstParagraph"/>
      </w:pPr>
      <w:r>
        <w:t xml:space="preserve">The available controller reference documentation identifies a 32-bit Arm Cortex-M0+ device with 16 KB Flash and 2 KB SRAM.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Controller capability</w:t>
            </w:r>
          </w:p>
        </w:tc>
      </w:tr>
      <w:tr>
        <w:tc>
          <w:tcPr/>
          <w:p>
            <w:pPr>
              <w:pStyle w:val="Compact"/>
              <w:jc w:val="left"/>
            </w:pPr>
            <w:r>
              <w:t xml:space="preserve">CPU and application clock</w:t>
            </w:r>
          </w:p>
        </w:tc>
        <w:tc>
          <w:tcPr/>
          <w:p>
            <w:pPr>
              <w:pStyle w:val="Compact"/>
              <w:jc w:val="left"/>
            </w:pPr>
            <w:r>
              <w:t xml:space="preserve">32-bit Arm Cortex-M0+; internal HSI at up to 24 MHz</w:t>
            </w:r>
          </w:p>
        </w:tc>
      </w:tr>
      <w:tr>
        <w:tc>
          <w:tcPr/>
          <w:p>
            <w:pPr>
              <w:pStyle w:val="Compact"/>
              <w:jc w:val="left"/>
            </w:pPr>
            <w:r>
              <w:t xml:space="preserve">Memory</w:t>
            </w:r>
          </w:p>
        </w:tc>
        <w:tc>
          <w:tcPr/>
          <w:p>
            <w:pPr>
              <w:pStyle w:val="Compact"/>
              <w:jc w:val="left"/>
            </w:pPr>
            <w:r>
              <w:t xml:space="preserve">16 KB Flash and 2 KB SRAM</w:t>
            </w:r>
          </w:p>
        </w:tc>
      </w:tr>
      <w:tr>
        <w:tc>
          <w:tcPr/>
          <w:p>
            <w:pPr>
              <w:pStyle w:val="Compact"/>
              <w:jc w:val="left"/>
            </w:pPr>
            <w:r>
              <w:t xml:space="preserve">Controller operating-voltage guidance</w:t>
            </w:r>
          </w:p>
        </w:tc>
        <w:tc>
          <w:tcPr/>
          <w:p>
            <w:pPr>
              <w:pStyle w:val="Compact"/>
              <w:jc w:val="left"/>
            </w:pPr>
            <w:r>
              <w:t xml:space="preserve">2.0–5.5 V; conservative range pending confirmation of the exact fitted variant</w:t>
            </w:r>
          </w:p>
        </w:tc>
      </w:tr>
      <w:tr>
        <w:tc>
          <w:tcPr/>
          <w:p>
            <w:pPr>
              <w:pStyle w:val="Compact"/>
              <w:jc w:val="left"/>
            </w:pPr>
            <w:r>
              <w:t xml:space="preserve">ADC</w:t>
            </w:r>
          </w:p>
        </w:tc>
        <w:tc>
          <w:tcPr/>
          <w:p>
            <w:pPr>
              <w:pStyle w:val="Compact"/>
              <w:jc w:val="left"/>
            </w:pPr>
            <w:r>
              <w:t xml:space="preserve">12-bit analog-to-digital conversion used for sensor acquisition</w:t>
            </w:r>
          </w:p>
        </w:tc>
      </w:tr>
      <w:tr>
        <w:tc>
          <w:tcPr/>
          <w:p>
            <w:pPr>
              <w:pStyle w:val="Compact"/>
              <w:jc w:val="left"/>
            </w:pPr>
            <w:r>
              <w:t xml:space="preserve">I2C</w:t>
            </w:r>
          </w:p>
        </w:tc>
        <w:tc>
          <w:tcPr/>
          <w:p>
            <w:pPr>
              <w:pStyle w:val="Compact"/>
              <w:jc w:val="left"/>
            </w:pPr>
            <w:r>
              <w:t xml:space="preserve">Standard mode at 100 kHz and Fast mode at 400 kHz; 7-bit addressing</w:t>
            </w:r>
          </w:p>
        </w:tc>
      </w:tr>
      <w:tr>
        <w:tc>
          <w:tcPr/>
          <w:p>
            <w:pPr>
              <w:pStyle w:val="Compact"/>
              <w:jc w:val="left"/>
            </w:pPr>
            <w:r>
              <w:t xml:space="preserve">GPIO</w:t>
            </w:r>
          </w:p>
        </w:tc>
        <w:tc>
          <w:tcPr/>
          <w:p>
            <w:pPr>
              <w:pStyle w:val="Compact"/>
              <w:jc w:val="left"/>
            </w:pPr>
            <w:r>
              <w:t xml:space="preserve">General-purpose digital I/O and external-interrupt capability</w:t>
            </w:r>
          </w:p>
        </w:tc>
      </w:tr>
      <w:tr>
        <w:tc>
          <w:tcPr/>
          <w:p>
            <w:pPr>
              <w:pStyle w:val="Compact"/>
              <w:jc w:val="left"/>
            </w:pPr>
            <w:r>
              <w:t xml:space="preserve">Timers</w:t>
            </w:r>
          </w:p>
        </w:tc>
        <w:tc>
          <w:tcPr/>
          <w:p>
            <w:pPr>
              <w:pStyle w:val="Compact"/>
              <w:jc w:val="left"/>
            </w:pPr>
            <w:r>
              <w:t xml:space="preserve">General-purpose, advanced-control, low-power, watchdog, and system timing resources</w:t>
            </w:r>
          </w:p>
        </w:tc>
      </w:tr>
      <w:tr>
        <w:tc>
          <w:tcPr/>
          <w:p>
            <w:pPr>
              <w:pStyle w:val="Compact"/>
              <w:jc w:val="left"/>
            </w:pPr>
            <w:r>
              <w:t xml:space="preserve">Other interfaces</w:t>
            </w:r>
          </w:p>
        </w:tc>
        <w:tc>
          <w:tcPr/>
          <w:p>
            <w:pPr>
              <w:pStyle w:val="Compact"/>
              <w:jc w:val="left"/>
            </w:pPr>
            <w:r>
              <w:t xml:space="preserve">SPI, USART, DMA, RTC, CRC, comparators, unique device identification, and factory programming/debug functionality</w:t>
            </w:r>
          </w:p>
        </w:tc>
      </w:tr>
    </w:tbl>
    <w:p>
      <w:pPr>
        <w:pStyle w:val="BodyText"/>
      </w:pPr>
      <w:r>
        <w:t xml:space="preserve">Programming and debugging functionality is reserved for factory use on this module. The controller operating range applies only to the controller and does not establish the absolute maximum ratings of the complete module or every externally accessible contact.</w:t>
      </w:r>
    </w:p>
    <w:bookmarkEnd w:id="43"/>
    <w:bookmarkStart w:id="44" w:name="temt6000-maximum-ratings"/>
    <w:p>
      <w:pPr>
        <w:pStyle w:val="Heading3"/>
      </w:pPr>
      <w:r>
        <w:rPr>
          <w:bCs/>
          <w:b/>
        </w:rPr>
        <w:t xml:space="preserve">2.4 TEMT6000 Maximum Ratings</w:t>
      </w:r>
    </w:p>
    <w:p>
      <w:pPr>
        <w:pStyle w:val="FirstParagraph"/>
      </w:pPr>
      <w:r>
        <w:t xml:space="preserve">The values below are included only as a comparative TEMT6000 profile. They do not confirm that a specific manufacturer or ordering variant is fitted to the module and must not be interpreted as complete-module ratings.</w:t>
      </w:r>
    </w:p>
    <w:p>
      <w:pPr>
        <w:pStyle w:val="BodyText"/>
      </w:pPr>
      <w:r>
        <w:t xml:space="preserve">These values also do not define limits for the interface controller, indicators, pull-ups, connectors, or other board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4"/>
    <w:bookmarkStart w:id="45" w:name="temt6000-characteristics"/>
    <w:p>
      <w:pPr>
        <w:pStyle w:val="Heading3"/>
      </w:pPr>
      <w:r>
        <w:rPr>
          <w:bCs/>
          <w:b/>
        </w:rPr>
        <w:t xml:space="preserve">2.5 TEMT6000 Characteristics</w:t>
      </w:r>
    </w:p>
    <w:p>
      <w:pPr>
        <w:pStyle w:val="FirstParagraph"/>
      </w:pPr>
      <w:r>
        <w:t xml:space="preserve">Unless noted otherwise, the following values are specified at 25 °C and are provided for comparison only. Production specifications must be based on the confirmed fitted component and module-level validation.</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p>
      <w:pPr>
        <w:pStyle w:val="BodyText"/>
      </w:pPr>
      <w:r>
        <w:t xml:space="preserve">The component values in Sections 2.4 and 2.5 are published by Vishay in document 81579. The complete source is listed in Chapter 8, Reference Documentation.</w:t>
      </w:r>
    </w:p>
    <w:bookmarkEnd w:id="45"/>
    <w:bookmarkStart w:id="46" w:name="current-analog-circuit-scope"/>
    <w:p>
      <w:pPr>
        <w:pStyle w:val="Heading3"/>
      </w:pPr>
      <w:r>
        <w:rPr>
          <w:bCs/>
          <w:b/>
        </w:rPr>
        <w:t xml:space="preserve">2.6 Current Analog Circuit Scope</w:t>
      </w:r>
    </w:p>
    <w:p>
      <w:pPr>
        <w:pStyle w:val="FirstParagraph"/>
      </w:pPr>
      <w:r>
        <w:t xml:space="preserve">The V2.0.0 schematic shows the TEMT6000 sensor with a 10 kΩ resistor (</w:t>
      </w:r>
      <w:r>
        <w:rPr>
          <w:rStyle w:val="VerbatimChar"/>
        </w:rPr>
        <w:t xml:space="preserve">R1</w:t>
      </w:r>
      <w:r>
        <w:t xml:space="preserve">) to ground. The resulting</w:t>
      </w:r>
      <w:r>
        <w:t xml:space="preserve"> </w:t>
      </w:r>
      <w:r>
        <w:rPr>
          <w:rStyle w:val="VerbatimChar"/>
        </w:rPr>
        <w:t xml:space="preserve">SIGNAL</w:t>
      </w:r>
      <w:r>
        <w:t xml:space="preserve"> </w:t>
      </w:r>
      <w:r>
        <w:t xml:space="preserve">net is connected to the controller ADC input and to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schematic also documents 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status indicators, pull-ups, test points, and the two optional I2C connector positions. The I2C connection points share controller signals with the factory programming/debug interface; there is no separate user-accessible SWD connector.</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6"/>
    <w:bookmarkStart w:id="47" w:name="Xfceabeeeb34bfd761998e8b16fcfc49584ad897"/>
    <w:p>
      <w:pPr>
        <w:pStyle w:val="Heading3"/>
      </w:pPr>
      <w:r>
        <w:rPr>
          <w:bCs/>
          <w:b/>
        </w:rPr>
        <w:t xml:space="preserve">2.7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7"/>
    <w:bookmarkStart w:id="48" w:name="electrical-precautions"/>
    <w:p>
      <w:pPr>
        <w:pStyle w:val="Heading3"/>
      </w:pPr>
      <w:r>
        <w:rPr>
          <w:bCs/>
          <w:b/>
        </w:rPr>
        <w:t xml:space="preserve">2.8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8"/>
    <w:bookmarkEnd w:id="49"/>
    <w:bookmarkStart w:id="63"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3" w:name="functional-block-diagram"/>
    <w:p>
      <w:pPr>
        <w:pStyle w:val="Heading3"/>
      </w:pPr>
      <w:r>
        <w:rPr>
          <w:bCs/>
          <w:b/>
        </w:rPr>
        <w:t xml:space="preserve">3.1 Functional Block Diagram</w:t>
      </w:r>
    </w:p>
    <w:p>
      <w:pPr>
        <w:pStyle w:val="FirstParagraph"/>
      </w:pPr>
      <w:r>
        <w:drawing>
          <wp:inline>
            <wp:extent cx="6108700" cy="3308879"/>
            <wp:effectExtent b="0" l="0" r="0" t="0"/>
            <wp:docPr descr="" title="" id="51" name="Picture"/>
            <a:graphic>
              <a:graphicData uri="http://schemas.openxmlformats.org/drawingml/2006/picture">
                <pic:pic>
                  <pic:nvPicPr>
                    <pic:cNvPr descr="../assets/functional-block-diagram.png" id="52" name="Picture"/>
                    <pic:cNvPicPr>
                      <a:picLocks noChangeArrowheads="1" noChangeAspect="1"/>
                    </pic:cNvPicPr>
                  </pic:nvPicPr>
                  <pic:blipFill>
                    <a:blip r:embed="rId50"/>
                    <a:stretch>
                      <a:fillRect/>
                    </a:stretch>
                  </pic:blipFill>
                  <pic:spPr bwMode="auto">
                    <a:xfrm>
                      <a:off x="0" y="0"/>
                      <a:ext cx="6108700" cy="3308879"/>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3"/>
    <w:bookmarkStart w:id="54"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4"/>
    <w:bookmarkStart w:id="55"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5"/>
    <w:bookmarkStart w:id="59"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7" name="Picture"/>
            <a:graphic>
              <a:graphicData uri="http://schemas.openxmlformats.org/drawingml/2006/picture">
                <pic:pic>
                  <pic:nvPicPr>
                    <pic:cNvPr descr="../assets/ddp_operation.png" id="58" name="Picture"/>
                    <pic:cNvPicPr>
                      <a:picLocks noChangeArrowheads="1" noChangeAspect="1"/>
                    </pic:cNvPicPr>
                  </pic:nvPicPr>
                  <pic:blipFill>
                    <a:blip r:embed="rId5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59"/>
    <w:bookmarkStart w:id="60"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0"/>
    <w:bookmarkStart w:id="61"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1"/>
    <w:bookmarkStart w:id="62"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2"/>
    <w:bookmarkEnd w:id="63"/>
    <w:bookmarkStart w:id="73"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4"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4"/>
    <w:bookmarkStart w:id="68"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6" name="Picture"/>
            <a:graphic>
              <a:graphicData uri="http://schemas.openxmlformats.org/drawingml/2006/picture">
                <pic:pic>
                  <pic:nvPicPr>
                    <pic:cNvPr descr="../assets/temt6000_sig_i2c.png" id="67" name="Picture"/>
                    <pic:cNvPicPr>
                      <a:picLocks noChangeArrowheads="1" noChangeAspect="1"/>
                    </pic:cNvPicPr>
                  </pic:nvPicPr>
                  <pic:blipFill>
                    <a:blip r:embed="rId65"/>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8"/>
    <w:bookmarkStart w:id="69"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69"/>
    <w:bookmarkStart w:id="70"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0"/>
    <w:bookmarkStart w:id="71"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1"/>
    <w:bookmarkStart w:id="72"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2"/>
    <w:bookmarkEnd w:id="73"/>
    <w:bookmarkStart w:id="86"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4"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4"/>
    <w:bookmarkStart w:id="78"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6" name="Picture"/>
            <a:graphic>
              <a:graphicData uri="http://schemas.openxmlformats.org/drawingml/2006/picture">
                <pic:pic>
                  <pic:nvPicPr>
                    <pic:cNvPr descr="../assets/temt6000_library.png" id="77" name="Picture"/>
                    <pic:cNvPicPr>
                      <a:picLocks noChangeArrowheads="1" noChangeAspect="1"/>
                    </pic:cNvPicPr>
                  </pic:nvPicPr>
                  <pic:blipFill>
                    <a:blip r:embed="rId75"/>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8"/>
    <w:bookmarkStart w:id="82"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0" name="Picture"/>
            <a:graphic>
              <a:graphicData uri="http://schemas.openxmlformats.org/drawingml/2006/picture">
                <pic:pic>
                  <pic:nvPicPr>
                    <pic:cNvPr descr="../assets/devlab_atom.png" id="81" name="Picture"/>
                    <pic:cNvPicPr>
                      <a:picLocks noChangeArrowheads="1" noChangeAspect="1"/>
                    </pic:cNvPicPr>
                  </pic:nvPicPr>
                  <pic:blipFill>
                    <a:blip r:embed="rId79"/>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2"/>
    <w:bookmarkStart w:id="83"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3"/>
    <w:bookmarkStart w:id="84"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4"/>
    <w:bookmarkStart w:id="85"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5"/>
    <w:bookmarkEnd w:id="86"/>
    <w:bookmarkStart w:id="93"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0" w:name="board-dimensions"/>
    <w:p>
      <w:pPr>
        <w:pStyle w:val="Heading3"/>
      </w:pPr>
      <w:r>
        <w:rPr>
          <w:bCs/>
          <w:b/>
        </w:rPr>
        <w:t xml:space="preserve">6.1 Board Dimensions</w:t>
      </w:r>
    </w:p>
    <w:p>
      <w:pPr>
        <w:pStyle w:val="FirstParagraph"/>
      </w:pPr>
      <w:r>
        <w:drawing>
          <wp:inline>
            <wp:extent cx="6108700" cy="4073328"/>
            <wp:effectExtent b="0" l="0" r="0" t="0"/>
            <wp:docPr descr="" title="" id="88" name="Picture"/>
            <a:graphic>
              <a:graphicData uri="http://schemas.openxmlformats.org/drawingml/2006/picture">
                <pic:pic>
                  <pic:nvPicPr>
                    <pic:cNvPr descr="../../../hardware/resources/unit_dimensions_v_3_1_0_ue0098_temt6000_ambient_light_sensor.png" id="89" name="Picture"/>
                    <pic:cNvPicPr>
                      <a:picLocks noChangeArrowheads="1" noChangeAspect="1"/>
                    </pic:cNvPicPr>
                  </pic:nvPicPr>
                  <pic:blipFill>
                    <a:blip r:embed="rId87"/>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0"/>
    <w:bookmarkStart w:id="91"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1"/>
    <w:bookmarkStart w:id="92"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2"/>
    <w:bookmarkEnd w:id="93"/>
    <w:bookmarkStart w:id="95"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4">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5"/>
    <w:bookmarkStart w:id="111"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6">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7">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8">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99">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0">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1">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2">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3">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4">
              <w:r>
                <w:rPr>
                  <w:rStyle w:val="Hyperlink"/>
                </w:rPr>
                <w:t xml:space="preserve">V2.0.0</w:t>
              </w:r>
            </w:hyperlink>
          </w:p>
        </w:tc>
      </w:tr>
      <w:tr>
        <w:tc>
          <w:tcPr/>
          <w:p>
            <w:pPr>
              <w:pStyle w:val="Compact"/>
              <w:jc w:val="left"/>
            </w:pPr>
            <w:r>
              <w:t xml:space="preserve">Software examples</w:t>
            </w:r>
          </w:p>
        </w:tc>
        <w:tc>
          <w:tcPr/>
          <w:p>
            <w:pPr>
              <w:pStyle w:val="Compact"/>
              <w:jc w:val="left"/>
            </w:pPr>
            <w:hyperlink r:id="rId105">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6">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7">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8">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09">
              <w:r>
                <w:rPr>
                  <w:rStyle w:val="Hyperlink"/>
                </w:rPr>
                <w:t xml:space="preserve">Vishay TEMT6000X01 — reference only</w:t>
              </w:r>
            </w:hyperlink>
          </w:p>
        </w:tc>
      </w:tr>
      <w:tr>
        <w:tc>
          <w:tcPr/>
          <w:p>
            <w:pPr>
              <w:pStyle w:val="Compact"/>
              <w:jc w:val="left"/>
            </w:pPr>
            <w:r>
              <w:t xml:space="preserve">Source of component values in Sections 2.4 and 2.5</w:t>
            </w:r>
          </w:p>
        </w:tc>
        <w:tc>
          <w:tcPr/>
          <w:p>
            <w:pPr>
              <w:pStyle w:val="Compact"/>
              <w:jc w:val="left"/>
            </w:pPr>
            <w:hyperlink r:id="rId110">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1"/>
    <w:bookmarkStart w:id="118" w:name="appendix"/>
    <w:p>
      <w:pPr>
        <w:pStyle w:val="Heading2"/>
      </w:pPr>
      <w:r>
        <w:rPr>
          <w:bCs/>
          <w:b/>
        </w:rPr>
        <w:t xml:space="preserve">9 Appendix</w:t>
      </w:r>
    </w:p>
    <w:bookmarkStart w:id="115"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3" name="Picture"/>
            <a:graphic>
              <a:graphicData uri="http://schemas.openxmlformats.org/drawingml/2006/picture">
                <pic:pic>
                  <pic:nvPicPr>
                    <pic:cNvPr descr="../../../hardware/resources/unit_schematic_v_2_0_0_ue0098_temt6000.png" id="114" name="Picture"/>
                    <pic:cNvPicPr>
                      <a:picLocks noChangeArrowheads="1" noChangeAspect="1"/>
                    </pic:cNvPicPr>
                  </pic:nvPicPr>
                  <pic:blipFill>
                    <a:blip r:embed="rId112"/>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5"/>
    <w:bookmarkStart w:id="116"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6"/>
    <w:bookmarkStart w:id="117"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7"/>
    <w:bookmarkEnd w:id="118"/>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7" Target="media/rId87.png" /><Relationship Type="http://schemas.openxmlformats.org/officeDocument/2006/relationships/image" Id="rId112" Target="media/rId112.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56" Target="media/rId56.png" /><Relationship Type="http://schemas.openxmlformats.org/officeDocument/2006/relationships/image" Id="rId79" Target="media/rId79.png" /><Relationship Type="http://schemas.openxmlformats.org/officeDocument/2006/relationships/image" Id="rId50" Target="media/rId50.png" /><Relationship Type="http://schemas.openxmlformats.org/officeDocument/2006/relationships/image" Id="rId75" Target="media/rId75.png" /><Relationship Type="http://schemas.openxmlformats.org/officeDocument/2006/relationships/image" Id="rId65" Target="media/rId65.png" /><Relationship Type="http://schemas.openxmlformats.org/officeDocument/2006/relationships/hyperlink" Id="rId108" Target="https://github.com/UNIT-Electronics-Labs/unit_devlab_ddp_library" TargetMode="External" /><Relationship Type="http://schemas.openxmlformats.org/officeDocument/2006/relationships/hyperlink" Id="rId104" Target="https://github.com/UNIT-Electronics-MX/unit_devlab_temt6000_ambient_light_sensor/blob/main/hardware/unit_sch_v_2_0_0_ue0098_temt6000.pdf" TargetMode="External" /><Relationship Type="http://schemas.openxmlformats.org/officeDocument/2006/relationships/hyperlink" Id="rId106" Target="https://github.com/UNIT-Electronics-MX/unit_devlab_temt6000_library" TargetMode="External" /><Relationship Type="http://schemas.openxmlformats.org/officeDocument/2006/relationships/hyperlink" Id="rId98" Target="https://github.com/UNIT-Electronics-MX/unit_devlab_temt600_ambient_light_sensor" TargetMode="External" /><Relationship Type="http://schemas.openxmlformats.org/officeDocument/2006/relationships/hyperlink" Id="rId99" Target="https://github.com/UNIT-Electronics-MX/unit_devlab_temt600_ambient_light_sensor/blob/main/hardware/README.md" TargetMode="External" /><Relationship Type="http://schemas.openxmlformats.org/officeDocument/2006/relationships/hyperlink" Id="rId103" Target="https://github.com/UNIT-Electronics-MX/unit_devlab_temt600_ambient_light_sensor/blob/main/hardware/resources/unit_btm_v_0_3_1_ue0098_temt6000.png" TargetMode="External" /><Relationship Type="http://schemas.openxmlformats.org/officeDocument/2006/relationships/hyperlink" Id="rId97" Target="https://github.com/UNIT-Electronics-MX/unit_devlab_temt600_ambient_light_sensor/blob/main/hardware/resources/unit_dimensions_v_3_1_0_ue0098_temt6000_ambient_light_sensor.png" TargetMode="External" /><Relationship Type="http://schemas.openxmlformats.org/officeDocument/2006/relationships/hyperlink" Id="rId102" Target="https://github.com/UNIT-Electronics-MX/unit_devlab_temt600_ambient_light_sensor/blob/main/hardware/resources/unit_top_v_0_3_1_ue0098_temt6000.png" TargetMode="External" /><Relationship Type="http://schemas.openxmlformats.org/officeDocument/2006/relationships/hyperlink" Id="rId96" Target="https://github.com/UNIT-Electronics-MX/unit_devlab_temt600_ambient_light_sensor/blob/main/hardware/resources/unit_topology_v_3_1_0_ue0098_temt6000_ambient_light_sensor.png" TargetMode="External" /><Relationship Type="http://schemas.openxmlformats.org/officeDocument/2006/relationships/hyperlink" Id="rId100" Target="https://github.com/UNIT-Electronics-MX/unit_devlab_temt600_ambient_light_sensor/blob/main/hardware/unit_pinout_v_3_1_0_ue0098_temt6000_ambient_light_sensor_en.pdf" TargetMode="External" /><Relationship Type="http://schemas.openxmlformats.org/officeDocument/2006/relationships/hyperlink" Id="rId101" Target="https://github.com/UNIT-Electronics-MX/unit_devlab_temt600_ambient_light_sensor/blob/main/hardware/unit_pinout_v_3_1_0_ue0098_temt6000_ambient_light_sensor_es.pdf" TargetMode="External" /><Relationship Type="http://schemas.openxmlformats.org/officeDocument/2006/relationships/hyperlink" Id="rId107" Target="https://github.com/UNIT-Electronics-MX/unit_devlab_temt600_ambient_light_sensor/blob/main/software/protocol/README.md" TargetMode="External" /><Relationship Type="http://schemas.openxmlformats.org/officeDocument/2006/relationships/hyperlink" Id="rId105" Target="https://github.com/UNIT-Electronics-MX/unit_devlab_temt600_ambient_light_sensor/tree/main/software/examples" TargetMode="External" /><Relationship Type="http://schemas.openxmlformats.org/officeDocument/2006/relationships/hyperlink" Id="rId94" Target="https://uelectronics.com/" TargetMode="External" /><Relationship Type="http://schemas.openxmlformats.org/officeDocument/2006/relationships/hyperlink" Id="rId110" Target="https://www.vishay.com/docs/81579/temt6000.pdf" TargetMode="External" /><Relationship Type="http://schemas.openxmlformats.org/officeDocument/2006/relationships/hyperlink" Id="rId109"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8" Target="https://github.com/UNIT-Electronics-Labs/unit_devlab_ddp_library" TargetMode="External" /><Relationship Type="http://schemas.openxmlformats.org/officeDocument/2006/relationships/hyperlink" Id="rId104" Target="https://github.com/UNIT-Electronics-MX/unit_devlab_temt6000_ambient_light_sensor/blob/main/hardware/unit_sch_v_2_0_0_ue0098_temt6000.pdf" TargetMode="External" /><Relationship Type="http://schemas.openxmlformats.org/officeDocument/2006/relationships/hyperlink" Id="rId106" Target="https://github.com/UNIT-Electronics-MX/unit_devlab_temt6000_library" TargetMode="External" /><Relationship Type="http://schemas.openxmlformats.org/officeDocument/2006/relationships/hyperlink" Id="rId98" Target="https://github.com/UNIT-Electronics-MX/unit_devlab_temt600_ambient_light_sensor" TargetMode="External" /><Relationship Type="http://schemas.openxmlformats.org/officeDocument/2006/relationships/hyperlink" Id="rId99" Target="https://github.com/UNIT-Electronics-MX/unit_devlab_temt600_ambient_light_sensor/blob/main/hardware/README.md" TargetMode="External" /><Relationship Type="http://schemas.openxmlformats.org/officeDocument/2006/relationships/hyperlink" Id="rId103" Target="https://github.com/UNIT-Electronics-MX/unit_devlab_temt600_ambient_light_sensor/blob/main/hardware/resources/unit_btm_v_0_3_1_ue0098_temt6000.png" TargetMode="External" /><Relationship Type="http://schemas.openxmlformats.org/officeDocument/2006/relationships/hyperlink" Id="rId97" Target="https://github.com/UNIT-Electronics-MX/unit_devlab_temt600_ambient_light_sensor/blob/main/hardware/resources/unit_dimensions_v_3_1_0_ue0098_temt6000_ambient_light_sensor.png" TargetMode="External" /><Relationship Type="http://schemas.openxmlformats.org/officeDocument/2006/relationships/hyperlink" Id="rId102" Target="https://github.com/UNIT-Electronics-MX/unit_devlab_temt600_ambient_light_sensor/blob/main/hardware/resources/unit_top_v_0_3_1_ue0098_temt6000.png" TargetMode="External" /><Relationship Type="http://schemas.openxmlformats.org/officeDocument/2006/relationships/hyperlink" Id="rId96" Target="https://github.com/UNIT-Electronics-MX/unit_devlab_temt600_ambient_light_sensor/blob/main/hardware/resources/unit_topology_v_3_1_0_ue0098_temt6000_ambient_light_sensor.png" TargetMode="External" /><Relationship Type="http://schemas.openxmlformats.org/officeDocument/2006/relationships/hyperlink" Id="rId100" Target="https://github.com/UNIT-Electronics-MX/unit_devlab_temt600_ambient_light_sensor/blob/main/hardware/unit_pinout_v_3_1_0_ue0098_temt6000_ambient_light_sensor_en.pdf" TargetMode="External" /><Relationship Type="http://schemas.openxmlformats.org/officeDocument/2006/relationships/hyperlink" Id="rId101" Target="https://github.com/UNIT-Electronics-MX/unit_devlab_temt600_ambient_light_sensor/blob/main/hardware/unit_pinout_v_3_1_0_ue0098_temt6000_ambient_light_sensor_es.pdf" TargetMode="External" /><Relationship Type="http://schemas.openxmlformats.org/officeDocument/2006/relationships/hyperlink" Id="rId107" Target="https://github.com/UNIT-Electronics-MX/unit_devlab_temt600_ambient_light_sensor/blob/main/software/protocol/README.md" TargetMode="External" /><Relationship Type="http://schemas.openxmlformats.org/officeDocument/2006/relationships/hyperlink" Id="rId105" Target="https://github.com/UNIT-Electronics-MX/unit_devlab_temt600_ambient_light_sensor/tree/main/software/examples" TargetMode="External" /><Relationship Type="http://schemas.openxmlformats.org/officeDocument/2006/relationships/hyperlink" Id="rId94" Target="https://uelectronics.com/" TargetMode="External" /><Relationship Type="http://schemas.openxmlformats.org/officeDocument/2006/relationships/hyperlink" Id="rId110" Target="https://www.vishay.com/docs/81579/temt6000.pdf" TargetMode="External" /><Relationship Type="http://schemas.openxmlformats.org/officeDocument/2006/relationships/hyperlink" Id="rId109"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2026-09-09T17:34:56Z</dcterms:created>
  <dcterms:modified xsi:type="dcterms:W3CDTF">2026-09-09T17:34:56Z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