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88.png" ContentType="image/png"/>
  <Override PartName="/word/media/rId113.png" ContentType="image/png"/>
  <Override PartName="/word/media/rId33.png" ContentType="image/png"/>
  <Override PartName="/word/media/rId29.png" ContentType="image/png"/>
  <Override PartName="/word/media/rId51.png" ContentType="image/png"/>
  <Override PartName="/word/media/rId57.png" ContentType="image/png"/>
  <Override PartName="/word/media/rId80.png" ContentType="image/png"/>
  <Override PartName="/word/media/rId7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Recommended Test Equipment</w:t>
      </w:r>
    </w:p>
    <w:p>
      <w:pPr>
        <w:numPr>
          <w:ilvl w:val="1"/>
          <w:numId w:val="1003"/>
        </w:numPr>
        <w:pStyle w:val="Compact"/>
      </w:pPr>
      <w:r>
        <w:t xml:space="preserve">1.3 Board Identification</w:t>
      </w:r>
    </w:p>
    <w:p>
      <w:pPr>
        <w:numPr>
          <w:ilvl w:val="1"/>
          <w:numId w:val="1003"/>
        </w:numPr>
        <w:pStyle w:val="Compact"/>
      </w:pPr>
      <w:r>
        <w:t xml:space="preserve">1.4 Board Components and Features</w:t>
      </w:r>
    </w:p>
    <w:p>
      <w:pPr>
        <w:numPr>
          <w:ilvl w:val="1"/>
          <w:numId w:val="1003"/>
        </w:numPr>
        <w:pStyle w:val="Compact"/>
      </w:pPr>
      <w:r>
        <w:t xml:space="preserve">1.5 Board Layout and Reference Designators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Onboard Interface Controller</w:t>
      </w:r>
    </w:p>
    <w:p>
      <w:pPr>
        <w:numPr>
          <w:ilvl w:val="1"/>
          <w:numId w:val="1004"/>
        </w:numPr>
        <w:pStyle w:val="Compact"/>
      </w:pPr>
      <w:r>
        <w:t xml:space="preserve">2.4 TEMT6000 Maximum Ratings</w:t>
      </w:r>
    </w:p>
    <w:p>
      <w:pPr>
        <w:numPr>
          <w:ilvl w:val="1"/>
          <w:numId w:val="1004"/>
        </w:numPr>
        <w:pStyle w:val="Compact"/>
      </w:pPr>
      <w:r>
        <w:t xml:space="preserve">2.5 TEMT6000 Characteristics {.section-page}</w:t>
      </w:r>
    </w:p>
    <w:p>
      <w:pPr>
        <w:numPr>
          <w:ilvl w:val="1"/>
          <w:numId w:val="1004"/>
        </w:numPr>
        <w:pStyle w:val="Compact"/>
      </w:pPr>
      <w:r>
        <w:t xml:space="preserve">2.6 Analog Signal Path</w:t>
      </w:r>
    </w:p>
    <w:p>
      <w:pPr>
        <w:numPr>
          <w:ilvl w:val="1"/>
          <w:numId w:val="1004"/>
        </w:numPr>
        <w:pStyle w:val="Compact"/>
      </w:pPr>
      <w:r>
        <w:t xml:space="preserve">2.7 Module-Level Characteristics Not Yet Specified</w:t>
      </w:r>
    </w:p>
    <w:p>
      <w:pPr>
        <w:numPr>
          <w:ilvl w:val="1"/>
          <w:numId w:val="1004"/>
        </w:numPr>
        <w:pStyle w:val="Compact"/>
      </w:pPr>
      <w:r>
        <w:t xml:space="preserve">2.8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Required Technical Releases</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1"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The module is supplied with a Qwiic-compatible cable for connection to the I2C interface.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connector orientation, and contact order against the populated connector</w:t>
            </w:r>
          </w:p>
        </w:tc>
      </w:tr>
    </w:tbl>
    <w:bookmarkEnd w:id="25"/>
    <w:bookmarkStart w:id="26" w:name="recommended-test-equipment"/>
    <w:p>
      <w:pPr>
        <w:pStyle w:val="Heading3"/>
      </w:pPr>
      <w:r>
        <w:rPr>
          <w:bCs/>
          <w:b/>
        </w:rPr>
        <w:t xml:space="preserve">1.2 Recommended Test Equipment</w:t>
      </w:r>
    </w:p>
    <w:p>
      <w:pPr>
        <w:pStyle w:val="FirstParagraph"/>
      </w:pPr>
      <w:r>
        <w:t xml:space="preserve">The following equipment may be used for integration, testing, and validation. These items are not included with the module.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Equipment</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an I2C clock from 100 kHz through 400 kHz</w:t>
            </w:r>
          </w:p>
        </w:tc>
      </w:tr>
      <w:tr>
        <w:tc>
          <w:tcPr/>
          <w:p>
            <w:pPr>
              <w:pStyle w:val="Compact"/>
              <w:jc w:val="left"/>
            </w:pPr>
            <w:r>
              <w:t xml:space="preserve">Analog test lead or carrier</w:t>
            </w:r>
          </w:p>
        </w:tc>
        <w:tc>
          <w:tcPr/>
          <w:p>
            <w:pPr>
              <w:pStyle w:val="Compact"/>
              <w:jc w:val="left"/>
            </w:pPr>
            <w:r>
              <w:t xml:space="preserve">Provides access to</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communication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 and validation</w:t>
            </w:r>
          </w:p>
        </w:tc>
        <w:tc>
          <w:tcPr/>
          <w:p>
            <w:pPr>
              <w:pStyle w:val="Compact"/>
              <w:jc w:val="left"/>
            </w:pPr>
            <w:r>
              <w:t xml:space="preserve">Required for quantitative illuminance validation</w:t>
            </w:r>
          </w:p>
        </w:tc>
      </w:tr>
    </w:tbl>
    <w:bookmarkEnd w:id="26"/>
    <w:bookmarkStart w:id="27" w:name="board-identification"/>
    <w:p>
      <w:pPr>
        <w:pStyle w:val="Heading3"/>
      </w:pPr>
      <w:r>
        <w:rPr>
          <w:bCs/>
          <w:b/>
        </w:rPr>
        <w:t xml:space="preserve">1.3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7"/>
    <w:bookmarkStart w:id="28" w:name="board-components-and-features"/>
    <w:p>
      <w:pPr>
        <w:pStyle w:val="Heading3"/>
      </w:pPr>
      <w:r>
        <w:rPr>
          <w:bCs/>
          <w:b/>
        </w:rPr>
        <w:t xml:space="preserve">1.4 Board Components and Features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 / Feature</w:t>
            </w:r>
          </w:p>
        </w:tc>
        <w:tc>
          <w:tcPr/>
          <w:p>
            <w:pPr>
              <w:pStyle w:val="Compact"/>
              <w:jc w:val="left"/>
            </w:pPr>
            <w:r>
              <w:t xml:space="preserve">Function</w:t>
            </w:r>
          </w:p>
        </w:tc>
        <w:tc>
          <w:tcPr/>
          <w:p>
            <w:pPr>
              <w:pStyle w:val="Compact"/>
              <w:jc w:val="left"/>
            </w:pPr>
            <w:r>
              <w:t xml:space="preserve">Implementation / Notes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Primary ambient-light sensing element</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with 16 KB Flash and 2 KB SRAM</w:t>
            </w:r>
          </w:p>
        </w:tc>
      </w:tr>
      <w:tr>
        <w:tc>
          <w:tcPr/>
          <w:p>
            <w:pPr>
              <w:pStyle w:val="Compact"/>
              <w:jc w:val="left"/>
            </w:pPr>
            <w:r>
              <w:t xml:space="preserve">I2C connections</w:t>
            </w:r>
          </w:p>
        </w:tc>
        <w:tc>
          <w:tcPr/>
          <w:p>
            <w:pPr>
              <w:pStyle w:val="Compact"/>
              <w:jc w:val="left"/>
            </w:pPr>
            <w:r>
              <w:t xml:space="preserve">Provide module power and I2C bus access</w:t>
            </w:r>
          </w:p>
        </w:tc>
        <w:tc>
          <w:tcPr/>
          <w:p>
            <w:pPr>
              <w:pStyle w:val="Compact"/>
              <w:jc w:val="left"/>
            </w:pPr>
            <w:r>
              <w:rPr>
                <w:rStyle w:val="VerbatimChar"/>
              </w:rPr>
              <w:t xml:space="preserve">J1</w:t>
            </w:r>
            <w:r>
              <w:t xml:space="preserve"> </w:t>
            </w:r>
            <w:r>
              <w:t xml:space="preserve">is populated by default;</w:t>
            </w:r>
            <w:r>
              <w:t xml:space="preserve"> </w:t>
            </w:r>
            <w:r>
              <w:rPr>
                <w:rStyle w:val="VerbatimChar"/>
              </w:rPr>
              <w:t xml:space="preserve">J3</w:t>
            </w:r>
            <w:r>
              <w:t xml:space="preserve"> </w:t>
            </w:r>
            <w:r>
              <w:t xml:space="preserve">and</w:t>
            </w:r>
            <w:r>
              <w:t xml:space="preserve"> </w:t>
            </w:r>
            <w:r>
              <w:rPr>
                <w:rStyle w:val="VerbatimChar"/>
              </w:rPr>
              <w:t xml:space="preserve">J4</w:t>
            </w:r>
            <w:r>
              <w:t xml:space="preserve"> </w:t>
            </w:r>
            <w:r>
              <w:t xml:space="preserve">support optional horizontal 4-pin, 1.00 mm-pitch JST/Qwiic-compatible connectors</w:t>
            </w:r>
          </w:p>
        </w:tc>
      </w:tr>
      <w:tr>
        <w:tc>
          <w:tcPr/>
          <w:p>
            <w:pPr>
              <w:pStyle w:val="Compact"/>
              <w:jc w:val="left"/>
            </w:pPr>
            <w:r>
              <w:t xml:space="preserve">Direct contacts</w:t>
            </w:r>
          </w:p>
        </w:tc>
        <w:tc>
          <w:tcPr/>
          <w:p>
            <w:pPr>
              <w:pStyle w:val="Compact"/>
              <w:jc w:val="left"/>
            </w:pPr>
            <w:r>
              <w:t xml:space="preserve">Provide direct access to</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p>
        </w:tc>
        <w:tc>
          <w:tcPr/>
          <w:p>
            <w:pPr>
              <w:pStyle w:val="Compact"/>
              <w:jc w:val="left"/>
            </w:pPr>
            <w:r>
              <w:t xml:space="preserve">Intended for analog signal access and external ADC measurement</w:t>
            </w:r>
          </w:p>
        </w:tc>
      </w:tr>
      <w:tr>
        <w:tc>
          <w:tcPr/>
          <w:p>
            <w:pPr>
              <w:pStyle w:val="Compact"/>
              <w:jc w:val="left"/>
            </w:pPr>
            <w:r>
              <w:t xml:space="preserve">I2C disable bridge</w:t>
            </w:r>
          </w:p>
        </w:tc>
        <w:tc>
          <w:tcPr/>
          <w:p>
            <w:pPr>
              <w:pStyle w:val="Compact"/>
              <w:jc w:val="left"/>
            </w:pPr>
            <w:r>
              <w:t xml:space="preserve">Allows the I2C interface to be disabled</w:t>
            </w:r>
          </w:p>
        </w:tc>
        <w:tc>
          <w:tcPr/>
          <w:p>
            <w:pPr>
              <w:pStyle w:val="Compact"/>
              <w:jc w:val="left"/>
            </w:pPr>
            <w:r>
              <w:t xml:space="preserve">Cut</w:t>
            </w:r>
            <w:r>
              <w:t xml:space="preserve"> </w:t>
            </w:r>
            <w:r>
              <w:rPr>
                <w:rStyle w:val="VerbatimChar"/>
              </w:rPr>
              <w:t xml:space="preserve">JP1</w:t>
            </w:r>
            <w:r>
              <w:t xml:space="preserve"> </w:t>
            </w:r>
            <w:r>
              <w:t xml:space="preserve">to disable I2C operation</w:t>
            </w:r>
          </w:p>
        </w:tc>
      </w:tr>
      <w:tr>
        <w:tc>
          <w:tcPr/>
          <w:p>
            <w:pPr>
              <w:pStyle w:val="Compact"/>
              <w:jc w:val="left"/>
            </w:pPr>
            <w:r>
              <w:t xml:space="preserve">Power indicator</w:t>
            </w:r>
          </w:p>
        </w:tc>
        <w:tc>
          <w:tcPr/>
          <w:p>
            <w:pPr>
              <w:pStyle w:val="Compact"/>
              <w:jc w:val="left"/>
            </w:pPr>
            <w:r>
              <w:t xml:space="preserve">Indicates that the board is powered</w:t>
            </w:r>
          </w:p>
        </w:tc>
        <w:tc>
          <w:tcPr/>
          <w:p>
            <w:pPr>
              <w:pStyle w:val="Compact"/>
              <w:jc w:val="left"/>
            </w:pPr>
            <w:r>
              <w:t xml:space="preserve">Onboard</w:t>
            </w:r>
            <w:r>
              <w:t xml:space="preserve"> </w:t>
            </w:r>
            <w:r>
              <w:rPr>
                <w:rStyle w:val="VerbatimChar"/>
              </w:rPr>
              <w:t xml:space="preserve">PWR</w:t>
            </w:r>
            <w:r>
              <w:t xml:space="preserve"> </w:t>
            </w:r>
            <w:r>
              <w:t xml:space="preserve">indicator</w:t>
            </w:r>
          </w:p>
        </w:tc>
      </w:tr>
      <w:tr>
        <w:tc>
          <w:tcPr/>
          <w:p>
            <w:pPr>
              <w:pStyle w:val="Compact"/>
              <w:jc w:val="left"/>
            </w:pPr>
            <w:r>
              <w:t xml:space="preserve">Built-in status indicator</w:t>
            </w:r>
          </w:p>
        </w:tc>
        <w:tc>
          <w:tcPr/>
          <w:p>
            <w:pPr>
              <w:pStyle w:val="Compact"/>
              <w:jc w:val="left"/>
            </w:pPr>
            <w:r>
              <w:t xml:space="preserve">Provides firmware-controlled status indication</w:t>
            </w:r>
          </w:p>
        </w:tc>
        <w:tc>
          <w:tcPr/>
          <w:p>
            <w:pPr>
              <w:pStyle w:val="Compact"/>
              <w:jc w:val="left"/>
            </w:pPr>
            <w:r>
              <w:t xml:space="preserve">Onboard</w:t>
            </w:r>
            <w:r>
              <w:t xml:space="preserve"> </w:t>
            </w:r>
            <w:r>
              <w:rPr>
                <w:rStyle w:val="VerbatimChar"/>
              </w:rPr>
              <w:t xml:space="preserve">USR_LED</w:t>
            </w:r>
            <w:r>
              <w:t xml:space="preserve"> </w:t>
            </w:r>
            <w:r>
              <w:t xml:space="preserve">indicator</w:t>
            </w:r>
          </w:p>
        </w:tc>
      </w:tr>
      <w:tr>
        <w:tc>
          <w:tcPr/>
          <w:p>
            <w:pPr>
              <w:pStyle w:val="Compact"/>
              <w:jc w:val="left"/>
            </w:pPr>
            <w:r>
              <w:t xml:space="preserve">Reserved expansion pads</w:t>
            </w:r>
          </w:p>
        </w:tc>
        <w:tc>
          <w:tcPr/>
          <w:p>
            <w:pPr>
              <w:pStyle w:val="Compact"/>
              <w:jc w:val="left"/>
            </w:pPr>
            <w:r>
              <w:t xml:space="preserve">Provide connections reserved for future expansion</w:t>
            </w:r>
          </w:p>
        </w:tc>
        <w:tc>
          <w:tcPr/>
          <w:p>
            <w:pPr>
              <w:pStyle w:val="Compact"/>
              <w:jc w:val="left"/>
            </w:pPr>
            <w:r>
              <w:t xml:space="preserve">No user function is currently assigned</w:t>
            </w:r>
          </w:p>
        </w:tc>
      </w:tr>
      <w:tr>
        <w:tc>
          <w:tcPr/>
          <w:p>
            <w:pPr>
              <w:pStyle w:val="Compact"/>
              <w:jc w:val="left"/>
            </w:pPr>
            <w:r>
              <w:t xml:space="preserve">Factory service functions</w:t>
            </w:r>
          </w:p>
        </w:tc>
        <w:tc>
          <w:tcPr/>
          <w:p>
            <w:pPr>
              <w:pStyle w:val="Compact"/>
              <w:jc w:val="left"/>
            </w:pPr>
            <w:r>
              <w:t xml:space="preserve">Support controller programming, debugging, and reset</w:t>
            </w:r>
          </w:p>
        </w:tc>
        <w:tc>
          <w:tcPr/>
          <w:p>
            <w:pPr>
              <w:pStyle w:val="Compact"/>
              <w:jc w:val="left"/>
            </w:pPr>
            <w:r>
              <w:t xml:space="preserve">Reserved for manufacturer use; programming signals share the I2C interface</w:t>
            </w:r>
          </w:p>
        </w:tc>
      </w:tr>
    </w:tbl>
    <w:bookmarkEnd w:id="28"/>
    <w:bookmarkStart w:id="32" w:name="board-layout-and-reference-designators"/>
    <w:p>
      <w:pPr>
        <w:pStyle w:val="Heading3"/>
      </w:pPr>
      <w:r>
        <w:rPr>
          <w:bCs/>
          <w:b/>
        </w:rPr>
        <w:t xml:space="preserve">1.5 Board Layout and Reference Designators</w:t>
      </w:r>
    </w:p>
    <w:p>
      <w:pPr>
        <w:pStyle w:val="FirstParagraph"/>
      </w:pPr>
      <w:r>
        <w:drawing>
          <wp:inline>
            <wp:extent cx="6108700" cy="4073328"/>
            <wp:effectExtent b="0" l="0" r="0" t="0"/>
            <wp:docPr descr="" title="" id="30" name="Picture"/>
            <a:graphic>
              <a:graphicData uri="http://schemas.openxmlformats.org/drawingml/2006/picture">
                <pic:pic>
                  <pic:nvPicPr>
                    <pic:cNvPr descr="../../../hardware/resources/unit_topology_v_3_1_0_ue0098_temt6000_ambient_light_sensor.png" id="31" name="Picture"/>
                    <pic:cNvPicPr>
                      <a:picLocks noChangeArrowheads="1" noChangeAspect="1"/>
                    </pic:cNvPicPr>
                  </pic:nvPicPr>
                  <pic:blipFill>
                    <a:blip r:embed="rId29"/>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Location of components and reference designators on the top and</w:t>
      </w:r>
      <w:r>
        <w:rPr>
          <w:bCs/>
          <w:b/>
        </w:rPr>
        <w:t xml:space="preserve"> </w:t>
      </w:r>
      <w:r>
        <w:rPr>
          <w:bCs/>
          <w:b/>
        </w:rPr>
        <w:t xml:space="preserve">bottom sides of the PCB.</w:t>
      </w:r>
    </w:p>
    <w:p>
      <w:pPr>
        <w:pStyle w:val="BodyText"/>
      </w:pPr>
      <w:r>
        <w:t xml:space="preserve">This drawing is a component-location reference. It helps locate parts named in</w:t>
      </w:r>
      <w:r>
        <w:t xml:space="preserve"> </w:t>
      </w:r>
      <w:r>
        <w:t xml:space="preserve">the schematic and in the table below; it does not define connector pin order</w:t>
      </w:r>
      <w:r>
        <w:t xml:space="preserve"> </w:t>
      </w:r>
      <w:r>
        <w:t xml:space="preserve">or indicate that every connector footprint is populated.</w:t>
      </w:r>
    </w:p>
    <w:p>
      <w:pPr>
        <w:pStyle w:val="BodyText"/>
      </w:pPr>
      <w:r>
        <w:t xml:space="preserve">The top side contains the TEMT6000 sensor (</w:t>
      </w:r>
      <w:r>
        <w:rPr>
          <w:rStyle w:val="VerbatimChar"/>
        </w:rPr>
        <w:t xml:space="preserve">Q1</w:t>
      </w:r>
      <w:r>
        <w:t xml:space="preserve">), interface controller (</w:t>
      </w:r>
      <w:r>
        <w:rPr>
          <w:rStyle w:val="VerbatimChar"/>
        </w:rPr>
        <w:t xml:space="preserve">IC1</w:t>
      </w:r>
      <w:r>
        <w:t xml:space="preserve">),</w:t>
      </w:r>
      <w:r>
        <w:t xml:space="preserve"> </w:t>
      </w: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 (</w:t>
      </w:r>
      <w:r>
        <w:rPr>
          <w:rStyle w:val="VerbatimChar"/>
        </w:rPr>
        <w:t xml:space="preserve">J2</w:t>
      </w:r>
      <w:r>
        <w:t xml:space="preserve">), and the I2C connector installed by</w:t>
      </w:r>
      <w:r>
        <w:t xml:space="preserve"> </w:t>
      </w:r>
      <w:r>
        <w:t xml:space="preserve">default (</w:t>
      </w:r>
      <w:r>
        <w:rPr>
          <w:rStyle w:val="VerbatimChar"/>
        </w:rPr>
        <w:t xml:space="preserve">J1</w:t>
      </w:r>
      <w:r>
        <w:t xml:space="preserve">). The bottom side provides two additional footprints,</w:t>
      </w:r>
      <w:r>
        <w:t xml:space="preserve"> </w:t>
      </w:r>
      <w:r>
        <w:rPr>
          <w:rStyle w:val="VerbatimChar"/>
        </w:rPr>
        <w:t xml:space="preserve">J3</w:t>
      </w:r>
      <w:r>
        <w:t xml:space="preserve"> </w:t>
      </w:r>
      <w:r>
        <w:t xml:space="preserve">and</w:t>
      </w:r>
      <w:r>
        <w:t xml:space="preserve"> </w:t>
      </w:r>
      <w:r>
        <w:rPr>
          <w:rStyle w:val="VerbatimChar"/>
        </w:rPr>
        <w:t xml:space="preserve">J4</w:t>
      </w:r>
      <w:r>
        <w:t xml:space="preserve">, for optional horizontal I2C connectors.</w:t>
      </w:r>
      <w:r>
        <w:t xml:space="preserve"> </w:t>
      </w:r>
      <w:r>
        <w:rPr>
          <w:rStyle w:val="VerbatimChar"/>
        </w:rPr>
        <w:t xml:space="preserve">J1</w:t>
      </w:r>
      <w:r>
        <w:t xml:space="preserve">,</w:t>
      </w:r>
      <w:r>
        <w:t xml:space="preserve"> </w:t>
      </w:r>
      <w:r>
        <w:rPr>
          <w:rStyle w:val="VerbatimChar"/>
        </w:rPr>
        <w:t xml:space="preserve">J3</w:t>
      </w:r>
      <w:r>
        <w:t xml:space="preserve">, and</w:t>
      </w:r>
      <w:r>
        <w:t xml:space="preserve"> </w:t>
      </w:r>
      <w:r>
        <w:rPr>
          <w:rStyle w:val="VerbatimChar"/>
        </w:rPr>
        <w:t xml:space="preserve">J4</w:t>
      </w:r>
      <w:r>
        <w:t xml:space="preserve"> </w:t>
      </w:r>
      <w:r>
        <w:t xml:space="preserve">carry the</w:t>
      </w:r>
      <w:r>
        <w:t xml:space="preserve"> </w:t>
      </w:r>
      <w:r>
        <w:t xml:space="preserve">same</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signals and provide access to the same I2C</w:t>
      </w:r>
      <w:r>
        <w:t xml:space="preserve"> </w:t>
      </w:r>
      <w:r>
        <w:t xml:space="preserve">bus.</w:t>
      </w:r>
    </w:p>
    <w:p>
      <w:pPr>
        <w:pStyle w:val="BodyText"/>
      </w:pPr>
      <w:r>
        <w:t xml:space="preserve">The drawing also locates the I2C-disable bridge (</w:t>
      </w:r>
      <w:r>
        <w:rPr>
          <w:rStyle w:val="VerbatimChar"/>
        </w:rPr>
        <w:t xml:space="preserve">JP1</w:t>
      </w:r>
      <w:r>
        <w:t xml:space="preserve">), the power and status</w:t>
      </w:r>
      <w:r>
        <w:t xml:space="preserve"> </w:t>
      </w:r>
      <w:r>
        <w:t xml:space="preserve">indicators, and factory test points. Refer to Chapter 4 for user connections</w:t>
      </w:r>
      <w:r>
        <w:t xml:space="preserve"> </w:t>
      </w:r>
      <w:r>
        <w:t xml:space="preserve">and to the released schematic for circuit-level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Q1</w:t>
            </w:r>
          </w:p>
        </w:tc>
        <w:tc>
          <w:tcPr/>
          <w:p>
            <w:pPr>
              <w:pStyle w:val="Compact"/>
              <w:jc w:val="left"/>
            </w:pPr>
            <w:r>
              <w:t xml:space="preserve">TEMT6000 ambient-light sensor</w:t>
            </w:r>
          </w:p>
        </w:tc>
      </w:tr>
      <w:tr>
        <w:tc>
          <w:tcPr/>
          <w:p>
            <w:pPr>
              <w:pStyle w:val="Compact"/>
              <w:jc w:val="left"/>
            </w:pPr>
            <w:r>
              <w:rPr>
                <w:rStyle w:val="VerbatimChar"/>
              </w:rPr>
              <w:t xml:space="preserve">IC1</w:t>
            </w:r>
          </w:p>
        </w:tc>
        <w:tc>
          <w:tcPr/>
          <w:p>
            <w:pPr>
              <w:pStyle w:val="Compact"/>
              <w:jc w:val="left"/>
            </w:pPr>
            <w:r>
              <w:t xml:space="preserve">Onboard interface controller</w:t>
            </w:r>
          </w:p>
        </w:tc>
      </w:tr>
      <w:tr>
        <w:tc>
          <w:tcPr/>
          <w:p>
            <w:pPr>
              <w:pStyle w:val="Compact"/>
              <w:jc w:val="left"/>
            </w:pPr>
            <w:r>
              <w:rPr>
                <w:rStyle w:val="VerbatimChar"/>
              </w:rPr>
              <w:t xml:space="preserve">J1</w:t>
            </w:r>
          </w:p>
        </w:tc>
        <w:tc>
          <w:tcPr/>
          <w:p>
            <w:pPr>
              <w:pStyle w:val="Compact"/>
              <w:jc w:val="left"/>
            </w:pPr>
            <w:r>
              <w:t xml:space="preserve">Factory-populated 4-pin, 1.00 mm-pitch I2C connector</w:t>
            </w:r>
          </w:p>
        </w:tc>
      </w:tr>
      <w:tr>
        <w:tc>
          <w:tcPr/>
          <w:p>
            <w:pPr>
              <w:pStyle w:val="Compact"/>
              <w:jc w:val="left"/>
            </w:pPr>
            <w:r>
              <w:rPr>
                <w:rStyle w:val="VerbatimChar"/>
              </w:rPr>
              <w:t xml:space="preserve">J3</w:t>
            </w:r>
            <w:r>
              <w:t xml:space="preserve">,</w:t>
            </w:r>
            <w:r>
              <w:t xml:space="preserve"> </w:t>
            </w:r>
            <w:r>
              <w:rPr>
                <w:rStyle w:val="VerbatimChar"/>
              </w:rPr>
              <w:t xml:space="preserve">J4</w:t>
            </w:r>
          </w:p>
        </w:tc>
        <w:tc>
          <w:tcPr/>
          <w:p>
            <w:pPr>
              <w:pStyle w:val="Compact"/>
              <w:jc w:val="left"/>
            </w:pPr>
            <w:r>
              <w:t xml:space="preserve">Two optional horizontal 4-pin, 1.00 mm-pitch I2C connector positions</w:t>
            </w:r>
          </w:p>
        </w:tc>
      </w:tr>
      <w:tr>
        <w:tc>
          <w:tcPr/>
          <w:p>
            <w:pPr>
              <w:pStyle w:val="Compact"/>
              <w:jc w:val="left"/>
            </w:pPr>
            <w:r>
              <w:rPr>
                <w:rStyle w:val="VerbatimChar"/>
              </w:rPr>
              <w:t xml:space="preserve">J2</w:t>
            </w:r>
          </w:p>
        </w:tc>
        <w:tc>
          <w:tcPr/>
          <w:p>
            <w:pPr>
              <w:pStyle w:val="Compact"/>
              <w:jc w:val="left"/>
            </w:pP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tc>
      </w:tr>
      <w:tr>
        <w:tc>
          <w:tcPr/>
          <w:p>
            <w:pPr>
              <w:pStyle w:val="Compact"/>
              <w:jc w:val="left"/>
            </w:pPr>
            <w:r>
              <w:rPr>
                <w:rStyle w:val="VerbatimChar"/>
              </w:rPr>
              <w:t xml:space="preserve">JP1</w:t>
            </w:r>
          </w:p>
        </w:tc>
        <w:tc>
          <w:tcPr/>
          <w:p>
            <w:pPr>
              <w:pStyle w:val="Compact"/>
              <w:jc w:val="left"/>
            </w:pPr>
            <w:r>
              <w:t xml:space="preserve">Cuttable bridge for disabling I2C operation</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TP1</w:t>
            </w:r>
            <w:r>
              <w:t xml:space="preserve">–</w:t>
            </w:r>
            <w:r>
              <w:rPr>
                <w:rStyle w:val="VerbatimChar"/>
              </w:rPr>
              <w:t xml:space="preserve">TP7</w:t>
            </w:r>
          </w:p>
        </w:tc>
        <w:tc>
          <w:tcPr/>
          <w:p>
            <w:pPr>
              <w:pStyle w:val="Compact"/>
              <w:jc w:val="left"/>
            </w:pPr>
            <w:r>
              <w:t xml:space="preserve">Factory test points</w:t>
            </w:r>
          </w:p>
        </w:tc>
      </w:tr>
    </w:tbl>
    <w:bookmarkEnd w:id="32"/>
    <w:bookmarkStart w:id="39" w:name="board-views"/>
    <w:p>
      <w:pPr>
        <w:pStyle w:val="Heading3"/>
      </w:pPr>
      <w:r>
        <w:rPr>
          <w:bCs/>
          <w:b/>
        </w:rPr>
        <w:t xml:space="preserve">1.5 Board Views</w:t>
      </w:r>
    </w:p>
    <w:p>
      <w:pPr>
        <w:pStyle w:val="FirstParagraph"/>
      </w:pPr>
      <w:r>
        <w:drawing>
          <wp:inline>
            <wp:extent cx="2148840" cy="1080507"/>
            <wp:effectExtent b="0" l="0" r="0" t="0"/>
            <wp:docPr descr="" title="" id="34" name="Picture"/>
            <a:graphic>
              <a:graphicData uri="http://schemas.openxmlformats.org/drawingml/2006/picture">
                <pic:pic>
                  <pic:nvPicPr>
                    <pic:cNvPr descr="../../../hardware/resources/unit_top_v_0_3_1_ue0098_temt6000.png" id="35" name="Picture"/>
                    <pic:cNvPicPr>
                      <a:picLocks noChangeArrowheads="1" noChangeAspect="1"/>
                    </pic:cNvPicPr>
                  </pic:nvPicPr>
                  <pic:blipFill>
                    <a:blip r:embed="rId33"/>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7" name="Picture"/>
            <a:graphic>
              <a:graphicData uri="http://schemas.openxmlformats.org/drawingml/2006/picture">
                <pic:pic>
                  <pic:nvPicPr>
                    <pic:cNvPr descr="../../../hardware/resources/unit_btm_v_0_3_1_ue0098_temt6000.png" id="38" name="Picture"/>
                    <pic:cNvPicPr>
                      <a:picLocks noChangeArrowheads="1" noChangeAspect="1"/>
                    </pic:cNvPicPr>
                  </pic:nvPicPr>
                  <pic:blipFill>
                    <a:blip r:embed="rId36"/>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9"/>
    <w:bookmarkStart w:id="40"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40"/>
    <w:bookmarkEnd w:id="41"/>
    <w:bookmarkStart w:id="50"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UNIT ATOM TEMT6000. It covers the</w:t>
      </w:r>
      <w:r>
        <w:t xml:space="preserve"> </w:t>
      </w:r>
      <w:r>
        <w:t xml:space="preserve">module supply, I2C operation, analog sensor path, controller capabilities, and</w:t>
      </w:r>
      <w:r>
        <w:t xml:space="preserve"> </w:t>
      </w:r>
      <w:r>
        <w:t xml:space="preserve">ambient-light sensor characteristics.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42"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42"/>
    <w:bookmarkStart w:id="43"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Pass</w:t>
            </w:r>
            <w:r>
              <w:t xml:space="preserve"> </w:t>
            </w:r>
            <w:r>
              <w:rPr>
                <w:rStyle w:val="VerbatimChar"/>
              </w:rPr>
              <w:t xml:space="preserve">0x20</w:t>
            </w:r>
            <w:r>
              <w:t xml:space="preserve"> </w:t>
            </w:r>
            <w:r>
              <w:t xml:space="preserve">directly to the host I2C library;</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43"/>
    <w:bookmarkStart w:id="44" w:name="onboard-interface-controller"/>
    <w:p>
      <w:pPr>
        <w:pStyle w:val="Heading3"/>
      </w:pPr>
      <w:r>
        <w:rPr>
          <w:bCs/>
          <w:b/>
        </w:rPr>
        <w:t xml:space="preserve">2.3 Onboard Interface Controller</w:t>
      </w:r>
    </w:p>
    <w:p>
      <w:pPr>
        <w:pStyle w:val="FirstParagraph"/>
      </w:pPr>
      <w:r>
        <w:t xml:space="preserve">The onboard controller acquires the analog output of the TEMT6000 and provides</w:t>
      </w:r>
      <w:r>
        <w:t xml:space="preserve"> </w:t>
      </w:r>
      <w:r>
        <w:t xml:space="preserve">the processed sensor data through the module’s I2C interface. The controller is</w:t>
      </w:r>
      <w:r>
        <w:t xml:space="preserve"> </w:t>
      </w:r>
      <w:r>
        <w:t xml:space="preserve">not exposed as a general-purpose microcontroller and is not intended for</w:t>
      </w:r>
      <w:r>
        <w:t xml:space="preserve"> </w:t>
      </w:r>
      <w:r>
        <w:t xml:space="preserve">user programming.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Module implementation</w:t>
            </w:r>
          </w:p>
        </w:tc>
      </w:tr>
      <w:tr>
        <w:tc>
          <w:tcPr/>
          <w:p>
            <w:pPr>
              <w:pStyle w:val="Compact"/>
              <w:jc w:val="left"/>
            </w:pPr>
            <w:r>
              <w:t xml:space="preserve">Internal controller</w:t>
            </w:r>
          </w:p>
        </w:tc>
        <w:tc>
          <w:tcPr/>
          <w:p>
            <w:pPr>
              <w:pStyle w:val="Compact"/>
              <w:jc w:val="left"/>
            </w:pPr>
            <w:r>
              <w:t xml:space="preserve">32-bit Arm Cortex-M0+</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User digital interface</w:t>
            </w:r>
          </w:p>
        </w:tc>
        <w:tc>
          <w:tcPr/>
          <w:p>
            <w:pPr>
              <w:pStyle w:val="Compact"/>
              <w:jc w:val="left"/>
            </w:pPr>
            <w:r>
              <w:t xml:space="preserve">I2C</w:t>
            </w:r>
          </w:p>
        </w:tc>
      </w:tr>
      <w:tr>
        <w:tc>
          <w:tcPr/>
          <w:p>
            <w:pPr>
              <w:pStyle w:val="Compact"/>
              <w:jc w:val="left"/>
            </w:pPr>
            <w:r>
              <w:t xml:space="preserve">I2C addressing</w:t>
            </w:r>
          </w:p>
        </w:tc>
        <w:tc>
          <w:tcPr/>
          <w:p>
            <w:pPr>
              <w:pStyle w:val="Compact"/>
              <w:jc w:val="left"/>
            </w:pPr>
            <w:r>
              <w:t xml:space="preserve">7-bit addressing</w:t>
            </w:r>
          </w:p>
        </w:tc>
      </w:tr>
      <w:tr>
        <w:tc>
          <w:tcPr/>
          <w:p>
            <w:pPr>
              <w:pStyle w:val="Compact"/>
              <w:jc w:val="left"/>
            </w:pPr>
            <w:r>
              <w:t xml:space="preserve">Supported I2C clock</w:t>
            </w:r>
          </w:p>
        </w:tc>
        <w:tc>
          <w:tcPr/>
          <w:p>
            <w:pPr>
              <w:pStyle w:val="Compact"/>
              <w:jc w:val="left"/>
            </w:pPr>
            <w:r>
              <w:t xml:space="preserve">100 kHz and 400 kHz</w:t>
            </w:r>
          </w:p>
        </w:tc>
      </w:tr>
      <w:tr>
        <w:tc>
          <w:tcPr/>
          <w:p>
            <w:pPr>
              <w:pStyle w:val="Compact"/>
              <w:jc w:val="left"/>
            </w:pPr>
            <w:r>
              <w:t xml:space="preserve">Direct sensor access</w:t>
            </w:r>
          </w:p>
        </w:tc>
        <w:tc>
          <w:tcPr/>
          <w:p>
            <w:pPr>
              <w:pStyle w:val="Compact"/>
              <w:jc w:val="left"/>
            </w:pPr>
            <w:r>
              <w:t xml:space="preserve">Analog</w:t>
            </w:r>
            <w:r>
              <w:t xml:space="preserve"> </w:t>
            </w:r>
            <w:r>
              <w:rPr>
                <w:rStyle w:val="VerbatimChar"/>
              </w:rPr>
              <w:t xml:space="preserve">SIG</w:t>
            </w:r>
            <w:r>
              <w:t xml:space="preserve"> </w:t>
            </w:r>
            <w:r>
              <w:t xml:space="preserve">contact</w:t>
            </w:r>
          </w:p>
        </w:tc>
      </w:tr>
      <w:tr>
        <w:tc>
          <w:tcPr/>
          <w:p>
            <w:pPr>
              <w:pStyle w:val="Compact"/>
              <w:jc w:val="left"/>
            </w:pPr>
            <w:r>
              <w:t xml:space="preserve">Programming and debugging</w:t>
            </w:r>
          </w:p>
        </w:tc>
        <w:tc>
          <w:tcPr/>
          <w:p>
            <w:pPr>
              <w:pStyle w:val="Compact"/>
              <w:jc w:val="left"/>
            </w:pPr>
            <w:r>
              <w:t xml:space="preserve">Reserved for factory use</w:t>
            </w:r>
          </w:p>
        </w:tc>
      </w:tr>
    </w:tbl>
    <w:bookmarkEnd w:id="44"/>
    <w:bookmarkStart w:id="45" w:name="temt6000-maximum-ratings"/>
    <w:p>
      <w:pPr>
        <w:pStyle w:val="Heading3"/>
      </w:pPr>
      <w:r>
        <w:rPr>
          <w:bCs/>
          <w:b/>
        </w:rPr>
        <w:t xml:space="preserve">2.4 TEMT6000 Maximum Ratings</w:t>
      </w:r>
    </w:p>
    <w:p>
      <w:pPr>
        <w:pStyle w:val="FirstParagraph"/>
      </w:pPr>
      <w:r>
        <w:t xml:space="preserve">These component-level reference ratings describe a TEMT6000 profile. They are</w:t>
      </w:r>
      <w:r>
        <w:t xml:space="preserve"> </w:t>
      </w:r>
      <w:r>
        <w:t xml:space="preserve">not absolute maximum ratings for the complete module and do not establish</w:t>
      </w:r>
      <w:r>
        <w:t xml:space="preserve"> </w:t>
      </w:r>
      <w:r>
        <w:t xml:space="preserve">limits for the controller, indicators, pull-ups, connectors, or other board</w:t>
      </w:r>
      <w:r>
        <w:t xml:space="preserve"> </w:t>
      </w:r>
      <w:r>
        <w:t xml:space="preserve">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5"/>
    <w:bookmarkStart w:id="46" w:name="temt6000-characteristics"/>
    <w:p>
      <w:pPr>
        <w:pStyle w:val="Heading3"/>
      </w:pPr>
      <w:r>
        <w:rPr>
          <w:bCs/>
          <w:b/>
        </w:rPr>
        <w:t xml:space="preserve">2.5 TEMT6000 Characteristics</w:t>
      </w:r>
    </w:p>
    <w:p>
      <w:pPr>
        <w:pStyle w:val="FirstParagraph"/>
      </w:pPr>
      <w:r>
        <w:t xml:space="preserve">The following component-level reference characteristics apply at 25 °C unless</w:t>
      </w:r>
      <w:r>
        <w:t xml:space="preserve"> </w:t>
      </w:r>
      <w:r>
        <w:t xml:space="preserve">otherwise noted. They are not guaranteed complete-module performance values.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bookmarkEnd w:id="46"/>
    <w:bookmarkStart w:id="47" w:name="analog-signal-path"/>
    <w:p>
      <w:pPr>
        <w:pStyle w:val="Heading3"/>
      </w:pPr>
      <w:r>
        <w:rPr>
          <w:bCs/>
          <w:b/>
        </w:rPr>
        <w:t xml:space="preserve">2.6 Analog Signal Path</w:t>
      </w:r>
    </w:p>
    <w:p>
      <w:pPr>
        <w:pStyle w:val="FirstParagraph"/>
      </w:pPr>
      <w:r>
        <w:t xml:space="preserve">The TEMT6000 analog signal is developed across a 10 kΩ resistor (</w:t>
      </w:r>
      <w:r>
        <w:rPr>
          <w:rStyle w:val="VerbatimChar"/>
        </w:rPr>
        <w:t xml:space="preserve">R1</w:t>
      </w:r>
      <w:r>
        <w:t xml:space="preserve">) to</w:t>
      </w:r>
      <w:r>
        <w:t xml:space="preserve"> </w:t>
      </w:r>
      <w:r>
        <w:t xml:space="preserve">ground. The resulting</w:t>
      </w:r>
      <w:r>
        <w:t xml:space="preserve"> </w:t>
      </w:r>
      <w:r>
        <w:rPr>
          <w:rStyle w:val="VerbatimChar"/>
        </w:rPr>
        <w:t xml:space="preserve">SIGNAL</w:t>
      </w:r>
      <w:r>
        <w:t xml:space="preserve"> </w:t>
      </w:r>
      <w:r>
        <w:t xml:space="preserve">net is connected to the controller ADC input and</w:t>
      </w:r>
      <w:r>
        <w:t xml:space="preserve"> </w:t>
      </w:r>
      <w:r>
        <w:t xml:space="preserve">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7"/>
    <w:bookmarkStart w:id="48" w:name="Xe7983aa397fedfa0158b441c78b658b6ecdafcb"/>
    <w:p>
      <w:pPr>
        <w:pStyle w:val="Heading3"/>
      </w:pPr>
      <w:r>
        <w:rPr>
          <w:bCs/>
          <w:b/>
        </w:rPr>
        <w:t xml:space="preserve">2.7 Module-Level Characteristics Not Yet Specified</w:t>
      </w:r>
    </w:p>
    <w:p>
      <w:pPr>
        <w:pStyle w:val="FirstParagraph"/>
      </w:pPr>
      <w:r>
        <w:t xml:space="preserve">The following complete-module characteristics have not been qualified or</w:t>
      </w:r>
      <w:r>
        <w:t xml:space="preserve"> </w:t>
      </w:r>
      <w:r>
        <w:t xml:space="preserve">specified for the current product revision:</w:t>
      </w:r>
    </w:p>
    <w:p>
      <w:pPr>
        <w:numPr>
          <w:ilvl w:val="0"/>
          <w:numId w:val="1012"/>
        </w:numPr>
        <w:pStyle w:val="Compact"/>
      </w:pPr>
      <w:r>
        <w:t xml:space="preserve">Absolute maximum ratings for the complete module</w:t>
      </w:r>
    </w:p>
    <w:p>
      <w:pPr>
        <w:numPr>
          <w:ilvl w:val="0"/>
          <w:numId w:val="1012"/>
        </w:numPr>
        <w:pStyle w:val="Compact"/>
      </w:pPr>
      <w:r>
        <w:t xml:space="preserve">Supply-current consumption</w:t>
      </w:r>
    </w:p>
    <w:p>
      <w:pPr>
        <w:numPr>
          <w:ilvl w:val="0"/>
          <w:numId w:val="1012"/>
        </w:numPr>
        <w:pStyle w:val="Compact"/>
      </w:pPr>
      <w:r>
        <w:t xml:space="preserve">Validated continuous supply-voltage range around the nominal 3.3 V and 5 V operating points</w:t>
      </w:r>
    </w:p>
    <w:p>
      <w:pPr>
        <w:numPr>
          <w:ilvl w:val="0"/>
          <w:numId w:val="1012"/>
        </w:numPr>
        <w:pStyle w:val="Compact"/>
      </w:pPr>
      <w:r>
        <w:t xml:space="preserve">Power-up and initialization behavior</w:t>
      </w:r>
    </w:p>
    <w:p>
      <w:pPr>
        <w:numPr>
          <w:ilvl w:val="0"/>
          <w:numId w:val="1012"/>
        </w:numPr>
        <w:pStyle w:val="Compact"/>
      </w:pPr>
      <w:r>
        <w:t xml:space="preserve">I2C pull-up resistance and supported bus capacitance</w:t>
      </w:r>
    </w:p>
    <w:p>
      <w:pPr>
        <w:numPr>
          <w:ilvl w:val="0"/>
          <w:numId w:val="1012"/>
        </w:numPr>
        <w:pStyle w:val="Compact"/>
      </w:pPr>
      <w:r>
        <w:t xml:space="preserve">Guaranteed I2C logic-level compatibility across all supported supply conditions</w:t>
      </w:r>
    </w:p>
    <w:p>
      <w:pPr>
        <w:numPr>
          <w:ilvl w:val="0"/>
          <w:numId w:val="1012"/>
        </w:numPr>
        <w:pStyle w:val="Compact"/>
      </w:pPr>
      <w:r>
        <w:t xml:space="preserve">Direct</w:t>
      </w:r>
      <w:r>
        <w:t xml:space="preserve"> </w:t>
      </w:r>
      <w:r>
        <w:rPr>
          <w:rStyle w:val="VerbatimChar"/>
        </w:rPr>
        <w:t xml:space="preserve">SIG</w:t>
      </w:r>
      <w:r>
        <w:t xml:space="preserve"> </w:t>
      </w:r>
      <w:r>
        <w:t xml:space="preserve">output range, accuracy, source impedance, and loading limits</w:t>
      </w:r>
    </w:p>
    <w:p>
      <w:pPr>
        <w:numPr>
          <w:ilvl w:val="0"/>
          <w:numId w:val="1012"/>
        </w:numPr>
        <w:pStyle w:val="Compact"/>
      </w:pPr>
      <w:r>
        <w:t xml:space="preserve">Guaranteed illuminance range, accuracy, repeatability, and calibrated lux response</w:t>
      </w:r>
    </w:p>
    <w:p>
      <w:pPr>
        <w:numPr>
          <w:ilvl w:val="0"/>
          <w:numId w:val="1012"/>
        </w:numPr>
        <w:pStyle w:val="Compact"/>
      </w:pPr>
      <w:r>
        <w:t xml:space="preserve">Board-level operating-temperature range</w:t>
      </w:r>
    </w:p>
    <w:p>
      <w:pPr>
        <w:numPr>
          <w:ilvl w:val="0"/>
          <w:numId w:val="1012"/>
        </w:numPr>
        <w:pStyle w:val="Compact"/>
      </w:pPr>
      <w:r>
        <w:t xml:space="preserve">ESD and EMC ratings</w:t>
      </w:r>
    </w:p>
    <w:p>
      <w:pPr>
        <w:numPr>
          <w:ilvl w:val="0"/>
          <w:numId w:val="1012"/>
        </w:numPr>
        <w:pStyle w:val="Compact"/>
      </w:pPr>
      <w:r>
        <w:t xml:space="preserve">Humidity and ingress ratings</w:t>
      </w:r>
    </w:p>
    <w:p>
      <w:pPr>
        <w:pStyle w:val="FirstParagraph"/>
      </w:pPr>
      <w:r>
        <w:t xml:space="preserve">Unless explicitly stated otherwise, component-level characteristics shall not</w:t>
      </w:r>
      <w:r>
        <w:t xml:space="preserve"> </w:t>
      </w:r>
      <w:r>
        <w:t xml:space="preserve">be interpreted as guaranteed specifications of the complete module.</w:t>
      </w:r>
    </w:p>
    <w:bookmarkEnd w:id="48"/>
    <w:bookmarkStart w:id="49" w:name="electrical-precautions"/>
    <w:p>
      <w:pPr>
        <w:pStyle w:val="Heading3"/>
      </w:pPr>
      <w:r>
        <w:rPr>
          <w:bCs/>
          <w:b/>
        </w:rPr>
        <w:t xml:space="preserve">2.8 Electrical Precautions</w:t>
      </w:r>
    </w:p>
    <w:p>
      <w:pPr>
        <w:numPr>
          <w:ilvl w:val="0"/>
          <w:numId w:val="1013"/>
        </w:numPr>
        <w:pStyle w:val="Compact"/>
      </w:pPr>
      <w:r>
        <w:t xml:space="preserve">Use a current-limited 3.3 V or 5 V supply during engineering bring-up.</w:t>
      </w:r>
    </w:p>
    <w:p>
      <w:pPr>
        <w:numPr>
          <w:ilvl w:val="0"/>
          <w:numId w:val="1013"/>
        </w:numPr>
        <w:pStyle w:val="Compact"/>
      </w:pPr>
      <w:r>
        <w:t xml:space="preserve">Verify connector orientation and establish a common ground before applying power.</w:t>
      </w:r>
    </w:p>
    <w:p>
      <w:pPr>
        <w:numPr>
          <w:ilvl w:val="0"/>
          <w:numId w:val="1013"/>
        </w:numPr>
        <w:pStyle w:val="Compact"/>
      </w:pPr>
      <w:r>
        <w:t xml:space="preserve">Do not exceed the controller upper operating-voltage limit of 5.5 V.</w:t>
      </w:r>
    </w:p>
    <w:p>
      <w:pPr>
        <w:numPr>
          <w:ilvl w:val="0"/>
          <w:numId w:val="1013"/>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3"/>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3"/>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3"/>
        </w:numPr>
        <w:pStyle w:val="Compact"/>
      </w:pPr>
      <w:r>
        <w:t xml:space="preserve">Remove power before cutting, soldering, or reworking the I2C disable bridge or optional connector positions.</w:t>
      </w:r>
    </w:p>
    <w:p>
      <w:pPr>
        <w:numPr>
          <w:ilvl w:val="0"/>
          <w:numId w:val="1013"/>
        </w:numPr>
        <w:pStyle w:val="Compact"/>
      </w:pPr>
      <w:r>
        <w:t xml:space="preserve">Verify the current released schematic, component specifications, and interface documentation before production integration.</w:t>
      </w:r>
    </w:p>
    <w:bookmarkEnd w:id="49"/>
    <w:bookmarkEnd w:id="50"/>
    <w:bookmarkStart w:id="64"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4" w:name="functional-block-diagram"/>
    <w:p>
      <w:pPr>
        <w:pStyle w:val="Heading3"/>
      </w:pPr>
      <w:r>
        <w:rPr>
          <w:bCs/>
          <w:b/>
        </w:rPr>
        <w:t xml:space="preserve">3.1 Functional Block Diagram</w:t>
      </w:r>
    </w:p>
    <w:p>
      <w:pPr>
        <w:pStyle w:val="FirstParagraph"/>
      </w:pPr>
      <w:r>
        <w:drawing>
          <wp:inline>
            <wp:extent cx="6108700" cy="3436143"/>
            <wp:effectExtent b="0" l="0" r="0" t="0"/>
            <wp:docPr descr="" title="" id="52" name="Picture"/>
            <a:graphic>
              <a:graphicData uri="http://schemas.openxmlformats.org/drawingml/2006/picture">
                <pic:pic>
                  <pic:nvPicPr>
                    <pic:cNvPr descr="../assets/block_diagram.png" id="53" name="Picture"/>
                    <pic:cNvPicPr>
                      <a:picLocks noChangeArrowheads="1" noChangeAspect="1"/>
                    </pic:cNvPicPr>
                  </pic:nvPicPr>
                  <pic:blipFill>
                    <a:blip r:embed="rId51"/>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4"/>
    <w:bookmarkStart w:id="55"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5"/>
    <w:bookmarkStart w:id="56"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6"/>
    <w:bookmarkStart w:id="60"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8" name="Picture"/>
            <a:graphic>
              <a:graphicData uri="http://schemas.openxmlformats.org/drawingml/2006/picture">
                <pic:pic>
                  <pic:nvPicPr>
                    <pic:cNvPr descr="../assets/ddp_operation.png" id="59" name="Picture"/>
                    <pic:cNvPicPr>
                      <a:picLocks noChangeArrowheads="1" noChangeAspect="1"/>
                    </pic:cNvPicPr>
                  </pic:nvPicPr>
                  <pic:blipFill>
                    <a:blip r:embed="rId57"/>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60"/>
    <w:bookmarkStart w:id="61"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61"/>
    <w:bookmarkStart w:id="62"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2"/>
    <w:bookmarkStart w:id="63"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3"/>
    <w:bookmarkEnd w:id="64"/>
    <w:bookmarkStart w:id="74"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5"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5"/>
    <w:bookmarkStart w:id="69"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7" name="Picture"/>
            <a:graphic>
              <a:graphicData uri="http://schemas.openxmlformats.org/drawingml/2006/picture">
                <pic:pic>
                  <pic:nvPicPr>
                    <pic:cNvPr descr="../assets/temt6000_sig_i2c.png" id="68" name="Picture"/>
                    <pic:cNvPicPr>
                      <a:picLocks noChangeArrowheads="1" noChangeAspect="1"/>
                    </pic:cNvPicPr>
                  </pic:nvPicPr>
                  <pic:blipFill>
                    <a:blip r:embed="rId66"/>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9"/>
    <w:bookmarkStart w:id="70"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70"/>
    <w:bookmarkStart w:id="71"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71"/>
    <w:bookmarkStart w:id="72"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not user interfaces, and the product is</w:t>
      </w:r>
      <w:r>
        <w:t xml:space="preserve"> </w:t>
      </w:r>
      <w:r>
        <w:t xml:space="preserve">not documented for user firmware replacement. During manufacturer programming</w:t>
      </w:r>
      <w:r>
        <w:t xml:space="preserve"> </w:t>
      </w:r>
      <w:r>
        <w:t xml:space="preserve">or factory diagnostics, I2C must be inactive and other bus devices must be</w:t>
      </w:r>
      <w:r>
        <w:t xml:space="preserve"> </w:t>
      </w:r>
      <w:r>
        <w:t xml:space="preserve">isolated from the shared signals.</w:t>
      </w:r>
    </w:p>
    <w:bookmarkEnd w:id="72"/>
    <w:bookmarkStart w:id="73" w:name="indicators-and-i2c-bridge"/>
    <w:p>
      <w:pPr>
        <w:pStyle w:val="Heading3"/>
      </w:pPr>
      <w:r>
        <w:rPr>
          <w:bCs/>
          <w:b/>
        </w:rPr>
        <w:t xml:space="preserve">4.6 Indicators and I2C Bridge</w:t>
      </w:r>
    </w:p>
    <w:p>
      <w:pPr>
        <w:pStyle w:val="FirstParagraph"/>
      </w:pPr>
      <w:r>
        <w:t xml:space="preserve">The module provides a power indicator, a firmware-controlled built-in status</w:t>
      </w:r>
      <w:r>
        <w:t xml:space="preserve"> </w:t>
      </w:r>
      <w:r>
        <w:t xml:space="preserve">indicator, and a cuttable bridge used to disable I2C operation. Indicator</w:t>
      </w:r>
      <w:r>
        <w:t xml:space="preserve"> </w:t>
      </w:r>
      <w:r>
        <w:t xml:space="preserve">polarity and current, along with the bridge’s complete electrical behavior,</w:t>
      </w:r>
      <w:r>
        <w:t xml:space="preserve"> </w:t>
      </w:r>
      <w:r>
        <w:t xml:space="preserve">require confirmation from the released schematic and module-level validation.</w:t>
      </w:r>
      <w:r>
        <w:t xml:space="preserve"> </w:t>
      </w:r>
      <w:r>
        <w:t xml:space="preserve">The controller ADC input used for sensor acquisition is internal to the module</w:t>
      </w:r>
      <w:r>
        <w:t xml:space="preserve"> </w:t>
      </w:r>
      <w:r>
        <w:t xml:space="preserve">and is not an additional external contact.</w:t>
      </w:r>
    </w:p>
    <w:bookmarkEnd w:id="73"/>
    <w:bookmarkEnd w:id="74"/>
    <w:bookmarkStart w:id="87"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5" w:name="required-hardware-and-software"/>
    <w:p>
      <w:pPr>
        <w:pStyle w:val="Heading3"/>
      </w:pPr>
      <w:r>
        <w:rPr>
          <w:bCs/>
          <w:b/>
        </w:rPr>
        <w:t xml:space="preserve">5.1 Required Hardware and Software</w:t>
      </w:r>
    </w:p>
    <w:p>
      <w:pPr>
        <w:numPr>
          <w:ilvl w:val="0"/>
          <w:numId w:val="1014"/>
        </w:numPr>
        <w:pStyle w:val="Compact"/>
      </w:pPr>
      <w:r>
        <w:t xml:space="preserve">UNIT ATOM TEMT6000 module</w:t>
      </w:r>
    </w:p>
    <w:p>
      <w:pPr>
        <w:numPr>
          <w:ilvl w:val="0"/>
          <w:numId w:val="1014"/>
        </w:numPr>
        <w:pStyle w:val="Compact"/>
      </w:pPr>
      <w:r>
        <w:t xml:space="preserve">Pulsar ESP32-C6 or Pulsar RP2350 development board</w:t>
      </w:r>
    </w:p>
    <w:p>
      <w:pPr>
        <w:numPr>
          <w:ilvl w:val="0"/>
          <w:numId w:val="1014"/>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4"/>
        </w:numPr>
        <w:pStyle w:val="Compact"/>
      </w:pPr>
      <w:r>
        <w:t xml:space="preserve">USB cable for programming and Serial Monitor access</w:t>
      </w:r>
    </w:p>
    <w:p>
      <w:pPr>
        <w:numPr>
          <w:ilvl w:val="0"/>
          <w:numId w:val="1014"/>
        </w:numPr>
        <w:pStyle w:val="Compact"/>
      </w:pPr>
      <w:r>
        <w:t xml:space="preserve">Arduino IDE with the selected board package installed</w:t>
      </w:r>
    </w:p>
    <w:p>
      <w:pPr>
        <w:numPr>
          <w:ilvl w:val="0"/>
          <w:numId w:val="1014"/>
        </w:numPr>
        <w:pStyle w:val="Compact"/>
      </w:pPr>
      <w:r>
        <w:rPr>
          <w:rStyle w:val="VerbatimChar"/>
        </w:rPr>
        <w:t xml:space="preserve">DevLab_TEMT6000</w:t>
      </w:r>
      <w:r>
        <w:t xml:space="preserve"> </w:t>
      </w:r>
      <w:r>
        <w:t xml:space="preserve">Arduino library</w:t>
      </w:r>
    </w:p>
    <w:bookmarkEnd w:id="75"/>
    <w:bookmarkStart w:id="79" w:name="library-installation"/>
    <w:p>
      <w:pPr>
        <w:pStyle w:val="Heading3"/>
      </w:pPr>
      <w:r>
        <w:rPr>
          <w:bCs/>
          <w:b/>
        </w:rPr>
        <w:t xml:space="preserve">5.2 Library Installation</w:t>
      </w:r>
    </w:p>
    <w:p>
      <w:pPr>
        <w:numPr>
          <w:ilvl w:val="0"/>
          <w:numId w:val="1015"/>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5"/>
        </w:numPr>
        <w:pStyle w:val="Compact"/>
      </w:pPr>
      <w:r>
        <w:t xml:space="preserve">Search for</w:t>
      </w:r>
      <w:r>
        <w:t xml:space="preserve"> </w:t>
      </w:r>
      <w:r>
        <w:rPr>
          <w:rStyle w:val="VerbatimChar"/>
        </w:rPr>
        <w:t xml:space="preserve">DevLab_TEMT6000</w:t>
      </w:r>
      <w:r>
        <w:t xml:space="preserve">.</w:t>
      </w:r>
    </w:p>
    <w:p>
      <w:pPr>
        <w:numPr>
          <w:ilvl w:val="0"/>
          <w:numId w:val="1015"/>
        </w:numPr>
        <w:pStyle w:val="Compact"/>
      </w:pPr>
      <w:r>
        <w:t xml:space="preserve">Select the current release and click</w:t>
      </w:r>
      <w:r>
        <w:t xml:space="preserve"> </w:t>
      </w:r>
      <w:r>
        <w:rPr>
          <w:bCs/>
          <w:b/>
        </w:rPr>
        <w:t xml:space="preserve">Install</w:t>
      </w:r>
      <w:r>
        <w:t xml:space="preserve">.</w:t>
      </w:r>
    </w:p>
    <w:p>
      <w:pPr>
        <w:numPr>
          <w:ilvl w:val="0"/>
          <w:numId w:val="1015"/>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7" name="Picture"/>
            <a:graphic>
              <a:graphicData uri="http://schemas.openxmlformats.org/drawingml/2006/picture">
                <pic:pic>
                  <pic:nvPicPr>
                    <pic:cNvPr descr="../assets/temt6000_library.png" id="78" name="Picture"/>
                    <pic:cNvPicPr>
                      <a:picLocks noChangeArrowheads="1" noChangeAspect="1"/>
                    </pic:cNvPicPr>
                  </pic:nvPicPr>
                  <pic:blipFill>
                    <a:blip r:embed="rId76"/>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9"/>
    <w:bookmarkStart w:id="83"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81" name="Picture"/>
            <a:graphic>
              <a:graphicData uri="http://schemas.openxmlformats.org/drawingml/2006/picture">
                <pic:pic>
                  <pic:nvPicPr>
                    <pic:cNvPr descr="../assets/devlab_atom.png" id="82" name="Picture"/>
                    <pic:cNvPicPr>
                      <a:picLocks noChangeArrowheads="1" noChangeAspect="1"/>
                    </pic:cNvPicPr>
                  </pic:nvPicPr>
                  <pic:blipFill>
                    <a:blip r:embed="rId80"/>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 At 5 V,</w:t>
      </w:r>
      <w:r>
        <w:t xml:space="preserve"> </w:t>
      </w:r>
      <w:r>
        <w:t xml:space="preserve">confirm that the host accepts the bus pull-up voltage or use bidirectional</w:t>
      </w:r>
      <w:r>
        <w:t xml:space="preserve"> </w:t>
      </w:r>
      <w:r>
        <w:t xml:space="preserve">level translation.</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3"/>
    <w:bookmarkStart w:id="84"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4"/>
    <w:bookmarkStart w:id="85" w:name="upload-and-serial-output"/>
    <w:p>
      <w:pPr>
        <w:pStyle w:val="Heading3"/>
      </w:pPr>
      <w:r>
        <w:rPr>
          <w:bCs/>
          <w:b/>
        </w:rPr>
        <w:t xml:space="preserve">5.5 Upload and Serial Output</w:t>
      </w:r>
    </w:p>
    <w:p>
      <w:pPr>
        <w:numPr>
          <w:ilvl w:val="0"/>
          <w:numId w:val="1016"/>
        </w:numPr>
        <w:pStyle w:val="Compact"/>
      </w:pPr>
      <w:r>
        <w:t xml:space="preserve">Select the connected Pulsar ESP32-C6 or Pulsar RP2350 board in Arduino IDE.</w:t>
      </w:r>
    </w:p>
    <w:p>
      <w:pPr>
        <w:numPr>
          <w:ilvl w:val="0"/>
          <w:numId w:val="1016"/>
        </w:numPr>
        <w:pStyle w:val="Compact"/>
      </w:pPr>
      <w:r>
        <w:t xml:space="preserve">Select its serial port.</w:t>
      </w:r>
    </w:p>
    <w:p>
      <w:pPr>
        <w:numPr>
          <w:ilvl w:val="0"/>
          <w:numId w:val="1016"/>
        </w:numPr>
        <w:pStyle w:val="Compact"/>
      </w:pPr>
      <w:r>
        <w:t xml:space="preserve">Compile and upload</w:t>
      </w:r>
      <w:r>
        <w:t xml:space="preserve"> </w:t>
      </w:r>
      <w:r>
        <w:rPr>
          <w:rStyle w:val="VerbatimChar"/>
        </w:rPr>
        <w:t xml:space="preserve">singleSensor.ino</w:t>
      </w:r>
      <w:r>
        <w:t xml:space="preserve">.</w:t>
      </w:r>
    </w:p>
    <w:p>
      <w:pPr>
        <w:numPr>
          <w:ilvl w:val="0"/>
          <w:numId w:val="1016"/>
        </w:numPr>
        <w:pStyle w:val="Compact"/>
      </w:pPr>
      <w:r>
        <w:t xml:space="preserve">Open Serial Monitor at</w:t>
      </w:r>
      <w:r>
        <w:t xml:space="preserve"> </w:t>
      </w:r>
      <w:r>
        <w:rPr>
          <w:bCs/>
          <w:b/>
        </w:rPr>
        <w:t xml:space="preserve">115200 baud</w:t>
      </w:r>
      <w:r>
        <w:t xml:space="preserve">.</w:t>
      </w:r>
    </w:p>
    <w:p>
      <w:pPr>
        <w:numPr>
          <w:ilvl w:val="0"/>
          <w:numId w:val="1016"/>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5"/>
    <w:bookmarkStart w:id="86"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6"/>
    <w:bookmarkEnd w:id="87"/>
    <w:bookmarkStart w:id="94"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91" w:name="board-dimensions"/>
    <w:p>
      <w:pPr>
        <w:pStyle w:val="Heading3"/>
      </w:pPr>
      <w:r>
        <w:rPr>
          <w:bCs/>
          <w:b/>
        </w:rPr>
        <w:t xml:space="preserve">6.1 Board Dimensions</w:t>
      </w:r>
    </w:p>
    <w:p>
      <w:pPr>
        <w:pStyle w:val="FirstParagraph"/>
      </w:pPr>
      <w:r>
        <w:drawing>
          <wp:inline>
            <wp:extent cx="6108700" cy="4073328"/>
            <wp:effectExtent b="0" l="0" r="0" t="0"/>
            <wp:docPr descr="" title="" id="89" name="Picture"/>
            <a:graphic>
              <a:graphicData uri="http://schemas.openxmlformats.org/drawingml/2006/picture">
                <pic:pic>
                  <pic:nvPicPr>
                    <pic:cNvPr descr="../../../hardware/resources/unit_dimensions_v_3_1_0_ue0098_temt6000_ambient_light_sensor.png" id="90" name="Picture"/>
                    <pic:cNvPicPr>
                      <a:picLocks noChangeArrowheads="1" noChangeAspect="1"/>
                    </pic:cNvPicPr>
                  </pic:nvPicPr>
                  <pic:blipFill>
                    <a:blip r:embed="rId8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91"/>
    <w:bookmarkStart w:id="92"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2"/>
    <w:bookmarkStart w:id="93" w:name="mechanical-data-not-specified"/>
    <w:p>
      <w:pPr>
        <w:pStyle w:val="Heading3"/>
      </w:pPr>
      <w:r>
        <w:rPr>
          <w:bCs/>
          <w:b/>
        </w:rPr>
        <w:t xml:space="preserve">6.3 Mechanical Data Not Specified</w:t>
      </w:r>
    </w:p>
    <w:p>
      <w:pPr>
        <w:numPr>
          <w:ilvl w:val="0"/>
          <w:numId w:val="1017"/>
        </w:numPr>
        <w:pStyle w:val="Compact"/>
      </w:pPr>
      <w:r>
        <w:t xml:space="preserve">Board thickness, dimensional tolerances, and finished mass</w:t>
      </w:r>
    </w:p>
    <w:p>
      <w:pPr>
        <w:numPr>
          <w:ilvl w:val="0"/>
          <w:numId w:val="1017"/>
        </w:numPr>
        <w:pStyle w:val="Compact"/>
      </w:pPr>
      <w:r>
        <w:t xml:space="preserve">Unannotated feature coordinates and edge clearances</w:t>
      </w:r>
    </w:p>
    <w:p>
      <w:pPr>
        <w:numPr>
          <w:ilvl w:val="0"/>
          <w:numId w:val="1017"/>
        </w:numPr>
        <w:pStyle w:val="Compact"/>
      </w:pPr>
      <w:r>
        <w:t xml:space="preserve">Optional connector population variants and mating-part numbers</w:t>
      </w:r>
    </w:p>
    <w:p>
      <w:pPr>
        <w:numPr>
          <w:ilvl w:val="0"/>
          <w:numId w:val="1017"/>
        </w:numPr>
        <w:pStyle w:val="Compact"/>
      </w:pPr>
      <w:r>
        <w:t xml:space="preserve">Connector insertion envelope, retention force, and cable bend radius</w:t>
      </w:r>
    </w:p>
    <w:p>
      <w:pPr>
        <w:numPr>
          <w:ilvl w:val="0"/>
          <w:numId w:val="1017"/>
        </w:numPr>
        <w:pStyle w:val="Compact"/>
      </w:pPr>
      <w:r>
        <w:t xml:space="preserve">Maximum top- and bottom-side component heights</w:t>
      </w:r>
    </w:p>
    <w:p>
      <w:pPr>
        <w:numPr>
          <w:ilvl w:val="0"/>
          <w:numId w:val="1017"/>
        </w:numPr>
        <w:pStyle w:val="Compact"/>
      </w:pPr>
      <w:r>
        <w:t xml:space="preserve">Optical axis, keep-out cone, and enclosure-window specification</w:t>
      </w:r>
    </w:p>
    <w:p>
      <w:pPr>
        <w:numPr>
          <w:ilvl w:val="0"/>
          <w:numId w:val="1017"/>
        </w:numPr>
        <w:pStyle w:val="Compact"/>
      </w:pPr>
      <w:r>
        <w:t xml:space="preserve">Reserved expansion-pad and factory service-point coordinates</w:t>
      </w:r>
    </w:p>
    <w:bookmarkEnd w:id="93"/>
    <w:bookmarkEnd w:id="94"/>
    <w:bookmarkStart w:id="96"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5">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6"/>
    <w:bookmarkStart w:id="112"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7">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8">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9">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100">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101">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2">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3">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4">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5">
              <w:r>
                <w:rPr>
                  <w:rStyle w:val="Hyperlink"/>
                </w:rPr>
                <w:t xml:space="preserve">V2.0.0</w:t>
              </w:r>
            </w:hyperlink>
          </w:p>
        </w:tc>
      </w:tr>
      <w:tr>
        <w:tc>
          <w:tcPr/>
          <w:p>
            <w:pPr>
              <w:pStyle w:val="Compact"/>
              <w:jc w:val="left"/>
            </w:pPr>
            <w:r>
              <w:t xml:space="preserve">Software examples</w:t>
            </w:r>
          </w:p>
        </w:tc>
        <w:tc>
          <w:tcPr/>
          <w:p>
            <w:pPr>
              <w:pStyle w:val="Compact"/>
              <w:jc w:val="left"/>
            </w:pPr>
            <w:hyperlink r:id="rId106">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7">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8">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9">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10">
              <w:r>
                <w:rPr>
                  <w:rStyle w:val="Hyperlink"/>
                </w:rPr>
                <w:t xml:space="preserve">Vishay TEMT6000X01 — reference only</w:t>
              </w:r>
            </w:hyperlink>
          </w:p>
        </w:tc>
      </w:tr>
      <w:tr>
        <w:tc>
          <w:tcPr/>
          <w:p>
            <w:pPr>
              <w:pStyle w:val="Compact"/>
              <w:jc w:val="left"/>
            </w:pPr>
            <w:r>
              <w:t xml:space="preserve">TEMT6000 component datasheet</w:t>
            </w:r>
          </w:p>
        </w:tc>
        <w:tc>
          <w:tcPr/>
          <w:p>
            <w:pPr>
              <w:pStyle w:val="Compact"/>
              <w:jc w:val="left"/>
            </w:pPr>
            <w:hyperlink r:id="rId111">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comparative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2"/>
    <w:bookmarkStart w:id="119" w:name="appendix"/>
    <w:p>
      <w:pPr>
        <w:pStyle w:val="Heading2"/>
      </w:pPr>
      <w:r>
        <w:rPr>
          <w:bCs/>
          <w:b/>
        </w:rPr>
        <w:t xml:space="preserve">9 Appendix</w:t>
      </w:r>
    </w:p>
    <w:bookmarkStart w:id="116"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4" name="Picture"/>
            <a:graphic>
              <a:graphicData uri="http://schemas.openxmlformats.org/drawingml/2006/picture">
                <pic:pic>
                  <pic:nvPicPr>
                    <pic:cNvPr descr="../../../hardware/resources/unit_schematic_v_2_0_0_ue0098_temt6000.png" id="115" name="Picture"/>
                    <pic:cNvPicPr>
                      <a:picLocks noChangeArrowheads="1" noChangeAspect="1"/>
                    </pic:cNvPicPr>
                  </pic:nvPicPr>
                  <pic:blipFill>
                    <a:blip r:embed="rId113"/>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6"/>
    <w:bookmarkStart w:id="117"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7"/>
    <w:bookmarkStart w:id="118" w:name="required-technical-releases"/>
    <w:p>
      <w:pPr>
        <w:pStyle w:val="Heading3"/>
      </w:pPr>
      <w:r>
        <w:rPr>
          <w:bCs/>
          <w:b/>
        </w:rPr>
        <w:t xml:space="preserve">9.3 Required Technical Releases</w:t>
      </w:r>
    </w:p>
    <w:p>
      <w:pPr>
        <w:numPr>
          <w:ilvl w:val="0"/>
          <w:numId w:val="1018"/>
        </w:numPr>
        <w:pStyle w:val="Compact"/>
      </w:pPr>
      <w:r>
        <w:t xml:space="preserve">V0.3.1 bill of materials</w:t>
      </w:r>
    </w:p>
    <w:p>
      <w:pPr>
        <w:numPr>
          <w:ilvl w:val="0"/>
          <w:numId w:val="1018"/>
        </w:numPr>
        <w:pStyle w:val="Compact"/>
      </w:pPr>
      <w:r>
        <w:t xml:space="preserve">Exact controller package/ordering suffix and controlled manufacturer programming release</w:t>
      </w:r>
    </w:p>
    <w:p>
      <w:pPr>
        <w:numPr>
          <w:ilvl w:val="0"/>
          <w:numId w:val="1018"/>
        </w:numPr>
        <w:pStyle w:val="Compact"/>
      </w:pPr>
      <w:r>
        <w:t xml:space="preserve">Exact oscillator/timing tolerances and uniform future DDP status behavior</w:t>
      </w:r>
    </w:p>
    <w:p>
      <w:pPr>
        <w:numPr>
          <w:ilvl w:val="0"/>
          <w:numId w:val="1018"/>
        </w:numPr>
        <w:pStyle w:val="Compact"/>
      </w:pPr>
      <w:r>
        <w:t xml:space="preserve">Complete-module supply/logic absolute-maximum ratings and current consumption</w:t>
      </w:r>
    </w:p>
    <w:p>
      <w:pPr>
        <w:numPr>
          <w:ilvl w:val="0"/>
          <w:numId w:val="1018"/>
        </w:numPr>
        <w:pStyle w:val="Compact"/>
      </w:pPr>
      <w:r>
        <w:t xml:space="preserve">Pull-up values and bus-loading limits</w:t>
      </w:r>
    </w:p>
    <w:p>
      <w:pPr>
        <w:numPr>
          <w:ilvl w:val="0"/>
          <w:numId w:val="1018"/>
        </w:numPr>
        <w:pStyle w:val="Compact"/>
      </w:pPr>
      <w:r>
        <w:t xml:space="preserve">Direct</w:t>
      </w:r>
      <w:r>
        <w:t xml:space="preserve"> </w:t>
      </w:r>
      <w:r>
        <w:rPr>
          <w:rStyle w:val="VerbatimChar"/>
        </w:rPr>
        <w:t xml:space="preserve">SIG</w:t>
      </w:r>
      <w:r>
        <w:t xml:space="preserve"> </w:t>
      </w:r>
      <w:r>
        <w:t xml:space="preserve">transfer, loading, range, and ADC guidance</w:t>
      </w:r>
    </w:p>
    <w:p>
      <w:pPr>
        <w:numPr>
          <w:ilvl w:val="0"/>
          <w:numId w:val="1018"/>
        </w:numPr>
        <w:pStyle w:val="Compact"/>
      </w:pPr>
      <w:r>
        <w:t xml:space="preserve">Mechanical tolerances, board thickness, component heights, and finished mass</w:t>
      </w:r>
    </w:p>
    <w:p>
      <w:pPr>
        <w:numPr>
          <w:ilvl w:val="0"/>
          <w:numId w:val="1018"/>
        </w:numPr>
        <w:pStyle w:val="Compact"/>
      </w:pPr>
      <w:r>
        <w:t xml:space="preserve">Module-level optical, electrical, environmental, and EMC characterization</w:t>
      </w:r>
    </w:p>
    <w:bookmarkEnd w:id="118"/>
    <w:bookmarkEnd w:id="119"/>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2026-09-13T16:58:12Z</dcterms:created>
  <dcterms:modified xsi:type="dcterms:W3CDTF">2026-09-13T16:58:12Z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