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Module-Level Characteristics</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onboard-interface-controller"/>
    <w:p>
      <w:pPr>
        <w:pStyle w:val="Heading3"/>
      </w:pPr>
      <w:r>
        <w:rPr>
          <w:bCs/>
          <w:b/>
        </w:rPr>
        <w:t xml:space="preserve">2.3 Onboard Interface Controller</w:t>
      </w:r>
    </w:p>
    <w:p>
      <w:pPr>
        <w:pStyle w:val="FirstParagraph"/>
      </w:pPr>
      <w:r>
        <w:t xml:space="preserve">The onboard controller acquires the analog output of the TEMT6000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module-level-characteristics"/>
    <w:p>
      <w:pPr>
        <w:pStyle w:val="Heading3"/>
      </w:pPr>
      <w:r>
        <w:rPr>
          <w:bCs/>
          <w:b/>
        </w:rPr>
        <w:t xml:space="preserve">2.7 Module-Level Characteristics</w:t>
      </w:r>
    </w:p>
    <w:p>
      <w:pPr>
        <w:pStyle w:val="FirstParagraph"/>
      </w:pPr>
      <w:r>
        <w:t xml:space="preserve">The following characteristics are established for the current module</w:t>
      </w:r>
      <w:r>
        <w:t xml:space="preserve"> </w:t>
      </w:r>
      <w:r>
        <w:t xml:space="preserve">implementation and are described in the preceding sections.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Characteristic</w:t>
            </w:r>
          </w:p>
        </w:tc>
        <w:tc>
          <w:tcPr/>
          <w:p>
            <w:pPr>
              <w:pStyle w:val="Compact"/>
              <w:jc w:val="left"/>
            </w:pPr>
            <w:r>
              <w:t xml:space="preserve">Current module specification</w:t>
            </w:r>
          </w:p>
        </w:tc>
      </w:tr>
      <w:tr>
        <w:tc>
          <w:tcPr/>
          <w:p>
            <w:pPr>
              <w:pStyle w:val="Compact"/>
              <w:jc w:val="left"/>
            </w:pPr>
            <w:r>
              <w:t xml:space="preserve">Nominal supply voltage</w:t>
            </w:r>
          </w:p>
        </w:tc>
        <w:tc>
          <w:tcPr/>
          <w:p>
            <w:pPr>
              <w:pStyle w:val="Compact"/>
              <w:jc w:val="left"/>
            </w:pPr>
            <w:r>
              <w:t xml:space="preserve">3.3 V or 5 V</w:t>
            </w:r>
          </w:p>
        </w:tc>
      </w:tr>
      <w:tr>
        <w:tc>
          <w:tcPr/>
          <w:p>
            <w:pPr>
              <w:pStyle w:val="Compact"/>
              <w:jc w:val="left"/>
            </w:pPr>
            <w:r>
              <w:t xml:space="preserve">Digital interface</w:t>
            </w:r>
          </w:p>
        </w:tc>
        <w:tc>
          <w:tcPr/>
          <w:p>
            <w:pPr>
              <w:pStyle w:val="Compact"/>
              <w:jc w:val="left"/>
            </w:pPr>
            <w:r>
              <w:t xml:space="preserve">I2C, 7-bit slave</w:t>
            </w:r>
          </w:p>
        </w:tc>
      </w:tr>
      <w:tr>
        <w:tc>
          <w:tcPr/>
          <w:p>
            <w:pPr>
              <w:pStyle w:val="Compact"/>
              <w:jc w:val="left"/>
            </w:pPr>
            <w:r>
              <w:t xml:space="preserve">Factory I2C address</w:t>
            </w:r>
          </w:p>
        </w:tc>
        <w:tc>
          <w:tcPr/>
          <w:p>
            <w:pPr>
              <w:pStyle w:val="Compact"/>
              <w:jc w:val="left"/>
            </w:pPr>
            <w:r>
              <w:rPr>
                <w:rStyle w:val="VerbatimChar"/>
              </w:rPr>
              <w:t xml:space="preserve">0x20</w:t>
            </w:r>
          </w:p>
        </w:tc>
      </w:tr>
      <w:tr>
        <w:tc>
          <w:tcPr/>
          <w:p>
            <w:pPr>
              <w:pStyle w:val="Compact"/>
              <w:jc w:val="left"/>
            </w:pPr>
            <w:r>
              <w:t xml:space="preserve">Configurable I2C address range</w:t>
            </w:r>
          </w:p>
        </w:tc>
        <w:tc>
          <w:tcPr/>
          <w:p>
            <w:pPr>
              <w:pStyle w:val="Compact"/>
              <w:jc w:val="left"/>
            </w:pPr>
            <w:r>
              <w:rPr>
                <w:rStyle w:val="VerbatimChar"/>
              </w:rPr>
              <w:t xml:space="preserve">0x08</w:t>
            </w:r>
            <w:r>
              <w:t xml:space="preserve"> </w:t>
            </w:r>
            <w:r>
              <w:t xml:space="preserve">to</w:t>
            </w:r>
            <w:r>
              <w:t xml:space="preserve"> </w:t>
            </w:r>
            <w:r>
              <w:rPr>
                <w:rStyle w:val="VerbatimChar"/>
              </w:rPr>
              <w:t xml:space="preserve">0x77</w:t>
            </w:r>
          </w:p>
        </w:tc>
      </w:tr>
      <w:tr>
        <w:tc>
          <w:tcPr/>
          <w:p>
            <w:pPr>
              <w:pStyle w:val="Compact"/>
              <w:jc w:val="left"/>
            </w:pPr>
            <w:r>
              <w:t xml:space="preserve">I2C clock frequency</w:t>
            </w:r>
          </w:p>
        </w:tc>
        <w:tc>
          <w:tcPr/>
          <w:p>
            <w:pPr>
              <w:pStyle w:val="Compact"/>
              <w:jc w:val="left"/>
            </w:pPr>
            <w:r>
              <w:t xml:space="preserve">100 kHz to 400 kHz</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Raw digital output</w:t>
            </w:r>
          </w:p>
        </w:tc>
        <w:tc>
          <w:tcPr/>
          <w:p>
            <w:pPr>
              <w:pStyle w:val="Compact"/>
              <w:jc w:val="left"/>
            </w:pPr>
            <w:r>
              <w:t xml:space="preserve">0 to 4095</w:t>
            </w:r>
          </w:p>
        </w:tc>
      </w:tr>
      <w:tr>
        <w:tc>
          <w:tcPr/>
          <w:p>
            <w:pPr>
              <w:pStyle w:val="Compact"/>
              <w:jc w:val="left"/>
            </w:pPr>
            <w:r>
              <w:t xml:space="preserve">ADC update interval</w:t>
            </w:r>
          </w:p>
        </w:tc>
        <w:tc>
          <w:tcPr/>
          <w:p>
            <w:pPr>
              <w:pStyle w:val="Compact"/>
              <w:jc w:val="left"/>
            </w:pPr>
            <w:r>
              <w:t xml:space="preserve">Approximately 20 ms</w:t>
            </w:r>
          </w:p>
        </w:tc>
      </w:tr>
      <w:tr>
        <w:tc>
          <w:tcPr/>
          <w:p>
            <w:pPr>
              <w:pStyle w:val="Compact"/>
              <w:jc w:val="left"/>
            </w:pPr>
            <w:r>
              <w:t xml:space="preserve">Command processing delay</w:t>
            </w:r>
          </w:p>
        </w:tc>
        <w:tc>
          <w:tcPr/>
          <w:p>
            <w:pPr>
              <w:pStyle w:val="Compact"/>
              <w:jc w:val="left"/>
            </w:pPr>
            <w:r>
              <w:t xml:space="preserve">2 to 5 ms</w:t>
            </w:r>
          </w:p>
        </w:tc>
      </w:tr>
      <w:tr>
        <w:tc>
          <w:tcPr/>
          <w:p>
            <w:pPr>
              <w:pStyle w:val="Compact"/>
              <w:jc w:val="left"/>
            </w:pPr>
            <w:r>
              <w:t xml:space="preserve">Direct analog access</w:t>
            </w:r>
          </w:p>
        </w:tc>
        <w:tc>
          <w:tcPr/>
          <w:p>
            <w:pPr>
              <w:pStyle w:val="Compact"/>
              <w:jc w:val="left"/>
            </w:pPr>
            <w:r>
              <w:rPr>
                <w:rStyle w:val="VerbatimChar"/>
              </w:rPr>
              <w:t xml:space="preserve">SIG</w:t>
            </w:r>
            <w:r>
              <w:t xml:space="preserve"> </w:t>
            </w:r>
            <w:r>
              <w:t xml:space="preserve">contact connected to the TEMT6000 signal path</w:t>
            </w:r>
          </w:p>
        </w:tc>
      </w:tr>
      <w:tr>
        <w:tc>
          <w:tcPr/>
          <w:p>
            <w:pPr>
              <w:pStyle w:val="Compact"/>
              <w:jc w:val="left"/>
            </w:pPr>
            <w:r>
              <w:t xml:space="preserve">Sensor load resistor</w:t>
            </w:r>
          </w:p>
        </w:tc>
        <w:tc>
          <w:tcPr/>
          <w:p>
            <w:pPr>
              <w:pStyle w:val="Compact"/>
              <w:jc w:val="left"/>
            </w:pPr>
            <w:r>
              <w:t xml:space="preserve">10 kΩ to GND</w:t>
            </w:r>
          </w:p>
        </w:tc>
      </w:tr>
    </w:tbl>
    <w:p>
      <w:pPr>
        <w:pStyle w:val="BodyText"/>
      </w:pPr>
      <w:r>
        <w:t xml:space="preserve">Additional characteristics such as complete-module absolute maximum ratings,</w:t>
      </w:r>
      <w:r>
        <w:t xml:space="preserve"> </w:t>
      </w:r>
      <w:r>
        <w:t xml:space="preserve">supply-current limits, guaranteed analog-output accuracy, calibrated lux</w:t>
      </w:r>
      <w:r>
        <w:t xml:space="preserve"> </w:t>
      </w:r>
      <w:r>
        <w:t xml:space="preserve">accuracy, board-level operating-temperature range, and environmental</w:t>
      </w:r>
      <w:r>
        <w:t xml:space="preserve"> </w:t>
      </w:r>
      <w:r>
        <w:t xml:space="preserve">qualification are not specified unless explicitly stated elsewhere in this</w:t>
      </w:r>
      <w:r>
        <w:t xml:space="preserve"> </w:t>
      </w:r>
      <w:r>
        <w:t xml:space="preserve">Product Reference.</w:t>
      </w:r>
    </w:p>
    <w:p>
      <w:pPr>
        <w:pStyle w:val="BodyText"/>
      </w:pPr>
      <w:r>
        <w:t xml:space="preserve">Component-level ratings shall not be interpreted as guaranteed ratings of the</w:t>
      </w:r>
      <w:r>
        <w:t xml:space="preserve"> </w:t>
      </w:r>
      <w:r>
        <w:t xml:space="preserve">complete module.</w:t>
      </w:r>
    </w:p>
    <w:bookmarkEnd w:id="48"/>
    <w:bookmarkStart w:id="49" w:name="electrical-precautions"/>
    <w:p>
      <w:pPr>
        <w:pStyle w:val="Heading3"/>
      </w:pPr>
      <w:r>
        <w:rPr>
          <w:bCs/>
          <w:b/>
        </w:rPr>
        <w:t xml:space="preserve">2.8 Electrical Precautions</w:t>
      </w:r>
    </w:p>
    <w:p>
      <w:pPr>
        <w:numPr>
          <w:ilvl w:val="0"/>
          <w:numId w:val="1012"/>
        </w:numPr>
        <w:pStyle w:val="Compact"/>
      </w:pPr>
      <w:r>
        <w:t xml:space="preserve">Use a current-limited 3.3 V or 5 V supply during engineering bring-up.</w:t>
      </w:r>
    </w:p>
    <w:p>
      <w:pPr>
        <w:numPr>
          <w:ilvl w:val="0"/>
          <w:numId w:val="1012"/>
        </w:numPr>
        <w:pStyle w:val="Compact"/>
      </w:pPr>
      <w:r>
        <w:t xml:space="preserve">Verify connector orientation and establish a common ground before applying power.</w:t>
      </w:r>
    </w:p>
    <w:p>
      <w:pPr>
        <w:numPr>
          <w:ilvl w:val="0"/>
          <w:numId w:val="1012"/>
        </w:numPr>
        <w:pStyle w:val="Compact"/>
      </w:pPr>
      <w:r>
        <w:t xml:space="preserve">Do not exceed the controller upper operating-voltage limit of 5.5 V.</w:t>
      </w:r>
    </w:p>
    <w:p>
      <w:pPr>
        <w:numPr>
          <w:ilvl w:val="0"/>
          <w:numId w:val="1012"/>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2"/>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2"/>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2"/>
        </w:numPr>
        <w:pStyle w:val="Compact"/>
      </w:pPr>
      <w:r>
        <w:t xml:space="preserve">Remove power before cutting, soldering, or reworking the I2C disable bridge or optional connector positions.</w:t>
      </w:r>
    </w:p>
    <w:p>
      <w:pPr>
        <w:numPr>
          <w:ilvl w:val="0"/>
          <w:numId w:val="1012"/>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intended primarily for development, manufacturing, and service purposes. Currently, user firmware programming is not supported or documented. During programming or diagnostics, I2C must be inactive and other bus devices must be 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 indicator, and a normally closed solder bridge that connects the sensor’s raw output signal to the controller ADC input. Opening the bridge isolates the raw sensor signal from the ADC, and the connection can be restored by re-soldering the bridge. The controller ADC input used for sensor acquisition is internal to the module 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3"/>
        </w:numPr>
        <w:pStyle w:val="Compact"/>
      </w:pPr>
      <w:r>
        <w:t xml:space="preserve">UNIT ATOM TEMT6000 module</w:t>
      </w:r>
    </w:p>
    <w:p>
      <w:pPr>
        <w:numPr>
          <w:ilvl w:val="0"/>
          <w:numId w:val="1013"/>
        </w:numPr>
        <w:pStyle w:val="Compact"/>
      </w:pPr>
      <w:r>
        <w:t xml:space="preserve">Pulsar ESP32-C6 or Pulsar RP2350 development board</w:t>
      </w:r>
    </w:p>
    <w:p>
      <w:pPr>
        <w:numPr>
          <w:ilvl w:val="0"/>
          <w:numId w:val="1013"/>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3"/>
        </w:numPr>
        <w:pStyle w:val="Compact"/>
      </w:pPr>
      <w:r>
        <w:t xml:space="preserve">USB cable for programming and Serial Monitor access</w:t>
      </w:r>
    </w:p>
    <w:p>
      <w:pPr>
        <w:numPr>
          <w:ilvl w:val="0"/>
          <w:numId w:val="1013"/>
        </w:numPr>
        <w:pStyle w:val="Compact"/>
      </w:pPr>
      <w:r>
        <w:t xml:space="preserve">Arduino IDE with the selected board package installed</w:t>
      </w:r>
    </w:p>
    <w:p>
      <w:pPr>
        <w:numPr>
          <w:ilvl w:val="0"/>
          <w:numId w:val="1013"/>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4"/>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4"/>
        </w:numPr>
        <w:pStyle w:val="Compact"/>
      </w:pPr>
      <w:r>
        <w:t xml:space="preserve">Search for</w:t>
      </w:r>
      <w:r>
        <w:t xml:space="preserve"> </w:t>
      </w:r>
      <w:r>
        <w:rPr>
          <w:rStyle w:val="VerbatimChar"/>
        </w:rPr>
        <w:t xml:space="preserve">DevLab_TEMT6000</w:t>
      </w:r>
      <w:r>
        <w:t xml:space="preserve">.</w:t>
      </w:r>
    </w:p>
    <w:p>
      <w:pPr>
        <w:numPr>
          <w:ilvl w:val="0"/>
          <w:numId w:val="1014"/>
        </w:numPr>
        <w:pStyle w:val="Compact"/>
      </w:pPr>
      <w:r>
        <w:t xml:space="preserve">Select the current release and click</w:t>
      </w:r>
      <w:r>
        <w:t xml:space="preserve"> </w:t>
      </w:r>
      <w:r>
        <w:rPr>
          <w:bCs/>
          <w:b/>
        </w:rPr>
        <w:t xml:space="preserve">Install</w:t>
      </w:r>
      <w:r>
        <w:t xml:space="preserve">.</w:t>
      </w:r>
    </w:p>
    <w:p>
      <w:pPr>
        <w:numPr>
          <w:ilvl w:val="0"/>
          <w:numId w:val="1014"/>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5"/>
        </w:numPr>
        <w:pStyle w:val="Compact"/>
      </w:pPr>
      <w:r>
        <w:t xml:space="preserve">Select the connected Pulsar ESP32-C6 or Pulsar RP2350 board in Arduino IDE.</w:t>
      </w:r>
    </w:p>
    <w:p>
      <w:pPr>
        <w:numPr>
          <w:ilvl w:val="0"/>
          <w:numId w:val="1015"/>
        </w:numPr>
        <w:pStyle w:val="Compact"/>
      </w:pPr>
      <w:r>
        <w:t xml:space="preserve">Select its serial port.</w:t>
      </w:r>
    </w:p>
    <w:p>
      <w:pPr>
        <w:numPr>
          <w:ilvl w:val="0"/>
          <w:numId w:val="1015"/>
        </w:numPr>
        <w:pStyle w:val="Compact"/>
      </w:pPr>
      <w:r>
        <w:t xml:space="preserve">Compile and upload</w:t>
      </w:r>
      <w:r>
        <w:t xml:space="preserve"> </w:t>
      </w:r>
      <w:r>
        <w:rPr>
          <w:rStyle w:val="VerbatimChar"/>
        </w:rPr>
        <w:t xml:space="preserve">singleSensor.ino</w:t>
      </w:r>
      <w:r>
        <w:t xml:space="preserve">.</w:t>
      </w:r>
    </w:p>
    <w:p>
      <w:pPr>
        <w:numPr>
          <w:ilvl w:val="0"/>
          <w:numId w:val="1015"/>
        </w:numPr>
        <w:pStyle w:val="Compact"/>
      </w:pPr>
      <w:r>
        <w:t xml:space="preserve">Open Serial Monitor at</w:t>
      </w:r>
      <w:r>
        <w:t xml:space="preserve"> </w:t>
      </w:r>
      <w:r>
        <w:rPr>
          <w:bCs/>
          <w:b/>
        </w:rPr>
        <w:t xml:space="preserve">115200 baud</w:t>
      </w:r>
      <w:r>
        <w:t xml:space="preserve">.</w:t>
      </w:r>
    </w:p>
    <w:p>
      <w:pPr>
        <w:numPr>
          <w:ilvl w:val="0"/>
          <w:numId w:val="1015"/>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6"/>
        </w:numPr>
        <w:pStyle w:val="Compact"/>
      </w:pPr>
      <w:r>
        <w:t xml:space="preserve">Board thickness, dimensional tolerances, and finished mass</w:t>
      </w:r>
    </w:p>
    <w:p>
      <w:pPr>
        <w:numPr>
          <w:ilvl w:val="0"/>
          <w:numId w:val="1016"/>
        </w:numPr>
        <w:pStyle w:val="Compact"/>
      </w:pPr>
      <w:r>
        <w:t xml:space="preserve">Unannotated feature coordinates and edge clearances</w:t>
      </w:r>
    </w:p>
    <w:p>
      <w:pPr>
        <w:numPr>
          <w:ilvl w:val="0"/>
          <w:numId w:val="1016"/>
        </w:numPr>
        <w:pStyle w:val="Compact"/>
      </w:pPr>
      <w:r>
        <w:t xml:space="preserve">Optional connector population variants and mating-part numbers</w:t>
      </w:r>
    </w:p>
    <w:p>
      <w:pPr>
        <w:numPr>
          <w:ilvl w:val="0"/>
          <w:numId w:val="1016"/>
        </w:numPr>
        <w:pStyle w:val="Compact"/>
      </w:pPr>
      <w:r>
        <w:t xml:space="preserve">Connector insertion envelope, retention force, and cable bend radius</w:t>
      </w:r>
    </w:p>
    <w:p>
      <w:pPr>
        <w:numPr>
          <w:ilvl w:val="0"/>
          <w:numId w:val="1016"/>
        </w:numPr>
        <w:pStyle w:val="Compact"/>
      </w:pPr>
      <w:r>
        <w:t xml:space="preserve">Maximum top- and bottom-side component heights</w:t>
      </w:r>
    </w:p>
    <w:p>
      <w:pPr>
        <w:numPr>
          <w:ilvl w:val="0"/>
          <w:numId w:val="1016"/>
        </w:numPr>
        <w:pStyle w:val="Compact"/>
      </w:pPr>
      <w:r>
        <w:t xml:space="preserve">Optical axis, keep-out cone, and enclosure-window specification</w:t>
      </w:r>
    </w:p>
    <w:p>
      <w:pPr>
        <w:numPr>
          <w:ilvl w:val="0"/>
          <w:numId w:val="1016"/>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7"/>
        </w:numPr>
        <w:pStyle w:val="Compact"/>
      </w:pPr>
      <w:r>
        <w:t xml:space="preserve">V0.3.1 bill of materials</w:t>
      </w:r>
    </w:p>
    <w:p>
      <w:pPr>
        <w:numPr>
          <w:ilvl w:val="0"/>
          <w:numId w:val="1017"/>
        </w:numPr>
        <w:pStyle w:val="Compact"/>
      </w:pPr>
      <w:r>
        <w:t xml:space="preserve">Exact controller package/ordering suffix and controlled manufacturer programming release</w:t>
      </w:r>
    </w:p>
    <w:p>
      <w:pPr>
        <w:numPr>
          <w:ilvl w:val="0"/>
          <w:numId w:val="1017"/>
        </w:numPr>
        <w:pStyle w:val="Compact"/>
      </w:pPr>
      <w:r>
        <w:t xml:space="preserve">Exact oscillator/timing tolerances and uniform future DDP status behavior</w:t>
      </w:r>
    </w:p>
    <w:p>
      <w:pPr>
        <w:numPr>
          <w:ilvl w:val="0"/>
          <w:numId w:val="1017"/>
        </w:numPr>
        <w:pStyle w:val="Compact"/>
      </w:pPr>
      <w:r>
        <w:t xml:space="preserve">Complete-module supply/logic absolute-maximum ratings and current consumption</w:t>
      </w:r>
    </w:p>
    <w:p>
      <w:pPr>
        <w:numPr>
          <w:ilvl w:val="0"/>
          <w:numId w:val="1017"/>
        </w:numPr>
        <w:pStyle w:val="Compact"/>
      </w:pPr>
      <w:r>
        <w:t xml:space="preserve">Pull-up values and bus-loading limits</w:t>
      </w:r>
    </w:p>
    <w:p>
      <w:pPr>
        <w:numPr>
          <w:ilvl w:val="0"/>
          <w:numId w:val="1017"/>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7"/>
        </w:numPr>
        <w:pStyle w:val="Compact"/>
      </w:pPr>
      <w:r>
        <w:t xml:space="preserve">Mechanical tolerances, board thickness, component heights, and finished mass</w:t>
      </w:r>
    </w:p>
    <w:p>
      <w:pPr>
        <w:numPr>
          <w:ilvl w:val="0"/>
          <w:numId w:val="1017"/>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2026-09-18T19:22:30Z</dcterms:created>
  <dcterms:modified xsi:type="dcterms:W3CDTF">2026-09-18T19:22:30Z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