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Identified Assemblies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Interface Controller Characteristics</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Unspecified Current-Module Characteristics {.section-page}</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identified-assemblies"/>
    <w:p>
      <w:pPr>
        <w:pStyle w:val="Heading3"/>
      </w:pPr>
      <w:r>
        <w:rPr>
          <w:bCs/>
          <w:b/>
        </w:rPr>
        <w:t xml:space="preserve">1.4 Identified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Assembly</w:t>
            </w:r>
          </w:p>
        </w:tc>
        <w:tc>
          <w:tcPr/>
          <w:p>
            <w:pPr>
              <w:pStyle w:val="Compact"/>
              <w:jc w:val="left"/>
            </w:pPr>
            <w:r>
              <w:t xml:space="preserve">Function</w:t>
            </w:r>
          </w:p>
        </w:tc>
        <w:tc>
          <w:tcPr/>
          <w:p>
            <w:pPr>
              <w:pStyle w:val="Compact"/>
              <w:jc w:val="left"/>
            </w:pPr>
            <w:r>
              <w:t xml:space="preserve">Source status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Functional identity shown by board/pinout artwork; manufacturer and exact suffix unconfirmed</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16 KB Flash and 2 KB SRAM</w:t>
            </w:r>
          </w:p>
        </w:tc>
      </w:tr>
      <w:tr>
        <w:tc>
          <w:tcPr/>
          <w:p>
            <w:pPr>
              <w:pStyle w:val="Compact"/>
              <w:jc w:val="left"/>
            </w:pPr>
            <w:r>
              <w:t xml:space="preserve">I2C connection positions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are optional horizontal 4-pin, 1.00 mm-pitch JST/Qwiic-compatible connector positions</w:t>
            </w:r>
          </w:p>
        </w:tc>
      </w:tr>
      <w:tr>
        <w:tc>
          <w:tcPr/>
          <w:p>
            <w:pPr>
              <w:pStyle w:val="Compact"/>
              <w:jc w:val="left"/>
            </w:pPr>
            <w:r>
              <w:t xml:space="preserve">Direct contacts</w:t>
            </w:r>
          </w:p>
        </w:tc>
        <w:tc>
          <w:tcPr/>
          <w:p>
            <w:pPr>
              <w:pStyle w:val="Compact"/>
              <w:jc w:val="left"/>
            </w:pPr>
            <w:r>
              <w:t xml:space="preserve">Provide</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r>
              <w:t xml:space="preserve"> </w:t>
            </w:r>
            <w:r>
              <w:t xml:space="preserve">access</w:t>
            </w:r>
          </w:p>
        </w:tc>
        <w:tc>
          <w:tcPr/>
          <w:p>
            <w:pPr>
              <w:pStyle w:val="Compact"/>
              <w:jc w:val="left"/>
            </w:pPr>
            <w:r>
              <w:t xml:space="preserve">Identified on the top view</w:t>
            </w:r>
          </w:p>
        </w:tc>
      </w:tr>
      <w:tr>
        <w:tc>
          <w:tcPr/>
          <w:p>
            <w:pPr>
              <w:pStyle w:val="Compact"/>
              <w:jc w:val="left"/>
            </w:pPr>
            <w:r>
              <w:t xml:space="preserve">I2C disable bridge</w:t>
            </w:r>
          </w:p>
        </w:tc>
        <w:tc>
          <w:tcPr/>
          <w:p>
            <w:pPr>
              <w:pStyle w:val="Compact"/>
              <w:jc w:val="left"/>
            </w:pPr>
            <w:r>
              <w:t xml:space="preserve">Allows the I2C interface to be disconnected or disabled by cutting the bridge</w:t>
            </w:r>
          </w:p>
        </w:tc>
        <w:tc>
          <w:tcPr/>
          <w:p>
            <w:pPr>
              <w:pStyle w:val="Compact"/>
              <w:jc w:val="left"/>
            </w:pPr>
            <w:r>
              <w:t xml:space="preserve">Function identified; exact circuit implementation unspecified</w:t>
            </w:r>
          </w:p>
        </w:tc>
      </w:tr>
      <w:tr>
        <w:tc>
          <w:tcPr/>
          <w:p>
            <w:pPr>
              <w:pStyle w:val="Compact"/>
              <w:jc w:val="left"/>
            </w:pPr>
            <w:r>
              <w:t xml:space="preserve">Power and built-in indicators</w:t>
            </w:r>
          </w:p>
        </w:tc>
        <w:tc>
          <w:tcPr/>
          <w:p>
            <w:pPr>
              <w:pStyle w:val="Compact"/>
              <w:jc w:val="left"/>
            </w:pPr>
            <w:r>
              <w:t xml:space="preserve">Provide power and firmware-controlled status indication</w:t>
            </w:r>
          </w:p>
        </w:tc>
        <w:tc>
          <w:tcPr/>
          <w:p>
            <w:pPr>
              <w:pStyle w:val="Compact"/>
              <w:jc w:val="left"/>
            </w:pPr>
            <w:r>
              <w:t xml:space="preserve">Power and built-in indicators identified on the board</w:t>
            </w:r>
          </w:p>
        </w:tc>
      </w:tr>
      <w:tr>
        <w:tc>
          <w:tcPr/>
          <w:p>
            <w:pPr>
              <w:pStyle w:val="Compact"/>
              <w:jc w:val="left"/>
            </w:pPr>
            <w:r>
              <w:t xml:space="preserve">Reserved expansion pads</w:t>
            </w:r>
          </w:p>
        </w:tc>
        <w:tc>
          <w:tcPr/>
          <w:p>
            <w:pPr>
              <w:pStyle w:val="Compact"/>
              <w:jc w:val="left"/>
            </w:pPr>
            <w:r>
              <w:t xml:space="preserve">Reserved connections with no current application assignment</w:t>
            </w:r>
          </w:p>
        </w:tc>
        <w:tc>
          <w:tcPr/>
          <w:p>
            <w:pPr>
              <w:pStyle w:val="Compact"/>
              <w:jc w:val="left"/>
            </w:pPr>
            <w:r>
              <w:t xml:space="preserve">Two reserved pads identified on the board</w:t>
            </w:r>
          </w:p>
        </w:tc>
      </w:tr>
      <w:tr>
        <w:tc>
          <w:tcPr/>
          <w:p>
            <w:pPr>
              <w:pStyle w:val="Compact"/>
              <w:jc w:val="left"/>
            </w:pPr>
            <w:r>
              <w:t xml:space="preserve">Factory service functions</w:t>
            </w:r>
          </w:p>
        </w:tc>
        <w:tc>
          <w:tcPr/>
          <w:p>
            <w:pPr>
              <w:pStyle w:val="Compact"/>
              <w:jc w:val="left"/>
            </w:pPr>
            <w:r>
              <w:t xml:space="preserve">Provide controller programming, debug, and reset functions</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interface-controller-characteristics"/>
    <w:p>
      <w:pPr>
        <w:pStyle w:val="Heading3"/>
      </w:pPr>
      <w:r>
        <w:rPr>
          <w:bCs/>
          <w:b/>
        </w:rPr>
        <w:t xml:space="preserve">2.3 Interface Controller Characteristics</w:t>
      </w:r>
    </w:p>
    <w:p>
      <w:pPr>
        <w:pStyle w:val="FirstParagraph"/>
      </w:pPr>
      <w:r>
        <w:t xml:space="preserve">The onboard interface controller provides a 32-bit Arm Cortex-M0+ core, 16 KB</w:t>
      </w:r>
      <w:r>
        <w:t xml:space="preserve"> </w:t>
      </w:r>
      <w:r>
        <w:t xml:space="preserve">Flash, and 2 KB SRAM. The capabilities below describe controller resources</w:t>
      </w:r>
      <w:r>
        <w:t xml:space="preserve"> </w:t>
      </w:r>
      <w:r>
        <w:t xml:space="preserve">relevant to module operation; they are not complete-module electrical ratings.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Controller capability</w:t>
            </w:r>
          </w:p>
        </w:tc>
      </w:tr>
      <w:tr>
        <w:tc>
          <w:tcPr/>
          <w:p>
            <w:pPr>
              <w:pStyle w:val="Compact"/>
              <w:jc w:val="left"/>
            </w:pPr>
            <w:r>
              <w:t xml:space="preserve">CPU and application clock</w:t>
            </w:r>
          </w:p>
        </w:tc>
        <w:tc>
          <w:tcPr/>
          <w:p>
            <w:pPr>
              <w:pStyle w:val="Compact"/>
              <w:jc w:val="left"/>
            </w:pPr>
            <w:r>
              <w:t xml:space="preserve">32-bit Arm Cortex-M0+; internal HSI at up to 24 MHz</w:t>
            </w:r>
          </w:p>
        </w:tc>
      </w:tr>
      <w:tr>
        <w:tc>
          <w:tcPr/>
          <w:p>
            <w:pPr>
              <w:pStyle w:val="Compact"/>
              <w:jc w:val="left"/>
            </w:pPr>
            <w:r>
              <w:t xml:space="preserve">Memory</w:t>
            </w:r>
          </w:p>
        </w:tc>
        <w:tc>
          <w:tcPr/>
          <w:p>
            <w:pPr>
              <w:pStyle w:val="Compact"/>
              <w:jc w:val="left"/>
            </w:pPr>
            <w:r>
              <w:t xml:space="preserve">16 KB Flash and 2 KB SRAM</w:t>
            </w:r>
          </w:p>
        </w:tc>
      </w:tr>
      <w:tr>
        <w:tc>
          <w:tcPr/>
          <w:p>
            <w:pPr>
              <w:pStyle w:val="Compact"/>
              <w:jc w:val="left"/>
            </w:pPr>
            <w:r>
              <w:t xml:space="preserve">Controller operating-voltage guidance</w:t>
            </w:r>
          </w:p>
        </w:tc>
        <w:tc>
          <w:tcPr/>
          <w:p>
            <w:pPr>
              <w:pStyle w:val="Compact"/>
              <w:jc w:val="left"/>
            </w:pPr>
            <w:r>
              <w:t xml:space="preserve">2.0–5.5 V; conservative range pending confirmation of the exact fitted variant</w:t>
            </w:r>
          </w:p>
        </w:tc>
      </w:tr>
      <w:tr>
        <w:tc>
          <w:tcPr/>
          <w:p>
            <w:pPr>
              <w:pStyle w:val="Compact"/>
              <w:jc w:val="left"/>
            </w:pPr>
            <w:r>
              <w:t xml:space="preserve">ADC</w:t>
            </w:r>
          </w:p>
        </w:tc>
        <w:tc>
          <w:tcPr/>
          <w:p>
            <w:pPr>
              <w:pStyle w:val="Compact"/>
              <w:jc w:val="left"/>
            </w:pPr>
            <w:r>
              <w:t xml:space="preserve">12-bit analog-to-digital conversion used for sensor acquisition</w:t>
            </w:r>
          </w:p>
        </w:tc>
      </w:tr>
      <w:tr>
        <w:tc>
          <w:tcPr/>
          <w:p>
            <w:pPr>
              <w:pStyle w:val="Compact"/>
              <w:jc w:val="left"/>
            </w:pPr>
            <w:r>
              <w:t xml:space="preserve">I2C</w:t>
            </w:r>
          </w:p>
        </w:tc>
        <w:tc>
          <w:tcPr/>
          <w:p>
            <w:pPr>
              <w:pStyle w:val="Compact"/>
              <w:jc w:val="left"/>
            </w:pPr>
            <w:r>
              <w:t xml:space="preserve">Standard mode at 100 kHz and Fast mode at 400 kHz; 7-bit addressing</w:t>
            </w:r>
          </w:p>
        </w:tc>
      </w:tr>
      <w:tr>
        <w:tc>
          <w:tcPr/>
          <w:p>
            <w:pPr>
              <w:pStyle w:val="Compact"/>
              <w:jc w:val="left"/>
            </w:pPr>
            <w:r>
              <w:t xml:space="preserve">GPIO</w:t>
            </w:r>
          </w:p>
        </w:tc>
        <w:tc>
          <w:tcPr/>
          <w:p>
            <w:pPr>
              <w:pStyle w:val="Compact"/>
              <w:jc w:val="left"/>
            </w:pPr>
            <w:r>
              <w:t xml:space="preserve">General-purpose digital I/O and external-interrupt capability</w:t>
            </w:r>
          </w:p>
        </w:tc>
      </w:tr>
      <w:tr>
        <w:tc>
          <w:tcPr/>
          <w:p>
            <w:pPr>
              <w:pStyle w:val="Compact"/>
              <w:jc w:val="left"/>
            </w:pPr>
            <w:r>
              <w:t xml:space="preserve">Timers</w:t>
            </w:r>
          </w:p>
        </w:tc>
        <w:tc>
          <w:tcPr/>
          <w:p>
            <w:pPr>
              <w:pStyle w:val="Compact"/>
              <w:jc w:val="left"/>
            </w:pPr>
            <w:r>
              <w:t xml:space="preserve">General-purpose, advanced-control, low-power, watchdog, and system timing resources</w:t>
            </w:r>
          </w:p>
        </w:tc>
      </w:tr>
      <w:tr>
        <w:tc>
          <w:tcPr/>
          <w:p>
            <w:pPr>
              <w:pStyle w:val="Compact"/>
              <w:jc w:val="left"/>
            </w:pPr>
            <w:r>
              <w:t xml:space="preserve">Other interfaces</w:t>
            </w:r>
          </w:p>
        </w:tc>
        <w:tc>
          <w:tcPr/>
          <w:p>
            <w:pPr>
              <w:pStyle w:val="Compact"/>
              <w:jc w:val="left"/>
            </w:pPr>
            <w:r>
              <w:t xml:space="preserve">SPI, USART, DMA, RTC, CRC, comparators, unique device identification, and factory programming/debug functionality</w:t>
            </w:r>
          </w:p>
        </w:tc>
      </w:tr>
    </w:tbl>
    <w:p>
      <w:pPr>
        <w:pStyle w:val="BodyText"/>
      </w:pPr>
      <w:r>
        <w:t xml:space="preserve">Programming and debugging functionality is reserved for factory use on this module. The controller operating range applies only to the controller and does not establish the absolute maximum ratings of the complete module or every externally accessible contact.</w:t>
      </w:r>
    </w:p>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Xfceabeeeb34bfd761998e8b16fcfc49584ad897"/>
    <w:p>
      <w:pPr>
        <w:pStyle w:val="Heading3"/>
      </w:pPr>
      <w:r>
        <w:rPr>
          <w:bCs/>
          <w:b/>
        </w:rPr>
        <w:t xml:space="preserve">2.7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8"/>
    <w:bookmarkStart w:id="49"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2026-09-13T15:52:45Z</dcterms:created>
  <dcterms:modified xsi:type="dcterms:W3CDTF">2026-09-13T15:52:45Z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