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Interface Controller Characteristics</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Unspecified Current-Module Characteristics {.section-page}</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Primary ambient-light sensing element</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with 16 KB Flash and 2 KB SRAM</w:t>
            </w:r>
          </w:p>
        </w:tc>
      </w:tr>
      <w:tr>
        <w:tc>
          <w:tcPr/>
          <w:p>
            <w:pPr>
              <w:pStyle w:val="Compact"/>
              <w:jc w:val="left"/>
            </w:pPr>
            <w:r>
              <w:t xml:space="preserve">I2C connections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support optional horizontal 4-pin, 1.00 mm-pitch JST/Qwiic-compatible connectors</w:t>
            </w:r>
          </w:p>
        </w:tc>
      </w:tr>
      <w:tr>
        <w:tc>
          <w:tcPr/>
          <w:p>
            <w:pPr>
              <w:pStyle w:val="Compact"/>
              <w:jc w:val="left"/>
            </w:pPr>
            <w:r>
              <w:t xml:space="preserve">Direct contacts</w:t>
            </w:r>
          </w:p>
        </w:tc>
        <w:tc>
          <w:tcPr/>
          <w:p>
            <w:pPr>
              <w:pStyle w:val="Compact"/>
              <w:jc w:val="left"/>
            </w:pPr>
            <w:r>
              <w:t xml:space="preserve">Provide direct access to</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p>
        </w:tc>
        <w:tc>
          <w:tcPr/>
          <w:p>
            <w:pPr>
              <w:pStyle w:val="Compact"/>
              <w:jc w:val="left"/>
            </w:pPr>
            <w:r>
              <w:t xml:space="preserve">Intended for analog signal access and external ADC measurement</w:t>
            </w:r>
          </w:p>
        </w:tc>
      </w:tr>
      <w:tr>
        <w:tc>
          <w:tcPr/>
          <w:p>
            <w:pPr>
              <w:pStyle w:val="Compact"/>
              <w:jc w:val="left"/>
            </w:pPr>
            <w:r>
              <w:t xml:space="preserve">I2C disable bridge</w:t>
            </w:r>
          </w:p>
        </w:tc>
        <w:tc>
          <w:tcPr/>
          <w:p>
            <w:pPr>
              <w:pStyle w:val="Compact"/>
              <w:jc w:val="left"/>
            </w:pPr>
            <w:r>
              <w:t xml:space="preserve">Allows the I2C interface to be disabled</w:t>
            </w:r>
          </w:p>
        </w:tc>
        <w:tc>
          <w:tcPr/>
          <w:p>
            <w:pPr>
              <w:pStyle w:val="Compact"/>
              <w:jc w:val="left"/>
            </w:pPr>
            <w:r>
              <w:t xml:space="preserve">Cut</w:t>
            </w:r>
            <w:r>
              <w:t xml:space="preserve"> </w:t>
            </w:r>
            <w:r>
              <w:rPr>
                <w:rStyle w:val="VerbatimChar"/>
              </w:rPr>
              <w:t xml:space="preserve">JP1</w:t>
            </w:r>
            <w:r>
              <w:t xml:space="preserve"> </w:t>
            </w:r>
            <w:r>
              <w:t xml:space="preserve">to disable I2C operation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w:t>
            </w:r>
            <w:r>
              <w:t xml:space="preserve"> </w:t>
            </w:r>
            <w:r>
              <w:rPr>
                <w:rStyle w:val="VerbatimChar"/>
              </w:rPr>
              <w:t xml:space="preserve">PWR</w:t>
            </w:r>
            <w:r>
              <w:t xml:space="preserve"> </w:t>
            </w:r>
            <w:r>
              <w:t xml:space="preserve">indicator</w:t>
            </w:r>
          </w:p>
        </w:tc>
      </w:tr>
      <w:tr>
        <w:tc>
          <w:tcPr/>
          <w:p>
            <w:pPr>
              <w:pStyle w:val="Compact"/>
              <w:jc w:val="left"/>
            </w:pPr>
            <w:r>
              <w:t xml:space="preserve">Built-in status indicator</w:t>
            </w:r>
          </w:p>
        </w:tc>
        <w:tc>
          <w:tcPr/>
          <w:p>
            <w:pPr>
              <w:pStyle w:val="Compact"/>
              <w:jc w:val="left"/>
            </w:pPr>
            <w:r>
              <w:t xml:space="preserve">Provides firmware-controlled status indication</w:t>
            </w:r>
          </w:p>
        </w:tc>
        <w:tc>
          <w:tcPr/>
          <w:p>
            <w:pPr>
              <w:pStyle w:val="Compact"/>
              <w:jc w:val="left"/>
            </w:pPr>
            <w:r>
              <w:t xml:space="preserve">Onboard</w:t>
            </w:r>
            <w:r>
              <w:t xml:space="preserve"> </w:t>
            </w:r>
            <w:r>
              <w:rPr>
                <w:rStyle w:val="VerbatimChar"/>
              </w:rPr>
              <w:t xml:space="preserve">USR_LED</w:t>
            </w:r>
            <w:r>
              <w:t xml:space="preserve"> </w:t>
            </w:r>
            <w:r>
              <w:t xml:space="preserve">indicator</w:t>
            </w:r>
          </w:p>
        </w:tc>
      </w:tr>
      <w:tr>
        <w:tc>
          <w:tcPr/>
          <w:p>
            <w:pPr>
              <w:pStyle w:val="Compact"/>
              <w:jc w:val="left"/>
            </w:pPr>
            <w:r>
              <w:t xml:space="preserve">Reserved expansion pads</w:t>
            </w:r>
          </w:p>
        </w:tc>
        <w:tc>
          <w:tcPr/>
          <w:p>
            <w:pPr>
              <w:pStyle w:val="Compact"/>
              <w:jc w:val="left"/>
            </w:pPr>
            <w:r>
              <w:t xml:space="preserve">Provide connections reserved for future expansion</w:t>
            </w:r>
          </w:p>
        </w:tc>
        <w:tc>
          <w:tcPr/>
          <w:p>
            <w:pPr>
              <w:pStyle w:val="Compact"/>
              <w:jc w:val="left"/>
            </w:pPr>
            <w:r>
              <w:t xml:space="preserve">No user function is currently assigned</w:t>
            </w:r>
          </w:p>
        </w:tc>
      </w:tr>
      <w:tr>
        <w:tc>
          <w:tcPr/>
          <w:p>
            <w:pPr>
              <w:pStyle w:val="Compact"/>
              <w:jc w:val="left"/>
            </w:pPr>
            <w:r>
              <w:t xml:space="preserve">Factory service functions</w:t>
            </w:r>
          </w:p>
        </w:tc>
        <w:tc>
          <w:tcPr/>
          <w:p>
            <w:pPr>
              <w:pStyle w:val="Compact"/>
              <w:jc w:val="left"/>
            </w:pPr>
            <w:r>
              <w:t xml:space="preserve">Support controller programming, debugging, and reset</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interface-controller-characteristics"/>
    <w:p>
      <w:pPr>
        <w:pStyle w:val="Heading3"/>
      </w:pPr>
      <w:r>
        <w:rPr>
          <w:bCs/>
          <w:b/>
        </w:rPr>
        <w:t xml:space="preserve">2.3 Interface Controller Characteristics</w:t>
      </w:r>
    </w:p>
    <w:p>
      <w:pPr>
        <w:pStyle w:val="FirstParagraph"/>
      </w:pPr>
      <w:r>
        <w:t xml:space="preserve">The onboard interface controller provides a 32-bit Arm Cortex-M0+ core, 16 KB</w:t>
      </w:r>
      <w:r>
        <w:t xml:space="preserve"> </w:t>
      </w:r>
      <w:r>
        <w:t xml:space="preserve">Flash, and 2 KB SRAM. The capabilities below describe controller resources</w:t>
      </w:r>
      <w:r>
        <w:t xml:space="preserve"> </w:t>
      </w:r>
      <w:r>
        <w:t xml:space="preserve">relevant to module operation; they are not complete-module electrical ratings.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Controller capability</w:t>
            </w:r>
          </w:p>
        </w:tc>
      </w:tr>
      <w:tr>
        <w:tc>
          <w:tcPr/>
          <w:p>
            <w:pPr>
              <w:pStyle w:val="Compact"/>
              <w:jc w:val="left"/>
            </w:pPr>
            <w:r>
              <w:t xml:space="preserve">CPU and application clock</w:t>
            </w:r>
          </w:p>
        </w:tc>
        <w:tc>
          <w:tcPr/>
          <w:p>
            <w:pPr>
              <w:pStyle w:val="Compact"/>
              <w:jc w:val="left"/>
            </w:pPr>
            <w:r>
              <w:t xml:space="preserve">32-bit Arm Cortex-M0+; internal HSI at up to 24 MHz</w:t>
            </w:r>
          </w:p>
        </w:tc>
      </w:tr>
      <w:tr>
        <w:tc>
          <w:tcPr/>
          <w:p>
            <w:pPr>
              <w:pStyle w:val="Compact"/>
              <w:jc w:val="left"/>
            </w:pPr>
            <w:r>
              <w:t xml:space="preserve">Memory</w:t>
            </w:r>
          </w:p>
        </w:tc>
        <w:tc>
          <w:tcPr/>
          <w:p>
            <w:pPr>
              <w:pStyle w:val="Compact"/>
              <w:jc w:val="left"/>
            </w:pPr>
            <w:r>
              <w:t xml:space="preserve">16 KB Flash and 2 KB SRAM</w:t>
            </w:r>
          </w:p>
        </w:tc>
      </w:tr>
      <w:tr>
        <w:tc>
          <w:tcPr/>
          <w:p>
            <w:pPr>
              <w:pStyle w:val="Compact"/>
              <w:jc w:val="left"/>
            </w:pPr>
            <w:r>
              <w:t xml:space="preserve">Controller operating-voltage guidance</w:t>
            </w:r>
          </w:p>
        </w:tc>
        <w:tc>
          <w:tcPr/>
          <w:p>
            <w:pPr>
              <w:pStyle w:val="Compact"/>
              <w:jc w:val="left"/>
            </w:pPr>
            <w:r>
              <w:t xml:space="preserve">2.0–5.5 V; conservative range pending confirmation of the exact fitted variant</w:t>
            </w:r>
          </w:p>
        </w:tc>
      </w:tr>
      <w:tr>
        <w:tc>
          <w:tcPr/>
          <w:p>
            <w:pPr>
              <w:pStyle w:val="Compact"/>
              <w:jc w:val="left"/>
            </w:pPr>
            <w:r>
              <w:t xml:space="preserve">ADC</w:t>
            </w:r>
          </w:p>
        </w:tc>
        <w:tc>
          <w:tcPr/>
          <w:p>
            <w:pPr>
              <w:pStyle w:val="Compact"/>
              <w:jc w:val="left"/>
            </w:pPr>
            <w:r>
              <w:t xml:space="preserve">12-bit analog-to-digital conversion used for sensor acquisition</w:t>
            </w:r>
          </w:p>
        </w:tc>
      </w:tr>
      <w:tr>
        <w:tc>
          <w:tcPr/>
          <w:p>
            <w:pPr>
              <w:pStyle w:val="Compact"/>
              <w:jc w:val="left"/>
            </w:pPr>
            <w:r>
              <w:t xml:space="preserve">I2C</w:t>
            </w:r>
          </w:p>
        </w:tc>
        <w:tc>
          <w:tcPr/>
          <w:p>
            <w:pPr>
              <w:pStyle w:val="Compact"/>
              <w:jc w:val="left"/>
            </w:pPr>
            <w:r>
              <w:t xml:space="preserve">Standard mode at 100 kHz and Fast mode at 400 kHz; 7-bit addressing</w:t>
            </w:r>
          </w:p>
        </w:tc>
      </w:tr>
      <w:tr>
        <w:tc>
          <w:tcPr/>
          <w:p>
            <w:pPr>
              <w:pStyle w:val="Compact"/>
              <w:jc w:val="left"/>
            </w:pPr>
            <w:r>
              <w:t xml:space="preserve">GPIO</w:t>
            </w:r>
          </w:p>
        </w:tc>
        <w:tc>
          <w:tcPr/>
          <w:p>
            <w:pPr>
              <w:pStyle w:val="Compact"/>
              <w:jc w:val="left"/>
            </w:pPr>
            <w:r>
              <w:t xml:space="preserve">General-purpose digital I/O and external-interrupt capability</w:t>
            </w:r>
          </w:p>
        </w:tc>
      </w:tr>
      <w:tr>
        <w:tc>
          <w:tcPr/>
          <w:p>
            <w:pPr>
              <w:pStyle w:val="Compact"/>
              <w:jc w:val="left"/>
            </w:pPr>
            <w:r>
              <w:t xml:space="preserve">Timers</w:t>
            </w:r>
          </w:p>
        </w:tc>
        <w:tc>
          <w:tcPr/>
          <w:p>
            <w:pPr>
              <w:pStyle w:val="Compact"/>
              <w:jc w:val="left"/>
            </w:pPr>
            <w:r>
              <w:t xml:space="preserve">General-purpose, advanced-control, low-power, watchdog, and system timing resources</w:t>
            </w:r>
          </w:p>
        </w:tc>
      </w:tr>
      <w:tr>
        <w:tc>
          <w:tcPr/>
          <w:p>
            <w:pPr>
              <w:pStyle w:val="Compact"/>
              <w:jc w:val="left"/>
            </w:pPr>
            <w:r>
              <w:t xml:space="preserve">Other interfaces</w:t>
            </w:r>
          </w:p>
        </w:tc>
        <w:tc>
          <w:tcPr/>
          <w:p>
            <w:pPr>
              <w:pStyle w:val="Compact"/>
              <w:jc w:val="left"/>
            </w:pPr>
            <w:r>
              <w:t xml:space="preserve">SPI, USART, DMA, RTC, CRC, comparators, unique device identification, and factory programming/debug functionality</w:t>
            </w:r>
          </w:p>
        </w:tc>
      </w:tr>
    </w:tbl>
    <w:p>
      <w:pPr>
        <w:pStyle w:val="BodyText"/>
      </w:pPr>
      <w:r>
        <w:t xml:space="preserve">Programming and debugging functionality is reserved for factory use on this module. The controller operating range applies only to the controller and does not establish the absolute maximum ratings of the complete module or every externally accessible contact.</w:t>
      </w:r>
    </w:p>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Xfceabeeeb34bfd761998e8b16fcfc49584ad897"/>
    <w:p>
      <w:pPr>
        <w:pStyle w:val="Heading3"/>
      </w:pPr>
      <w:r>
        <w:rPr>
          <w:bCs/>
          <w:b/>
        </w:rPr>
        <w:t xml:space="preserve">2.7 Unspecified Current-Module Characteristics</w:t>
      </w:r>
    </w:p>
    <w:p>
      <w:pPr>
        <w:numPr>
          <w:ilvl w:val="0"/>
          <w:numId w:val="1012"/>
        </w:numPr>
        <w:pStyle w:val="Compact"/>
      </w:pPr>
      <w:r>
        <w:t xml:space="preserve">Complete-module absolute maximum ratings, current consumption, and power-up behavior</w:t>
      </w:r>
    </w:p>
    <w:p>
      <w:pPr>
        <w:numPr>
          <w:ilvl w:val="0"/>
          <w:numId w:val="1012"/>
        </w:numPr>
        <w:pStyle w:val="Compact"/>
      </w:pPr>
      <w:r>
        <w:t xml:space="preserve">Exact oscillator and timing tolerance</w:t>
      </w:r>
    </w:p>
    <w:p>
      <w:pPr>
        <w:numPr>
          <w:ilvl w:val="0"/>
          <w:numId w:val="1012"/>
        </w:numPr>
        <w:pStyle w:val="Compact"/>
      </w:pPr>
      <w:r>
        <w:t xml:space="preserve">Electrical I2C bus-loading limits</w:t>
      </w:r>
    </w:p>
    <w:p>
      <w:pPr>
        <w:numPr>
          <w:ilvl w:val="0"/>
          <w:numId w:val="1012"/>
        </w:numPr>
        <w:pStyle w:val="Compact"/>
      </w:pPr>
      <w:r>
        <w:t xml:space="preserve">Pull-up resistance and supported bus capacitance</w:t>
      </w:r>
    </w:p>
    <w:p>
      <w:pPr>
        <w:numPr>
          <w:ilvl w:val="0"/>
          <w:numId w:val="1012"/>
        </w:numPr>
        <w:pStyle w:val="Compact"/>
      </w:pPr>
      <w:r>
        <w:t xml:space="preserve">I2C logic-level compatibility under all supported supply conditions</w:t>
      </w:r>
    </w:p>
    <w:p>
      <w:pPr>
        <w:numPr>
          <w:ilvl w:val="0"/>
          <w:numId w:val="1012"/>
        </w:numPr>
        <w:pStyle w:val="Compact"/>
      </w:pPr>
      <w:r>
        <w:t xml:space="preserve">Direct analog transfer function, load resistance, range, accuracy, and source impedance</w:t>
      </w:r>
    </w:p>
    <w:p>
      <w:pPr>
        <w:numPr>
          <w:ilvl w:val="0"/>
          <w:numId w:val="1012"/>
        </w:numPr>
        <w:pStyle w:val="Compact"/>
      </w:pPr>
      <w:r>
        <w:t xml:space="preserve">Guaranteed lux measurement range, accuracy, repeatability, response time, and calibration</w:t>
      </w:r>
    </w:p>
    <w:p>
      <w:pPr>
        <w:numPr>
          <w:ilvl w:val="0"/>
          <w:numId w:val="1012"/>
        </w:numPr>
        <w:pStyle w:val="Compact"/>
      </w:pPr>
      <w:r>
        <w:t xml:space="preserve">Exact controller ordering variant</w:t>
      </w:r>
    </w:p>
    <w:p>
      <w:pPr>
        <w:numPr>
          <w:ilvl w:val="0"/>
          <w:numId w:val="1012"/>
        </w:numPr>
        <w:pStyle w:val="Compact"/>
      </w:pPr>
      <w:r>
        <w:t xml:space="preserve">Controlled firmware image and manufacturer programming procedure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Until these characteristics are validated, component-level specifications must not be interpreted as guaranteed complete-module specifications.</w:t>
      </w:r>
    </w:p>
    <w:bookmarkEnd w:id="48"/>
    <w:bookmarkStart w:id="49" w:name="electrical-precautions"/>
    <w:p>
      <w:pPr>
        <w:pStyle w:val="Heading3"/>
      </w:pPr>
      <w:r>
        <w:rPr>
          <w:bCs/>
          <w:b/>
        </w:rPr>
        <w:t xml:space="preserve">2.8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2026-09-13T16:12:39Z</dcterms:created>
  <dcterms:modified xsi:type="dcterms:W3CDTF">2026-09-13T16:12:39Z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